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761C514-7EAF-4A75-A119-5B0C183FD264" style="width:455.25pt;height:402.7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r>
      <w:bookmarkStart w:id="0" w:name="_Ref219985769"/>
      <w:bookmarkStart w:id="1" w:name="_Toc239673816"/>
      <w:r>
        <w:rPr>
          <w:noProof/>
        </w:rPr>
        <w:t>CONTEXTUL PROPUNERII</w:t>
      </w:r>
      <w:bookmarkEnd w:id="0"/>
      <w:bookmarkEnd w:id="1"/>
    </w:p>
    <w:p>
      <w:pPr>
        <w:pStyle w:val="ManualHeading2"/>
        <w:rPr>
          <w:noProof/>
        </w:rPr>
      </w:pPr>
      <w:r>
        <w:rPr>
          <w:noProof/>
        </w:rPr>
        <w:t>1.1.</w:t>
      </w:r>
      <w:r>
        <w:rPr>
          <w:noProof/>
        </w:rPr>
        <w:tab/>
      </w:r>
      <w:bookmarkStart w:id="2" w:name="_Toc239673817"/>
      <w:r>
        <w:rPr>
          <w:noProof/>
        </w:rPr>
        <w:t>Motivele și obiectivele propunerii</w:t>
      </w:r>
      <w:bookmarkEnd w:id="2"/>
      <w:r>
        <w:rPr>
          <w:noProof/>
        </w:rPr>
        <w:t xml:space="preserve"> </w:t>
      </w:r>
    </w:p>
    <w:p>
      <w:pPr>
        <w:rPr>
          <w:noProof/>
        </w:rPr>
      </w:pPr>
      <w:r>
        <w:rPr>
          <w:noProof/>
        </w:rPr>
        <w:t>Uniunea Europeană (UE) este lider mondial în domeniul cercetării științifice, producând o parte semnificativă din rezultatele științifice de înaltă calitate de la nivel mondial. Cu toate acestea, un astfel de atu nu se traduce printr-un nivel proporțional al performanței în materie de inovare și al succesului comercial în cadrul pieței unice și la nivel mondial. De prea multe ori, ideile inovatoare dezvoltate în Europa nu reușesc să ajungă pe piață, să se extindă la nivel transfrontalier sau să genereze noi sectoare de creștere. Prin urmare, Uniunea exploatează doar o parte limitată din valoarea economică și societală generată de atuurile sale științifice și tehnologice, ceea ce limitează apariția unor întreprinderi competitive la nivel mondial și slăbește capacitatea Europei de a asigura tehnologiile și lanțurile valorice critice și creșterea productivității pe termen lung.</w:t>
      </w:r>
    </w:p>
    <w:p>
      <w:pPr>
        <w:rPr>
          <w:noProof/>
        </w:rPr>
      </w:pPr>
      <w:r>
        <w:rPr>
          <w:b/>
          <w:noProof/>
        </w:rPr>
        <w:t>Îmbunătățirea condițiilor pentru dezvoltarea, comercializarea și extinderea soluțiilor inovatoare a devenit o prioritate centrală</w:t>
      </w:r>
      <w:r>
        <w:rPr>
          <w:noProof/>
        </w:rPr>
        <w:t xml:space="preserve"> a agendei politice a Comisiei pentru perioada 2024-2029, care plasează cercetarea și inovarea în centrul competitivității și prosperității durabile a Europei. Acest lucru este esențial și pentru consolidarea rezilienței, a securității economice și a autonomiei strategice a Uniunii într-un mediu geopolitic din ce în ce mai contestat. În acest context, propunerea de regulament contribuie la punerea în aplicare a Strategiei UE privind start-upurile și întreprinderile în fază de extindere</w:t>
      </w:r>
      <w:r>
        <w:rPr>
          <w:rStyle w:val="FootnoteReference"/>
          <w:noProof/>
        </w:rPr>
        <w:footnoteReference w:id="2"/>
      </w:r>
      <w:r>
        <w:rPr>
          <w:noProof/>
        </w:rPr>
        <w:t xml:space="preserve"> și răspunde mandatului stabilit în scrisoarea de misiune a comisarului Zaharieva de a dezvolta un cadru care să faciliteze testarea, finanțarea și extinderea soluțiilor inovatoare în UE.</w:t>
      </w:r>
    </w:p>
    <w:p>
      <w:pPr>
        <w:rPr>
          <w:noProof/>
        </w:rPr>
      </w:pPr>
      <w:r>
        <w:rPr>
          <w:noProof/>
        </w:rPr>
        <w:t>În ultimele două decenii, creșterea economică a UE a rămas în urma creșterii altor economii majore, în special a Statelor Unite (SUA) și a Chinei, cu o diferență tot mai mare în ceea ce privește nivelurile PIB-ului. Un factor esențial care explică această divergență este creșterea mai slabă a productivității în UE. Întrucât cercetarea și inovarea reprezintă o parte substanțială a creșterii productivității, capacitatea Uniunii de a transpune cunoștințele în inovații comercializabile este un factor determinant esențial al competitivității și prosperității sale pe termen lung. De asemenea, este un factor determinant al capacității Uniunii de a reduce dependențele strategice excesive, de a-și menține libertatea de acțiune și de a asigura accesul securizat la tehnologii, produse și capacități industriale critice.</w:t>
      </w:r>
    </w:p>
    <w:p>
      <w:pPr>
        <w:rPr>
          <w:noProof/>
        </w:rPr>
      </w:pPr>
      <w:r>
        <w:rPr>
          <w:noProof/>
        </w:rPr>
        <w:t>Provocarea fundamentală stă în barierele structurale existente de-a lungul ciclului de viață al inovării. Deși înregistrează rezultate foarte bune în cercetarea aflată în faza incipientă, UE se confruntă cu dificultăți persistente în tranziția de la rezultatele cercetării la produse gata de comercializare și la întreprinderi scalabile. Întreprinderile inovatoare se confruntă cu două blocaje critice: un decalaj în etapa premergătoare comercializării, în care proiectele prezintă încă riscuri prea mari sau sunt prea fragmentate pentru a atrage investiții private, și un decalaj în etapa de extindere, în care întreprinderile întâmpină dificultăți în a se extinde din cauza constrângerilor financiare, de reglementare și de piață. Aceste blocaje reduc stimulentele pentru investiții și limitează apariția unor noi întreprinderi și sectoare inovatoare.</w:t>
      </w:r>
    </w:p>
    <w:p>
      <w:pPr>
        <w:rPr>
          <w:noProof/>
        </w:rPr>
      </w:pPr>
      <w:r>
        <w:rPr>
          <w:noProof/>
        </w:rPr>
        <w:t xml:space="preserve">În ultimii ani, Uniunea a luat măsuri semnificative pentru a aborda aceste provocări. Programele de finanțare ale UE, cum ar fi Orizont Europa, Mecanismul de redresare și reziliență, Fondul pentru inovare, programul Europa digitală și InvestEU, precum și </w:t>
      </w:r>
      <w:r>
        <w:rPr>
          <w:noProof/>
        </w:rPr>
        <w:lastRenderedPageBreak/>
        <w:t>inițiativele care vizează aprofundarea piețelor de capital și consolidarea Spațiului european de cercetare au contribuit la îmbunătățirea condițiilor-cadru pentru inovare. Aceste eforturi sprijină, de asemenea, obiectivul mai larg al Uniunii de consolidare a rezilienței, a pregătirii și a capacității tehnologice în sectoarele de importanță strategică.</w:t>
      </w:r>
    </w:p>
    <w:p>
      <w:pPr>
        <w:rPr>
          <w:noProof/>
        </w:rPr>
      </w:pPr>
      <w:r>
        <w:rPr>
          <w:noProof/>
        </w:rPr>
        <w:t xml:space="preserve">Cu toate acestea, în pofida progreselor înregistrate, </w:t>
      </w:r>
      <w:r>
        <w:rPr>
          <w:b/>
          <w:noProof/>
        </w:rPr>
        <w:t>persistă bariere și disparități importante între statele membre</w:t>
      </w:r>
      <w:r>
        <w:rPr>
          <w:noProof/>
        </w:rPr>
        <w:t>, în special în ceea ce privește tranziția de la cercetare la introducerea pe piață. Aceste bariere nu numai că subminează performanța în materie de inovare, ci întârzie și implementarea la scară largă a tehnologiilor care sunt esențiale pentru securitatea, reziliența și suveranitatea economică a Europei.</w:t>
      </w:r>
    </w:p>
    <w:p>
      <w:pPr>
        <w:rPr>
          <w:noProof/>
        </w:rPr>
      </w:pPr>
      <w:r>
        <w:rPr>
          <w:b/>
          <w:noProof/>
        </w:rPr>
        <w:t>În primul rând, piețele pentru achizițiile în domeniul cercetării și dezvoltării, inclusiv achizițiile înainte de comercializare, rămân subdezvoltate din cauza lipsei unui cadru juridic clar</w:t>
      </w:r>
      <w:r>
        <w:rPr>
          <w:noProof/>
        </w:rPr>
        <w:t>. Directivele UE privind achizițiile publice reglementează serviciile de cercetare și dezvoltare numai în cazul în care sunt îndeplinite cumulativ următoarele două condiții:</w:t>
      </w:r>
    </w:p>
    <w:p>
      <w:pPr>
        <w:pStyle w:val="Bullet0"/>
        <w:numPr>
          <w:ilvl w:val="0"/>
          <w:numId w:val="85"/>
        </w:numPr>
        <w:rPr>
          <w:noProof/>
        </w:rPr>
      </w:pPr>
      <w:r>
        <w:rPr>
          <w:noProof/>
        </w:rPr>
        <w:t>acestea sunt exclusiv în beneficiul achizitorului public pentru a fi utilizate în cadrul propriilor activități și</w:t>
      </w:r>
    </w:p>
    <w:p>
      <w:pPr>
        <w:pStyle w:val="Bullet0"/>
        <w:rPr>
          <w:noProof/>
        </w:rPr>
      </w:pPr>
      <w:r>
        <w:rPr>
          <w:noProof/>
        </w:rPr>
        <w:t>achizitorul public remunerează integral serviciul.</w:t>
      </w:r>
    </w:p>
    <w:p>
      <w:pPr>
        <w:rPr>
          <w:noProof/>
        </w:rPr>
      </w:pPr>
      <w:r>
        <w:rPr>
          <w:noProof/>
        </w:rPr>
        <w:t>Prin urmare, o parte substanțială a achizițiilor în domeniul cercetării și dezvoltării, inclusiv a achizițiilor înainte de comercializare, nu intră în domeniul lor de aplicare. De când Comisia a clarificat conceptul de achiziții înainte de comercializare în 2007, prin comunicarea sa</w:t>
      </w:r>
      <w:r>
        <w:rPr>
          <w:rStyle w:val="FootnoteReference"/>
          <w:noProof/>
        </w:rPr>
        <w:footnoteReference w:id="3"/>
      </w:r>
      <w:r>
        <w:rPr>
          <w:noProof/>
        </w:rPr>
        <w:t xml:space="preserve">, s-a înregistrat o creștere a acestor tipuri de achiziții în domeniul cercetării și dezvoltării, iar cazurile de succes arată că utilizarea strategică a acestui instrument permite UE să își redobândească poziția de lider și autonomia strategică pe piețele de înaltă tehnologie. Cu toate acestea, în general, la nivelul UE, progresele înregistrate în ceea ce privește creșterea nivelurilor de investiții sunt încă prea lente și fragmentate. Principalele motive sunt faptul că absența unor norme armonizate a condus la practici divergente între statele membre, la insecuritate juridică și la utilizarea limitată a achizițiilor publice transfrontaliere comune în domeniul cercetării și dezvoltării, care sunt adesea necesare pentru a atinge masa financiară critică necesară pentru dezvoltarea tehnologiilor inovatoare. Acest lucru este deosebit de problematic în sectoarele strategice în care cererea fragmentată, abordările naționale duplicate și dependența de furnizori din afara UE pot expune Uniunea la vulnerabilități și riscuri în materie de aprovizionare. În plus, propunerea de revizuire a cadrului UE privind achizițiile publice, actul legislativ privind achizițiile publice, propune excluderea tuturor formelor de achiziții în domeniul cercetării și dezvoltării. </w:t>
      </w:r>
    </w:p>
    <w:p>
      <w:pPr>
        <w:rPr>
          <w:noProof/>
          <w:szCs w:val="24"/>
        </w:rPr>
      </w:pPr>
      <w:r>
        <w:rPr>
          <w:noProof/>
        </w:rPr>
        <w:t>Astfel de achiziții în domeniul cercetării și dezvoltării sunt esențiale pentru crearea unor soluții inovatoare care pot îmbunătăți calitatea și eficiența serviciilor publice, pot contribui la soluționarea provocărilor societale și pot permite dezvoltarea în UE a unei capacități industriale suficiente în domeniul soluțiilor și tehnologiilor inovatoare, contribuind astfel la protejarea securității economice și a autonomiei strategice a UE. Acestea sunt, de asemenea, un instrument-cheie pentru accelerarea dezvoltării pieței tehnologiilor critice, consolidarea bazei industriale și tehnologice europene, îmbunătățirea securității aprovizionării și asigurarea dezvoltării și implementării în Uniune a capabilităților relevante din punct de vedere strategic. Alte economii de vârf din lume investesc de 5-8 ori mai mult decât UE în achizițiile publice în domeniul cercetării și dezvoltării</w:t>
      </w:r>
      <w:r>
        <w:rPr>
          <w:rStyle w:val="FootnoteReference"/>
          <w:noProof/>
        </w:rPr>
        <w:footnoteReference w:id="4"/>
      </w:r>
      <w:r>
        <w:rPr>
          <w:noProof/>
        </w:rPr>
        <w:t>. Creșterea investițiilor publice în achizițiile în domeniul cercetării și dezvoltării în UE de la 0,6 % la 3 % din totalul achizițiilor publice, respectiv de la 17,28 miliarde EUR la 86,4 miliarde EUR, ar permite UE să își majoreze investițiile publice în cercetare și dezvoltare cu echivalentul a aproximativ 0,5 % din PIB. Având în vedere că această creștere ar putea genera un volum suplimentar egal de investiții private în cercetare și dezvoltare, investițiile totale în cercetare și dezvoltare în UE ar putea crește astfel de la 2,2 % la 3 % din PIB</w:t>
      </w:r>
      <w:r>
        <w:rPr>
          <w:rStyle w:val="FootnoteReference"/>
          <w:noProof/>
        </w:rPr>
        <w:footnoteReference w:id="5"/>
      </w:r>
      <w:r>
        <w:rPr>
          <w:noProof/>
        </w:rPr>
        <w:t xml:space="preserve">. </w:t>
      </w:r>
    </w:p>
    <w:p>
      <w:pPr>
        <w:rPr>
          <w:noProof/>
        </w:rPr>
      </w:pPr>
      <w:r>
        <w:rPr>
          <w:b/>
          <w:noProof/>
        </w:rPr>
        <w:t>În al doilea rând, gradul insuficient de claritate și de comparabilitate în ceea ce privește evaluarea și monetizarea proprietății intelectuale (PI)</w:t>
      </w:r>
      <w:r>
        <w:rPr>
          <w:noProof/>
        </w:rPr>
        <w:t xml:space="preserve"> continuă să împiedice comercializarea rezultatelor cercetării și inovării. În prezent, inovarea se bazează în mare măsură pe active necorporale, proprietatea intelectuală reprezentând peste 90 % din valoarea anumitor întreprinderi de vârf. Cu toate acestea, în UE, PI este încă rareori utilizată ca garanție pentru obținerea de finanțare. Întrucât instituțiile financiare din UE încă se concentrează în mare parte asupra activelor corporale și a practicilor contabile tradiționale, întreprinderile cu un volum semnificativ de active de PI întâmpină dificultăți în obținerea finanțării. Prin urmare, până în al zecelea an de activitate, start-upurile din UE atrag cu aproximativ 50 % mai puțin capital decât întreprinderile comparabile din SUA. Această neconcordanță a creat un deficit major de finanțare a creșterii pentru întreprinderile inovatoare cu un volum redus de active, estimat ca fiind de până la 18 miliarde EUR pe an</w:t>
      </w:r>
      <w:r>
        <w:rPr>
          <w:rStyle w:val="FootnoteReference"/>
          <w:noProof/>
        </w:rPr>
        <w:footnoteReference w:id="6"/>
      </w:r>
      <w:r>
        <w:rPr>
          <w:noProof/>
        </w:rPr>
        <w:t>. Unul dintre principalele motive care explică nivelul scăzut al finanțării garantate cu PI în UE este absența unei metodologii armonizate pentru evaluarea activelor de proprietate intelectuală. Acest lucru a creat condiții divergente în statele membre în ceea ce privește utilizarea unor astfel de active pentru finanțarea întreprinderilor, inclusiv ca garanții pentru finanțarea prin îndatorare și pentru luarea acestora în considerare în cadrul investițiilor în capitaluri proprii și al altor decizii de finanțare. Printre celelalte motive principale se numără absența unei piețe secundare mature la nivelul UE pentru activele necorporale și lipsa competențelor în materie de finanțare garantată cu PI în rândul instituțiilor financiare și al start-upurilor inovatoare. Aceste lacune limitează accesul întreprinderilor la capital în cadrul pieței unice, împiedicând dezvoltarea lor transfrontalieră și investițiile. Prin urmare, întreprinderile din UE au rezultate mai slabe în ceea ce privește extinderea și comercializarea inovării, în special în domeniul tehnologiei profunde și în sectoarele revoluționare, decât întreprinderile din alte jurisdicții, precum SUA, China și Coreea de Sud.</w:t>
      </w:r>
    </w:p>
    <w:p>
      <w:pPr>
        <w:rPr>
          <w:noProof/>
        </w:rPr>
      </w:pPr>
      <w:r>
        <w:rPr>
          <w:noProof/>
        </w:rPr>
        <w:t xml:space="preserve">Abordarea acestor două bariere prin intermediul prezentei propuneri ar putea avea, prin urmare, un impact considerabil asupra îmbunătățirii funcționării pieței unice în ceea ce privește investițiile în cercetare și dezvoltare și asupra comercializării activelor de proprietate intelectuală, sprijinind astfel independența și competitivitatea Europei. Aceasta ar contribui, de asemenea, la asigurarea faptului că Europa păstrează finanțarea și extinde tehnologiile critice și activele de proprietate intelectuală aferente în concordanță cu obiectivele sale în materie de securitate, reziliență și autonomie strategică. În acest context, prezenta propunere dă curs Orientărilor politice ale Comisiei trasate de președinta von der Leyen pentru perioada 2024-2027, care stabilesc priorități pentru a plasa cercetarea și inovarea în centrul economiei noastre. </w:t>
      </w:r>
      <w:r>
        <w:rPr>
          <w:b/>
          <w:noProof/>
        </w:rPr>
        <w:t>Actul european privind inovarea</w:t>
      </w:r>
      <w:r>
        <w:rPr>
          <w:noProof/>
        </w:rPr>
        <w:t xml:space="preserve"> a fost anunțat în Strategia UE privind start-upurile și întreprinderile în fază de extindere și în Busola pentru competitivitatea UE ca fiind una dintre inițiativele-cheie de consolidare a ecosistemului de inovare al UE și de sporire a capacității sale de a concura la nivel mondial.</w:t>
      </w:r>
    </w:p>
    <w:p>
      <w:pPr>
        <w:rPr>
          <w:noProof/>
        </w:rPr>
      </w:pPr>
      <w:r>
        <w:rPr>
          <w:noProof/>
        </w:rPr>
        <w:t>Obiectivul general al acestei inițiative este de a îmbunătăți funcționarea pieței unice în domeniul inovării prin reducerea barierelor structurale pentru a aduce soluții inovatoare pe piață, accelerând astfel comercializarea acestora în UE. Acest obiectiv contribuie în mod direct la prioritățile mai ample ale Uniunii de consolidare a competitivității, de promovare a creșterii economice durabile și de consolidare a suveranității tehnologice, consolidând în același timp securitatea economică, reziliența și capacitatea Uniunii de a acționa în mod autonom în domenii importante din punct de vedere strategic.</w:t>
      </w:r>
    </w:p>
    <w:p>
      <w:pPr>
        <w:rPr>
          <w:noProof/>
        </w:rPr>
      </w:pPr>
      <w:r>
        <w:rPr>
          <w:noProof/>
        </w:rPr>
        <w:t>Pentru atingerea acestui obiectiv, propunerea urmărește o serie de obiective specifice. Printre acestea se numără consolidarea rolului achizițiilor publice ca motor al inovării și îmbunătățirea evaluării, a comercializării și a utilizării proprietății intelectuale.</w:t>
      </w:r>
    </w:p>
    <w:p>
      <w:pPr>
        <w:rPr>
          <w:noProof/>
          <w:szCs w:val="24"/>
        </w:rPr>
      </w:pPr>
      <w:r>
        <w:rPr>
          <w:noProof/>
        </w:rPr>
        <w:t>Actul european privind inovarea urmărește atingerea acestor obiective prin:</w:t>
      </w:r>
    </w:p>
    <w:p>
      <w:pPr>
        <w:pStyle w:val="Bullet0"/>
        <w:numPr>
          <w:ilvl w:val="0"/>
          <w:numId w:val="40"/>
        </w:numPr>
        <w:rPr>
          <w:noProof/>
        </w:rPr>
      </w:pPr>
      <w:r>
        <w:rPr>
          <w:noProof/>
        </w:rPr>
        <w:t>crearea unui cadru armonizat la nivelul Uniunii pentru achizițiile publice în domeniul cercetării și dezvoltării, inclusiv achizițiile înainte de comercializare; și</w:t>
      </w:r>
    </w:p>
    <w:p>
      <w:pPr>
        <w:pStyle w:val="Bullet0"/>
        <w:rPr>
          <w:noProof/>
        </w:rPr>
      </w:pPr>
      <w:r>
        <w:rPr>
          <w:noProof/>
        </w:rPr>
        <w:t xml:space="preserve">impunerea creării unui centru de competențe privind finanțarea garantată cu PI la nivelul Uniunii, în cadrul Oficiului Uniunii Europene pentru Proprietate Intelectuală (EUIPO), a unui cadru la nivelul Uniunii pentru evaluarea PI și a unei piețe a PI la nivelul Uniunii pentru comercializarea PI. </w:t>
      </w:r>
    </w:p>
    <w:p>
      <w:pPr>
        <w:rPr>
          <w:noProof/>
        </w:rPr>
      </w:pPr>
      <w:r>
        <w:rPr>
          <w:noProof/>
        </w:rPr>
        <w:t>Prin abordarea acestor provocări într-un mod coerent și specific, regulamentul propus urmărește să asigure faptul că ideile inovatoare dezvoltate în Europa pot avansa într-un mod mai eficient de la cercetare la piață, se pot extinde dincolo de frontiere și pot contribui la competitivitatea și prosperitatea pe termen lung a Uniunii, precum și la reziliența, securitatea economică și autonomia strategică a acesteia.</w:t>
      </w:r>
    </w:p>
    <w:p>
      <w:pPr>
        <w:pStyle w:val="ManualHeading2"/>
        <w:rPr>
          <w:noProof/>
        </w:rPr>
      </w:pPr>
      <w:r>
        <w:rPr>
          <w:noProof/>
        </w:rPr>
        <w:t>1.2.</w:t>
      </w:r>
      <w:r>
        <w:rPr>
          <w:noProof/>
        </w:rPr>
        <w:tab/>
      </w:r>
      <w:bookmarkStart w:id="3" w:name="_Toc239673818"/>
      <w:r>
        <w:rPr>
          <w:noProof/>
        </w:rPr>
        <w:t>Coerența cu dispozițiile de politică deja existente în domeniul de politică vizat</w:t>
      </w:r>
      <w:bookmarkEnd w:id="3"/>
    </w:p>
    <w:p>
      <w:pPr>
        <w:rPr>
          <w:noProof/>
        </w:rPr>
      </w:pPr>
      <w:r>
        <w:rPr>
          <w:noProof/>
        </w:rPr>
        <w:t>În prezent, nu există un cadru legislativ cuprinzător al Uniunii care să abordeze în mod specific barierele transversale care afectează dezvoltarea, testarea și extinderea soluțiilor inovatoare în cadrul pieței unice. Politicile existente ale Uniunii în domeniul cercetării și inovării se axează în principal pe sprijinirea creării de cunoștințe, pe promovarea colaborării și pe asigurarea de finanțare pentru activitățile de cercetare și inovare, abordând în același timp doar parțial condițiile-cadru care guvernează tranziția de la cercetare la piață.</w:t>
      </w:r>
    </w:p>
    <w:p>
      <w:pPr>
        <w:rPr>
          <w:noProof/>
        </w:rPr>
      </w:pPr>
      <w:r>
        <w:rPr>
          <w:noProof/>
        </w:rPr>
        <w:t xml:space="preserve">Propunerea de regulament completează aceste inițiative existente prin abordarea blocajelor rămase de-a lungul ciclului de viață al inovării, în special a celor legate de utilizarea achizițiilor în domeniul cercetării și dezvoltării, precum și de comercializarea și utilizarea PI pentru finanțarea întreprinderilor inovatoare. </w:t>
      </w:r>
    </w:p>
    <w:p>
      <w:pPr>
        <w:rPr>
          <w:noProof/>
        </w:rPr>
      </w:pPr>
      <w:r>
        <w:rPr>
          <w:noProof/>
        </w:rPr>
        <w:t>În acest context, cele mai relevante dispoziții de politică ale Uniunii în domeniul cercetării și inovării includ:</w:t>
      </w:r>
    </w:p>
    <w:p>
      <w:pPr>
        <w:rPr>
          <w:noProof/>
        </w:rPr>
      </w:pPr>
      <w:r>
        <w:rPr>
          <w:noProof/>
        </w:rPr>
        <w:t>Spațiul european de cercetare (SEC) stimulează și sprijină structural colaborarea transfrontalieră în domeniul cercetării și dezvoltării și mobilitatea cercetătorilor, vizând în principal etapele inițiale ale ciclului de viață al cercetării și inovării. Acesta este pus în aplicare parțial prin intermediul unor programe ale Uniunii, cum ar fi Orizont Europa, care oferă finanțare pentru cercetarea în colaborare, programele de mobilitate și infrastructurile de cercetare. În paralel, Forumul SEC servește drept instrument de coordonare fără caracter obligatoriu prin care statele membre își aliniază politicile, prioritățile și reformele naționale în domeniul cercetării.</w:t>
      </w:r>
    </w:p>
    <w:p>
      <w:pPr>
        <w:rPr>
          <w:noProof/>
        </w:rPr>
      </w:pPr>
      <w:r>
        <w:rPr>
          <w:noProof/>
        </w:rPr>
        <w:t xml:space="preserve">Programele de finanțare ale Uniunii oferă sprijin financiar substanțial activităților de cercetare și inovare în diferitele etape ale ciclului de viață al inovării. În special, programe precum Orizont Europa, inclusiv Consiliul European pentru Inovare, precum și InvestEU, programul Europa digitală, Fondul european de apărare și fondurile politicii de coeziune și Fondul pentru inovare sprijină dezvoltarea, validarea și, într-o anumită măsură, extinderea soluțiilor inovatoare prin granturi, finanțare mixtă, mecanisme de partajare a riscurilor și sprijin pentru achizițiile în domeniul cercetării și dezvoltării. Fără a aduce atingere următorului cadru financiar multianual (CFM) și punerii în aplicare a viitoarelor programe de finanțare ale UE, următorul CFM poate consolida acest sprijin financiar prin consolidarea capacității Uniunii de a mobiliza investiții publice și private în inovare și tehnologii strategice. Propunerea de regulament este în concordanță cu aceste programe ale Uniunii, întrucât nu propune nicio măsură de finanțare, ci va consolida condițiile-cadru juridice pentru inovare în toate statele membre, putând astfel să completeze aceste programe de finanțare ale Uniunii și să contribuie la sporirea impactului lor în mai multe moduri: </w:t>
      </w:r>
    </w:p>
    <w:p>
      <w:pPr>
        <w:pStyle w:val="Bullet0"/>
        <w:rPr>
          <w:noProof/>
        </w:rPr>
      </w:pPr>
      <w:r>
        <w:rPr>
          <w:noProof/>
        </w:rPr>
        <w:t>Mai multe dintre aceste programe de finanțare ale Uniunii oferă sprijin achizitorilor publici pentru a efectua achiziții în domeniul cercetării și dezvoltării. Aceste experiențe au evidențiat, de asemenea, o lipsă persistentă de încredere a achizitorilor publici în demararea achizițiilor înainte de comercializare din cauza absenței unui cadru juridic clar la nivelul UE pentru achizițiile înainte de comercializare și a evidențiat, de asemenea, efortul suplimentar și timpul suplimentar de care au nevoie achizitorii publici pentru a organiza achiziții transfrontaliere comune înainte de comercializare din cauza fragmentării normelor naționale în materie de achiziții între statele membre. Propunerea de regulament contribuie la soluționarea acestei probleme prin stabilirea unor norme comune pentru desfășurarea achizițiilor în domeniul cercetării și dezvoltării, inclusiv a achizițiilor înainte de comercializare, precum și pentru punerea în aplicare a unui cadru armonizat pentru achizițiile comune transfrontaliere în domeniul cercetării și dezvoltării, inclusiv pentru achizițiile înainte de comercializare.</w:t>
      </w:r>
    </w:p>
    <w:p>
      <w:pPr>
        <w:pStyle w:val="Bullet0"/>
        <w:rPr>
          <w:noProof/>
        </w:rPr>
      </w:pPr>
      <w:r>
        <w:rPr>
          <w:noProof/>
        </w:rPr>
        <w:t>Unele dintre aceste programe de finanțare ale Uniunii sprijină inovatorii în demersurile lor de comercializare a PI sau de utilizare a drepturilor de proprietate intelectuală drept garanție pentru obținerea de investiții financiare. Aceste experiențe au evidențiat dificultățile cu care se confruntă inovatorii în identificarea părților potrivite care sunt interesate de achiziționarea sau acordarea de licențe pentru proprietatea lor intelectuală și în valorificarea proprietății lor intelectuale în vederea obținerii de investiții financiare din cauza unui deficit de cunoștințe și a lipsei unui cadru de evaluare acceptat la nivelul Uniunii, precum și a lipsei unei piețe a drepturilor de proprietate intelectuală la nivelul Uniunii. Propunerea de regulament contribuie la abordarea acestei probleme prin extinderea mandatului Oficiului Uniunii Europene pentru Proprietate Intelectuală în vederea înființării unui centru de competențe pentru finanțarea garantată cu PI, un cadru comun pentru evaluarea proprietății intelectuale și o piață la nivelul Uniunii pentru comercializarea drepturilor de PI.</w:t>
      </w:r>
    </w:p>
    <w:p>
      <w:pPr>
        <w:rPr>
          <w:noProof/>
        </w:rPr>
      </w:pPr>
      <w:r>
        <w:rPr>
          <w:noProof/>
        </w:rPr>
        <w:t>Prin urmare, propunerea de regulament este în concordanță cu dispozițiile de politică existente ale Uniunii în domeniul cercetării și inovării, completând programele de finanțare existente cu un cadru coerent pentru achizițiile în domeniul cercetării și dezvoltării și cu noi atribuții pentru Oficiul Uniunii Europene pentru Proprietate Intelectuală, care îi vor ajuta pe inovatori să obțină finanțare garantată cu PI.</w:t>
      </w:r>
    </w:p>
    <w:p>
      <w:pPr>
        <w:rPr>
          <w:noProof/>
        </w:rPr>
      </w:pPr>
    </w:p>
    <w:p>
      <w:pPr>
        <w:pStyle w:val="ManualHeading2"/>
        <w:rPr>
          <w:noProof/>
        </w:rPr>
      </w:pPr>
      <w:r>
        <w:rPr>
          <w:noProof/>
        </w:rPr>
        <w:t>1.3.</w:t>
      </w:r>
      <w:r>
        <w:rPr>
          <w:noProof/>
        </w:rPr>
        <w:tab/>
      </w:r>
      <w:bookmarkStart w:id="4" w:name="_Toc239673819"/>
      <w:r>
        <w:rPr>
          <w:noProof/>
        </w:rPr>
        <w:t>Coerența cu alte politici ale Uniunii</w:t>
      </w:r>
      <w:bookmarkEnd w:id="4"/>
    </w:p>
    <w:p>
      <w:pPr>
        <w:rPr>
          <w:noProof/>
        </w:rPr>
      </w:pPr>
      <w:r>
        <w:rPr>
          <w:noProof/>
        </w:rPr>
        <w:t>Propunerea de regulament este o inițiativă transsectorială menită să asigure condiții de concurență echitabile la nivelul Uniunii pentru inovatori în toate sectoarele, în loc să se concentreze asupra unor sectoare de aplicare, domenii tehnologice sau industrii specifice. Măsurile prevăzute de acesta sunt orizontale prin concepție și abordează barierele structurale din statele membre care afectează activitățile cu un grad ridicat de inovare.</w:t>
      </w:r>
    </w:p>
    <w:p>
      <w:pPr>
        <w:rPr>
          <w:noProof/>
        </w:rPr>
      </w:pPr>
      <w:r>
        <w:rPr>
          <w:noProof/>
        </w:rPr>
        <w:t xml:space="preserve">Regulamentul propus completează viitorul cadru juridic corporativ privind cel de al 28-lea regim – EU Inc., care oferă un cadru corporativ armonizat opțional pentru întreprinderile care își desfășoară activitatea în întreaga Uniune. Propunerea completează, de asemenea, reformele din cadrul uniunii economiilor și a investițiilor, care vizează aprofundarea piețelor de capital ale Uniunii și canalizarea unei ponderi mai mari a economiilor private către capitaluri proprii, capital de risc și finanțare pentru extindere, îmbunătățind astfel accesul la finanțare al întreprinderilor inovatoare. În pofida progreselor preconizate în ceea ce privește armonizarea reglementărilor în cadrul inițiativei EU Inc. a Comisiei Europene, se preconizează că va persista o fragmentare semnificativă a modului în care întreprinderile pot parcurge ciclul de viață al inovării. Această fragmentare riscă să îngreuneze introducerea pe piață a soluțiilor inovatoare de către întreprinderi, ceea ce ar putea limita potențialul de creștere al întreprinderilor care sunt înființate în temeiul cadrului armonizat EU Inc. Cu alte cuvinte, în timp ce propunerea EU Inc. urmărește să faciliteze înființarea unei întreprinderi și desfășurarea activității acesteia în întreaga Uniune și să ajute întreprinderile să atragă investiții, propunerea de regulament urmărește să abordeze blocajele suplimentare din ciclul de viață al inovării, asigurând astfel condiții în care întreprinderile să își poată dezvolta și comercializa mai ușor inovațiile în cadrul pieței unice. </w:t>
      </w:r>
    </w:p>
    <w:p>
      <w:pPr>
        <w:rPr>
          <w:noProof/>
        </w:rPr>
      </w:pPr>
      <w:r>
        <w:rPr>
          <w:noProof/>
        </w:rPr>
        <w:t>În mod similar, în pofida progreselor preconizate în cadrul uniunii economiilor și a investițiilor în ceea ce privește aprofundarea piețelor de capital ale Uniunii și mobilizarea investițiilor private, persistă constrângeri semnificative în alte etape ale ciclului de viață al inovării. În special, barierele legate de dezvoltarea, testarea, evaluarea și adoptarea timpurie a soluțiilor inovatoare continuă să limiteze numărul proiectelor pregătite pentru investiții. Prin urmare, deși uniunea economiilor și a investițiilor urmărește să îmbunătățească accesul la finanțare și să sprijine extinderea întreprinderilor inovatoare, propunerea de regulament elimină blocajele care împiedică ideile inovatoare să atragă finanțare garantată cu PI și îi ajută pe inovatori să beneficieze pe deplin de o mai bună integrare a piețelor de capital.</w:t>
      </w:r>
    </w:p>
    <w:p>
      <w:pPr>
        <w:rPr>
          <w:rFonts w:eastAsia="Times New Roman"/>
          <w:noProof/>
          <w:szCs w:val="24"/>
        </w:rPr>
      </w:pPr>
      <w:r>
        <w:rPr>
          <w:noProof/>
        </w:rPr>
        <w:t xml:space="preserve">De asemenea, propunerea de regulament se bazează pe viitoarele portofele europene pentru întreprinderi, care simplifică procedurile de achiziții transfrontaliere și interacțiunile digitale dintre operatorii economici și organismele din sectorul public. Portofelele europene pentru întreprinderi vor stabili o identitate digitală pentru operatorii economici și vor permite schimbul securizat de date sub formă de atestări electronice ale atributelor și prin intermediul unui canal securizat de comunicare. Acest lucru va simplifica acordarea de licențe, înregistrările, declarațiile fiscale și autorizațiile de achiziții publice, iar operatorii economici nu vor mai fi nevoiți să dubleze informațiile între portaluri, reducând astfel sarcina administrativă și costurile de asigurare a conformității. În consecință, regulamentul propus prevede că procedurile de achiziții în domeniul cercetării și dezvoltării se desfășoară exclusiv în format digital și, dacă este posibil, prin intermediul portofelelor europene pentru întreprinderi sau al unor mijloace electronice alternative care sunt interoperabile cu portofelele europene pentru întreprinderi. </w:t>
      </w:r>
    </w:p>
    <w:p>
      <w:pPr>
        <w:rPr>
          <w:noProof/>
        </w:rPr>
      </w:pPr>
      <w:r>
        <w:rPr>
          <w:noProof/>
        </w:rPr>
        <w:t>Propunerea de regulament completează, de asemenea, inițiativele sectoriale, cum ar fi Regulamentul privind medicamentele critice, actul legislativ privind dezvoltarea tehnologiei de tip cloud și a IA, Regulamentul privind biotehnologiile I și viitorul act legislativ privind materialele avansate, actul legislativ privind biotehnologiile II și legea privind oceanul planetar, care vizează sectoare sau tehnologii strategice și vizează consolidarea poziției Uniunii ca o forță în domeniul înaltei tehnologii. Deși aceste inițiative oferă, acolo unde este necesar, abordări adaptate și specifice fiecărui sector, Actul european privind inovarea abordează lacunele transversale care afectează inovarea în toate sectoarele și în diferite domenii tehnologice. Acest lucru se realizează fără a aduce atingere cadrelor sectoriale specifice sau fără a interfera cu acestea, asigurând astfel coerența întregului cadru de politică al Uniunii în domeniul inovării.</w:t>
      </w:r>
    </w:p>
    <w:p>
      <w:pPr>
        <w:rPr>
          <w:noProof/>
        </w:rPr>
      </w:pPr>
      <w:r>
        <w:rPr>
          <w:noProof/>
        </w:rPr>
        <w:t>Propunerea de regulament completează, de asemenea, directivele UE privind achizițiile publice și propunerea de revizuire a acestora prin intermediul actului legislativ privind achizițiile publice. Directivele UE privind achizițiile publice exclud achizițiile înainte de comercializare, deși anumite achiziții de servicii de cercetare și dezvoltare intră în continuare în domeniul lor de aplicare, iar achizițiile în domeniul cercetării și dezvoltării reprezintă un element obligatoriu al procedurii de parteneriat pentru inovare. În schimb, propunerea de act legislativ privind achizițiile publice exclude toate formele de achiziții de servicii de cercetare și dezvoltare și elimină, de asemenea, achizițiile publice din domeniul cercetării și dezvoltării ca o componentă obligatorie din actuala procedură de parteneriat pentru inovare, înlocuind-o cu o nouă procedură privind provocările în materie de inovare, care are ca elemente obligatorii o etapă de testare și o etapă pentru achiziționarea implementării comerciale, care poate include volume de soluții inovatoare.</w:t>
      </w:r>
    </w:p>
    <w:p>
      <w:pPr>
        <w:pStyle w:val="ManualHeading1"/>
        <w:rPr>
          <w:noProof/>
        </w:rPr>
      </w:pPr>
      <w:r>
        <w:rPr>
          <w:noProof/>
        </w:rPr>
        <w:t>2.</w:t>
      </w:r>
      <w:r>
        <w:rPr>
          <w:noProof/>
        </w:rPr>
        <w:tab/>
      </w:r>
      <w:bookmarkStart w:id="5" w:name="_Toc239673820"/>
      <w:r>
        <w:rPr>
          <w:noProof/>
        </w:rPr>
        <w:t>TEMEI JURIDIC, SUBSIDIARITATE ȘI PROPORȚIONALITATE</w:t>
      </w:r>
      <w:bookmarkEnd w:id="5"/>
    </w:p>
    <w:p>
      <w:pPr>
        <w:pStyle w:val="ManualHeading2"/>
        <w:rPr>
          <w:noProof/>
        </w:rPr>
      </w:pPr>
      <w:r>
        <w:rPr>
          <w:noProof/>
        </w:rPr>
        <w:t>2.1.</w:t>
      </w:r>
      <w:r>
        <w:rPr>
          <w:noProof/>
        </w:rPr>
        <w:tab/>
      </w:r>
      <w:bookmarkStart w:id="6" w:name="_Toc239673821"/>
      <w:r>
        <w:rPr>
          <w:noProof/>
        </w:rPr>
        <w:t>Temeiul juridic</w:t>
      </w:r>
      <w:bookmarkEnd w:id="6"/>
    </w:p>
    <w:p>
      <w:pPr>
        <w:rPr>
          <w:noProof/>
        </w:rPr>
      </w:pPr>
      <w:r>
        <w:rPr>
          <w:noProof/>
        </w:rPr>
        <w:t xml:space="preserve">Temeiul juridic al propunerii de regulament este articolul 114 din Tratatul privind funcționarea Uniunii Europene, care permite Uniunii să adopte măsuri de armonizare pentru a asigura buna funcționare a pieței interne. Acest lucru este necesar pentru a elimina barierele structurale și de reglementare transfrontaliere </w:t>
      </w:r>
      <w:bookmarkStart w:id="7" w:name="_Hlk230215993"/>
      <w:r>
        <w:rPr>
          <w:noProof/>
        </w:rPr>
        <w:t xml:space="preserve">care împiedică buna funcționare a pieței unice. Normele naționale divergente privind achizițiile în domeniul cercetării și dezvoltării, inclusiv achizițiile publice înainte de comercializare constituie bariere care împiedică întreprinderile să participe la proceduri și să își ofere serviciile achizitorilor publici din diferite state membre. În mod similar, abordările diferite în ceea ce privește evaluarea și comercializarea PI constituie bariere care împiedică inovatorii să atragă finanțare garantată cu PI și să își extindă întreprinderile în întreaga Uniune. Aceste abordări fragmentate ale achizițiilor în domeniul cercetării și dezvoltării și ale evaluării și comercializării proprietății intelectuale împiedică circulația transfrontalieră a bunurilor, serviciilor și capitalurilor în cadrul pieței unice. </w:t>
      </w:r>
      <w:bookmarkEnd w:id="7"/>
    </w:p>
    <w:p>
      <w:pPr>
        <w:pStyle w:val="ManualHeading2"/>
        <w:rPr>
          <w:noProof/>
        </w:rPr>
      </w:pPr>
      <w:r>
        <w:rPr>
          <w:noProof/>
        </w:rPr>
        <w:t>2.2.</w:t>
      </w:r>
      <w:r>
        <w:rPr>
          <w:noProof/>
        </w:rPr>
        <w:tab/>
      </w:r>
      <w:bookmarkStart w:id="8" w:name="_Toc239673822"/>
      <w:r>
        <w:rPr>
          <w:noProof/>
        </w:rPr>
        <w:t>Subsidiaritatea (în cazul competențelor neexclusive)</w:t>
      </w:r>
      <w:bookmarkEnd w:id="8"/>
    </w:p>
    <w:p>
      <w:pPr>
        <w:pBdr>
          <w:top w:val="nil"/>
          <w:left w:val="nil"/>
          <w:bottom w:val="nil"/>
          <w:right w:val="nil"/>
          <w:between w:val="nil"/>
        </w:pBdr>
        <w:spacing w:before="0" w:after="240"/>
        <w:rPr>
          <w:noProof/>
        </w:rPr>
      </w:pPr>
      <w:r>
        <w:rPr>
          <w:noProof/>
        </w:rPr>
        <w:t xml:space="preserve">Propunerea de regulament este în conformitate cu principiul subsidiarității, astfel cum este prevăzut la articolul 5 alineatul (3) din Tratatul privind Uniunea Europeană. </w:t>
      </w:r>
    </w:p>
    <w:p>
      <w:pPr>
        <w:pBdr>
          <w:top w:val="nil"/>
          <w:left w:val="nil"/>
          <w:bottom w:val="nil"/>
          <w:right w:val="nil"/>
          <w:between w:val="nil"/>
        </w:pBdr>
        <w:spacing w:before="0" w:after="240"/>
        <w:rPr>
          <w:noProof/>
        </w:rPr>
      </w:pPr>
      <w:r>
        <w:rPr>
          <w:noProof/>
        </w:rPr>
        <w:t>Consolidarea capacității Uniunii de a dezvolta, comercializa și extinde soluții inovatoare este extrem de relevantă pentru consolidarea competitivității și a autonomiei strategice a Uniunii. Ecosistemele de inovare și piețele pe care își desfășoară activitatea întreprinderile inovatoare au un caracter tot mai transfrontalier, în timp ce condițiile de reglementare și condițiile-cadru din Uniune sunt fragmentate de-a lungul frontierelor naționale. În absența unor măsuri la nivelul Uniunii, este probabil ca provocările în materie de competitivitate cu care se confruntă în prezent industria să determine statele membre să pună în aplicare și mai multe măsuri unilaterale. Deși astfel de eforturi pot fi justificate, lipsa de coordonare a măsurilor naționale și neabordarea provocărilor transfrontaliere care nu pot fi soluționate prin măsuri naționale riscă să aibă un impact negativ asupra funcționării pieței unice și să sporească fragmentarea acesteia, făcând Uniunea mai vulnerabilă și excesiv de dependentă de soluții și tehnologii inovatoare provenite din țări terțe și împiedicând-o să valorifice atuurile pieței unice pentru a genera beneficii pentru ecosistemele naționale și europene.</w:t>
      </w:r>
    </w:p>
    <w:p>
      <w:pPr>
        <w:pStyle w:val="NormalWeb"/>
        <w:jc w:val="both"/>
        <w:rPr>
          <w:noProof/>
        </w:rPr>
      </w:pPr>
      <w:r>
        <w:rPr>
          <w:noProof/>
        </w:rPr>
        <w:t xml:space="preserve">În special, amploarea necesară pentru a sprijini tranziția de la cercetare la piață și pentru a asigura difuzarea eficientă a inovării depășește ceea ce poate realiza fiecare stat membru în parte în mod izolat. Abordările naționale divergente în ceea ce privește evaluarea și comercializarea proprietății intelectuale pentru a atrage finanțare garantată cu PI, precum și în ceea ce privește achizițiile în domeniul cercetării și dezvoltării creează insecuritate juridică, cresc costurile și limitează activitățile transfrontaliere pentru întreprinderile inovatoare. Aceste divergențe au un impact direct și demonstrabil asupra funcționării pieței unice, împiedicând circulația transfrontalieră a bunurilor, serviciilor și capitalurilor în cadrul Uniunii. </w:t>
      </w:r>
    </w:p>
    <w:p>
      <w:pPr>
        <w:pStyle w:val="NormalWeb"/>
        <w:jc w:val="both"/>
        <w:rPr>
          <w:noProof/>
        </w:rPr>
      </w:pPr>
      <w:r>
        <w:rPr>
          <w:noProof/>
        </w:rPr>
        <w:t>În schimb, acțiunea la nivelul Uniunii poate stabili condiții-cadru comune și poate asigura coordonarea între statele membre, permițând astfel inovatorilor să dezvolte inovarea, să atragă finanțare garantată cu PI și să se extindă în cadrul pieței unice. Acțiunea la nivelul Uniunii permite crearea unor condiții de concurență echitabile, reduce fragmentarea și duplicarea și facilitează alocarea eficientă a resurselor în întreaga Uniune.</w:t>
      </w:r>
    </w:p>
    <w:p>
      <w:pPr>
        <w:pStyle w:val="NormalWeb"/>
        <w:jc w:val="both"/>
        <w:rPr>
          <w:noProof/>
        </w:rPr>
      </w:pPr>
      <w:r>
        <w:rPr>
          <w:noProof/>
        </w:rPr>
        <w:t>Niciun stat membru nu este capabil să soluționeze în mod eficace aceste probleme acționând pe cont propriu, având în vedere caracterul integrat al provocării și necesitatea asigurării bunei funcționări a pieței interne pentru dezvoltarea, testarea, comercializarea și extinderea soluțiilor inovatoare în întreaga Uniune. Prin urmare, este necesară o abordare armonizată la nivelul Uniunii pentru a asigura buna funcționare a pieței unice și pentru a răspunde provocărilor legate de consolidarea competitivității și a autonomiei strategice a Uniunii. Măsurile incluse în prezenta inițiativă nu ar fi la fel de eficace dacă ar fi puse în aplicare de statele membre acționând individual, întrucât provocările pe care le abordează privesc piața unică. Ele nu se limitează la statele membre individuale sau la un subset de state membre, ci se referă la baza industrială a Uniunii și la lanțurile valorice de la nivelul Uniunii. În plus, este puțin probabil ca măsurile puse în aplicare la nivelul statelor membre să răspundă în mod adecvat nevoilor lanțurilor de aprovizionare strâns interconectate din cadrul pieței unice și ar putea conduce la o fragmentare și mai mare a pieței, la relocarea inovării și a industriei în alte părți ale lumii și, în general, la slăbirea competitivității și a autonomiei strategice a Uniunii.</w:t>
      </w:r>
    </w:p>
    <w:p>
      <w:pPr>
        <w:pStyle w:val="NormalWeb"/>
        <w:jc w:val="both"/>
        <w:rPr>
          <w:noProof/>
        </w:rPr>
      </w:pPr>
      <w:r>
        <w:rPr>
          <w:noProof/>
        </w:rPr>
        <w:t>Inovarea reprezintă o provocare transfrontalieră care necesită acțiuni la nivelul UE pentru a completa și a consolida în mod eficace măsurile luate la nivel regional, național și local. Costul inacțiunii este paneuropean. În lipsa unor acțiuni suplimentare ale Uniunii, este probabil ca statu-quoul să persiste, sporind riscul ca Uniunea să piardă capacități și capabilități industriale strategice, ca piața unică să fie fragmentată și mai mult și ca Uniunea să devină extrem de dependentă de țări terțe pentru realizarea obiectivelor verzi, digitale, de apărare și de securitate economică. La rândul său, acest lucru ar putea avea implicații negative asupra securității economice, apărării și a coeziunii sociale și teritoriale a Uniunii, în principal prin impactul asupra ocupării forței de muncă, a dezvoltării regionale și a accesului echitabil la oportunități industriale.</w:t>
      </w:r>
    </w:p>
    <w:p>
      <w:pPr>
        <w:pStyle w:val="NormalWeb"/>
        <w:jc w:val="both"/>
        <w:rPr>
          <w:noProof/>
        </w:rPr>
      </w:pPr>
      <w:r>
        <w:rPr>
          <w:noProof/>
        </w:rPr>
        <w:t xml:space="preserve">Prin urmare, măsurile propuse se axează pe domenii în care acțiunea la nivelul Uniunii are o valoare adăugată clară datorită amplorii, rapidității și sferei eforturilor necesare. Acțiunile vizează îmbunătățirea argumentelor economice pentru ca inovatorii să introducă inovații pe piață prin facilitarea evaluării, a comercializării și a utilizării PI pentru a obține finanțare, precum și facilitarea găsirii primilor clienți prin intermediul achizițiilor în domeniul cercetării și dezvoltării, inclusiv al achizițiilor înainte de comercializare. Aceste măsuri sporesc eficiența prin facilitarea unei mai bune cooperări transfrontaliere, asigură un acces mai echitabil la oportunități pentru întreprinderile inovatoare, indiferent de locul în care sunt stabilite, și consolidează capacitatea Uniunii de a concura la nivel mondial. Măsurile propuse permit, de asemenea, îmbunătățirea competitivității și a autonomiei strategice a Uniunii, respectând în același timp angajamentele internaționale ale Uniunii față de partenerii săi comerciali. </w:t>
      </w:r>
    </w:p>
    <w:p>
      <w:pPr>
        <w:pStyle w:val="ManualHeading2"/>
        <w:rPr>
          <w:noProof/>
        </w:rPr>
      </w:pPr>
      <w:r>
        <w:rPr>
          <w:noProof/>
        </w:rPr>
        <w:t>2.3.</w:t>
      </w:r>
      <w:r>
        <w:rPr>
          <w:noProof/>
        </w:rPr>
        <w:tab/>
      </w:r>
      <w:bookmarkStart w:id="9" w:name="_Toc239673823"/>
      <w:r>
        <w:rPr>
          <w:noProof/>
        </w:rPr>
        <w:t>Proporționalitate</w:t>
      </w:r>
      <w:bookmarkEnd w:id="9"/>
    </w:p>
    <w:p>
      <w:pPr>
        <w:rPr>
          <w:noProof/>
        </w:rPr>
      </w:pPr>
      <w:r>
        <w:rPr>
          <w:noProof/>
        </w:rPr>
        <w:t>Propunerea de regulament este proporțional cu obiectivul său de îmbunătățire a funcționării pieței unice din perspectiva inovării. Fiecare dintre componentele sale vizează un obiectiv specific și se limitează la ceea ce este adecvat și necesar pentru atingerea obiectivului respectiv, fără a depăși ceea ce este necesar pentru eliminarea barierelor identificate și fără a impune sarcini disproporționate statelor membre și entităților afectate din statele membre, care sunt disproporționate în raport cu beneficiile preconizate.</w:t>
      </w:r>
    </w:p>
    <w:p>
      <w:pPr>
        <w:rPr>
          <w:noProof/>
        </w:rPr>
      </w:pPr>
      <w:r>
        <w:rPr>
          <w:noProof/>
        </w:rPr>
        <w:t>În primul rând, normele comune pentru achizițiile în domeniul cercetării și dezvoltării, inclusiv achizițiile înainte de comercializare vor crea economii semnificative de timp și de costuri pentru ca achizitorii publici să desfășoare astfel de proceduri, permițându-le acestora din urmă să modernizeze mai rapid serviciile publice și întreprinderilor să își accelereze dezvoltarea în cadrul pieței unice. Un cadru armonizat pentru achizițiile comune transfrontaliere în domeniul cercetării și dezvoltării permite achizitorilor publici să atingă masa critică necesară pentru a stimula industria să dezvolte soluții mai avantajoase din punct de vedere economic și pentru a permite întreprinderilor să își dezvolte mai rapid activitatea în cadrul pieței unice. Cerințele UE privind achizițiile în domeniul cercetării și dezvoltării sunt proporționale cu capacitățile europene în materie de cercetare și dezvoltare și sunt concepute astfel încât să nu impună sarcini financiare semnificative asupra bugetelor administrațiilor publice. Crearea unor piețe-lider este esențială pentru creșterea competitivității UE în toate sectoarele și tehnologiile, consolidând astfel baza industrială a Uniunii și asigurând autonomia strategică a Uniunii. Această combinație de măsuri privind achizițiile în domeniul cercetării și dezvoltării este necesară pentru a oferi securitate juridică, pentru a consolida competitivitatea Uniunii și pentru a asigura punerea în aplicare eficace a principiilor tratatului și a angajamentelor internaționale ale Uniunii în materie de achiziții publice. Măsurile sunt proporționale, deoarece se limitează la ceea ce este necesar pentru atingerea obiectivelor respective, sunt concepute astfel încât să nu impună sarcini suplimentare statelor membre și achizitorilor publici, se bazează pe practici existente și utilizate pe scară largă și permit flexibilitate în punerea lor în aplicare practică.</w:t>
      </w:r>
    </w:p>
    <w:p>
      <w:pPr>
        <w:rPr>
          <w:noProof/>
        </w:rPr>
      </w:pPr>
      <w:r>
        <w:rPr>
          <w:noProof/>
        </w:rPr>
        <w:t>În al doilea rând, încredințarea către Oficiul Uniunii Europene pentru Proprietate Intelectuală a sarcinii de a institui un centru de competențe pentru finanțarea garantată cu PI, precum și de a elabora un cadru pentru evaluarea PI la nivelul Uniunii și de a crea o piață digitală a PI permite inovatorilor, întreprinderilor, universităților și investitorilor financiari să reducă costurile de evaluare și să intensifice acordarea de licențe și transferul drepturilor de proprietate intelectuală în Uniune. Acest lucru este esențial pentru intensificarea comercializării rezultatelor cercetării și inovării în întreaga Uniune. Valorificarea mandatului, a expertizei și a resurselor existente ale Oficiului Uniunii Europene pentru Proprietate Intelectuală asigură punerea în aplicare eficientă a acestor măsuri. Faptul că acest cadru de evaluare se bazează pe cele mai bune practici pentru diferite tipuri de drepturi de PI și că piața digitală a PI este concepută astfel încât să completeze piețele existente și să ofere totodată o valoare adăugată suplimentară la nivelul UE asigură proporționalitatea măsurilor, întrucât acestea valorifică structurile existente, reducând astfel sarcina suplimentară asupra statelor membre, și limitează intervenția UE la ceea ce este necesar pentru a îmbunătăți transparența, comparabilitatea și accesul la tranzacțiile legate de proprietatea intelectuală.</w:t>
      </w:r>
    </w:p>
    <w:p>
      <w:pPr>
        <w:pStyle w:val="ManualHeading2"/>
        <w:rPr>
          <w:noProof/>
        </w:rPr>
      </w:pPr>
      <w:r>
        <w:rPr>
          <w:noProof/>
        </w:rPr>
        <w:t>2.4.</w:t>
      </w:r>
      <w:r>
        <w:rPr>
          <w:noProof/>
        </w:rPr>
        <w:tab/>
      </w:r>
      <w:bookmarkStart w:id="10" w:name="_Toc239673824"/>
      <w:r>
        <w:rPr>
          <w:noProof/>
        </w:rPr>
        <w:t>Alegerea instrumentului</w:t>
      </w:r>
      <w:bookmarkEnd w:id="10"/>
    </w:p>
    <w:p>
      <w:pPr>
        <w:rPr>
          <w:noProof/>
        </w:rPr>
      </w:pPr>
      <w:r>
        <w:rPr>
          <w:noProof/>
        </w:rPr>
        <w:t>Articolul 114 din Tratatul privind funcționarea Uniunii Europene oferă legiuitorului posibilitatea de a adopta regulamente și directive. Pentru prezenta propunere, un regulament este considerat instrumentul cel mai adecvat, deoarece este aplicabil imediat și permite stabilirea unor cerințe care se aplică direct tuturor actorilor publici și privați vizați de măsurile propuse. Acest aspect va contribui la asigurarea faptului că respectivele cerințe sunt puse în aplicare în timp util și în mod armonizat, ceea ce va îmbunătăți nivelul de securitate juridică. Regulamentul va asigura un cadru consecvent și coerent în întreaga Uniune și va preveni divergențele dintre normele naționale care împiedică dezvoltarea, testarea și extinderea inovării în cadrul pieței unice. Un regulament este necesar pentru a stabili condiții-cadru uniforme, pentru a reduce insecuritatea juridică și pentru a asigura condiții de concurență echitabile pentru inovatori și întreprinderile inovatoare care își desfășoară activitatea la nivel transfrontalier. O directivă nu ar fi suficientă pentru atingerea obiectivelor avute în vedere, deoarece ar necesita o perioadă de transpunere și ar putea conduce la divergențe în ceea ce privește transpunerea și punerea în aplicare în statele membre, perpetuând astfel fragmentarea condițiilor-cadru pentru inovare.</w:t>
      </w:r>
    </w:p>
    <w:p>
      <w:pPr>
        <w:rPr>
          <w:noProof/>
        </w:rPr>
      </w:pPr>
      <w:r>
        <w:rPr>
          <w:noProof/>
        </w:rPr>
        <w:t>Un regulament reprezintă, de asemenea, instrumentul juridic necesar și adecvat pentru modificarea Regulamentului (UE) 2017/1011 în vederea extinderii mandatului Oficiului Uniunii Europene pentru Proprietate Intelectuală și pentru a asigura aplicarea eficace a competenței exclusive a Uniunii în conformitate cu articolul 207 din TFUE în ceea ce privește măsurile referitoare la accesul operatorilor economici din țări terțe la procedurile de achiziții în domeniul cercetării și dezvoltării.</w:t>
      </w:r>
    </w:p>
    <w:p>
      <w:pPr>
        <w:pStyle w:val="ManualHeading1"/>
        <w:rPr>
          <w:noProof/>
        </w:rPr>
      </w:pPr>
      <w:r>
        <w:rPr>
          <w:noProof/>
        </w:rPr>
        <w:t>3.</w:t>
      </w:r>
      <w:r>
        <w:rPr>
          <w:noProof/>
        </w:rPr>
        <w:tab/>
      </w:r>
      <w:bookmarkStart w:id="11" w:name="_Toc239673825"/>
      <w:r>
        <w:rPr>
          <w:noProof/>
        </w:rPr>
        <w:t>REZULTATELE EVALUĂRILOR EX POST, ALE CONSULTĂRILOR CU PĂRȚILE INTERESATE ȘI ALE EVALUĂRILOR IMPACTULUI</w:t>
      </w:r>
      <w:bookmarkEnd w:id="11"/>
    </w:p>
    <w:p>
      <w:pPr>
        <w:pStyle w:val="ManualHeading2"/>
        <w:rPr>
          <w:noProof/>
        </w:rPr>
      </w:pPr>
      <w:r>
        <w:rPr>
          <w:noProof/>
        </w:rPr>
        <w:t>3.1.</w:t>
      </w:r>
      <w:r>
        <w:rPr>
          <w:noProof/>
        </w:rPr>
        <w:tab/>
      </w:r>
      <w:bookmarkStart w:id="12" w:name="_Toc239673826"/>
      <w:r>
        <w:rPr>
          <w:noProof/>
        </w:rPr>
        <w:t>Consultarea cu părțile interesate</w:t>
      </w:r>
      <w:bookmarkEnd w:id="12"/>
    </w:p>
    <w:p>
      <w:pPr>
        <w:rPr>
          <w:noProof/>
        </w:rPr>
      </w:pPr>
      <w:r>
        <w:rPr>
          <w:noProof/>
        </w:rPr>
        <w:t xml:space="preserve">Prezenta propunere se bazează pe consultări ample cu părțile interesate, desfășurate în conformitate cu principiile Comisiei privind o mai bună legiferare și cu standardele minime. Comisia a început deja să consulte părțile interesate cu privire la barierele din calea inovării abordate de Actul european privind inovarea în contextul Strategiei UE privind start-upurile și întreprinderile în fază de extindere. Cererea de contribuții referitoare la Strategia UE privind start-upurile și întreprinderile în fază de extindere a fost publicată la 17 februarie 2025 și s-a încheiat la 17 martie 2025. Aceasta a permis colectarea de contribuții de la o gamă largă de părți interesate, inclusiv întreprinderi, asociații de întreprinderi, organizații de cercetare, autorități publice și respondenți individuali. S-au primit 589 de răspunsuri de la părți interesate din 36 de țări. Printre principalele bariere identificate de părțile interesate s-au numărat dificultățile cu care se confruntă întreprinderile inovatoare în ceea ce privește accesul la achiziții și nivelul insuficient al investițiilor în achizițiile în domeniul inovării în UE, barierele în calea comercializării rezultatelor cercetării și inovării și în calea evaluării proprietății intelectuale, dificultățile întâmpinate de întreprinderile inovatoare în ceea ce privește accesul la infrastructurile de cercetare și tehnologie, lipsa posibilităților de experimentare în legislație în întreaga UE și coordonarea insuficientă dintre politicile și programele naționale și cele ale UE în domeniul inovării. Strategia UE privind start-upurile și întreprinderile în fază de extindere, care a fost adoptată la 28 mai 2025, a stabilit o strategie cuprinzătoare care combină măsuri fără caracter legislativ, precum și măsuri legislative în vederea eliminării barierelor identificate în calea inovării, acestea din urmă urmând să fie abordate prin Actul european privind inovarea. </w:t>
      </w:r>
    </w:p>
    <w:p>
      <w:pPr>
        <w:rPr>
          <w:noProof/>
        </w:rPr>
      </w:pPr>
      <w:r>
        <w:rPr>
          <w:noProof/>
        </w:rPr>
        <w:t>În vederea pregătirii prezentei propuneri, Comisia a organizat apoi o cerere de contribuții specifică și o consultare publică deschisă pentru a colecta feedback cu privire la aspecte specifice și pentru a identifica posibile soluții pentru barierele juridice identificate anterior în Strategia UE privind start-upurile și întreprinderile în fază de extindere. Prezenta cerere de contribuții și consultarea publică deschisă au fost publicate la 8 iulie 2025 și s-au încheiat la 3 octombrie 2025. Acestea au permis colectarea de contribuții de la o gamă largă de părți interesate, inclusiv întreprinderi, asociații de întreprinderi, organizații de cercetare, autorități publice și respondenți individuali. În total, s-au primit 336 de răspunsuri la cererea de contribuții, inclusiv 193 de documente de poziție. Consultarea publică deschisă a primit 202 răspunsuri, completate de 54 de documente justificative suplimentare.</w:t>
      </w:r>
    </w:p>
    <w:p>
      <w:pPr>
        <w:rPr>
          <w:noProof/>
        </w:rPr>
      </w:pPr>
      <w:r>
        <w:rPr>
          <w:noProof/>
        </w:rPr>
        <w:t>Răspunsurile la consultarea publică referitoare la Actul european privind inovarea au fost bine distribuite între grupurile de părți interesate. Întreprinderile au reprezentat 27 % din răspunsuri (55 de răspunsuri), urmate de asociațiile de întreprinderi (23 % cu 47 de răspunsuri) și de instituțiile academice și de cercetare (16 % cu 33 de răspunsuri). S-au primit și alte contribuții din partea cetățenilor UE (8 % cu 17 răspunsuri), a organizațiilor neguvernamentale (8 % cu 17 răspunsuri), a autorităților publice (4 % cu opt răspunsuri), a sindicatelor (2 % cu patru răspunsuri), a cetățenilor din afara UE (1 % cu trei răspunsuri) și a altor părți interesate (9 % cu 18 răspunsuri). Dintre întreprinderile participante, microîntreprinderile (1-9 angajați) au reprezentat cel mai mare grup (33 % cu 18 răspunsuri), urmate de întreprinderile mari (29 % cu 16 răspunsuri), întreprinderile mici (20 % cu 11 răspunsuri) și întreprinderile mijlocii (18 % cu 10 răspunsuri).</w:t>
      </w:r>
    </w:p>
    <w:p>
      <w:pPr>
        <w:rPr>
          <w:noProof/>
        </w:rPr>
      </w:pPr>
      <w:r>
        <w:rPr>
          <w:noProof/>
        </w:rPr>
        <w:t>Rezultatele consultării publice deschise și raportul de sinteză corespunzător privind Actul european privind inovarea au fost publicate la 4 decembrie 2025 și sunt disponibile online</w:t>
      </w:r>
      <w:r>
        <w:rPr>
          <w:rStyle w:val="FootnoteReference"/>
          <w:noProof/>
        </w:rPr>
        <w:footnoteReference w:id="7"/>
      </w:r>
      <w:r>
        <w:rPr>
          <w:noProof/>
        </w:rPr>
        <w:t>.</w:t>
      </w:r>
    </w:p>
    <w:p>
      <w:pPr>
        <w:rPr>
          <w:noProof/>
        </w:rPr>
      </w:pPr>
      <w:r>
        <w:rPr>
          <w:noProof/>
        </w:rPr>
        <w:t xml:space="preserve">În plus, în perioada octombrie-noiembrie 2025 a avut loc o consultare specifică referitoare la Actul european privind inovarea, pentru a sprijini evaluarea costurilor și a beneficiilor preconizate ale măsurilor propuse. Această consultare a combinat 18 interviuri semistructurate cu părți interesate selectate din diferitele sectoare de mai sus, 55 de răspunsuri la un sondaj online specific și trei grupuri tematice online organizate la 24, 26 și 27 noiembrie 2025. Grupurile tematice au vizat în primul rând validarea constatărilor analizei cost-beneficiu. </w:t>
      </w:r>
    </w:p>
    <w:p>
      <w:pPr>
        <w:rPr>
          <w:noProof/>
        </w:rPr>
      </w:pPr>
      <w:r>
        <w:rPr>
          <w:noProof/>
        </w:rPr>
        <w:t>În fine, a fost efectuată o consultare specifică cu privire la Actul european privind inovarea cu reprezentanții responsabili cu politicile și programele de cercetare și inovare din statele membre și din țările asociate la programul Orizont Europa care participă la Forumul CEI. Membrii Forumului CEI au adoptat un document de poziție comun și o listă de deziderate pentru Actul european privind inovarea în noiembrie 2025</w:t>
      </w:r>
      <w:r>
        <w:rPr>
          <w:rStyle w:val="FootnoteReference"/>
          <w:noProof/>
        </w:rPr>
        <w:footnoteReference w:id="8"/>
      </w:r>
      <w:r>
        <w:rPr>
          <w:noProof/>
        </w:rPr>
        <w:t>.</w:t>
      </w:r>
    </w:p>
    <w:p>
      <w:pPr>
        <w:rPr>
          <w:noProof/>
        </w:rPr>
      </w:pPr>
      <w:r>
        <w:rPr>
          <w:noProof/>
        </w:rPr>
        <w:t>În total, au fost colectate 1210 răspunsuri în cadrul acestor runde și tipuri diferite de consultări care au contribuit la pregătirea prezentei propuneri de Act european privind inovarea. În general, părțile interesate și-au exprimat sprijinul larg pentru acțiunea UE de abordare a barierelor identificate în calea inovării. Marea majoritate a respondenților au confirmat atât existența problemelor identificate, cât și relevanța măsurilor propuse pentru Actul european privind inovarea care vizează îmbunătățirea dezvoltării, testării și extinderii soluțiilor inovatoare în cadrul pieței unice.</w:t>
      </w:r>
    </w:p>
    <w:p>
      <w:pPr>
        <w:pStyle w:val="ManualHeading2"/>
        <w:rPr>
          <w:noProof/>
        </w:rPr>
      </w:pPr>
      <w:r>
        <w:rPr>
          <w:noProof/>
        </w:rPr>
        <w:t>3.2.</w:t>
      </w:r>
      <w:r>
        <w:rPr>
          <w:noProof/>
        </w:rPr>
        <w:tab/>
      </w:r>
      <w:bookmarkStart w:id="13" w:name="_Toc239673827"/>
      <w:r>
        <w:rPr>
          <w:noProof/>
        </w:rPr>
        <w:t>Obținerea și utilizarea cunoștințelor de specialitate</w:t>
      </w:r>
      <w:bookmarkEnd w:id="13"/>
    </w:p>
    <w:p>
      <w:pPr>
        <w:rPr>
          <w:noProof/>
        </w:rPr>
      </w:pPr>
      <w:r>
        <w:rPr>
          <w:noProof/>
        </w:rPr>
        <w:t>Pregătirea prezentei propuneri se bazează pe o bază amplă de dovezi, inclusiv pe activități analitice, pe consultarea literaturii de specialitate, pe contribuții ale părților interesate și pe consiliere din partea experților.</w:t>
      </w:r>
    </w:p>
    <w:p>
      <w:pPr>
        <w:rPr>
          <w:noProof/>
        </w:rPr>
      </w:pPr>
      <w:r>
        <w:rPr>
          <w:noProof/>
        </w:rPr>
        <w:t xml:space="preserve">Comisia a efectuat cercetări documentare și a consultat literatura de specialitate relevantă, rapoartele de politică și sursele de date pentru a sprijini analiza problemelor și a opțiunilor de politică. Acestea au inclus, printre altele, date de la Eurostat, Tabloul de bord european privind inovarea, Ancheta comunitară privind inovarea, analiza comparativă europeană a cadrelor naționale de politică și a investițiilor în achizițiile publice în domeniul inovării și de la Organizația Mondială a Proprietății Intelectuale (OMPI), precum și rapoarte din partea organizațiilor internaționale, cum ar fi OCDE și Oficiul European de Brevete (OEB), și literatura academică supusă unei evaluări </w:t>
      </w:r>
      <w:r>
        <w:rPr>
          <w:i/>
          <w:noProof/>
        </w:rPr>
        <w:t>inter pares</w:t>
      </w:r>
      <w:r>
        <w:rPr>
          <w:noProof/>
        </w:rPr>
        <w:t xml:space="preserve">. </w:t>
      </w:r>
    </w:p>
    <w:p>
      <w:pPr>
        <w:rPr>
          <w:noProof/>
        </w:rPr>
      </w:pPr>
      <w:r>
        <w:rPr>
          <w:noProof/>
        </w:rPr>
        <w:t>De asemenea, au fost utilizate contribuțiile grupurilor de lucru ale Forumului CEI și contribuțiile experților, inclusiv raportul</w:t>
      </w:r>
      <w:r>
        <w:rPr>
          <w:rStyle w:val="FootnoteReference"/>
          <w:noProof/>
        </w:rPr>
        <w:footnoteReference w:id="9"/>
      </w:r>
      <w:r>
        <w:rPr>
          <w:noProof/>
        </w:rPr>
        <w:t xml:space="preserve"> grupului de experți din 33 de țări numiți de Comisie, care a formulat recomandări pentru țările membre ale UE și ale Forumului CEI cu privire la modul de depășire a barierelor juridice care împiedică punerea în aplicare pe scară mai largă a achizițiilor publice în domeniul inovării în Uniune, inclusiv a achizițiilor publice în domeniul cercetării și dezvoltării, în comparație cu alte economii de vârf din lume. </w:t>
      </w:r>
    </w:p>
    <w:p>
      <w:pPr>
        <w:rPr>
          <w:noProof/>
        </w:rPr>
      </w:pPr>
      <w:r>
        <w:rPr>
          <w:noProof/>
        </w:rPr>
        <w:t>Un contractant extern a sprijinit Comisia în efectuarea de cercetări documentare suplimentare, în analizarea rezultatelor consultării publice deschise și ale consultărilor specifice, în organizarea de grupuri tematice și de interviuri cu părțile interesate și în realizarea evaluării costurilor și beneficiilor măsurilor propuse.</w:t>
      </w:r>
    </w:p>
    <w:p>
      <w:pPr>
        <w:rPr>
          <w:noProof/>
        </w:rPr>
      </w:pPr>
      <w:r>
        <w:rPr>
          <w:noProof/>
        </w:rPr>
        <w:t>Centrul Comun de Cercetare (JRC) al Comisiei a oferit sprijin analitic suplimentar, inclusiv analiza cererii de contribuții și modelarea macroeconomică, pentru a evalua impactul potențial al inițiativei.</w:t>
      </w:r>
    </w:p>
    <w:p>
      <w:pPr>
        <w:pStyle w:val="ManualHeading2"/>
        <w:rPr>
          <w:noProof/>
        </w:rPr>
      </w:pPr>
      <w:r>
        <w:rPr>
          <w:noProof/>
        </w:rPr>
        <w:t>3.3.</w:t>
      </w:r>
      <w:r>
        <w:rPr>
          <w:noProof/>
        </w:rPr>
        <w:tab/>
      </w:r>
      <w:bookmarkStart w:id="14" w:name="_Toc239673828"/>
      <w:r>
        <w:rPr>
          <w:noProof/>
        </w:rPr>
        <w:t>Evaluarea impactului</w:t>
      </w:r>
      <w:bookmarkEnd w:id="14"/>
    </w:p>
    <w:p>
      <w:pPr>
        <w:spacing w:before="0"/>
        <w:rPr>
          <w:noProof/>
          <w:szCs w:val="24"/>
        </w:rPr>
      </w:pPr>
      <w:r>
        <w:rPr>
          <w:b/>
          <w:noProof/>
        </w:rPr>
        <w:t>În conformitate cu Orientările privind o mai bună legiferare, prezenta propunere de reglementare este susținută de o evaluare a impactului</w:t>
      </w:r>
      <w:r>
        <w:rPr>
          <w:noProof/>
        </w:rPr>
        <w:t xml:space="preserve"> care analizează necesitatea de a accelera comercializarea și adoptarea de soluții inovatoare și de a crea condiții de concurență echitabile favorabile inovării pentru ca întreprinderile inovatoare să se extindă pe piața unică a UE, în contextul provocărilor tot mai mari în materie de competitivitate la nivel mondial. Evaluarea impactului identifică opțiunile de politică pentru abordarea principalilor factori determinanți ai problemelor și evaluează impactul probabil al acestora. Aceasta a fost elaborată în strânsă consultare cu Grupul de coordonare interservicii al Comisiei în ceea ce privește Actul european privind inovarea.</w:t>
      </w:r>
    </w:p>
    <w:p>
      <w:pPr>
        <w:spacing w:before="0"/>
        <w:rPr>
          <w:noProof/>
        </w:rPr>
      </w:pPr>
      <w:r>
        <w:rPr>
          <w:b/>
          <w:noProof/>
        </w:rPr>
        <w:t>Proiectul de evaluare a impactului a fost prezentat Comitetului de control normativ</w:t>
      </w:r>
      <w:r>
        <w:rPr>
          <w:noProof/>
        </w:rPr>
        <w:t xml:space="preserve"> (denumit în continuare „comitetul”) la 23 decembrie 2025. La 28 ianuarie 2026 a avut loc o reuniune cu comitetul, urmată de un aviz negativ. În urma unei revizuiri substanțiale menite să răspundă observațiilor comitetului, evaluarea impactului a fost prezentată din nou la 20 februarie 2026. În cea de a doua comunicare, comitetul a recunoscut că au fost aduse îmbunătățiri semnificative, în special în ceea ce privește restrângerea sferei măsurilor propuse, clarificarea contextului și a domeniului de aplicare al inițiativei, precum și prezentarea generală a raportului. Cu toate acestea, unele observații de fond, în special cele legate de evitarea suprapunerii cu viitoarea revizuire a directivelor UE privind achizițiile publice, au rămas dificil de abordat, deoarece consultarea publică privind revizuirea acestor directive nu era încă finalizată, iar măsurile planificate și evaluarea impactului revizuirii directivelor respective nu erau încă disponibile la momentul respectiv. Prin urmare, la 27 februarie 2026, Comitetul și-a menținut avizul negativ și a identificat trei domenii principale care necesită îmbunătățiri suplimentare în raportul de evaluare a impactului pentru Actul european privind inovarea, și anume: </w:t>
      </w:r>
    </w:p>
    <w:p>
      <w:pPr>
        <w:pStyle w:val="Point0"/>
        <w:rPr>
          <w:noProof/>
        </w:rPr>
      </w:pPr>
      <w:r>
        <w:rPr>
          <w:noProof/>
        </w:rPr>
        <w:t>(1)</w:t>
      </w:r>
      <w:r>
        <w:rPr>
          <w:noProof/>
        </w:rPr>
        <w:tab/>
      </w:r>
      <w:r>
        <w:rPr>
          <w:b/>
          <w:noProof/>
        </w:rPr>
        <w:t>Asigurarea unei mai bune coerențe a măsurilor privind achizițiile publice din cadrul Actului european privind inovarea</w:t>
      </w:r>
      <w:r>
        <w:rPr>
          <w:noProof/>
        </w:rPr>
        <w:t xml:space="preserve"> cu viitoarea revizuire a directivelor UE privind achizițiile publice și aprofundarea evaluării proporționalității și subsidiarității măsurilor privind achizițiile publice, în special în ceea ce privește obiectivele obligatorii privind achizițiile publice în domeniul inovării și includerea achizițiilor publice cu o valoare inferioară pragurilor financiare stabilite în cadrul UE.</w:t>
      </w:r>
    </w:p>
    <w:p>
      <w:pPr>
        <w:pStyle w:val="Point0"/>
        <w:rPr>
          <w:noProof/>
        </w:rPr>
      </w:pPr>
      <w:r>
        <w:rPr>
          <w:noProof/>
        </w:rPr>
        <w:t>(1)</w:t>
      </w:r>
      <w:r>
        <w:rPr>
          <w:noProof/>
        </w:rPr>
        <w:tab/>
      </w:r>
      <w:r>
        <w:rPr>
          <w:b/>
          <w:noProof/>
        </w:rPr>
        <w:t>Asigurarea unei analize mai cuprinzătoare a impactului</w:t>
      </w:r>
      <w:r>
        <w:rPr>
          <w:noProof/>
        </w:rPr>
        <w:t xml:space="preserve"> prin extinderea evaluării măsurilor prevăzute în Actul european privind inovarea dincolo de populația estimată de întreprinderi inovatoare, deoarece măsurile propuse nu sunt limitate din punct de vedere juridic la o categorie specifică de întreprinderi. De asemenea, comitetul a solicitat abordarea absenței unei definiții juridice a întreprinderilor inovatoare în cadrul Actului european privind inovarea.</w:t>
      </w:r>
    </w:p>
    <w:p>
      <w:pPr>
        <w:pStyle w:val="Point0"/>
        <w:rPr>
          <w:noProof/>
        </w:rPr>
      </w:pPr>
      <w:r>
        <w:rPr>
          <w:noProof/>
        </w:rPr>
        <w:t>(2)</w:t>
      </w:r>
      <w:r>
        <w:rPr>
          <w:noProof/>
        </w:rPr>
        <w:tab/>
      </w:r>
      <w:r>
        <w:rPr>
          <w:b/>
          <w:noProof/>
        </w:rPr>
        <w:t>Realizarea unei evaluări mai aprofundate a costurilor și beneficiilor</w:t>
      </w:r>
      <w:r>
        <w:rPr>
          <w:noProof/>
        </w:rPr>
        <w:t xml:space="preserve"> anumitor măsuri din cadrul Actului european privind inovarea, cu un accent deosebit pe:</w:t>
      </w:r>
    </w:p>
    <w:p>
      <w:pPr>
        <w:pStyle w:val="Bullet1"/>
        <w:numPr>
          <w:ilvl w:val="0"/>
          <w:numId w:val="42"/>
        </w:numPr>
        <w:rPr>
          <w:noProof/>
        </w:rPr>
      </w:pPr>
      <w:r>
        <w:rPr>
          <w:noProof/>
        </w:rPr>
        <w:t>o estimare mai riguroasă a costurilor economice asociate obiectivelor obligatorii privind achizițiile publice în domeniul inovării și introducerea unei preferințe acordate UE în procedurile de achiziții publice;</w:t>
      </w:r>
    </w:p>
    <w:p>
      <w:pPr>
        <w:pStyle w:val="Bullet1"/>
        <w:rPr>
          <w:noProof/>
        </w:rPr>
      </w:pPr>
      <w:r>
        <w:rPr>
          <w:noProof/>
        </w:rPr>
        <w:t>evaluarea riscului ca definițiile și principiile excesiv de restrictive privind spațiile de testare în materie de reglementare să excludă oportunitățile de experimentare care ar putea genera beneficii.</w:t>
      </w:r>
    </w:p>
    <w:p>
      <w:pPr>
        <w:spacing w:before="0"/>
        <w:rPr>
          <w:noProof/>
        </w:rPr>
      </w:pPr>
      <w:r>
        <w:rPr>
          <w:b/>
          <w:noProof/>
        </w:rPr>
        <w:t>În urma celui de al doilea aviz negativ al comitetului, evaluarea impactului a fost din nou revizuită în mod substanțial pentru a remedia deficiențele identificate</w:t>
      </w:r>
      <w:r>
        <w:rPr>
          <w:noProof/>
        </w:rPr>
        <w:t>. Aspectele menționate mai sus au fost luate pe deplin în considerare printr-o analiză consolidată și, acolo unde a fost necesar, prin ajustarea domeniului de aplicare al propunerii. În special, observațiile comitetului au fost abordate după cum urmează:</w:t>
      </w:r>
    </w:p>
    <w:p>
      <w:pPr>
        <w:pStyle w:val="Bullet0"/>
        <w:rPr>
          <w:noProof/>
        </w:rPr>
      </w:pPr>
      <w:r>
        <w:rPr>
          <w:b/>
          <w:noProof/>
        </w:rPr>
        <w:t>Măsurile în materie de achiziții referitoare la procedurile de achiziții favorabile inovării și preferința acordată UE au fost restrânse astfel încât să vizeze exclusiv achizițiile de servicii de cercetare și dezvoltare efectuate de achizitorii publici.</w:t>
      </w:r>
      <w:r>
        <w:rPr>
          <w:noProof/>
        </w:rPr>
        <w:t xml:space="preserve"> Tehnicile de achiziții favorabile inovării aplicabile altor forme de achiziții publice în sens mai larg, au fost eliminate din domeniul de aplicare al Actului european privind inovarea. În plus, a fost introdus un prag financiar al UE de 216 000 EUR (corespunzător pragului financiar al UE utilizat în principala directivă privind achizițiile publice pentru autoritățile locale și regionale), asigurând respectarea principiilor proporționalității și subsidiarității.</w:t>
      </w:r>
    </w:p>
    <w:p>
      <w:pPr>
        <w:pStyle w:val="Bullet0"/>
        <w:rPr>
          <w:noProof/>
        </w:rPr>
      </w:pPr>
      <w:r>
        <w:rPr>
          <w:b/>
          <w:noProof/>
        </w:rPr>
        <w:t>Obiectivul obligatoriu al statelor membre de a majora cheltuielile globale pentru achizițiile publice în domeniul inovării a fost eliminat</w:t>
      </w:r>
      <w:r>
        <w:rPr>
          <w:noProof/>
        </w:rPr>
        <w:t xml:space="preserve"> din domeniul de aplicare al Actului european privind inovarea.</w:t>
      </w:r>
    </w:p>
    <w:p>
      <w:pPr>
        <w:pStyle w:val="Bullet0"/>
        <w:rPr>
          <w:noProof/>
        </w:rPr>
      </w:pPr>
      <w:r>
        <w:rPr>
          <w:b/>
          <w:noProof/>
        </w:rPr>
        <w:t>Au fost adăugate explicații privind definițiile întreprinderilor inovatoare, ale start-upurilor și ale întreprinderilor în fază de extindere</w:t>
      </w:r>
      <w:r>
        <w:rPr>
          <w:noProof/>
        </w:rPr>
        <w:t>. Evaluarea impactului precizează că, în urma adoptării Recomandării UE privind definițiile întreprinderilor inovatoare, ale start-upurilor inovatoare și ale întreprinderilor inovatoare în fază de extindere, Actul european privind inovarea nu mai include aceste definiții în propunere. În același timp, se explică faptul că, în conformitate cu Orientările privind o mai bună legiferare, costurile și beneficiile sunt estimate în raport cu populația afectată din punct de vedere economic (în special pentru întreprinderile inovatoare) și nu în raport cu toate entitățile eligibile din punct de vedere juridic. Evaluarea a clarificat diferența dintre întreprinderile eligibile din punct de vedere juridic și cele afectate din punct de vedere economic și explică mai detaliat modul în care a fost estimat numărul entităților afectate.</w:t>
      </w:r>
    </w:p>
    <w:p>
      <w:pPr>
        <w:pStyle w:val="Bullet0"/>
        <w:rPr>
          <w:noProof/>
        </w:rPr>
      </w:pPr>
      <w:r>
        <w:rPr>
          <w:b/>
          <w:noProof/>
        </w:rPr>
        <w:t>Au fost adăugate estimări cantitative.</w:t>
      </w:r>
      <w:r>
        <w:rPr>
          <w:noProof/>
        </w:rPr>
        <w:t xml:space="preserve"> Evaluarea impactului a furnizat o analiză suplimentară a costurilor și beneficiilor, astfel încât toate măsurile au inclus atât modelul standard de cost, cât și estimări cantitative bazate pe elasticitate ale costurilor și beneficiilor. În special, au fost adăugate costurile aferente riscurilor economice asociate măsurilor în materie de achiziții, au fost îmbunătățite estimările pentru evaluarea PI și au fost incluse secțiuni dedicate care explică mai în detaliu ipotezele care stau la baza fiecărei estimări.</w:t>
      </w:r>
    </w:p>
    <w:p>
      <w:pPr>
        <w:pStyle w:val="Bullet0"/>
        <w:rPr>
          <w:noProof/>
        </w:rPr>
      </w:pPr>
      <w:r>
        <w:rPr>
          <w:b/>
          <w:noProof/>
        </w:rPr>
        <w:t>Definițiile și principiile spațiilor de testare în materie de reglementare au fost eliminate</w:t>
      </w:r>
      <w:r>
        <w:rPr>
          <w:noProof/>
        </w:rPr>
        <w:t xml:space="preserve"> din domeniul de aplicare al Actului european privind inovarea și au fost mutate într-o propunere de recomandare a Consiliului privind spațiile de testare în materie de reglementare.</w:t>
      </w:r>
    </w:p>
    <w:p>
      <w:pPr>
        <w:rPr>
          <w:noProof/>
        </w:rPr>
      </w:pPr>
      <w:r>
        <w:rPr>
          <w:noProof/>
        </w:rPr>
        <w:t>Avizele comitetului, precum și evaluarea finală a impactului și rezumatul acesteia sunt publicate împreună cu prezenta propunere.</w:t>
      </w:r>
    </w:p>
    <w:p>
      <w:pPr>
        <w:rPr>
          <w:noProof/>
        </w:rPr>
      </w:pPr>
      <w:r>
        <w:rPr>
          <w:noProof/>
        </w:rPr>
        <w:t>Comisia a efectuat evaluarea impactului la nivelul fiecărei măsuri în parte, fiind analizate până la patru variante pentru fiecare măsură, ca opțiuni de politică alternative. Această abordare a permis identificarea celei mai adecvate intervenții pentru fiecare domeniu problematic specific.</w:t>
      </w:r>
    </w:p>
    <w:p>
      <w:pPr>
        <w:rPr>
          <w:noProof/>
        </w:rPr>
      </w:pPr>
      <w:r>
        <w:rPr>
          <w:noProof/>
        </w:rPr>
        <w:t xml:space="preserve">În cele din urmă, opțiunea de politică preferată în ceea ce privește Actul european privind inovarea este definită ca un pachet compozit, care reunește variantele cele mai eficace ale fiecăreia dintre cele nouă măsuri evaluate. Pentru fiecare măsură, varianta selectată este cea care prezintă cele mai bune rezultate în ceea ce privește eficacitatea, eficiența, coerența și proporționalitatea. Prin urmare, opțiunea preferată reflectă o combinație coerentă a elementelor cu cele mai bune rezultate din cadrul tuturor măsurilor și nu un singur pachet de politici prestabilit. </w:t>
      </w:r>
    </w:p>
    <w:p>
      <w:pPr>
        <w:rPr>
          <w:noProof/>
        </w:rPr>
      </w:pPr>
      <w:r>
        <w:rPr>
          <w:b/>
          <w:noProof/>
        </w:rPr>
        <w:t>Opțiunea de politică preferată</w:t>
      </w:r>
      <w:r>
        <w:rPr>
          <w:noProof/>
        </w:rPr>
        <w:t xml:space="preserve"> constă în următoarele măsuri.</w:t>
      </w:r>
    </w:p>
    <w:p>
      <w:pPr>
        <w:rPr>
          <w:noProof/>
        </w:rPr>
      </w:pPr>
      <w:r>
        <w:rPr>
          <w:noProof/>
        </w:rPr>
        <w:t xml:space="preserve">Prima măsură: instituirea, prin intermediul Oficiului Uniunii Europene pentru Proprietate Intelectuală (EUIPO), a unui centru de competențe pentru finanțarea garantată cu PI, precum și dezvoltarea unui cadru pentru evaluarea PI la nivelul Uniunii și crearea unei piețe digitale. Se preconizează că această măsură va spori activitatea de transfer de PI și de acordare a licențelor, precum și capacitatea inovatorilor de a atrage finanțare garantată cu PI. Măsura ar implica pentru EUIPO costuri administrative estimate la aproximativ 712 000 EUR și costuri de ajustare de aproximativ 2,5 milioane EUR, care vor fi acoperite din resursele proprii ale EUIPO, fără nicio contribuție de la bugetul Uniunii. În același timp, se preconizează că această măsură va genera </w:t>
      </w:r>
      <w:r>
        <w:rPr>
          <w:b/>
          <w:noProof/>
        </w:rPr>
        <w:t>economii de costuri administrative pentru întreprinderi de aproximativ 35 de milioane EUR</w:t>
      </w:r>
      <w:r>
        <w:rPr>
          <w:noProof/>
        </w:rPr>
        <w:t xml:space="preserve">. De asemenea, se estimează că măsura va genera anual, pentru întreprinderi, </w:t>
      </w:r>
      <w:r>
        <w:rPr>
          <w:b/>
          <w:noProof/>
        </w:rPr>
        <w:t>finanțare suplimentară în valoare de 10,2 miliarde EUR sub formă de capital de risc și finanțare prin îndatorare, garantată cu PI</w:t>
      </w:r>
      <w:r>
        <w:rPr>
          <w:noProof/>
        </w:rPr>
        <w:t xml:space="preserve">. </w:t>
      </w:r>
    </w:p>
    <w:p>
      <w:pPr>
        <w:spacing w:before="0" w:after="240"/>
        <w:rPr>
          <w:iCs/>
          <w:noProof/>
        </w:rPr>
      </w:pPr>
      <w:r>
        <w:rPr>
          <w:noProof/>
        </w:rPr>
        <w:t xml:space="preserve">A doua măsură: introducerea unei proceduri armonizate pentru achizițiile de servicii de cercetare și dezvoltare și pentru achizițiile comune transfrontaliere de servicii de cercetare și dezvoltare. Se preconizează că această măsură va genera </w:t>
      </w:r>
      <w:r>
        <w:rPr>
          <w:b/>
          <w:noProof/>
        </w:rPr>
        <w:t>economii de costuri de 1 miliard EUR pe an pentru achizitorii publici vizați</w:t>
      </w:r>
      <w:r>
        <w:rPr>
          <w:noProof/>
        </w:rPr>
        <w:t xml:space="preserve">, precum și un </w:t>
      </w:r>
      <w:r>
        <w:rPr>
          <w:b/>
          <w:noProof/>
        </w:rPr>
        <w:t>profituri suplimentare pentru întreprinderi în valoare de 25,92 miliarde EUR pe an</w:t>
      </w:r>
      <w:r>
        <w:rPr>
          <w:noProof/>
        </w:rPr>
        <w:t>.</w:t>
      </w:r>
    </w:p>
    <w:p>
      <w:pPr>
        <w:spacing w:before="0" w:after="240"/>
        <w:rPr>
          <w:iCs/>
          <w:noProof/>
        </w:rPr>
      </w:pPr>
      <w:r>
        <w:rPr>
          <w:noProof/>
        </w:rPr>
        <w:t>A treia măsură: instituirea unei preferințe pentru UE în cadrul achizițiilor în domeniul cercetării și dezvoltării, însoțită de clauze neparticipare care permit achiziții de la furnizori care nu intră sub incidența acestei preferințe atunci când nu există o alternativă adecvată din partea furnizorilor vizați sau când există diferențe disproporționate de cost între furnizorii vizați și cei care nu intră sub incidența acesteia</w:t>
      </w:r>
      <w:r>
        <w:rPr>
          <w:rStyle w:val="FootnoteReference"/>
          <w:noProof/>
        </w:rPr>
        <w:footnoteReference w:id="10"/>
      </w:r>
      <w:r>
        <w:rPr>
          <w:noProof/>
        </w:rPr>
        <w:t xml:space="preserve">. Se preconizează că această măsură va contribui la </w:t>
      </w:r>
      <w:r>
        <w:rPr>
          <w:b/>
          <w:noProof/>
        </w:rPr>
        <w:t>consolidarea autonomiei strategice deschise a UE</w:t>
      </w:r>
      <w:r>
        <w:rPr>
          <w:noProof/>
        </w:rPr>
        <w:t xml:space="preserve">, în special în ceea ce privește tehnologiile critice și infrastructurile strategice, prin reducerea riscurilor de dependență și prin sprijinirea dezvoltării lanțurilor de aprovizionare cu sediul în UE. Se estimează, de asemenea, că aceste clauze de neparticipare </w:t>
      </w:r>
      <w:r>
        <w:rPr>
          <w:b/>
          <w:noProof/>
        </w:rPr>
        <w:t>vor reduce la minimum efectele macroeconomice negative ale preferinței acordate UE</w:t>
      </w:r>
      <w:r>
        <w:rPr>
          <w:noProof/>
        </w:rPr>
        <w:t xml:space="preserve">, estimate la aproximativ 464 de milioane EUR. </w:t>
      </w:r>
    </w:p>
    <w:p>
      <w:pPr>
        <w:rPr>
          <w:noProof/>
        </w:rPr>
      </w:pPr>
      <w:r>
        <w:rPr>
          <w:noProof/>
        </w:rPr>
        <w:t xml:space="preserve">Combinația de măsuri asigură coerența de-a lungul întregului ciclu de viață al inovării, abordând atât barierele existente la nivel de ofertă, cât și pe cele la nivel de cerere. Prin îmbunătățirea în comun a condițiilor-cadru, a accesului la resurse și a oportunităților de piață, opțiunea preferată maximizează eficacitatea măsurilor individuale și generează efecte cumulative care le depășesc pe cele pe care măsurile le-ar produce separat. În ansamblu, simularea macroeconomică realizată pe baza estimării costurilor de producție și a beneficiilor menționată s-a tradus printr-o creștere a PIB-ului UE cu 0,25-0,42 % pe un orizont de timp de zece ani, comparativ cu un scenariu de referință în care Actul european privind inovarea nu ar fi adoptat, ceea ce corespunde unui număr de până la 507 000 de noi locuri de muncă create în întreaga UE în acest orizont de timp de zece ani. </w:t>
      </w:r>
    </w:p>
    <w:p>
      <w:pPr>
        <w:rPr>
          <w:noProof/>
        </w:rPr>
      </w:pPr>
    </w:p>
    <w:p>
      <w:pPr>
        <w:pStyle w:val="ManualHeading2"/>
        <w:rPr>
          <w:noProof/>
        </w:rPr>
      </w:pPr>
      <w:r>
        <w:rPr>
          <w:noProof/>
        </w:rPr>
        <w:t>3.4.</w:t>
      </w:r>
      <w:r>
        <w:rPr>
          <w:noProof/>
        </w:rPr>
        <w:tab/>
      </w:r>
      <w:bookmarkStart w:id="15" w:name="_Toc239673829"/>
      <w:r>
        <w:rPr>
          <w:noProof/>
        </w:rPr>
        <w:t>Adecvarea reglementărilor și simplificarea</w:t>
      </w:r>
      <w:bookmarkEnd w:id="15"/>
    </w:p>
    <w:p>
      <w:pPr>
        <w:rPr>
          <w:noProof/>
        </w:rPr>
      </w:pPr>
      <w:r>
        <w:rPr>
          <w:noProof/>
        </w:rPr>
        <w:t>Propunerea este în conformitate cu obiectivele de simplificare ale Comisiei. Prin stabilirea unor abordări mai armonizate în întreaga Uniune pentru efectuarea de achiziții în domeniul cercetării și dezvoltării și prin încredințarea către Oficiul Uniunii Europene pentru Proprietate Intelectuală a sarcinii de a stabili un cadru comun pentru evaluarea PI, de a crea o piață la nivelul UE pentru comercializarea PI și de a institui un centru de competențe pentru finanțarea garantată cu PI, propunerea reduce duplicarea costurilor, asimetriile informaționale și costurile de căutare și de tranzacție suportate de inovatori.</w:t>
      </w:r>
    </w:p>
    <w:p>
      <w:pPr>
        <w:rPr>
          <w:noProof/>
        </w:rPr>
      </w:pPr>
      <w:r>
        <w:rPr>
          <w:noProof/>
        </w:rPr>
        <w:t>Atunci când sunt introduse activități noi, propunerea se bazează pe cadrele și procesele existente, limitând astfel sarcina administrativă suplimentară.</w:t>
      </w:r>
    </w:p>
    <w:p>
      <w:pPr>
        <w:rPr>
          <w:noProof/>
        </w:rPr>
      </w:pPr>
      <w:r>
        <w:rPr>
          <w:noProof/>
        </w:rPr>
        <w:t xml:space="preserve">Pentru autoritățile publice, se preconizează costuri de ajustare suplimentare limitate (45 de milioane EUR) generate de necesitatea intensificării activităților de formare pentru punerea în aplicare a tehnicilor de achiziții în domeniul cercetării și dezvoltării și a preferinței acordate UE. În ceea ce privește sectorul public al UE, se preconizează costuri de ajustare (2,4 milioane EUR) elaborarea cadrului UE de evaluare a PI, instituirea centrului de competențe pentru finanțarea garantată cu PI și dezvoltarea platformei pentru stabilirea de contacte. Aceste costuri administrative suplimentare sunt însă compensate de economii nete semnificative de costuri administrative. </w:t>
      </w:r>
    </w:p>
    <w:p>
      <w:pPr>
        <w:rPr>
          <w:noProof/>
        </w:rPr>
      </w:pPr>
      <w:r>
        <w:rPr>
          <w:noProof/>
        </w:rPr>
        <w:t>În cazul întreprinderilor și al achizitorilor publici, nu se preconizează costuri administrative suplimentare, deoarece propunerea de regulament nu le impune obligații suplimentare. Dimpotrivă, se preconizează economii suplimentare de costuri administrative pentru întreprinderi:</w:t>
      </w:r>
    </w:p>
    <w:p>
      <w:pPr>
        <w:pStyle w:val="Bullet0"/>
        <w:rPr>
          <w:noProof/>
        </w:rPr>
      </w:pPr>
      <w:r>
        <w:rPr>
          <w:noProof/>
        </w:rPr>
        <w:t>1 miliard EUR pe an pentru achizitorii publici care intenționează să efectueze achiziții în domeniul cercetării și dezvoltării, datorită unui cadru armonizat pentru achizițiile în domeniul cercetării și dezvoltării, inclusiv pentru achizițiile transfrontaliere comune în domeniul cercetării și dezvoltării;</w:t>
      </w:r>
    </w:p>
    <w:p>
      <w:pPr>
        <w:pStyle w:val="Bullet0"/>
        <w:rPr>
          <w:noProof/>
        </w:rPr>
      </w:pPr>
      <w:r>
        <w:rPr>
          <w:noProof/>
        </w:rPr>
        <w:t xml:space="preserve">35 de milioane EUR pe an pentru întreprinderile cu un portofoliu bogat de active de PI, ca urmare a unor abordări mai armonizate privind evaluarea PI și a facilitării acordării de licențe și a transferului PI prin intermediul pieței PI; </w:t>
      </w:r>
    </w:p>
    <w:p>
      <w:pPr>
        <w:rPr>
          <w:noProof/>
        </w:rPr>
      </w:pPr>
      <w:r>
        <w:rPr>
          <w:b/>
          <w:noProof/>
        </w:rPr>
        <w:t>Prin urmare, se preconizează că, în ansamblu, opțiunea de politică preferată va genera economii anuale nete de costuri (costuri administrative și de ajustare combinate) de aproximativ 1,1 miliarde EUR</w:t>
      </w:r>
      <w:r>
        <w:rPr>
          <w:noProof/>
        </w:rPr>
        <w:t xml:space="preserve"> începând cu primul an, în comparație cu scenariul de referință, în rândul părților interesate provenite atât din sectorul public, cât și din cel privat. Se preconizează că economiile nete vor crește și mai mult în anii următori, pe măsură ce costurile unice de ajustare sunt eliminate treptat, rămânând doar costurile administrative recurente.</w:t>
      </w:r>
    </w:p>
    <w:p>
      <w:pPr>
        <w:pStyle w:val="ManualHeading1"/>
        <w:rPr>
          <w:noProof/>
        </w:rPr>
      </w:pPr>
      <w:r>
        <w:rPr>
          <w:noProof/>
        </w:rPr>
        <w:t>4.</w:t>
      </w:r>
      <w:r>
        <w:rPr>
          <w:noProof/>
        </w:rPr>
        <w:tab/>
      </w:r>
      <w:bookmarkStart w:id="16" w:name="_Toc239673830"/>
      <w:r>
        <w:rPr>
          <w:noProof/>
        </w:rPr>
        <w:t>Drepturile fundamentale</w:t>
      </w:r>
      <w:bookmarkEnd w:id="16"/>
    </w:p>
    <w:p>
      <w:pPr>
        <w:rPr>
          <w:b/>
          <w:bCs/>
          <w:smallCaps/>
          <w:noProof/>
        </w:rPr>
      </w:pPr>
      <w:r>
        <w:rPr>
          <w:noProof/>
        </w:rPr>
        <w:t xml:space="preserve">Propunerea de regulament se bazează pe o abordare nediscriminatorie și promovează transparența și egalitatea de tratament. Nu se preconizează că aceasta va avea un impact semnificativ asupra drepturilor fundamentale protejate în temeiul tratatelor Uniunii și al Cartei drepturilor fundamentale. </w:t>
      </w:r>
    </w:p>
    <w:p>
      <w:pPr>
        <w:pStyle w:val="ManualHeading1"/>
        <w:rPr>
          <w:noProof/>
        </w:rPr>
      </w:pPr>
      <w:r>
        <w:rPr>
          <w:noProof/>
        </w:rPr>
        <w:t>5.</w:t>
      </w:r>
      <w:r>
        <w:rPr>
          <w:noProof/>
        </w:rPr>
        <w:tab/>
      </w:r>
      <w:bookmarkStart w:id="17" w:name="_Toc239673831"/>
      <w:r>
        <w:rPr>
          <w:noProof/>
        </w:rPr>
        <w:t>IMPLICAȚII BUGETARE</w:t>
      </w:r>
      <w:bookmarkEnd w:id="17"/>
    </w:p>
    <w:p>
      <w:pPr>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 Propunerea are implicații bugetare pentru Comisie. Mai precis, punerea sa în aplicare va necesita aproximativ 3 unități echivalente normă întreagă pe an. Implicațiile bugetare constau în principal în desfășurarea activităților prevăzute pentru sprijinirea și monitorizarea punerii în aplicare a regulamentului, inclusiv în pregătirea actelor delegate și a actelor de punere în aplicare prevăzute în regulament. Implicațiile bugetare necesare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pStyle w:val="ManualHeading1"/>
        <w:rPr>
          <w:noProof/>
        </w:rPr>
      </w:pPr>
      <w:r>
        <w:rPr>
          <w:noProof/>
        </w:rPr>
        <w:t>6.</w:t>
      </w:r>
      <w:r>
        <w:rPr>
          <w:noProof/>
        </w:rPr>
        <w:tab/>
      </w:r>
      <w:bookmarkStart w:id="18" w:name="_Toc239673832"/>
      <w:r>
        <w:rPr>
          <w:noProof/>
        </w:rPr>
        <w:t>ALTE ELEMENTE</w:t>
      </w:r>
      <w:bookmarkEnd w:id="18"/>
    </w:p>
    <w:p>
      <w:pPr>
        <w:pStyle w:val="ManualHeading2"/>
        <w:rPr>
          <w:noProof/>
        </w:rPr>
      </w:pPr>
      <w:bookmarkStart w:id="19" w:name="_Toc239673833"/>
      <w:r>
        <w:rPr>
          <w:noProof/>
        </w:rPr>
        <w:t>•</w:t>
      </w:r>
      <w:r>
        <w:rPr>
          <w:noProof/>
        </w:rPr>
        <w:tab/>
        <w:t>Planuri de punere în aplicare și modalități de monitorizare, evaluare și raportare</w:t>
      </w:r>
      <w:bookmarkEnd w:id="19"/>
    </w:p>
    <w:p>
      <w:pPr>
        <w:rPr>
          <w:noProof/>
        </w:rPr>
      </w:pPr>
      <w:r>
        <w:rPr>
          <w:noProof/>
        </w:rPr>
        <w:t>Nu se aplică</w:t>
      </w:r>
    </w:p>
    <w:p>
      <w:pPr>
        <w:rPr>
          <w:noProof/>
        </w:rPr>
      </w:pPr>
    </w:p>
    <w:p>
      <w:pPr>
        <w:pStyle w:val="ManualHeading2"/>
        <w:rPr>
          <w:noProof/>
        </w:rPr>
      </w:pPr>
      <w:bookmarkStart w:id="20" w:name="_Toc239673834"/>
      <w:r>
        <w:rPr>
          <w:noProof/>
        </w:rPr>
        <w:t>•</w:t>
      </w:r>
      <w:r>
        <w:rPr>
          <w:noProof/>
        </w:rPr>
        <w:tab/>
        <w:t>Explicarea detaliată a dispozițiilor specifice ale propunerii</w:t>
      </w:r>
      <w:bookmarkEnd w:id="20"/>
    </w:p>
    <w:p>
      <w:pPr>
        <w:rPr>
          <w:noProof/>
          <w:u w:val="single"/>
        </w:rPr>
      </w:pPr>
      <w:r>
        <w:rPr>
          <w:noProof/>
        </w:rPr>
        <w:t xml:space="preserve">Propunerea cuprinde trei capitole. Aceasta este structurată după cum urmează: </w:t>
      </w:r>
    </w:p>
    <w:p>
      <w:pPr>
        <w:rPr>
          <w:noProof/>
        </w:rPr>
      </w:pPr>
      <w:r>
        <w:rPr>
          <w:noProof/>
        </w:rPr>
        <w:t xml:space="preserve">Capitolul I conține dispozițiile generale care stabilesc obiectul și domeniul de aplicare al propunerii de regulament, precum și definițiile aplicabile acesteia. Se clarifică astfel că capitolul I din regulament se aplică numai achizițiilor de servicii de cercetare și dezvoltare care nu intră în domeniul de aplicare al Directivei 2014/23/UE, al Directivei 2014/24/UE și al Directivei 2014/25/UE, precum și că capitolul III din regulament se aplică numai Oficiului Uniunii Europene pentru Proprietate Intelectuală. </w:t>
      </w:r>
    </w:p>
    <w:p>
      <w:pPr>
        <w:rPr>
          <w:noProof/>
        </w:rPr>
      </w:pPr>
      <w:r>
        <w:rPr>
          <w:noProof/>
        </w:rPr>
        <w:t xml:space="preserve">Capitolul II stabilește norme comune pentru punerea în aplicare a procedurilor de achiziții în domeniul cercetării și dezvoltării, inclusiv a achizițiilor publice comune în domeniul cercetării și dezvoltării. </w:t>
      </w:r>
    </w:p>
    <w:p>
      <w:pPr>
        <w:rPr>
          <w:noProof/>
        </w:rPr>
      </w:pPr>
      <w:r>
        <w:rPr>
          <w:noProof/>
        </w:rPr>
        <w:t>Capitolul III stabilește atribuțiile încredințate prin prezentul regulament Oficiului Uniunii Europene pentru Proprietate Intelectuală în vederea stabilirii unui cadru comun pentru evaluarea proprietății intelectuale (PI), a creării unei piețe la nivelul Uniunii pentru comercializarea PI și a instituirii unui centru de competențe pentru finanțarea garantată cu PI.</w:t>
      </w:r>
    </w:p>
    <w:p>
      <w:pPr>
        <w:rPr>
          <w:noProof/>
        </w:rPr>
      </w:pPr>
    </w:p>
    <w:p>
      <w:pPr>
        <w:rPr>
          <w:noProof/>
        </w:rPr>
      </w:pPr>
    </w:p>
    <w:p>
      <w:pPr>
        <w:spacing w:before="0" w:after="200" w:line="276" w:lineRule="auto"/>
        <w:jc w:val="left"/>
        <w:rPr>
          <w:noProof/>
        </w:rPr>
      </w:pPr>
      <w:r>
        <w:rPr>
          <w:noProof/>
        </w:rPr>
        <w:br w:type="page"/>
      </w:r>
    </w:p>
    <w:p>
      <w:pPr>
        <w:pStyle w:val="Rfrenceinterinstitutionnelle"/>
        <w:rPr>
          <w:noProof/>
        </w:rPr>
      </w:pPr>
      <w:r>
        <w:rPr>
          <w:noProof/>
        </w:rPr>
        <w:t>2026/0264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de stabilire a unui cadru de măsuri pentru consolidarea ecosistemului de inovare al Uniunii și de modificare a Regulamentului (UE) 2017/1001</w:t>
      </w:r>
      <w:r>
        <w:rPr>
          <w:noProof/>
        </w:rPr>
        <w:br/>
        <w:t>(Actul european privind inovarea)</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114,</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customMarkFollows="1" w:id="11"/>
        <w:t>(1)</w:t>
      </w:r>
      <w:r>
        <w:rPr>
          <w:noProof/>
        </w:rPr>
        <w:t>,</w:t>
      </w:r>
    </w:p>
    <w:p>
      <w:pPr>
        <w:rPr>
          <w:noProof/>
        </w:rPr>
      </w:pPr>
      <w:r>
        <w:rPr>
          <w:noProof/>
        </w:rPr>
        <w:t>având în vedere avizul Comitetului Regiunilor</w:t>
      </w:r>
      <w:r>
        <w:rPr>
          <w:rStyle w:val="FootnoteReference"/>
          <w:noProof/>
        </w:rPr>
        <w:footnoteReference w:customMarkFollows="1" w:id="12"/>
        <w:t>(2)</w:t>
      </w:r>
      <w:r>
        <w:rPr>
          <w:noProof/>
        </w:rPr>
        <w:t>,</w:t>
      </w:r>
    </w:p>
    <w:p>
      <w:pPr>
        <w:rPr>
          <w:noProof/>
        </w:rPr>
      </w:pPr>
      <w:r>
        <w:rPr>
          <w:noProof/>
        </w:rPr>
        <w:t>hotărând în conformitate cu procedura legislativă ordinară,</w:t>
      </w:r>
    </w:p>
    <w:p>
      <w:pPr>
        <w:rPr>
          <w:noProof/>
        </w:rPr>
      </w:pPr>
      <w:r>
        <w:rPr>
          <w:noProof/>
        </w:rPr>
        <w:t>întrucât:</w:t>
      </w:r>
    </w:p>
    <w:p>
      <w:pPr>
        <w:rPr>
          <w:noProof/>
        </w:rPr>
      </w:pPr>
    </w:p>
    <w:p>
      <w:pPr>
        <w:pStyle w:val="ManualConsidrant"/>
        <w:rPr>
          <w:noProof/>
        </w:rPr>
      </w:pPr>
      <w:r>
        <w:rPr>
          <w:noProof/>
        </w:rPr>
        <w:t>(1)</w:t>
      </w:r>
      <w:r>
        <w:rPr>
          <w:noProof/>
        </w:rPr>
        <w:tab/>
        <w:t xml:space="preserve">Există în continuare bariere importante, care împiedică accesul inovațiilor pe piață și extinderea întreprinderilor inovatoare în Uniune. Inovatorii se confruntă cu lipsa oportunităților de a aduce idei inovatoare pe piața achizițiilor publice la nivelul Uniunii din cauza lipsei unui cadru juridic comun pentru achizițiile de servicii de cercetare și dezvoltare (denumite în continuare „achiziții în domeniul cercetării și dezvoltării”) și a unei piețe interne subdezvoltate pentru finanțarea garantată prin drepturi de proprietate intelectuală (PI). Măsurile naționale care vizează eliminarea unor bariere atât de complexe, ce depășesc frontierele naționale, sunt fragmentate și riscă să afecteze funcționarea pieței interne. Această fragmentare creează obstacole în calea comerțului transfrontalier în cadrul Uniunii și denaturări pe piața internă. Prin urmare, este necesar să se stabilească măsuri armonizate pentru a asigura buna funcționare a pieței interne. </w:t>
      </w:r>
    </w:p>
    <w:p>
      <w:pPr>
        <w:pStyle w:val="ManualConsidrant"/>
        <w:rPr>
          <w:noProof/>
        </w:rPr>
      </w:pPr>
      <w:r>
        <w:rPr>
          <w:noProof/>
        </w:rPr>
        <w:t>(2)</w:t>
      </w:r>
      <w:r>
        <w:rPr>
          <w:noProof/>
        </w:rPr>
        <w:tab/>
        <w:t>Curtea de Conturi Europeană</w:t>
      </w:r>
      <w:r>
        <w:rPr>
          <w:rStyle w:val="FootnoteReference"/>
          <w:noProof/>
        </w:rPr>
        <w:footnoteReference w:id="13"/>
      </w:r>
      <w:r>
        <w:rPr>
          <w:rStyle w:val="FootnoteReference"/>
          <w:noProof/>
        </w:rPr>
        <w:t xml:space="preserve"> </w:t>
      </w:r>
      <w:r>
        <w:rPr>
          <w:noProof/>
        </w:rPr>
        <w:t>a solicitat Comisiei să abordeze nivelul scăzut al concurenței în domeniul achizițiilor publice din Uniune. În contextul digitalizării tot mai accentuate a economiei Uniunii și al cererii în creștere din partea achizitorilor publici din întreaga Uniune de soluții inovatoare produse în Uniune, există un interes transfrontalier sporit din partea operatorilor economici de a participa la achizițiile publice în domeniul cercetării și dezvoltării efectuate de achizitorii publici din alte state membre. În timp ce Directivele 2014/23/UE</w:t>
      </w:r>
      <w:r>
        <w:rPr>
          <w:rStyle w:val="FootnoteReference"/>
          <w:noProof/>
        </w:rPr>
        <w:footnoteReference w:id="14"/>
      </w:r>
      <w:r>
        <w:rPr>
          <w:noProof/>
        </w:rPr>
        <w:t>, 2014/24/UE</w:t>
      </w:r>
      <w:r>
        <w:rPr>
          <w:rStyle w:val="FootnoteReference"/>
          <w:noProof/>
        </w:rPr>
        <w:footnoteReference w:id="15"/>
      </w:r>
      <w:r>
        <w:rPr>
          <w:noProof/>
        </w:rPr>
        <w:t xml:space="preserve"> și 2014/25/UE</w:t>
      </w:r>
      <w:r>
        <w:rPr>
          <w:rStyle w:val="FootnoteReference"/>
          <w:noProof/>
        </w:rPr>
        <w:footnoteReference w:id="16"/>
      </w:r>
      <w:r>
        <w:rPr>
          <w:noProof/>
        </w:rPr>
        <w:t xml:space="preserve"> ale Parlamentului European și ale Consiliului armonizează procedurile pentru achizițiile publice care intră în domeniul lor de aplicare, procedurile pentru achizițiile care nu intră în domeniul lor de aplicare sunt în prezent reglementate în principal de norme naționale fragmentate sau sunt exceptate de la normele naționale privind achizițiile publice și fac doar obiectul principiilor fundamentale prevăzute în tratate, astfel cum au fost interpretate de Curtea de Justiție a Uniunii Europene. Acest lucru se referă la majoritatea achizițiilor publice în domeniul cercetării și dezvoltării, în special la cele care nu intră în domeniul de aplicare al directivelor respective, deoarece beneficiile care rezultă din serviciile de cercetare și dezvoltare achiziționate nu revin exclusiv achizitorului public pentru utilizarea lor în desfășurarea propriilor activități, cum este cazul achizițiilor înainte de comercializare, sau deoarece serviciile de cercetare și dezvoltare achiziționate nu sunt remunerate integral de achizitorul public</w:t>
      </w:r>
      <w:r>
        <w:rPr>
          <w:rStyle w:val="FootnoteReference"/>
          <w:noProof/>
        </w:rPr>
        <w:footnoteReference w:id="17"/>
      </w:r>
      <w:r>
        <w:rPr>
          <w:noProof/>
        </w:rPr>
        <w:t>. Cu toate acestea, doar aplicarea acestor principii nu oferă suficientă claritate juridică achizitorilor publici, nu elimină fragmentarea transfrontalieră în punerea în aplicare a achizițiilor publice în domeniul cercetării și dezvoltării sau nu abordează barierele structurale din calea implicării achizitorilor publici în achiziții transfrontaliere comune în domeniul cercetării și dezvoltării. Din acest motiv, pentru achizițiile publice în domeniul cercetării și dezvoltării care depășesc o anumită valoare, ar trebui adoptate norme comune pentru a se asigura că acestor principii li se conferă un efect practic în vederea asigurării bunei funcționări a pieței interne.</w:t>
      </w:r>
    </w:p>
    <w:p>
      <w:pPr>
        <w:pStyle w:val="ManualConsidrant"/>
        <w:rPr>
          <w:noProof/>
        </w:rPr>
      </w:pPr>
      <w:r>
        <w:rPr>
          <w:noProof/>
        </w:rPr>
        <w:t>(3)</w:t>
      </w:r>
      <w:r>
        <w:rPr>
          <w:noProof/>
        </w:rPr>
        <w:tab/>
        <w:t>În cazul procedurilor de achiziții în domeniul cercetării și dezvoltării cărora nu li se aplică articolul 25 din Directiva 2014/23/UE, articolul 14 din Directiva 2014/24/UE și articolul 32 din Directiva 2014/25/UE, achizitorii publici ar trebui să aibă obligația de a aplica dispozițiile prezentului regulament. Cu toate acestea, caracteristicile specifice ale achizițiilor în domeniul apărării fac ca achizițiile publice de servicii de cercetare și dezvoltare în acest domeniu să fie deosebit de sensibile, necesitând adesea un nivel ridicat de confidențialitate și o mai mare flexibilitate pentru statele membre. Prin urmare, achizitorii publici nu ar trebui să fie obligați să aplice dispozițiile prezentului regulament achizițiilor în domeniul cercetării și dezvoltării care intră sub incidența derogărilor pentru achizițiile în domeniul cercetării și dezvoltării prevăzute în Directiva 2009/81/CE a Parlamentului European și a Consiliului</w:t>
      </w:r>
      <w:r>
        <w:rPr>
          <w:rStyle w:val="FootnoteReference"/>
          <w:noProof/>
        </w:rPr>
        <w:footnoteReference w:id="18"/>
      </w:r>
      <w:r>
        <w:rPr>
          <w:noProof/>
        </w:rPr>
        <w:t xml:space="preserve">. </w:t>
      </w:r>
    </w:p>
    <w:p>
      <w:pPr>
        <w:pStyle w:val="ManualConsidrant"/>
        <w:rPr>
          <w:noProof/>
        </w:rPr>
      </w:pPr>
      <w:r>
        <w:rPr>
          <w:noProof/>
        </w:rPr>
        <w:t>(4)</w:t>
      </w:r>
      <w:r>
        <w:rPr>
          <w:noProof/>
        </w:rPr>
        <w:tab/>
        <w:t>Digitalizarea procedurilor de achiziții în domeniul cercetării și dezvoltării este esențială pentru buna funcționare a pieței interne, deoarece poate reduce în mod semnificativ sarcinile administrative, poate crește eficiența și poate spori transparența. Prin urmare, toate procedurile de achiziții în domeniul cercetării și dezvoltării care intră în domeniul de aplicare al prezentului regulament ar trebui să se desfășoare, atunci când este posibil, prin intermediul portofelelor europene pentru întreprinderi sau prin mijloace electronice alternative care sunt interoperabile cu portofelele europene pentru întreprinderi.</w:t>
      </w:r>
    </w:p>
    <w:p>
      <w:pPr>
        <w:pStyle w:val="ManualConsidrant"/>
        <w:rPr>
          <w:noProof/>
        </w:rPr>
      </w:pPr>
      <w:r>
        <w:rPr>
          <w:noProof/>
        </w:rPr>
        <w:t>(5)</w:t>
      </w:r>
      <w:r>
        <w:rPr>
          <w:noProof/>
        </w:rPr>
        <w:tab/>
        <w:t>Pentru a îmbunătăți accesul la oportunitățile de afaceri în materie de achiziții în domeniul cercetării și dezvoltării și pentru a spori concurența în ceea ce privește atribuirea contractelor de achiziții în domeniul cercetării și dezvoltării, ar trebui facilitată în continuare participarea grupurilor de operatori economici. Acest lucru este deosebit de important pentru IMM-uri, start-upurile inovatoare și întreprinderile inovatoare în fază de extindere, care se confruntă adesea cu dificultăți în ceea ce privește accesul la oportunități mai mari de achiziții în domeniul cercetării și dezvoltării. Prin urmare, normele care reglementează participarea grupurilor de operatori economici și utilizarea capacităților combinate ar trebui clarificate și simplificate, asigurându-se, în același timp, că sunt impuse numai cerințele necesare pentru executarea corespunzătoare a contractului de achiziții în domeniul cercetării și dezvoltării.</w:t>
      </w:r>
    </w:p>
    <w:p>
      <w:pPr>
        <w:pStyle w:val="ManualConsidrant"/>
        <w:rPr>
          <w:noProof/>
        </w:rPr>
      </w:pPr>
      <w:r>
        <w:rPr>
          <w:noProof/>
        </w:rPr>
        <w:t>(6)</w:t>
      </w:r>
      <w:r>
        <w:rPr>
          <w:noProof/>
        </w:rPr>
        <w:tab/>
        <w:t>Subcontractarea unor părți ale unui contract de achiziții în domeniul cercetării și dezvoltării rămâne un instrument practic și puternic de colaborare între operatorii economici. Normele privind subcontractarea din prezentul regulament ar trebui să mențină libertatea contractuală și să faciliteze accesul IMM-urilor, al start-upurilor inovatoare și al întreprinderilor inovatoare în fază de extindere, permițându-le să participe în mod eficace la achizițiile publice în domeniul cercetării și dezvoltării și la lanțurile de aprovizionare conexe. Cu toate acestea, subcontractarea întregului contract de achiziții în domeniul cercetării și dezvoltării nu ar trebui să fie permisă în temeiul prezentului regulament, în special pentru a evita utilizarea abuzivă a subcontractării, mai ales în sectoarele care pot fi mai vulnerabile la exploatarea prin muncă din cauza presiunilor asupra costurilor și a lanțurilor complexe de subcontractare. În cazul în care o anumită contribuție, o anumită componentă sau un anumit serviciu care este esențial(ă) pentru desfășurarea activităților de cercetare și dezvoltare în interes public este disponibil(ă) numai de la un operator economic stabilit în țara care nu are acces la achiziții în domeniul cercetării și dezvoltării, achizitorul public ar trebui să poată permite utilizarea respectivei contribuții, componente sau a respectivului serviciu, inclusiv prin subcontractare.</w:t>
      </w:r>
    </w:p>
    <w:p>
      <w:pPr>
        <w:pStyle w:val="ManualConsidrant"/>
        <w:rPr>
          <w:noProof/>
        </w:rPr>
      </w:pPr>
      <w:r>
        <w:rPr>
          <w:noProof/>
        </w:rPr>
        <w:t>(7)</w:t>
      </w:r>
      <w:r>
        <w:rPr>
          <w:noProof/>
        </w:rPr>
        <w:tab/>
        <w:t>Fără consultarea pieței, achizitorii publici riscă să lanseze proceduri de achiziții în domeniul cercetării și dezvoltării pe baza unor caiete de sarcini care nu sunt suficient de adaptate la capacitățile reale ale operatorilor de pe piață, care favorizează soluțiile consacrate sau care nu oferă suficient spațiu de manevră pentru soluții inovatoare. Prin urmare, ar trebui stabilite norme comune pentru a se asigura că, în pregătirea unor astfel de proceduri, consultările preliminare ale pieței se desfășoară într-un mod transparent și accesibil publicului.</w:t>
      </w:r>
    </w:p>
    <w:p>
      <w:pPr>
        <w:pStyle w:val="ManualConsidrant"/>
        <w:rPr>
          <w:noProof/>
        </w:rPr>
      </w:pPr>
      <w:r>
        <w:rPr>
          <w:noProof/>
        </w:rPr>
        <w:t>(8)</w:t>
      </w:r>
      <w:r>
        <w:rPr>
          <w:noProof/>
        </w:rPr>
        <w:tab/>
        <w:t xml:space="preserve">Negocierile, cu posibilitatea de negociere în etape, pot permite achizitorilor publici să îmbunătățească calitatea, eficiența și valoarea globală a serviciilor de cercetare și dezvoltare achiziționate și rezultatele preconizate ale acestora, în special atunci când obiectul necesită adaptarea documentelor achizițiilor publice la nevoile operaționale și de inovare sau echilibrarea altor considerente strategice. O astfel de flexibilitate opțională ar trebui să fie oferită achizitorilor publici, permițându-le să decidă să lase anumite elemente ale documentelor achizițiilor publice deschise pentru negociere, inclusiv calendarul de plată sau mecanismul de soluționare a litigiilor, eliminând astfel una dintre sarcinile majore pentru participarea IMM-urilor la achizițiile publice. </w:t>
      </w:r>
    </w:p>
    <w:p>
      <w:pPr>
        <w:pStyle w:val="ManualConsidrant"/>
        <w:rPr>
          <w:noProof/>
        </w:rPr>
      </w:pPr>
      <w:r>
        <w:rPr>
          <w:noProof/>
        </w:rPr>
        <w:t>(9)</w:t>
      </w:r>
      <w:r>
        <w:rPr>
          <w:noProof/>
        </w:rPr>
        <w:tab/>
        <w:t xml:space="preserve">În conformitate cu cadrul juridic internațional și al UE privind achizițiile publice, achizițiile publice în domeniul cercetării și dezvoltării, inclusiv achizițiile înainte de comercializare, pot include producția și furnizarea limitată de prototipuri sau de prime produse, servicii sau lucrări pentru a încorpora rezultatele testelor pe teren și pentru a demonstra că produsul, serviciul sau lucrarea este adecvat(ă) pentru producția sau furnizarea în cantități care respectă standarde de calitate acceptabile, iar achizitorii publici pot obține dreptul de proprietate asupra acestui set limitat de prototipuri sau de prime produse, servicii sau lucrări care au fost dezvoltate la cererea achizitorului public în cursul și în scopul contractului respectiv de achiziții de servicii de cercetare și dezvoltare. În cursul unei proceduri de achiziții de servicii de cercetare și dezvoltare, achizitorii publici nu pot obține dreptul de proprietate asupra prototipurilor primelor produse, servicii sau lucrări care nu au fost dezvoltate la cererea lor sau care au fost dezvoltate pentru alte contracte. Pentru a asigura transparența pentru operatorii economici, normele comune asigură faptul că achizitorii publici specifică în documentele de achiziție ale unei achiziții în domeniul cercetării și dezvoltării dacă includ posibilitatea de a obține dreptul de proprietate asupra acestui set limitat de prototipuri dezvoltate sau de prime produse, servicii sau lucrări. </w:t>
      </w:r>
    </w:p>
    <w:p>
      <w:pPr>
        <w:pStyle w:val="ManualConsidrant"/>
        <w:rPr>
          <w:noProof/>
        </w:rPr>
      </w:pPr>
      <w:r>
        <w:rPr>
          <w:noProof/>
        </w:rPr>
        <w:t>(10)</w:t>
      </w:r>
      <w:r>
        <w:rPr>
          <w:noProof/>
        </w:rPr>
        <w:tab/>
        <w:t xml:space="preserve">Pentru anumite produse, servicii sau lucrări care trebuie achiziționate în urma unei proceduri de achiziții în domeniul cercetării și dezvoltării pentru a proteja interesele de securitate sau de siguranță publică ale Uniunii sau ale statelor sale membre, inclusiv pentru a evita deficitele de aprovizionare cu tehnologii critice, achizitorii publici ar trebui să fie în măsură să se asigure, atunci când încep o procedură de achiziții în domeniul cercetării și dezvoltării, că vor putea achiziționa, printr-o procedură de achiziții separată, cantitățile necesare de produse, servicii sau lucrări care rezultă din achizițiile publice în domeniul cercetării și dezvoltării. Prin urmare, dispozițiile comune ar trebui să permită achizitorilor publici să includă în contractele de achiziții în domeniul cercetării și dezvoltării dispoziții care să le ofere un drept prioritar de a achiziționa un volum sau o valoare predefinită a unor astfel de produse, servicii sau lucrări, înainte ca acestea să fie oferite altor cumpărători potențiali. Includerea unui drept prioritar de achiziție în contractele de achiziții în domeniul cercetării și dezvoltării nu oferă achizitorilor publici dreptul de a favoriza contractanții care au participat la achizițiile publice în domeniul cercetării și dezvoltării în ceea ce privește achizițiile ulterioare de astfel de produse, servicii sau lucrări. Orice astfel de achiziții trebuie efectuate în conformitate cu normele aplicabile ale Uniunii în materie de achiziții publice. </w:t>
      </w:r>
    </w:p>
    <w:p>
      <w:pPr>
        <w:pStyle w:val="ManualConsidrant"/>
        <w:rPr>
          <w:noProof/>
        </w:rPr>
      </w:pPr>
      <w:r>
        <w:rPr>
          <w:noProof/>
        </w:rPr>
        <w:t>(11)</w:t>
      </w:r>
      <w:r>
        <w:rPr>
          <w:noProof/>
        </w:rPr>
        <w:tab/>
        <w:t xml:space="preserve">Astfel cum s-a clarificat în jurisprudența Curții de Justiție, drepturile care decurg din legislația Uniunii în materie de achiziții publice nu se extind la operatorii economici care își au originea în țări terțe cu care Uniunea nu a încheiat acorduri comerciale de deschidere a pieței sale a achizițiilor publice. Pentru a asigura aplicarea eficace a acestei jurisprudențe și pentru a consolida autonomia strategică a Uniunii, ar trebui adoptate dispoziții comune care să deschidă accesul la achiziții în domeniul cercetării și dezvoltării, în general, numai operatorilor economici care își au originea în țări terțe cu care Uniunea a încheiat acorduri comerciale care deschid piața achizițiilor în domeniul cercetării și dezvoltării. În cazul în care acest lucru ar duce la o lipsă de oferte sau la costuri disproporționate, achizitorilor publici ar trebui să li se permită să deschidă achizițiile în domeniul cercetării și dezvoltării și operatorilor economici care își au originea în țări terțe cu care Uniunea a încheiat acorduri internaționale care îi deschid piața achizițiilor publice fără angajamente de deschidere a pieței sale de achiziții în domeniul cercetării și dezvoltării. În cazul în care țările candidate au încheiat cu Uniunea un acord care prevede accesul la achiziții publice, operatorii economici originari din țările respective ar trebui considerați operatori economici care intră sub incidența articolului 11 alineatul (4) din prezentul regulament, în conformitate cu clauzele și condițiile stabilite în acordul relevant. Această abordare reflectă perspectiva extinderii și a integrării treptate a țărilor candidate pe piața internă a Uniunii și este menită să sprijine o integrare economică mai strânsă, să încurajeze alinierea reglementărilor și să consolideze aplicarea normelor și standardelor Uniunii în vecinătatea sa imediată. În cazul în care acest lucru este justificat de interesele de securitate și siguranță publică ale Uniunii sau ale statelor sale membre, achizitorii publici ar trebui să poată restricționa și mai mult accesul la achizițiile în domeniul cercetării și dezvoltării numai pentru operatorii economici care își au originea în state membre și care nu se supun controlului unei țări terțe. În cazul în care o procedură de achiziții în domeniul cercetării și dezvoltării este sprijinită de Uniune în cadrul programelor și instrumentelor Uniunii, inclusiv al proiectelor-pilot sau al acțiunilor pregătitoare, ar trebui să se clarifice faptul că achizitorii publici trebuie să asigure respectarea condițiilor aferente sprijinului din partea Uniunii și în cazurile în care aceste condiții completează normele stabilite în temeiul prezentului regulament sau prevăd derogări de la acestea. </w:t>
      </w:r>
    </w:p>
    <w:p>
      <w:pPr>
        <w:pStyle w:val="ManualConsidrant"/>
        <w:rPr>
          <w:noProof/>
        </w:rPr>
      </w:pPr>
      <w:r>
        <w:rPr>
          <w:noProof/>
        </w:rPr>
        <w:t>(12)</w:t>
      </w:r>
      <w:r>
        <w:rPr>
          <w:noProof/>
        </w:rPr>
        <w:tab/>
        <w:t>Sunt necesare norme clare și uniforme privind determinarea originii pentru a asigura aplicarea eficace și coerentă a acoperirii internaționale și accesul la dispozițiile privind achizițiile în domeniul cercetării și dezvoltării în cadrul tuturor procedurilor de achiziții în domeniul cercetării și dezvoltării. Prin urmare, prezentul regulament ar trebui să stabilească reguli de origine pentru aplicarea normelor privind accesul la procedurile de achiziții în domeniul cercetării și dezvoltării.</w:t>
      </w:r>
    </w:p>
    <w:p>
      <w:pPr>
        <w:pStyle w:val="ManualConsidrant"/>
        <w:rPr>
          <w:noProof/>
        </w:rPr>
      </w:pPr>
      <w:r>
        <w:rPr>
          <w:noProof/>
        </w:rPr>
        <w:t>(13)</w:t>
      </w:r>
      <w:r>
        <w:rPr>
          <w:noProof/>
        </w:rPr>
        <w:tab/>
        <w:t>Operatorii economici ar trebui să fie excluși de la participarea la procedurile de achiziții în domeniul cercetării și dezvoltării în cazul în care au fost condamnați printr-o hotărâre definitivă pentru infracțiuni grave definite în legislația Uniunii. Măsurile de autocorectare nu ar trebui să fie permise din motive obligatorii de excludere, în timp ce pentru motivele opționale de excludere, care sunt legate de fiabilitatea operatorilor economici, operatorii respectivi ar trebui să își poată demonstra fiabilitatea prin intermediul unor măsuri de autocorectare. În acest context, ar trebui să se țină seama în mod corespunzător de orice cooperare cu autoritățile de anchetă care vizează clarificarea faptelor și circumstanțelor relevante. Statele membre nu ar trebui să adauge alte motive de excludere bazate pe criterii legate de situația profesională a ofertantului: totuși, acest lucru nu ar trebui să împiedice statele membre să adauge alte motive legitime de excludere, cum ar fi cele care vizează prevenirea sau abordarea amenințărilor la adresa securității naționale.</w:t>
      </w:r>
    </w:p>
    <w:p>
      <w:pPr>
        <w:pStyle w:val="ManualConsidrant"/>
        <w:rPr>
          <w:noProof/>
        </w:rPr>
      </w:pPr>
      <w:r>
        <w:rPr>
          <w:noProof/>
        </w:rPr>
        <w:t>(14)</w:t>
      </w:r>
      <w:r>
        <w:rPr>
          <w:noProof/>
        </w:rPr>
        <w:tab/>
        <w:t>Pentru a asigura egalitatea de șanse pentru toți operatorii economici din întreaga Uniune, este necesar să se stabilească norme comune care să prevadă că achizitorii publici nu utilizează motive de excludere, criterii de selecție și cerințe privind garanția financiară în cadrul procedurilor de achiziții în domeniul cercetării și dezvoltării care sunt disproporționate în raport cu domeniul de aplicare și cu natura contractului de achiziții în domeniul cercetării și dezvoltării. În cazul în care este necesară utilizarea motivelor obligatorii de excludere, utilizarea criteriilor de selecție și a cerințelor privind garanția financiară ar trebui să rămână opțională și nu ar trebui să fie utilizată atunci când nu este necesară pentru a asigura rezultate bune pentru achizițiile în domeniul cercetării și dezvoltării. Achizitorii publici nu ar trebui să solicite experiență prealabilă în contractele de achiziții în domeniul cercetării și dezvoltării ca atare, cu excepția cazului în care acest lucru este strict justificat de natura serviciilor de cercetare și dezvoltare în cauză, și ar trebui, de asemenea, să evite cerințele administrative și financiare excesive care pot exclude în mod inutil întreprinderile inovatoare de la oportunitățile de achiziții în domeniul cercetării și dezvoltării. În cazul în care sunt necesare cerințe minime privind capacitatea financiară, start-upurile sau întreprinderile inovatoare în fază de extindere care nu au un istoric în ceea ce privește cifra de afaceri sau situațiile financiare, dar care sunt viabile din punct de vedere tehnic și financiar, deoarece dețin alte resurse financiare, cum ar fi investiții cu capital de risc sau active de proprietate intelectuală valoroase, nu ar trebui să fie descalificate. Atunci când sunt necesare garanții financiare, acestea ar trebui reduse pentru start-upurile inovatoare, întreprinderile inovatoare în fază de extindere și IMM-urile inovatoare, iar achizitorii publici ar trebui să reducă sau să elibereze în timp util garanțiile financiare odată ce acestea nu mai sunt justificate.</w:t>
      </w:r>
    </w:p>
    <w:p>
      <w:pPr>
        <w:pStyle w:val="ManualConsidrant"/>
        <w:rPr>
          <w:noProof/>
        </w:rPr>
      </w:pPr>
      <w:r>
        <w:rPr>
          <w:noProof/>
        </w:rPr>
        <w:t>(15)</w:t>
      </w:r>
      <w:r>
        <w:rPr>
          <w:noProof/>
        </w:rPr>
        <w:tab/>
        <w:t>Pentru a se asigura că inovarea contribuie la îmbunătățirea calității serviciilor publice și la consolidarea autonomiei strategice, în cadrul achizițiilor publice în domeniul cercetării și dezvoltării, achizitorii publici ar trebui să aplice criterii de atribuire și criterii de monitorizare a performanței contractelor bazate mai degrabă pe calitatea și pe impactul ofertei asupra inovării decât doar pe preț. Prin urmare, ar trebui stabilite norme comune privind modul de formulare a acestor criterii, astfel încât să se țină seama de valoarea adăugată a ofertei pentru piața internă. Contractele de achiziții în domeniul cercetării și dezvoltării ar trebui atribuite pe baza metodei celui mai bun raport preț-calitate. Prin urmare, prezentul regulament ar trebui să prevadă o pondere minimă de 50 % pentru criteriile de calitate și o pondere minimă de 15 % pentru criteriile de atribuire legate de inovare în etapa de atribuire.</w:t>
      </w:r>
    </w:p>
    <w:p>
      <w:pPr>
        <w:pStyle w:val="ManualConsidrant"/>
        <w:rPr>
          <w:noProof/>
        </w:rPr>
      </w:pPr>
      <w:r>
        <w:rPr>
          <w:noProof/>
        </w:rPr>
        <w:t>(16)</w:t>
      </w:r>
      <w:r>
        <w:rPr>
          <w:noProof/>
        </w:rPr>
        <w:tab/>
        <w:t>Cerințele excesiv de detaliate contribuie adesea la reducerea inutilă a participării operatorilor economici și pot împiedica inovarea. Pentru a facilita competitivitatea piețelor de achiziții în domeniul cercetării și dezvoltării, caracteristicile serviciilor de cercetare și dezvoltare care fac obiectul achizițiilor în domeniul cercetării și dezvoltării ar trebui, ca regulă generală, să fie elaborate acordând prioritate cerințelor funcționale și, acolo unde este necesar, cerințelor de performanță, în loc să fie concepute cerințe prescriptive. Acestea ar putea include specificarea funcționalităților minime pe care trebuie să le aibă testarea, cum ar fi testarea la sarcină, testarea la solicitare, niciuna dintre acestea sau ambele. De asemenea, ar putea include specificarea nivelului de performanță pe care trebuie să îl aibă rezultatele preconizate ale testării, de exemplu nivelul de precizie necesar al datelor de testare care urmează să fie generate prin testare.</w:t>
      </w:r>
    </w:p>
    <w:p>
      <w:pPr>
        <w:pStyle w:val="ManualConsidrant"/>
        <w:rPr>
          <w:noProof/>
        </w:rPr>
      </w:pPr>
      <w:r>
        <w:rPr>
          <w:noProof/>
        </w:rPr>
        <w:t>(17)</w:t>
      </w:r>
      <w:r>
        <w:rPr>
          <w:noProof/>
        </w:rPr>
        <w:tab/>
        <w:t xml:space="preserve">Posibilitatea ca contractanții să păstreze drepturile de proprietate intelectuală atrage oferte mai multe și de o calitate mai bună pentru achizițiile în domeniul cercetării și dezvoltării și îi scutește pe achizitorii publici de costurile aferente înregistrării și menținerii drepturilor de proprietate intelectuală, precum și de costurile aferente litigiilor. De asemenea, aceasta permite contractanților să își comercializeze rezultatele în materie de cercetare și dezvoltare și să vândă pe piață produse și servicii dezvoltate prin economii de scară. Achizitorii publici ar trebui să își poată menține libertatea de a funcționa și de a preveni dependența de furnizor prin obținerea unor drepturi adecvate de utilizare a rezultatelor în materie de cercetare și dezvoltare pentru ei înșiși și pentru ceilalți contractanți ai lor. În cazul în care contractanții nu comercializează rezultatele în materie de cercetare și dezvoltare sau abuzează de aceste rezultate contrar interesului public, achizitorii publici ar trebui să poată recurge la acordarea de licențe sau la transferul rezultatelor în materie de cercetare și dezvoltare ale contractanților, însă acest lucru ar trebui să se realizeze numai în conformitate cu legislația națională și a Uniunii aplicabilă și cu alte obligații internaționale privind proprietatea intelectuală, pentru a nu priva în mod nejustificat contractanții de drepturile lor de proprietate intelectuală. Prin urmare, ar trebui stabilite norme comune pentru a încuraja ca, în cadrul achizițiilor în domeniul cercetării și dezvoltării, riscurile și beneficiile legate de rezultate și de drepturile de proprietate intelectuală să fie partajate între achizitorii publici și contractanți, în condiții de piață. Achizițiile în domeniul cercetării și dezvoltării care nu sunt achiziții înainte de comercializare ar trebui să poată deroga de la principiul partajării riscurilor și a beneficiilor în condiții de piață care să permită achizitorilor publici să dobândească drepturile de proprietate intelectuală generate de contractanți, în cazuri justificate în mod corespunzător de interese publice majore. </w:t>
      </w:r>
    </w:p>
    <w:p>
      <w:pPr>
        <w:pStyle w:val="ManualConsidrant"/>
        <w:rPr>
          <w:noProof/>
        </w:rPr>
      </w:pPr>
      <w:r>
        <w:rPr>
          <w:noProof/>
        </w:rPr>
        <w:t>(18)</w:t>
      </w:r>
      <w:r>
        <w:rPr>
          <w:noProof/>
        </w:rPr>
        <w:tab/>
        <w:t>Este necesar să se clarifice anumite aspecte legate de executarea contractului care au o legătură strânsă cu însăși procedura de achiziții în domeniul cercetării și dezvoltării, inclusiv plățile, rezilierea contractelor și modificările contractelor. Efectuarea la timp a plăților și utilizarea adecvată a plăților în avans sunt importante pentru a reduce la minimum efectele negative asupra lichidității și pentru a evita complicarea gestionării financiare a operatorilor economici. Obligațiile de reziliere a contractelor în curs ar trebui definite pentru a preveni încălcarea obligațiilor prevăzute în tratat sau aplicarea motivelor de excludere. Pe lângă faptul că se permite în continuare achizitorilor publici să modifice contractele de achiziții în domeniul cercetării și dezvoltării pentru situații care au fost prevăzute încă de la început, ar trebui să se clarifice modul în care contractele de achiziții în domeniul cercetării și dezvoltării pot fi modificate în condiții neprevăzute. Aceste dispoziții ar trebui să permită o mai bună aplicare în situațiile care justifică o modificare, fără a lansa o nouă procedură de achiziții în domeniul cercetării și dezvoltării. Cu toate acestea, valoarea modificărilor în comparație cu contractul inițial de achiziții în domeniul cercetării și dezvoltării ar trebui să fie considerată doar ca prag pentru publicarea ex ante și pentru o eventuală revizuire în vederea combaterii potențialelor utilizări abuzive.</w:t>
      </w:r>
    </w:p>
    <w:p>
      <w:pPr>
        <w:pStyle w:val="ManualConsidrant"/>
        <w:rPr>
          <w:noProof/>
        </w:rPr>
      </w:pPr>
      <w:r>
        <w:rPr>
          <w:noProof/>
        </w:rPr>
        <w:t>(19)</w:t>
      </w:r>
      <w:r>
        <w:rPr>
          <w:noProof/>
        </w:rPr>
        <w:tab/>
        <w:t>Este necesar să se asigure securitatea juridică cu privire la modul în care achizitorii publici pot efectua în mod corect analiza valorii în achizițiile în domeniul cercetării și dezvoltării, deoarece acest lucru generează economii semnificative de costuri și îmbunătățiri semnificative ale calității pentru achizitorii publici</w:t>
      </w:r>
      <w:r>
        <w:rPr>
          <w:rStyle w:val="FootnoteReference"/>
          <w:noProof/>
        </w:rPr>
        <w:footnoteReference w:id="19"/>
      </w:r>
      <w:r>
        <w:rPr>
          <w:noProof/>
        </w:rPr>
        <w:t xml:space="preserve">, permițând flexibilitatea de a modifica contractele de achiziții în domeniul cercetării și dezvoltării pentru a încorpora inovațiile apărute în cursul executării contractului. Prin urmare, ar trebui stabilite norme comune pentru a încuraja utilizarea analizei valorii în achizițiile din domeniul cercetării și dezvoltării, în special în cazul contractelor de achiziții în domeniul cercetării și dezvoltării cu o valoare ridicată, în care impactul potențial asupra costurilor sau a îmbunătățirii calității este cel mai semnificativ. </w:t>
      </w:r>
    </w:p>
    <w:p>
      <w:pPr>
        <w:pStyle w:val="ManualConsidrant"/>
        <w:rPr>
          <w:noProof/>
        </w:rPr>
      </w:pPr>
      <w:r>
        <w:rPr>
          <w:noProof/>
        </w:rPr>
        <w:t>(20)</w:t>
      </w:r>
      <w:r>
        <w:rPr>
          <w:noProof/>
        </w:rPr>
        <w:tab/>
        <w:t>Aprovizionarea de la mai mulți furnizori în cadrul achizițiilor în domeniul cercetării și dezvoltării facilitează intrarea pe piață a noilor operatori și permite achizitorilor publici să reducă costurile aferente cercetării și dezvoltării și rezultatele preconizate ale acesteia prin introducerea concurenței în domeniul dezvoltării („dezvoltare competitivă”). De asemenea, ajută achizitorii publici să mențină un lanț de aprovizionare competitiv după achizițiile în domeniul cercetării și dezvoltării și să reducă dependențele excesive de operatorii economici individuali. Prin urmare, ar trebui stabilite norme comune pentru aprovizionarea de la mai mulți furnizori în cadrul achizițiilor în domeniul cercetării și dezvoltării. În ceea ce privește achizițiile în domeniul cercetării și dezvoltării care nu sunt achiziții înainte de comercializare, achizitorii publici ar trebui să poată deroga de la aprovizionarea de la mai mulți furnizori, în cazuri justificate în mod corespunzător de interese publice majore.</w:t>
      </w:r>
    </w:p>
    <w:p>
      <w:pPr>
        <w:pStyle w:val="ManualConsidrant"/>
        <w:rPr>
          <w:noProof/>
        </w:rPr>
      </w:pPr>
      <w:r>
        <w:rPr>
          <w:noProof/>
        </w:rPr>
        <w:t>(21)</w:t>
      </w:r>
      <w:r>
        <w:rPr>
          <w:noProof/>
        </w:rPr>
        <w:tab/>
        <w:t>Organizarea dezvoltării competitive în etape permite, de asemenea, achizitorilor publici să reducă numărul contractanților după fiecare etapă de cercetare și dezvoltare, ceea ce reduce riscurile în materie de cercetare și dezvoltare și de investiții pentru achizitorii publici. O abordare etapizată le permite, de asemenea, contractanților să își dezvolte activitatea pe măsură ce cresc volumul sarcinilor și dimensiunea contractelor aferente etapelor succesive de cercetare și dezvoltare, facilitând astfel și mai mult accesul pe piață al întreprinderilor mai mici și al noilor operatori. O abordare etapizată poate contribui totodată la îmbunătățirea sprijinului pentru cercetarea industrială și dezvoltarea experimentală, pentru a elimina decalajul persistent dintre excelența științifică și implementarea industrială în Uniune. Prin urmare, ar trebui stabilite norme comune pentru dezvoltarea competitivă în etape în cadrul achizițiilor în domeniul cercetării și dezvoltării. În ceea ce privește achizițiile în domeniul cercetării și dezvoltării care nu constituie achiziții înainte de comercializare, achizitorii publici ar trebui să poată deroga de la utilizarea dezvoltării competitive în etape, în cazuri justificate în mod corespunzător de existența unor interese publice majore.</w:t>
      </w:r>
    </w:p>
    <w:p>
      <w:pPr>
        <w:pStyle w:val="ManualConsidrant"/>
        <w:rPr>
          <w:noProof/>
        </w:rPr>
      </w:pPr>
      <w:r>
        <w:rPr>
          <w:noProof/>
        </w:rPr>
        <w:t>(22)</w:t>
      </w:r>
      <w:r>
        <w:rPr>
          <w:noProof/>
        </w:rPr>
        <w:tab/>
        <w:t>Protecția insuficientă a informațiilor confidențiale și a datelor cu caracter personal în cadrul achizițiilor în domeniul cercetării și dezvoltării poate afecta creșterea economică a contractantului, siguranța serviciilor publice și drepturile fundamentale ale părților terțe care participă la activitățile de cercetare și dezvoltare. Prin urmare, nici achizitorii publici, nici contractanții nu ar trebui să divulge informațiile confidențiale care le-au fost furnizate în contextul unei achiziții în domeniul cercetării și dezvoltării. Pentru a asigura un nivel consecvent și ridicat de protecție a persoanelor fizice, achizitorii publici pot, de asemenea, să restricționeze localizarea și accesul în Uniune la datele cu caracter personal prelucrate în cadrul achizițiilor în domeniul cercetării și dezvoltării, în conformitate cu limitările privind transferul de date cu caracter personal în afara Uniunii prevăzute în Regulamentul (UE) 2016/679 al Parlamentului European și al Consiliului</w:t>
      </w:r>
      <w:r>
        <w:rPr>
          <w:rStyle w:val="FootnoteReference"/>
          <w:noProof/>
        </w:rPr>
        <w:footnoteReference w:id="20"/>
      </w:r>
      <w:r>
        <w:rPr>
          <w:noProof/>
        </w:rPr>
        <w:t xml:space="preserve"> și în Directiva 2002/58/CE a Parlamentului European și a Consiliului</w:t>
      </w:r>
      <w:r>
        <w:rPr>
          <w:rStyle w:val="FootnoteReference"/>
          <w:noProof/>
        </w:rPr>
        <w:footnoteReference w:id="21"/>
      </w:r>
      <w:r>
        <w:rPr>
          <w:noProof/>
        </w:rPr>
        <w:t xml:space="preserve">. </w:t>
      </w:r>
    </w:p>
    <w:p>
      <w:pPr>
        <w:pStyle w:val="ManualConsidrant"/>
        <w:rPr>
          <w:noProof/>
        </w:rPr>
      </w:pPr>
      <w:r>
        <w:rPr>
          <w:noProof/>
        </w:rPr>
        <w:t>(23)</w:t>
      </w:r>
      <w:r>
        <w:rPr>
          <w:noProof/>
        </w:rPr>
        <w:tab/>
        <w:t>Considerente de securitate și siguranță publică pot apărea într-o gamă largă de proceduri de achiziții în domeniul cercetării și dezvoltării, inclusiv în afara domeniului apărării și a sectoarelor sensibile din perspectiva securității. Ar trebui stabilite norme comune pentru achizitorii publici cu privire la evaluarea și abordarea unor astfel de riscuri în conceperea și desfășurarea procedurilor de achiziții în domeniul cercetării și dezvoltării și în executarea contractelor.</w:t>
      </w:r>
    </w:p>
    <w:p>
      <w:pPr>
        <w:pStyle w:val="ManualConsidrant"/>
        <w:rPr>
          <w:noProof/>
        </w:rPr>
      </w:pPr>
      <w:r>
        <w:rPr>
          <w:noProof/>
        </w:rPr>
        <w:t>(24)</w:t>
      </w:r>
      <w:r>
        <w:rPr>
          <w:noProof/>
        </w:rPr>
        <w:tab/>
        <w:t>Există un interes sporit din partea achizitorilor publici din diferite state membre de a coopera la organizarea procedurilor lor de achiziții în domeniul cercetării și dezvoltării. Prin urmare, ar trebui stabilite norme comune pentru achizițiile comune pentru a depăși obstacolele cu care se confruntă în prezent achizitorii publici din cauza normelor naționale fragmentate de organizare în colaborare a achizițiilor în domeniul cercetării și dezvoltării, fie prin intermediul organismelor centrale de achiziție, fie prin achiziții comune, inclusiv la nivel transfrontalier. Există, de asemenea, un interes sporit al achizitorilor publici din statele membre de a colabora cu entitățile Uniunii în ceea ce privește achizițiile în domeniul cercetării și dezvoltării. Întrucât multe dintre noile dispoziții din prezentul regulament sunt utile și pentru entitățile Uniunii, dar entitățile Uniunii nu fac obiectul prezentului regulament, viitoarele revizuiri ale Regulamentului financiar al UE vor urmări să îmbunătățească dispozițiile care permit instituțiilor, organelor sau agențiilor Uniunii să efectueze achiziții în domeniul cercetării și dezvoltării, inclusiv achiziții înainte de comercializare, pentru ele însele, împreună cu alte entități ale Uniunii sau în numele acestora și împreună cu achizitorii publici din statele membre sau în numele acestora.</w:t>
      </w:r>
    </w:p>
    <w:p>
      <w:pPr>
        <w:pStyle w:val="ManualConsidrant"/>
        <w:rPr>
          <w:noProof/>
        </w:rPr>
      </w:pPr>
      <w:r>
        <w:rPr>
          <w:noProof/>
        </w:rPr>
        <w:t>(25)</w:t>
      </w:r>
      <w:r>
        <w:rPr>
          <w:noProof/>
        </w:rPr>
        <w:tab/>
        <w:t>Operatorii economici se confruntă cu dificultăți în mobilizarea activelor de PI pentru a obține finanțare pentru creștere, din cauza lipsei unor abordări coerente și fiabile în ceea ce privește evaluarea activelor necorporale, a piețelor secundare structurate pentru activele necorporale și a competențelor privind finanțarea garantată cu PI. Prin urmare, în cadrul Oficiului Uniunii Europene pentru Proprietate Intelectuală (denumit în continuare „Oficiul”) ar trebui înființat un Centru de competențe pentru sprijinirea finanțării și comercializării drepturilor de proprietate intelectuală garantate cu PI, care să dezvolte un cadru voluntar al Uniunii pentru evaluarea și prezentarea drepturilor de proprietate intelectuală, să instituie și să mențină o platformă digitală pentru stabilirea de contacte</w:t>
      </w:r>
      <w:r>
        <w:rPr>
          <w:rStyle w:val="FootnoteReference"/>
          <w:noProof/>
        </w:rPr>
        <w:footnoteReference w:id="22"/>
      </w:r>
      <w:r>
        <w:rPr>
          <w:noProof/>
        </w:rPr>
        <w:t>, multilingvă, la nivelul întregii Uniuni, care să faciliteze tranzacții transparente și eficace cu active de PI între investitori și titularii drepturilor de PI, precum și să sprijine comunitatea financiară în conceperea și punerea în aplicare a unor instrumente financiare adaptate activelor de PI, prin servicii de consiliere, servicii de asistență și programe de dezvoltare a competențelor. Accesul la serviciile furnizate de Centrul de competențe ar trebui să fie voluntar. Centrul de competențe ar trebui, atunci când este posibil, să utilizeze portofelele europene pentru întreprinderi și să permită operatorilor economici să interacționeze pe deplin digital, securizat și eficient prin intermediul portofelelor europene pentru întreprinderi sau prin mijloace electronice alternative care îndeplinesc cerințele prezentului regulament și care sunt interoperabile cu portofelele europene pentru întreprinderi, permițând astfel proceduri complet digitale.</w:t>
      </w:r>
    </w:p>
    <w:p>
      <w:pPr>
        <w:pStyle w:val="ManualConsidrant"/>
        <w:rPr>
          <w:noProof/>
          <w:sz w:val="22"/>
        </w:rPr>
      </w:pPr>
      <w:r>
        <w:rPr>
          <w:noProof/>
        </w:rPr>
        <w:t>(26)</w:t>
      </w:r>
      <w:r>
        <w:rPr>
          <w:noProof/>
        </w:rPr>
        <w:tab/>
        <w:t>Oficiul ar trebui să poată percepe anumite tarife pentru servicii specifice furnizate prin intermediul Centrului de competențe în beneficiul individual al utilizatorilor, în conformitate cu articolul 178 din Regulamentul (UE) 2017/1001 al Parlamentului European și al Consiliului</w:t>
      </w:r>
      <w:r>
        <w:rPr>
          <w:rStyle w:val="FootnoteReference"/>
          <w:noProof/>
        </w:rPr>
        <w:footnoteReference w:id="23"/>
      </w:r>
      <w:r>
        <w:rPr>
          <w:noProof/>
        </w:rPr>
        <w:t>. Aceste tarife ar trebui să fie transparente, nediscriminatorii și limitate la costul serviciului furnizat. Anumite servicii, inclusiv accesul la cadrul voluntar de evaluare, accesul de bază la platforma digitală pentru stabilirea de contacte și serviciul de asistență la nivelul Uniunii, ar trebui să rămână gratuite.</w:t>
      </w:r>
    </w:p>
    <w:p>
      <w:pPr>
        <w:pStyle w:val="ManualConsidrant"/>
        <w:rPr>
          <w:noProof/>
          <w:sz w:val="22"/>
        </w:rPr>
      </w:pPr>
      <w:r>
        <w:rPr>
          <w:noProof/>
        </w:rPr>
        <w:t>(27)</w:t>
      </w:r>
      <w:r>
        <w:rPr>
          <w:noProof/>
        </w:rPr>
        <w:tab/>
        <w:t xml:space="preserve">Utilizarea eficace a cadrului voluntar de evaluare al Uniunii impune efectuarea evaluărilor de către profesioniști calificați, independenți și de încredere. Prin urmare, Oficiul ar trebui să instituie și să administreze un sistem de certificare al Uniunii pentru evaluatorii activelor de proprietate intelectuală. </w:t>
      </w:r>
    </w:p>
    <w:p>
      <w:pPr>
        <w:pStyle w:val="ManualConsidrant"/>
        <w:rPr>
          <w:noProof/>
        </w:rPr>
      </w:pPr>
      <w:r>
        <w:rPr>
          <w:noProof/>
        </w:rPr>
        <w:t>(28)</w:t>
      </w:r>
      <w:r>
        <w:rPr>
          <w:noProof/>
        </w:rPr>
        <w:tab/>
        <w:t xml:space="preserve">Lipsa unor informații accesibile și coerente la nivelul Uniunii cu privire la tranzacțiile în care drepturile de proprietate intelectuală sunt utilizate ca garanții reale împiedică elaborarea de politici bazate pe date concrete și dezvoltarea de noi soluții financiare. În acest scop, Oficiul ar trebui, prin intermediul Centrului de competențe, să coopereze cu statele membre și cu părțile interesate relevante din sectorul public și privat pentru a colecta și a analiza date la nivelul Uniunii privind tranzacțiile garantate cu PI, asigurând totodată garanții adecvate pentru protejarea secretelor comerciale și a datelor cu caracter personal. </w:t>
      </w:r>
    </w:p>
    <w:p>
      <w:pPr>
        <w:pStyle w:val="ManualConsidrant"/>
        <w:rPr>
          <w:noProof/>
          <w:sz w:val="22"/>
        </w:rPr>
      </w:pPr>
      <w:r>
        <w:rPr>
          <w:noProof/>
        </w:rPr>
        <w:t>(29)</w:t>
      </w:r>
      <w:r>
        <w:rPr>
          <w:noProof/>
        </w:rPr>
        <w:tab/>
        <w:t>Atribuțiile care îi revin Oficiului prin prezentul regulament ar trebui să se reflecte într-o secțiune distinctă a programului său strategic multianual și a programului său anual de lucru, care să stabilească obiectivele relevante, activitățile, rezultatele preconizate, indicatorii de performanță și resursele estimate. Raportul anual de activitate ar trebui să conțină o evaluare corespunzătoare a punerii în aplicare, a resurselor utilizate și a veniturilor provenite din tarifele percepute.</w:t>
      </w:r>
    </w:p>
    <w:p>
      <w:pPr>
        <w:pStyle w:val="ManualConsidrant"/>
        <w:rPr>
          <w:noProof/>
        </w:rPr>
      </w:pPr>
      <w:r>
        <w:rPr>
          <w:noProof/>
        </w:rPr>
        <w:t>(30)</w:t>
      </w:r>
      <w:r>
        <w:rPr>
          <w:noProof/>
        </w:rPr>
        <w:tab/>
        <w:t xml:space="preserve">Regulamentul (UE) 2017/1001 instituie Oficiul și stabilește atribuțiile acestuia. Prin urmare, regulamentul respectiv ar trebui modificat pentru a reflecta noile atribuții încredințate Oficiului. </w:t>
      </w:r>
    </w:p>
    <w:p>
      <w:pPr>
        <w:pStyle w:val="ManualConsidrant"/>
        <w:rPr>
          <w:noProof/>
        </w:rPr>
      </w:pPr>
      <w:r>
        <w:rPr>
          <w:noProof/>
        </w:rPr>
        <w:t>(31)</w:t>
      </w:r>
      <w:r>
        <w:rPr>
          <w:noProof/>
        </w:rPr>
        <w:tab/>
        <w:t>Pentru a ține seama de dezvoltarea tehnologică și pentru a menține un cadru eficient de măsuri de consolidare a ecosistemului de inovare la nivelul Uniunii, competența de a adopta acte în conformitate cu articolul 290 din Tratatul privind funcționarea Uniunii Europene ar trebui delegată Comisiei în ceea ce privește: completarea prezentului regulament prin excluderea ofertelor care își au originea într-o țară terță care nu a prevăzut un tratament național legat de operatorii economici din Uniune în cadrul achizițiilor în domeniul cercetării și dezvoltării, contrar angajamentelor sale privind achizițiile publice dintr-un acord internațional cu Uniunea; modificarea listei cazurilor în care achizitorii publici pot decide să nu aplice partajarea riscurilor și a beneficiilor, să nu aplice aprovizionarea de la mai mulți furnizori sau să nu aplice dezvoltarea competitivă în etape completează prezentul regulament prin stabilirea unor specificații tehnice obligatorii, a unor criterii de selecție, a unor criterii de atribuire sau a unor clauze de executare a contractului pentru a răspunde unui interes specific identificat al Uniunii în materie de securitate și siguranță publică pentru anumite categorii de servicii de achiziții în domeniul cercetării și dezvoltării sau pentru rezultatele preconizate ale acestora. Este deosebit de important ca, în cursul activității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Pr>
          <w:rStyle w:val="FootnoteReference"/>
          <w:noProof/>
        </w:rPr>
        <w:footnoteReference w:id="24"/>
      </w:r>
      <w:r>
        <w:rPr>
          <w:noProof/>
        </w:rPr>
        <w:t>. În special, pentru a asigura participarea egală la pregătirea actelor delegate, Parlamentul European și Consiliul ar trebui să primească toate documentele în același timp cu experții din statele membre, iar experții acestor instituții ar trebui să aibă acces sistematic la reuniunile grupurilor de experți ale Comisiei însărcinate cu pregătirea actelor delegate.</w:t>
      </w:r>
    </w:p>
    <w:p>
      <w:pPr>
        <w:pStyle w:val="ManualConsidrant"/>
        <w:rPr>
          <w:noProof/>
        </w:rPr>
      </w:pPr>
      <w:r>
        <w:rPr>
          <w:noProof/>
        </w:rPr>
        <w:t>(32)</w:t>
      </w:r>
      <w:r>
        <w:rPr>
          <w:noProof/>
        </w:rPr>
        <w:tab/>
        <w:t>În vederea asigurării unor condiții uniforme pentru punerea în aplicare a prezentului regulament, ar trebui conferite competențe de executare Comisiei pentru adoptarea specificațiilor tehnice pentru aplicarea uniformă a cadrului voluntar al Uniunii în ceea ce privește evaluarea și prezentarea drepturilor de proprietate intelectuală, a standardelor tehnice, a cerințelor de interoperabilitate și a specificațiilor operaționale comune ale unei platforme digitale pentru stabilirea de contacte, precum și a condițiilor detaliate pentru punerea în aplicare a sistemului de certificare a evaluatorilor din domeniul proprietății intelectuale. Respectivele competențe ar trebui exercitate în conformitate cu Regulamentul (UE) nr. 182/2011 al Parlamentului European și al Consiliului.</w:t>
      </w:r>
    </w:p>
    <w:p>
      <w:pPr>
        <w:pStyle w:val="ManualConsidrant"/>
        <w:rPr>
          <w:noProof/>
        </w:rPr>
      </w:pPr>
      <w:r>
        <w:rPr>
          <w:noProof/>
        </w:rPr>
        <w:t>(33)</w:t>
      </w:r>
      <w:r>
        <w:rPr>
          <w:noProof/>
        </w:rPr>
        <w:tab/>
        <w:t>În cazul în care competența de a adopta acte în conformitate cu articolul 290 din tratat este delegată Comisiei în temeiul prezentului regulament,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În special, pentru a asigura participarea egală la pregătirea actelor delegate, Parlamentul European și Consiliul ar trebui să primească toate documentele în același timp cu experții din statele membre, iar experții acestor instituții ar trebui să aibă acces sistematic la reuniunile grupurilor de experți ale Comisiei însărcinate cu pregătirea actelor delegate.</w:t>
      </w:r>
    </w:p>
    <w:p>
      <w:pPr>
        <w:pStyle w:val="ManualConsidrant"/>
        <w:rPr>
          <w:noProof/>
        </w:rPr>
      </w:pPr>
      <w:r>
        <w:rPr>
          <w:noProof/>
        </w:rPr>
        <w:t>(34)</w:t>
      </w:r>
      <w:r>
        <w:rPr>
          <w:noProof/>
        </w:rPr>
        <w:tab/>
        <w:t>Întrucât obiectivele prezentului regulament nu pot fi realizate în mod satisfăcător de către statele membre, dar, având în vedere amploarea și efectele sale, acestea pot fi realizate mai bine la nivelul Uniunii, aceasta poate adopta măsuri, în conformitate cu principiul proporționalității, astfel cum este prevăzut la articolul 5 din Tratatul privind Uniunea Europeană. De asemenea, în conformitate cu principiul proporționalității, astfel cum este prevăzut la articolul respectiv, prezentul regulament nu depășește ceea ce este necesar pentru realizarea obiectivelor respective.</w:t>
      </w:r>
    </w:p>
    <w:p>
      <w:pPr>
        <w:pStyle w:val="ManualConsidrant"/>
        <w:rPr>
          <w:noProof/>
        </w:rPr>
      </w:pPr>
      <w:r>
        <w:rPr>
          <w:noProof/>
        </w:rPr>
        <w:t>(35)</w:t>
      </w:r>
      <w:r>
        <w:rPr>
          <w:noProof/>
        </w:rPr>
        <w:tab/>
        <w:t>Prezentul regulament nu ar trebui să aducă atingere aplicării normelor privind ajutorul de stat și concurența, în special articolelor 101, 102 și 107 din Tratatul privind funcționarea Uniunii Europene. Măsurile prevăzute prin prezentul regulament nu ar trebui să fie utilizate pentru a restrânge sau a distorsiona concurența într-un mod care să contravină Tratatului privind funcționarea Uniunii Europene,</w:t>
      </w:r>
    </w:p>
    <w:p>
      <w:pPr>
        <w:pStyle w:val="Formuledadoption"/>
        <w:rPr>
          <w:noProof/>
        </w:rPr>
      </w:pPr>
      <w:r>
        <w:rPr>
          <w:noProof/>
        </w:rPr>
        <w:t>ADOPTĂ PREZENTUL REGULAMENT:</w:t>
      </w:r>
    </w:p>
    <w:p>
      <w:pPr>
        <w:pStyle w:val="ChapterTitle"/>
        <w:rPr>
          <w:noProof/>
        </w:rPr>
      </w:pPr>
      <w:r>
        <w:rPr>
          <w:noProof/>
        </w:rPr>
        <w:t>Capitolul 1</w:t>
      </w:r>
      <w:r>
        <w:rPr>
          <w:noProof/>
        </w:rPr>
        <w:br/>
        <w:t>DISPOZIȚII GENERALE</w:t>
      </w:r>
    </w:p>
    <w:p>
      <w:pPr>
        <w:pStyle w:val="Titrearticle"/>
        <w:rPr>
          <w:noProof/>
        </w:rPr>
      </w:pPr>
      <w:r>
        <w:rPr>
          <w:noProof/>
        </w:rPr>
        <w:t>Articolul 1</w:t>
      </w:r>
    </w:p>
    <w:p>
      <w:pPr>
        <w:pStyle w:val="NormalCentered"/>
        <w:rPr>
          <w:noProof/>
        </w:rPr>
      </w:pPr>
      <w:r>
        <w:rPr>
          <w:b/>
          <w:noProof/>
        </w:rPr>
        <w:t xml:space="preserve">Obiect </w:t>
      </w:r>
      <w:bookmarkStart w:id="21" w:name="_Ref219981729"/>
      <w:bookmarkStart w:id="22" w:name="_Ref219985716"/>
    </w:p>
    <w:bookmarkEnd w:id="21"/>
    <w:bookmarkEnd w:id="22"/>
    <w:p>
      <w:pPr>
        <w:rPr>
          <w:noProof/>
        </w:rPr>
      </w:pPr>
      <w:r>
        <w:rPr>
          <w:noProof/>
        </w:rPr>
        <w:t xml:space="preserve">Prezentul regulament stabilește norme comune pentru derularea achizițiilor de servicii de cercetare și dezvoltare („achiziții în domeniul cercetării și dezvoltării”), inclusiv un cadru armonizat al Uniunii pentru achizițiile comune în domeniul cercetării și dezvoltării. </w:t>
      </w:r>
    </w:p>
    <w:p>
      <w:pPr>
        <w:rPr>
          <w:noProof/>
        </w:rPr>
      </w:pPr>
      <w:r>
        <w:rPr>
          <w:noProof/>
        </w:rPr>
        <w:t>Prezentul regulament instituie, de asemenea, un Centru de competențe în cadrul Oficiului Uniunii Europene pentru Proprietate Intelectuală și stabilește atribuțiile Oficiului Uniunii Europene pentru Proprietate Intelectuală în ceea ce privește finanțarea garantată prin drepturi de proprietate intelectuală și comercializarea proprietății intelectuale.</w:t>
      </w:r>
    </w:p>
    <w:p>
      <w:pPr>
        <w:pStyle w:val="Titrearticle"/>
        <w:rPr>
          <w:noProof/>
        </w:rPr>
      </w:pPr>
      <w:r>
        <w:rPr>
          <w:noProof/>
        </w:rPr>
        <w:t>Articolul 2</w:t>
      </w:r>
    </w:p>
    <w:p>
      <w:pPr>
        <w:pStyle w:val="NormalCentered"/>
        <w:rPr>
          <w:b/>
          <w:noProof/>
        </w:rPr>
      </w:pPr>
      <w:r>
        <w:rPr>
          <w:b/>
          <w:noProof/>
        </w:rPr>
        <w:t>Domeniul de aplicare</w:t>
      </w:r>
    </w:p>
    <w:p>
      <w:pPr>
        <w:pStyle w:val="ManualNumPar1"/>
        <w:rPr>
          <w:noProof/>
        </w:rPr>
      </w:pPr>
      <w:r>
        <w:rPr>
          <w:noProof/>
        </w:rPr>
        <w:t>1.</w:t>
      </w:r>
      <w:r>
        <w:rPr>
          <w:noProof/>
        </w:rPr>
        <w:tab/>
        <w:t>Sub rezerva alineatului (3), capitolul 2 din prezentul regulament se aplică achizițiilor de servicii de cercetare și dezvoltare efectuate de achizitori publici a căror valoare estimată, fără taxa pe valoarea adăugată (TVA), este egală sau mai mare decât suma prevăzută la articolul 4 litera (c) din Directiva 2014/24/UE.</w:t>
      </w:r>
    </w:p>
    <w:p>
      <w:pPr>
        <w:pStyle w:val="ManualNumPar1"/>
        <w:rPr>
          <w:noProof/>
        </w:rPr>
      </w:pPr>
      <w:r>
        <w:rPr>
          <w:noProof/>
        </w:rPr>
        <w:t>2.</w:t>
      </w:r>
      <w:r>
        <w:rPr>
          <w:noProof/>
        </w:rPr>
        <w:tab/>
        <w:t>Prin derogare de la alineatul (1) și sub rezerva alineatului (3), capitolul 2 din prezentul regulament se aplică achizițiilor de servicii de cercetare și dezvoltare efectuate de achizitori publici, care sunt agenții pentru inovare, cu o valoare estimată fără taxa pe valoarea adăugată (TVA) egală sau mai mare decât suma prevăzută la articolul 15 litera (a) din Directiva 2014/25/UE, cu condiția ca:</w:t>
      </w:r>
    </w:p>
    <w:p>
      <w:pPr>
        <w:pStyle w:val="Point1"/>
        <w:rPr>
          <w:noProof/>
        </w:rPr>
      </w:pPr>
      <w:r>
        <w:rPr>
          <w:noProof/>
        </w:rPr>
        <w:t>(a)</w:t>
      </w:r>
      <w:r>
        <w:rPr>
          <w:noProof/>
        </w:rPr>
        <w:tab/>
        <w:t>agenția pentru inovare să acționeze în nume propriu și nu doar în numele unui alt achizitor public;</w:t>
      </w:r>
    </w:p>
    <w:p>
      <w:pPr>
        <w:pStyle w:val="Point1"/>
        <w:rPr>
          <w:noProof/>
        </w:rPr>
      </w:pPr>
      <w:r>
        <w:rPr>
          <w:noProof/>
        </w:rPr>
        <w:t>(b)</w:t>
      </w:r>
      <w:r>
        <w:rPr>
          <w:noProof/>
        </w:rPr>
        <w:tab/>
        <w:t>achiziția de servicii de cercetare și dezvoltare să respecte principiile transparenței, nediscriminării și egalității de tratament.</w:t>
      </w:r>
    </w:p>
    <w:p>
      <w:pPr>
        <w:pStyle w:val="ManualNumPar1"/>
        <w:rPr>
          <w:noProof/>
        </w:rPr>
      </w:pPr>
      <w:r>
        <w:rPr>
          <w:noProof/>
        </w:rPr>
        <w:t>3.</w:t>
      </w:r>
      <w:r>
        <w:rPr>
          <w:noProof/>
        </w:rPr>
        <w:tab/>
        <w:t>Capitolul 2 din prezentul regulament nu se aplică:</w:t>
      </w:r>
    </w:p>
    <w:p>
      <w:pPr>
        <w:pStyle w:val="Point1"/>
        <w:ind w:left="1276" w:hanging="425"/>
        <w:rPr>
          <w:noProof/>
        </w:rPr>
      </w:pPr>
      <w:r>
        <w:rPr>
          <w:noProof/>
        </w:rPr>
        <w:t>(a)</w:t>
      </w:r>
      <w:r>
        <w:rPr>
          <w:noProof/>
        </w:rPr>
        <w:tab/>
        <w:t>achizițiilor publice care intră în domeniul de aplicare al Directivelor 2014/23/UE, 2014/24/UE și 2014/25/UE;</w:t>
      </w:r>
    </w:p>
    <w:p>
      <w:pPr>
        <w:pStyle w:val="Point1"/>
        <w:ind w:left="1276" w:hanging="425"/>
        <w:rPr>
          <w:noProof/>
        </w:rPr>
      </w:pPr>
      <w:r>
        <w:rPr>
          <w:noProof/>
        </w:rPr>
        <w:t>(b)</w:t>
      </w:r>
      <w:r>
        <w:rPr>
          <w:noProof/>
        </w:rPr>
        <w:tab/>
        <w:t xml:space="preserve">achizițiilor publice care intră în domeniul de aplicare al Directivei 2009/81/CE; </w:t>
      </w:r>
    </w:p>
    <w:p>
      <w:pPr>
        <w:pStyle w:val="Point1"/>
        <w:ind w:left="1276" w:hanging="425"/>
        <w:rPr>
          <w:noProof/>
        </w:rPr>
      </w:pPr>
      <w:r>
        <w:rPr>
          <w:noProof/>
        </w:rPr>
        <w:t>(c)</w:t>
      </w:r>
      <w:r>
        <w:rPr>
          <w:noProof/>
        </w:rPr>
        <w:tab/>
        <w:t xml:space="preserve">achizițiilor publice care sunt excluse din Directiva 2009/81/CE în temeiul dispozițiilor directivei respective. </w:t>
      </w:r>
    </w:p>
    <w:p>
      <w:pPr>
        <w:pStyle w:val="ManualNumPar1"/>
        <w:rPr>
          <w:noProof/>
        </w:rPr>
      </w:pPr>
      <w:r>
        <w:rPr>
          <w:noProof/>
        </w:rPr>
        <w:t>4.</w:t>
      </w:r>
      <w:r>
        <w:rPr>
          <w:noProof/>
        </w:rPr>
        <w:tab/>
        <w:t>Capitolul 3 se aplică Oficiului Uniunii Europene pentru Proprietate Intelectuală.</w:t>
      </w:r>
    </w:p>
    <w:p>
      <w:pPr>
        <w:pStyle w:val="Titrearticle"/>
        <w:rPr>
          <w:noProof/>
        </w:rPr>
      </w:pPr>
      <w:r>
        <w:rPr>
          <w:noProof/>
        </w:rPr>
        <w:t>Articolul 3</w:t>
      </w:r>
    </w:p>
    <w:p>
      <w:pPr>
        <w:pStyle w:val="NormalCentered"/>
        <w:rPr>
          <w:noProof/>
        </w:rPr>
      </w:pPr>
      <w:r>
        <w:rPr>
          <w:b/>
          <w:noProof/>
        </w:rPr>
        <w:t>Definiții</w:t>
      </w:r>
    </w:p>
    <w:p>
      <w:pPr>
        <w:rPr>
          <w:noProof/>
        </w:rPr>
      </w:pPr>
      <w:r>
        <w:rPr>
          <w:noProof/>
        </w:rPr>
        <w:t>În sensul prezentului regulament, se aplică următoarele definiții:</w:t>
      </w:r>
    </w:p>
    <w:p>
      <w:pPr>
        <w:pStyle w:val="Point0"/>
        <w:rPr>
          <w:noProof/>
        </w:rPr>
      </w:pPr>
      <w:r>
        <w:rPr>
          <w:noProof/>
        </w:rPr>
        <w:t>(1)</w:t>
      </w:r>
      <w:r>
        <w:rPr>
          <w:noProof/>
        </w:rPr>
        <w:tab/>
        <w:t>„</w:t>
      </w:r>
      <w:r>
        <w:rPr>
          <w:b/>
          <w:noProof/>
        </w:rPr>
        <w:t>achiziții de servicii de cercetare și dezvoltare («achiziții în domeniul cercetării și dezvoltării»)</w:t>
      </w:r>
      <w:r>
        <w:rPr>
          <w:noProof/>
        </w:rPr>
        <w:t xml:space="preserve">” înseamnă achiziționarea de servicii de cercetare fundamentală, de cercetare industrială și de dezvoltare experimentală până la stadiul dezvoltării inițiale, în cadrul căreia </w:t>
      </w:r>
    </w:p>
    <w:p>
      <w:pPr>
        <w:pStyle w:val="Point1"/>
        <w:rPr>
          <w:noProof/>
        </w:rPr>
      </w:pPr>
      <w:r>
        <w:rPr>
          <w:noProof/>
        </w:rPr>
        <w:t>(a)</w:t>
      </w:r>
      <w:r>
        <w:rPr>
          <w:noProof/>
        </w:rPr>
        <w:tab/>
        <w:t xml:space="preserve">dezvoltarea inițială a unui prim produs, a unui prim serviciu sau a unei prime lucrări poate include producția sau furnizarea limitată în scopul încorporării rezultatelor testelor din teren și pentru a demonstra că produsul, serviciul sau lucrarea în cauză este adecvat(ă) pentru producția sau furnizarea în cantități la standarde acceptate de calitate, însă nu include producția sau furnizarea cantitativă pentru a stabili viabilitatea comercială sau pentru a amortiza cheltuielile de cercetare și dezvoltare; </w:t>
      </w:r>
    </w:p>
    <w:p>
      <w:pPr>
        <w:pStyle w:val="Point1"/>
        <w:rPr>
          <w:noProof/>
        </w:rPr>
      </w:pPr>
      <w:r>
        <w:rPr>
          <w:noProof/>
        </w:rPr>
        <w:t>(b)</w:t>
      </w:r>
      <w:r>
        <w:rPr>
          <w:noProof/>
        </w:rPr>
        <w:tab/>
        <w:t>achiziția de servicii de cercetare și dezvoltare poate include obținerea de prototipuri sau de prime produse, servicii sau lucrări care sunt dezvoltate la cererea achizitorului public în cursul și în scopul unui anumit contract de achiziții în domeniul cercetării și dezvoltării, dar nu include utilizarea comercială a produselor, a serviciilor sau a lucrărilor finite; </w:t>
      </w:r>
    </w:p>
    <w:p>
      <w:pPr>
        <w:pStyle w:val="Point0"/>
        <w:rPr>
          <w:rFonts w:eastAsia="Times New Roman"/>
          <w:noProof/>
        </w:rPr>
      </w:pPr>
      <w:r>
        <w:rPr>
          <w:noProof/>
        </w:rPr>
        <w:t>(2)</w:t>
      </w:r>
      <w:r>
        <w:rPr>
          <w:noProof/>
        </w:rPr>
        <w:tab/>
        <w:t>„</w:t>
      </w:r>
      <w:r>
        <w:rPr>
          <w:b/>
          <w:noProof/>
        </w:rPr>
        <w:t>achiziție înainte de comercializare</w:t>
      </w:r>
      <w:r>
        <w:rPr>
          <w:noProof/>
        </w:rPr>
        <w:t>” înseamnă achiziția de servicii de cercetare și dezvoltare care implică partajarea riscurilor și beneficiilor în condiții de piață și dezvoltarea concurențială în etape;</w:t>
      </w:r>
    </w:p>
    <w:p>
      <w:pPr>
        <w:pStyle w:val="Point0"/>
        <w:rPr>
          <w:noProof/>
        </w:rPr>
      </w:pPr>
      <w:r>
        <w:rPr>
          <w:noProof/>
        </w:rPr>
        <w:t>(3)</w:t>
      </w:r>
      <w:r>
        <w:rPr>
          <w:noProof/>
        </w:rPr>
        <w:tab/>
        <w:t>„</w:t>
      </w:r>
      <w:r>
        <w:rPr>
          <w:b/>
          <w:noProof/>
        </w:rPr>
        <w:t>achizitor public</w:t>
      </w:r>
      <w:r>
        <w:rPr>
          <w:noProof/>
        </w:rPr>
        <w:t>” înseamnă o autoritate contractantă astfel cum este definită la articolul 6 alineatul (1) din Directiva 2014/23/UE, la articolul 2 alineatul (1) punctul 1 din Directiva 2014/24/UE, la articolul 3 alineatul (1) din Directiva 2014/25/UE sau o entitate contractantă astfel cum este definită la articolul 7 alineatul (1) din Directiva 2014/23/UE și în sensul articolului 4 alineatul (1) din Directiva 2014/25/UE; </w:t>
      </w:r>
    </w:p>
    <w:p>
      <w:pPr>
        <w:pStyle w:val="Point0"/>
        <w:rPr>
          <w:noProof/>
        </w:rPr>
      </w:pPr>
      <w:r>
        <w:rPr>
          <w:noProof/>
        </w:rPr>
        <w:t>(4)</w:t>
      </w:r>
      <w:r>
        <w:rPr>
          <w:noProof/>
        </w:rPr>
        <w:tab/>
        <w:t>„</w:t>
      </w:r>
      <w:r>
        <w:rPr>
          <w:b/>
          <w:noProof/>
        </w:rPr>
        <w:t>agenție pentru inovare</w:t>
      </w:r>
      <w:r>
        <w:rPr>
          <w:noProof/>
        </w:rPr>
        <w:t xml:space="preserve">” înseamnă o agenție specializată a cărei principală sarcină statutară este finanțarea sau achiziționarea de servicii de cercetare și dezvoltare; </w:t>
      </w:r>
    </w:p>
    <w:p>
      <w:pPr>
        <w:pStyle w:val="Point0"/>
        <w:rPr>
          <w:noProof/>
        </w:rPr>
      </w:pPr>
      <w:r>
        <w:rPr>
          <w:noProof/>
        </w:rPr>
        <w:t>(5)</w:t>
      </w:r>
      <w:r>
        <w:rPr>
          <w:noProof/>
        </w:rPr>
        <w:tab/>
        <w:t>„</w:t>
      </w:r>
      <w:r>
        <w:rPr>
          <w:b/>
          <w:noProof/>
        </w:rPr>
        <w:t>contract de achiziții în domeniul cercetării și dezvoltării</w:t>
      </w:r>
      <w:r>
        <w:rPr>
          <w:noProof/>
        </w:rPr>
        <w:t>” înseamnă un contract încheiat în scris între unul sau mai mulți operatori economici și unul sau mai mulți achizitori publici și care are ca obiect furnizarea de servicii de cercetare și dezvoltare care intră în domeniul de aplicare al prezentului regulament;</w:t>
      </w:r>
    </w:p>
    <w:p>
      <w:pPr>
        <w:pStyle w:val="Point0"/>
        <w:rPr>
          <w:noProof/>
        </w:rPr>
      </w:pPr>
      <w:r>
        <w:rPr>
          <w:noProof/>
        </w:rPr>
        <w:t>(6)</w:t>
      </w:r>
      <w:r>
        <w:rPr>
          <w:noProof/>
        </w:rPr>
        <w:tab/>
        <w:t>„</w:t>
      </w:r>
      <w:r>
        <w:rPr>
          <w:b/>
          <w:noProof/>
        </w:rPr>
        <w:t>ofertant</w:t>
      </w:r>
      <w:r>
        <w:rPr>
          <w:noProof/>
        </w:rPr>
        <w:t>” înseamnă un operator economic care a depus o ofertă;</w:t>
      </w:r>
    </w:p>
    <w:p>
      <w:pPr>
        <w:pStyle w:val="Point0"/>
        <w:rPr>
          <w:noProof/>
        </w:rPr>
      </w:pPr>
      <w:r>
        <w:rPr>
          <w:noProof/>
        </w:rPr>
        <w:t>(7)</w:t>
      </w:r>
      <w:r>
        <w:rPr>
          <w:noProof/>
        </w:rPr>
        <w:tab/>
        <w:t>„</w:t>
      </w:r>
      <w:r>
        <w:rPr>
          <w:b/>
          <w:noProof/>
        </w:rPr>
        <w:t>contractant</w:t>
      </w:r>
      <w:r>
        <w:rPr>
          <w:noProof/>
        </w:rPr>
        <w:t>” înseamnă un operator economic căruia i-a fost atribuit un contract de achiziții în domeniul cercetării și dezvoltării;</w:t>
      </w:r>
    </w:p>
    <w:p>
      <w:pPr>
        <w:pStyle w:val="Point0"/>
        <w:rPr>
          <w:noProof/>
        </w:rPr>
      </w:pPr>
      <w:r>
        <w:rPr>
          <w:noProof/>
        </w:rPr>
        <w:t>(8)</w:t>
      </w:r>
      <w:r>
        <w:rPr>
          <w:noProof/>
        </w:rPr>
        <w:tab/>
        <w:t>„</w:t>
      </w:r>
      <w:r>
        <w:rPr>
          <w:b/>
          <w:noProof/>
        </w:rPr>
        <w:t>coduri CPV pentru servicii de cercetare și dezvoltare</w:t>
      </w:r>
      <w:r>
        <w:rPr>
          <w:noProof/>
        </w:rPr>
        <w:t>” înseamnă codurile din diviziunea 73 din Vocabularul comun privind achizițiile publice prevăzut în Regulamentul (CE) nr. 213/2008 al Comisiei</w:t>
      </w:r>
      <w:r>
        <w:rPr>
          <w:rStyle w:val="FootnoteReference"/>
          <w:noProof/>
        </w:rPr>
        <w:footnoteReference w:id="25"/>
      </w:r>
      <w:r>
        <w:rPr>
          <w:noProof/>
        </w:rPr>
        <w:t>.</w:t>
      </w:r>
    </w:p>
    <w:p>
      <w:pPr>
        <w:pStyle w:val="Point0"/>
        <w:rPr>
          <w:noProof/>
        </w:rPr>
      </w:pPr>
      <w:r>
        <w:rPr>
          <w:noProof/>
        </w:rPr>
        <w:t>(9)</w:t>
      </w:r>
      <w:r>
        <w:rPr>
          <w:noProof/>
        </w:rPr>
        <w:tab/>
        <w:t>„</w:t>
      </w:r>
      <w:r>
        <w:rPr>
          <w:b/>
          <w:noProof/>
        </w:rPr>
        <w:t>operator economic</w:t>
      </w:r>
      <w:r>
        <w:rPr>
          <w:noProof/>
        </w:rPr>
        <w:t xml:space="preserve">” înseamnă orice persoană fizică sau juridică sau o entitate publică sau grup de astfel de persoane și/sau entități, inclusiv orice asociere temporară de întreprinderi, care oferă execuția de lucrări și/sau o lucrare, furnizarea de produse sau prestarea de servicii pe piață; </w:t>
      </w:r>
    </w:p>
    <w:p>
      <w:pPr>
        <w:pStyle w:val="Point0"/>
        <w:rPr>
          <w:noProof/>
        </w:rPr>
      </w:pPr>
      <w:r>
        <w:rPr>
          <w:noProof/>
        </w:rPr>
        <w:t>(10)</w:t>
      </w:r>
      <w:r>
        <w:rPr>
          <w:noProof/>
        </w:rPr>
        <w:tab/>
        <w:t>„</w:t>
      </w:r>
      <w:r>
        <w:rPr>
          <w:b/>
          <w:noProof/>
        </w:rPr>
        <w:t>document al achiziției</w:t>
      </w:r>
      <w:r>
        <w:rPr>
          <w:noProof/>
        </w:rPr>
        <w:t xml:space="preserve">” înseamnă orice document produs de achizitorul public sau la care acesta face trimitere pentru a descrie sau a defini elementele achiziției sau ale procedurii, inclusiv anunțul de participare, anunțul de intenție, în cazul în care este utilizat ca mijloc de convocare la o procedură concurențială de ofertare, specificațiile tehnice, documentul descriptiv, condițiile contractuale propuse, formatele pentru prezentarea documentelor de către ofertanți, informațiile privind obligațiile general aplicabile și orice alte documente adiționale; </w:t>
      </w:r>
    </w:p>
    <w:p>
      <w:pPr>
        <w:pStyle w:val="Point0"/>
        <w:rPr>
          <w:noProof/>
        </w:rPr>
      </w:pPr>
      <w:r>
        <w:rPr>
          <w:noProof/>
        </w:rPr>
        <w:t>(11)</w:t>
      </w:r>
      <w:r>
        <w:rPr>
          <w:noProof/>
        </w:rPr>
        <w:tab/>
        <w:t>„</w:t>
      </w:r>
      <w:r>
        <w:rPr>
          <w:b/>
          <w:noProof/>
        </w:rPr>
        <w:t>aprovizionare de la mai mulți furnizori</w:t>
      </w:r>
      <w:r>
        <w:rPr>
          <w:noProof/>
        </w:rPr>
        <w:t>” înseamnă o achiziție în domeniul cercetării și dezvoltării prin care unul sau mai mulți achizitori publici atribuie în paralel mai multe contracte de achiziții în domeniul cercetării și dezvoltării mai multor operatori economici și le încredințează executarea în paralel a unor servicii de cercetare și dezvoltare identice ori cvasiidentice;</w:t>
      </w:r>
    </w:p>
    <w:p>
      <w:pPr>
        <w:pStyle w:val="Point0"/>
        <w:rPr>
          <w:noProof/>
        </w:rPr>
      </w:pPr>
      <w:r>
        <w:rPr>
          <w:noProof/>
        </w:rPr>
        <w:t>(12)</w:t>
      </w:r>
      <w:r>
        <w:rPr>
          <w:noProof/>
        </w:rPr>
        <w:tab/>
        <w:t>„</w:t>
      </w:r>
      <w:r>
        <w:rPr>
          <w:b/>
          <w:noProof/>
        </w:rPr>
        <w:t>abatere formală sau neregulă minoră a unei oferte</w:t>
      </w:r>
      <w:r>
        <w:rPr>
          <w:noProof/>
        </w:rPr>
        <w:t>” înseamnă un viciu al unei oferte care poate fi identificat în mod obiectiv, are caracter pur formal și nu se referă la un element esențial al ofertei, a cărui corectare sau clarificare nu conduce la modificarea ofertei, nu echivalează cu depunerea unei noi oferte și nu denaturează concurența și nici nu încalcă principiile egalității de tratament și transparenței;</w:t>
      </w:r>
    </w:p>
    <w:p>
      <w:pPr>
        <w:pStyle w:val="Point0"/>
        <w:rPr>
          <w:noProof/>
        </w:rPr>
      </w:pPr>
      <w:r>
        <w:rPr>
          <w:noProof/>
        </w:rPr>
        <w:t>(13)</w:t>
      </w:r>
      <w:r>
        <w:rPr>
          <w:noProof/>
        </w:rPr>
        <w:tab/>
        <w:t>„</w:t>
      </w:r>
      <w:r>
        <w:rPr>
          <w:b/>
          <w:noProof/>
        </w:rPr>
        <w:t>inovare</w:t>
      </w:r>
      <w:r>
        <w:rPr>
          <w:noProof/>
        </w:rPr>
        <w:t>” înseamnă introducerea unui produs, a unui serviciu, a unei lucrări sau a unui proces, a unei metode de comercializare sau a unei metode de organizare noi sau îmbunătățite în mod semnificativ în practicile comerciale, în organizarea locului de muncă sau în relațiile externe;</w:t>
      </w:r>
    </w:p>
    <w:p>
      <w:pPr>
        <w:pStyle w:val="Point0"/>
        <w:rPr>
          <w:noProof/>
        </w:rPr>
      </w:pPr>
      <w:r>
        <w:rPr>
          <w:noProof/>
        </w:rPr>
        <w:t>(14)</w:t>
      </w:r>
      <w:r>
        <w:rPr>
          <w:noProof/>
        </w:rPr>
        <w:tab/>
        <w:t>„</w:t>
      </w:r>
      <w:r>
        <w:rPr>
          <w:b/>
          <w:noProof/>
        </w:rPr>
        <w:t>IMM</w:t>
      </w:r>
      <w:r>
        <w:rPr>
          <w:noProof/>
        </w:rPr>
        <w:t>” înseamnă o microîntreprindere ori o întreprindere mică sau mijlocie, astfel cum este în anexa la Recomandarea 2003/361/CE a Comisiei</w:t>
      </w:r>
      <w:r>
        <w:rPr>
          <w:rStyle w:val="FootnoteReference"/>
          <w:noProof/>
        </w:rPr>
        <w:footnoteReference w:id="26"/>
      </w:r>
      <w:r>
        <w:rPr>
          <w:noProof/>
        </w:rPr>
        <w:t>;</w:t>
      </w:r>
    </w:p>
    <w:p>
      <w:pPr>
        <w:pStyle w:val="Point0"/>
        <w:rPr>
          <w:noProof/>
        </w:rPr>
      </w:pPr>
      <w:r>
        <w:rPr>
          <w:noProof/>
        </w:rPr>
        <w:t>(15)</w:t>
      </w:r>
      <w:r>
        <w:rPr>
          <w:noProof/>
        </w:rPr>
        <w:tab/>
        <w:t>„</w:t>
      </w:r>
      <w:r>
        <w:rPr>
          <w:b/>
          <w:noProof/>
        </w:rPr>
        <w:t>start-up inovator</w:t>
      </w:r>
      <w:r>
        <w:rPr>
          <w:noProof/>
        </w:rPr>
        <w:t>” înseamnă, în sensul prezentului act și fără a face această definiție obligatorie în alte scopuri, o întreprindere care îndeplinește criteriile unui start-up inovator prevăzute la punctul 3 din anexa la Recomandarea (UE) 2026/720 a Comisiei</w:t>
      </w:r>
      <w:r>
        <w:rPr>
          <w:rStyle w:val="FootnoteReference"/>
          <w:noProof/>
        </w:rPr>
        <w:footnoteReference w:id="27"/>
      </w:r>
      <w:r>
        <w:rPr>
          <w:noProof/>
        </w:rPr>
        <w:t xml:space="preserve">; </w:t>
      </w:r>
    </w:p>
    <w:p>
      <w:pPr>
        <w:pStyle w:val="Point0"/>
        <w:rPr>
          <w:rFonts w:eastAsia="Times New Roman"/>
          <w:noProof/>
          <w:kern w:val="2"/>
          <w14:ligatures w14:val="standardContextual"/>
        </w:rPr>
      </w:pPr>
      <w:r>
        <w:rPr>
          <w:noProof/>
        </w:rPr>
        <w:t>(16)</w:t>
      </w:r>
      <w:r>
        <w:rPr>
          <w:noProof/>
        </w:rPr>
        <w:tab/>
        <w:t>„</w:t>
      </w:r>
      <w:r>
        <w:rPr>
          <w:b/>
          <w:noProof/>
        </w:rPr>
        <w:t>întreprindere inovatoare în fază de extindere</w:t>
      </w:r>
      <w:r>
        <w:rPr>
          <w:noProof/>
        </w:rPr>
        <w:t>” înseamnă, în sensul prezentului act și fără a face această definiție obligatorie în alte scopuri, o întreprindere care îndeplinește criteriile unei întreprinderi inovatoare în fază de extindere prevăzute la punctul 4 din anexa la Recomandarea (UE) 2026/720 a Comisiei;</w:t>
      </w:r>
    </w:p>
    <w:p>
      <w:pPr>
        <w:pStyle w:val="Point0"/>
        <w:rPr>
          <w:rFonts w:eastAsia="Times New Roman"/>
          <w:noProof/>
        </w:rPr>
      </w:pPr>
      <w:r>
        <w:rPr>
          <w:noProof/>
        </w:rPr>
        <w:t>(17)</w:t>
      </w:r>
      <w:r>
        <w:rPr>
          <w:noProof/>
        </w:rPr>
        <w:tab/>
        <w:t>„</w:t>
      </w:r>
      <w:r>
        <w:rPr>
          <w:b/>
          <w:noProof/>
        </w:rPr>
        <w:t>întreprindere inovatoare</w:t>
      </w:r>
      <w:r>
        <w:rPr>
          <w:noProof/>
        </w:rPr>
        <w:t>” înseamnă, în sensul prezentului act și fără ca această definiție să fie obligatorie în alte scopuri, o întreprindere care îndeplinește criteriile unei întreprinderi inovatoare prevăzute la punctul 2.1 din anexa la Recomandarea (UE) 2026/720 a Comisiei;</w:t>
      </w:r>
    </w:p>
    <w:p>
      <w:pPr>
        <w:pStyle w:val="Point0"/>
        <w:rPr>
          <w:noProof/>
        </w:rPr>
      </w:pPr>
      <w:r>
        <w:rPr>
          <w:noProof/>
        </w:rPr>
        <w:t>(18)</w:t>
      </w:r>
      <w:r>
        <w:rPr>
          <w:noProof/>
        </w:rPr>
        <w:tab/>
        <w:t>„</w:t>
      </w:r>
      <w:r>
        <w:rPr>
          <w:b/>
          <w:noProof/>
        </w:rPr>
        <w:t>situație de urgență</w:t>
      </w:r>
      <w:r>
        <w:rPr>
          <w:noProof/>
        </w:rPr>
        <w:t>” înseamnă o perturbare bruscă, neașteptată și gravă a operațiunilor economice, care implică deficite de produse, lucrări sau servicii critice, o volatilitate extremă a prețurilor sau întreruperi ale lanțului de aprovizionare și care necesită acțiuni imediate pentru a preveni producerea unor prejudicii suplimentare economiei, întreprinderilor sau consumatorilor din Uniune; </w:t>
      </w:r>
    </w:p>
    <w:p>
      <w:pPr>
        <w:pStyle w:val="Point0"/>
        <w:rPr>
          <w:rFonts w:eastAsia="Times New Roman"/>
          <w:noProof/>
          <w:szCs w:val="24"/>
        </w:rPr>
      </w:pPr>
      <w:r>
        <w:rPr>
          <w:noProof/>
        </w:rPr>
        <w:t>(19)</w:t>
      </w:r>
      <w:r>
        <w:rPr>
          <w:noProof/>
        </w:rPr>
        <w:tab/>
        <w:t>„</w:t>
      </w:r>
      <w:r>
        <w:rPr>
          <w:b/>
          <w:noProof/>
        </w:rPr>
        <w:t>cerință funcțională</w:t>
      </w:r>
      <w:r>
        <w:rPr>
          <w:noProof/>
        </w:rPr>
        <w:t>” înseamnă o cerință care descrie funcțiile care trebuie îndeplinite, fără a prescrie mijloacele tehnice specifice, proiectul, soluția sau metodele prin care trebuie îndeplinite funcțiile respective;</w:t>
      </w:r>
    </w:p>
    <w:p>
      <w:pPr>
        <w:pStyle w:val="Point0"/>
        <w:rPr>
          <w:rFonts w:eastAsia="Times New Roman"/>
          <w:noProof/>
        </w:rPr>
      </w:pPr>
      <w:r>
        <w:rPr>
          <w:noProof/>
        </w:rPr>
        <w:t>(20)</w:t>
      </w:r>
      <w:r>
        <w:rPr>
          <w:noProof/>
        </w:rPr>
        <w:tab/>
        <w:t>„</w:t>
      </w:r>
      <w:r>
        <w:rPr>
          <w:b/>
          <w:noProof/>
        </w:rPr>
        <w:t>cerință de performanță</w:t>
      </w:r>
      <w:r>
        <w:rPr>
          <w:noProof/>
        </w:rPr>
        <w:t xml:space="preserve">” înseamnă o cerință care definește performanța sau rezultatele care trebuie obținute, inclusiv criteriile de verificare a conformității, fără a prescrie mijloacele tehnice specifice, proiectul, soluția sau metodele prin care trebuie obținute rezultatele respective; </w:t>
      </w:r>
    </w:p>
    <w:p>
      <w:pPr>
        <w:pStyle w:val="Point0"/>
        <w:rPr>
          <w:rFonts w:eastAsia="Times New Roman"/>
          <w:noProof/>
        </w:rPr>
      </w:pPr>
      <w:r>
        <w:rPr>
          <w:noProof/>
        </w:rPr>
        <w:t>(21)</w:t>
      </w:r>
      <w:r>
        <w:rPr>
          <w:noProof/>
        </w:rPr>
        <w:tab/>
        <w:t>„</w:t>
      </w:r>
      <w:r>
        <w:rPr>
          <w:b/>
          <w:noProof/>
        </w:rPr>
        <w:t>cerință de proiectare</w:t>
      </w:r>
      <w:r>
        <w:rPr>
          <w:noProof/>
        </w:rPr>
        <w:t>” înseamnă o cerință care definește în detaliu caracteristicile tehnice care prescriu modul în care sunt proiectate produsele, serviciile sau lucrările care sunt dezvoltate la cererea achizitorului public în cursul și în scopul unui anumit contract de achiziții în domeniul cercetării și dezvoltării, inclusiv materialele, dimensiunile și soluțiile, metodele sau procesele care urmează să fie utilizate;</w:t>
      </w:r>
    </w:p>
    <w:p>
      <w:pPr>
        <w:pStyle w:val="Point0"/>
        <w:rPr>
          <w:rStyle w:val="eop"/>
          <w:noProof/>
        </w:rPr>
      </w:pPr>
      <w:r>
        <w:rPr>
          <w:noProof/>
        </w:rPr>
        <w:t>(22)</w:t>
      </w:r>
      <w:r>
        <w:rPr>
          <w:noProof/>
        </w:rPr>
        <w:tab/>
        <w:t>„</w:t>
      </w:r>
      <w:r>
        <w:rPr>
          <w:b/>
          <w:noProof/>
        </w:rPr>
        <w:t>rezultate</w:t>
      </w:r>
      <w:r>
        <w:rPr>
          <w:noProof/>
        </w:rPr>
        <w:t>” înseamnă orice rezultate tangibile sau intangibile ale activităților de cercetare, dezvoltare și inovare, precum date, cunoștințe sau know-how, indiferent de forma sau natura acestora și indiferent dacă pot fi protejate sau nu, precum și orice drepturi aferente acestor rezultate, inclusiv drepturile de proprietate intelectuală, care sunt generate, integral sau parțial, prin activități desfășurate în temeiul contractului de achiziții în domeniul cercetării și dezvoltării; </w:t>
      </w:r>
    </w:p>
    <w:p>
      <w:pPr>
        <w:pStyle w:val="Point0"/>
        <w:rPr>
          <w:noProof/>
        </w:rPr>
      </w:pPr>
      <w:r>
        <w:rPr>
          <w:noProof/>
        </w:rPr>
        <w:t>(23)</w:t>
      </w:r>
      <w:r>
        <w:rPr>
          <w:noProof/>
        </w:rPr>
        <w:tab/>
        <w:t>„</w:t>
      </w:r>
      <w:r>
        <w:rPr>
          <w:b/>
          <w:noProof/>
        </w:rPr>
        <w:t>analiză a valorii</w:t>
      </w:r>
      <w:r>
        <w:rPr>
          <w:noProof/>
        </w:rPr>
        <w:t xml:space="preserve">” înseamnă o tehnică utilizată de achizitorii publici pentru a impune sau a permite contractanților să introducă inovații pe parcursul executării unui contract de achiziții în domeniul cercetării și dezvoltării, pentru a crea valoare suplimentară pentru achizitorul public care îmbunătățește performanța, calitatea, costul sau caracteristicile serviciilor de cercetare și dezvoltare atribuite și ale oricăror prototipuri, prime produse, servicii sau lucrări care sunt dezvoltate în cursul și în scopul unui anumit contract de achiziții în domeniul cercetării și dezvoltării și pentru a partaja orice economii rezultate convenite între achizitorul public și contractant; </w:t>
      </w:r>
    </w:p>
    <w:p>
      <w:pPr>
        <w:pStyle w:val="Point0"/>
        <w:rPr>
          <w:rFonts w:eastAsia="Times New Roman"/>
          <w:noProof/>
        </w:rPr>
      </w:pPr>
      <w:r>
        <w:rPr>
          <w:noProof/>
        </w:rPr>
        <w:t>(24)</w:t>
      </w:r>
      <w:r>
        <w:rPr>
          <w:noProof/>
        </w:rPr>
        <w:tab/>
        <w:t>„</w:t>
      </w:r>
      <w:r>
        <w:rPr>
          <w:b/>
          <w:noProof/>
        </w:rPr>
        <w:t>propunere de modificare contractuală bazată pe analiza valorii</w:t>
      </w:r>
      <w:r>
        <w:rPr>
          <w:noProof/>
        </w:rPr>
        <w:t>” înseamnă o propunere prezentată de contractanți în cursul executării contractului de achiziții în domeniul cercetării și dezvoltării pentru îmbunătățirea serviciilor de cercetare și dezvoltare atribuite și a oricăror prototipuri, prime produse, servicii sau lucrări care sunt dezvoltate în cursul și în scopul unui anumit contract de achiziții în domeniul cercetării și dezvoltării ori pentru înlocuirea serviciilor respective de cercetare și dezvoltare sau a prototipurilor, a primelor produse, servicii sau lucrări cu altele care încorporează progrese tehnologice sau inovații și care poate implica înlocuirea sau adăugarea unui nou partener sau subcontractant din consorțiu;</w:t>
      </w:r>
    </w:p>
    <w:p>
      <w:pPr>
        <w:pStyle w:val="Point0"/>
        <w:rPr>
          <w:rFonts w:eastAsia="Times New Roman"/>
          <w:noProof/>
        </w:rPr>
      </w:pPr>
      <w:r>
        <w:rPr>
          <w:noProof/>
        </w:rPr>
        <w:t>(25)</w:t>
      </w:r>
      <w:r>
        <w:rPr>
          <w:noProof/>
        </w:rPr>
        <w:tab/>
        <w:t>„</w:t>
      </w:r>
      <w:r>
        <w:rPr>
          <w:b/>
          <w:noProof/>
        </w:rPr>
        <w:t>clauză privind analiza valorii</w:t>
      </w:r>
      <w:r>
        <w:rPr>
          <w:noProof/>
        </w:rPr>
        <w:t>” înseamnă o clauză contractuală dintr-un contract de achiziții în domeniul cercetării și dezvoltării care definește drepturile și obligațiile cumpărătorului, ale contractanților și ale subcontractanților în ceea ce privește modul în care se aplică analiza valorii în temeiul contractului respectiv;</w:t>
      </w:r>
    </w:p>
    <w:p>
      <w:pPr>
        <w:pStyle w:val="Point0"/>
        <w:rPr>
          <w:rFonts w:eastAsia="Times New Roman"/>
          <w:noProof/>
        </w:rPr>
      </w:pPr>
      <w:r>
        <w:rPr>
          <w:noProof/>
        </w:rPr>
        <w:t>(26)</w:t>
      </w:r>
      <w:r>
        <w:rPr>
          <w:noProof/>
        </w:rPr>
        <w:tab/>
        <w:t>„</w:t>
      </w:r>
      <w:r>
        <w:rPr>
          <w:b/>
          <w:noProof/>
        </w:rPr>
        <w:t>tehnologii critice</w:t>
      </w:r>
      <w:r>
        <w:rPr>
          <w:noProof/>
        </w:rPr>
        <w:t>” înseamnă tehnologiile din domeniile tehnologice critice enumerate în anexa la Recomandarea (UE) 2023/2113 a Comisiei</w:t>
      </w:r>
      <w:r>
        <w:rPr>
          <w:rStyle w:val="FootnoteReference"/>
          <w:rFonts w:eastAsia="Times New Roman"/>
          <w:noProof/>
        </w:rPr>
        <w:footnoteReference w:id="28"/>
      </w:r>
      <w:r>
        <w:rPr>
          <w:noProof/>
        </w:rPr>
        <w:t>;</w:t>
      </w:r>
    </w:p>
    <w:p>
      <w:pPr>
        <w:pStyle w:val="Point0"/>
        <w:rPr>
          <w:rFonts w:eastAsia="Times New Roman"/>
          <w:noProof/>
        </w:rPr>
      </w:pPr>
      <w:r>
        <w:rPr>
          <w:noProof/>
        </w:rPr>
        <w:t>(27)</w:t>
      </w:r>
      <w:r>
        <w:rPr>
          <w:noProof/>
        </w:rPr>
        <w:tab/>
        <w:t>„</w:t>
      </w:r>
      <w:r>
        <w:rPr>
          <w:b/>
          <w:noProof/>
        </w:rPr>
        <w:t>materie primă critică</w:t>
      </w:r>
      <w:r>
        <w:rPr>
          <w:noProof/>
        </w:rPr>
        <w:t>” înseamnă o materie primă menționată în anexa II la Regulamentul (UE) 2024/1252 al Parlamentului European și al Consiliului</w:t>
      </w:r>
      <w:r>
        <w:rPr>
          <w:rStyle w:val="FootnoteReference"/>
          <w:rFonts w:eastAsia="Times New Roman"/>
          <w:noProof/>
        </w:rPr>
        <w:footnoteReference w:id="29"/>
      </w:r>
      <w:r>
        <w:rPr>
          <w:noProof/>
        </w:rPr>
        <w:t>;</w:t>
      </w:r>
    </w:p>
    <w:p>
      <w:pPr>
        <w:pStyle w:val="Point0"/>
        <w:rPr>
          <w:noProof/>
        </w:rPr>
      </w:pPr>
      <w:r>
        <w:rPr>
          <w:noProof/>
        </w:rPr>
        <w:t>(28)</w:t>
      </w:r>
      <w:r>
        <w:rPr>
          <w:noProof/>
        </w:rPr>
        <w:tab/>
        <w:t>„</w:t>
      </w:r>
      <w:r>
        <w:rPr>
          <w:b/>
          <w:noProof/>
        </w:rPr>
        <w:t>entități publice și private din domeniul finanțelor și al asigurărilor</w:t>
      </w:r>
      <w:r>
        <w:rPr>
          <w:noProof/>
        </w:rPr>
        <w:t>” înseamnă autorități publice, organisme din sectorul public, întreprinderi publice și alte persoane fizice sau juridice care își desfășoară activitatea în domeniul furnizării, finanțării, reglementării, supravegherii sau intermedierii de servicii financiare, astfel cum sunt definite la articolul 2 punctul 120 din Directiva 2011/83/UE a Parlamentului European și a Consiliului</w:t>
      </w:r>
      <w:r>
        <w:rPr>
          <w:rStyle w:val="FootnoteReference"/>
          <w:noProof/>
        </w:rPr>
        <w:footnoteReference w:id="30"/>
      </w:r>
      <w:r>
        <w:rPr>
          <w:noProof/>
        </w:rPr>
        <w:t>.</w:t>
      </w:r>
    </w:p>
    <w:p>
      <w:pPr>
        <w:rPr>
          <w:noProof/>
        </w:rPr>
      </w:pPr>
    </w:p>
    <w:p>
      <w:pPr>
        <w:pStyle w:val="ChapterTitle"/>
        <w:rPr>
          <w:noProof/>
        </w:rPr>
      </w:pPr>
      <w:r>
        <w:rPr>
          <w:noProof/>
        </w:rPr>
        <w:t>Capitolul 2</w:t>
      </w:r>
      <w:r>
        <w:rPr>
          <w:noProof/>
        </w:rPr>
        <w:br/>
        <w:t>ACHIZIȚII DE SERVICII DE CERCETARE ȘI DEZVOLTARE</w:t>
      </w:r>
    </w:p>
    <w:p>
      <w:pPr>
        <w:pStyle w:val="SectionTitle"/>
        <w:rPr>
          <w:noProof/>
        </w:rPr>
      </w:pPr>
      <w:r>
        <w:rPr>
          <w:noProof/>
        </w:rPr>
        <w:t>Secțiunea 1</w:t>
      </w:r>
      <w:r>
        <w:rPr>
          <w:noProof/>
        </w:rPr>
        <w:br/>
        <w:t>Procedura de achiziții în domeniul cercetării și dezvoltării și executarea contractului</w:t>
      </w:r>
    </w:p>
    <w:p>
      <w:pPr>
        <w:pStyle w:val="Titrearticle"/>
        <w:rPr>
          <w:noProof/>
        </w:rPr>
      </w:pPr>
      <w:r>
        <w:rPr>
          <w:noProof/>
        </w:rPr>
        <w:t>Articolul 4</w:t>
      </w:r>
    </w:p>
    <w:p>
      <w:pPr>
        <w:pStyle w:val="NormalCentered"/>
        <w:rPr>
          <w:b/>
          <w:bCs/>
          <w:noProof/>
        </w:rPr>
      </w:pPr>
      <w:r>
        <w:rPr>
          <w:b/>
          <w:noProof/>
        </w:rPr>
        <w:t xml:space="preserve">Principii generale </w:t>
      </w:r>
    </w:p>
    <w:p>
      <w:pPr>
        <w:pStyle w:val="ManualNumPar1"/>
        <w:rPr>
          <w:noProof/>
        </w:rPr>
      </w:pPr>
      <w:r>
        <w:rPr>
          <w:noProof/>
        </w:rPr>
        <w:t>1.</w:t>
      </w:r>
      <w:r>
        <w:rPr>
          <w:noProof/>
        </w:rPr>
        <w:tab/>
        <w:t>Achizitorii publici efectuează achiziții în domeniul cercetării și dezvoltării, în conformitate cu normele prevăzute în prezentul regulament. Achizitorii publici și operatorii economici nu eludează și nu încearcă să eludeze obligațiile prevăzute în prezentul regulament.</w:t>
      </w:r>
    </w:p>
    <w:p>
      <w:pPr>
        <w:pStyle w:val="ManualNumPar1"/>
        <w:rPr>
          <w:noProof/>
        </w:rPr>
      </w:pPr>
      <w:r>
        <w:rPr>
          <w:noProof/>
        </w:rPr>
        <w:t>2.</w:t>
      </w:r>
      <w:r>
        <w:rPr>
          <w:noProof/>
        </w:rPr>
        <w:tab/>
        <w:t>Achizitorii publici îi tratează pe operatorii economici în mod egal și fără discriminare și acționează într-un mod transparent și proporțional. Achizițiile în domeniul cercetării și dezvoltării nu sunt concepute cu intenția de a le exclude din domeniul de aplicare al prezentului regulament sau de a restrânge în mod artificial concurența. Se consideră că se restrânge artificial concurența atunci când conceptul achiziției în domeniul cercetării și dezvoltării este făcut cu intenția favorizării sau dezavantajării nejustificate a anumitor operatori economici.</w:t>
      </w:r>
    </w:p>
    <w:p>
      <w:pPr>
        <w:pStyle w:val="ManualNumPar1"/>
        <w:rPr>
          <w:noProof/>
        </w:rPr>
      </w:pPr>
      <w:r>
        <w:rPr>
          <w:noProof/>
        </w:rPr>
        <w:t>3.</w:t>
      </w:r>
      <w:r>
        <w:rPr>
          <w:noProof/>
        </w:rPr>
        <w:tab/>
        <w:t xml:space="preserve">Achizitorii publici pot întocmi documentele achiziției și pot efectua achiziții în domeniul cercetării și dezvoltării, inclusiv activități de consultare a pieței, de licitație și de executare a contractelor, în oricare dintre limbile oficiale ale Uniunii și pot permite operatorilor economici să transmită feedback privind consultarea pieței, oferte, livrabile și orice alte schimburi de comunicări pe tot parcursul achiziției în oricare dintre limbile oficiale ale Uniunii. </w:t>
      </w:r>
    </w:p>
    <w:p>
      <w:pPr>
        <w:pStyle w:val="ManualNumPar1"/>
        <w:rPr>
          <w:noProof/>
        </w:rPr>
      </w:pPr>
      <w:r>
        <w:rPr>
          <w:noProof/>
        </w:rPr>
        <w:t>4.</w:t>
      </w:r>
      <w:r>
        <w:rPr>
          <w:noProof/>
        </w:rPr>
        <w:tab/>
        <w:t xml:space="preserve">Achizitorii publici se asigură, prin mijloace electronice, că operatorii economici care au acces la procedura de achiziții au acces liber, direct, total și gratuit la orice comunicare electronică și la documentele achiziției, inclusiv la documentele pregătite de achizitorii publici pentru o consultare a pieței, timp de trei ani de la atribuirea contractului de achiziții în domeniul cercetării și dezvoltării. În cazul în care, pentru anumite părți ale acestor documente, accesul prin mijloace electronice nu poate fi asigurat, achizitorii publici indică modul în care aceste părți ale documentelor vor fi puse la dispoziție prin alte mijloace decât cele electronice. Achizitorii publici efectuează toate comunicările directe pentru achizițiile publice în domeniul cercetării și dezvoltării, acolo unde este posibil, prin intermediul portofelelor europene pentru întreprinderi sau prin mijloace electronice alternative care sunt interoperabile cu portofelele europene pentru întreprinderi. </w:t>
      </w:r>
    </w:p>
    <w:p>
      <w:pPr>
        <w:pStyle w:val="ManualNumPar1"/>
        <w:rPr>
          <w:noProof/>
        </w:rPr>
      </w:pPr>
      <w:r>
        <w:rPr>
          <w:noProof/>
        </w:rPr>
        <w:t>5.</w:t>
      </w:r>
      <w:r>
        <w:rPr>
          <w:noProof/>
        </w:rPr>
        <w:tab/>
        <w:t xml:space="preserve">În cadrul procedurilor de achiziții în domeniul cercetării și dezvoltării care necesită publicarea în </w:t>
      </w:r>
      <w:r>
        <w:rPr>
          <w:i/>
          <w:noProof/>
        </w:rPr>
        <w:t>Jurnalul Oficial al Uniunii Europene</w:t>
      </w:r>
      <w:r>
        <w:rPr>
          <w:noProof/>
        </w:rPr>
        <w:t>, achizitorii publici utilizează formularele standard aplicabile pentru anunțuri prevăzute în Regulamentul de punere în aplicare (UE) 2019/1780 al Comisiei</w:t>
      </w:r>
      <w:r>
        <w:rPr>
          <w:rStyle w:val="FootnoteReference"/>
          <w:noProof/>
        </w:rPr>
        <w:footnoteReference w:id="31"/>
      </w:r>
      <w:r>
        <w:rPr>
          <w:noProof/>
        </w:rPr>
        <w:t>.</w:t>
      </w:r>
    </w:p>
    <w:p>
      <w:pPr>
        <w:pStyle w:val="ManualNumPar1"/>
        <w:rPr>
          <w:noProof/>
          <w:szCs w:val="24"/>
        </w:rPr>
      </w:pPr>
      <w:r>
        <w:rPr>
          <w:noProof/>
        </w:rPr>
        <w:t>6.</w:t>
      </w:r>
      <w:r>
        <w:rPr>
          <w:noProof/>
        </w:rPr>
        <w:tab/>
      </w:r>
      <w:bookmarkStart w:id="23" w:name="_Hlk233109836"/>
      <w:r>
        <w:rPr>
          <w:noProof/>
        </w:rPr>
        <w:t>Achizitorii publici iau măsurile adecvate pentru a se asigura că, la executarea contractelor de achiziții în domeniul cercetării și dezvoltării, operatorii economici respectă obligațiile aplicabile referitoare la prioritățile strategice ale Uniunii prevăzute la al doilea paragraf de la prezentul alineat, astfel cum sunt stabilite de dreptul Uniunii, de dreptul intern sau de contractele colective de muncă și de dreptul internațional al mediului, social și al muncii.</w:t>
      </w:r>
      <w:bookmarkEnd w:id="23"/>
    </w:p>
    <w:p>
      <w:pPr>
        <w:ind w:left="851"/>
        <w:rPr>
          <w:noProof/>
        </w:rPr>
      </w:pPr>
      <w:r>
        <w:rPr>
          <w:noProof/>
        </w:rPr>
        <w:t>În cazurile în care există obligații astfel cum se menționează la primul paragraf, achizitorii publici concep și execută propriile lor proceduri de achiziții în domeniul cercetării și dezvoltării într-un mod care ține seama de prioritățile strategice ale Uniunii, în special:</w:t>
      </w:r>
    </w:p>
    <w:p>
      <w:pPr>
        <w:pStyle w:val="Point1"/>
        <w:rPr>
          <w:noProof/>
        </w:rPr>
      </w:pPr>
      <w:r>
        <w:rPr>
          <w:noProof/>
        </w:rPr>
        <w:t>(a)</w:t>
      </w:r>
      <w:r>
        <w:rPr>
          <w:noProof/>
        </w:rPr>
        <w:tab/>
        <w:t>stimularea competitivității Uniunii printr-o piață internă prosperă, eliminarea decalajelor în materie de inovare și consolidarea bazei industriale și de producție a Uniunii;</w:t>
      </w:r>
    </w:p>
    <w:p>
      <w:pPr>
        <w:pStyle w:val="Point1"/>
        <w:rPr>
          <w:noProof/>
        </w:rPr>
      </w:pPr>
      <w:r>
        <w:rPr>
          <w:noProof/>
        </w:rPr>
        <w:t>(b)</w:t>
      </w:r>
      <w:r>
        <w:rPr>
          <w:noProof/>
        </w:rPr>
        <w:tab/>
        <w:t>realizarea obiectivelor climatice și de mediu ale Uniunii;</w:t>
      </w:r>
    </w:p>
    <w:p>
      <w:pPr>
        <w:pStyle w:val="Point1"/>
        <w:rPr>
          <w:noProof/>
        </w:rPr>
      </w:pPr>
      <w:r>
        <w:rPr>
          <w:noProof/>
        </w:rPr>
        <w:t>(c)</w:t>
      </w:r>
      <w:r>
        <w:rPr>
          <w:noProof/>
        </w:rPr>
        <w:tab/>
        <w:t>construirea unei societăți echitabile și favorabile incluziunii;</w:t>
      </w:r>
    </w:p>
    <w:p>
      <w:pPr>
        <w:pStyle w:val="Point1"/>
        <w:rPr>
          <w:noProof/>
        </w:rPr>
      </w:pPr>
      <w:r>
        <w:rPr>
          <w:noProof/>
        </w:rPr>
        <w:t>(d)</w:t>
      </w:r>
      <w:r>
        <w:rPr>
          <w:noProof/>
        </w:rPr>
        <w:tab/>
        <w:t>siguranța economică, securitatea, reziliența și securitatea economică a Uniunii, inclusiv prin asigurarea independenței strategice.</w:t>
      </w:r>
    </w:p>
    <w:p>
      <w:pPr>
        <w:pStyle w:val="Titrearticle"/>
        <w:rPr>
          <w:noProof/>
        </w:rPr>
      </w:pPr>
      <w:r>
        <w:rPr>
          <w:noProof/>
        </w:rPr>
        <w:t>Articolul 5</w:t>
      </w:r>
    </w:p>
    <w:p>
      <w:pPr>
        <w:pStyle w:val="NormalCentered"/>
        <w:rPr>
          <w:noProof/>
        </w:rPr>
      </w:pPr>
      <w:r>
        <w:rPr>
          <w:b/>
          <w:noProof/>
        </w:rPr>
        <w:t>Operatori economici</w:t>
      </w:r>
    </w:p>
    <w:p>
      <w:pPr>
        <w:pStyle w:val="ManualNumPar1"/>
        <w:rPr>
          <w:noProof/>
        </w:rPr>
      </w:pPr>
      <w:r>
        <w:rPr>
          <w:noProof/>
        </w:rPr>
        <w:t>1.</w:t>
      </w:r>
      <w:r>
        <w:rPr>
          <w:noProof/>
        </w:rPr>
        <w:tab/>
        <w:t>Achizitorii publici nu solicită operatorilor economici să aibă o formă juridică specifică pentru a participa la procedura de achiziții în domeniul cercetării și dezvoltării.</w:t>
      </w:r>
    </w:p>
    <w:p>
      <w:pPr>
        <w:pStyle w:val="ManualNumPar1"/>
        <w:rPr>
          <w:noProof/>
        </w:rPr>
      </w:pPr>
      <w:r>
        <w:rPr>
          <w:noProof/>
        </w:rPr>
        <w:t>2.</w:t>
      </w:r>
      <w:r>
        <w:rPr>
          <w:noProof/>
        </w:rPr>
        <w:tab/>
        <w:t>Operatorii economici care, în temeiul legislației statului membru în care sunt stabiliți, au dreptul să presteze serviciile de cercetare și dezvoltare relevante nu pot fi respinși doar pe motiv că, în temeiul legislației statului membru în care va fi atribuit contractul, operatorul economic ar fi trebuit să fie o persoană fizică sau juridică.</w:t>
      </w:r>
    </w:p>
    <w:p>
      <w:pPr>
        <w:pStyle w:val="ManualNumPar1"/>
        <w:rPr>
          <w:noProof/>
        </w:rPr>
      </w:pPr>
      <w:r>
        <w:rPr>
          <w:noProof/>
        </w:rPr>
        <w:t>3.</w:t>
      </w:r>
      <w:r>
        <w:rPr>
          <w:noProof/>
        </w:rPr>
        <w:tab/>
        <w:t>În cazul serviciilor de cercetare și dezvoltare, al lucrărilor sau al operațiunilor de amplasare și instalare, achizitorii publici pot solicita persoanelor juridice să indice, înainte de începerea executării sarcinilor în cauză, numele și calificările relevante ale personalului responsabil cu executarea contractului în cauză.</w:t>
      </w:r>
    </w:p>
    <w:p>
      <w:pPr>
        <w:pStyle w:val="Titrearticle"/>
        <w:rPr>
          <w:noProof/>
        </w:rPr>
      </w:pPr>
      <w:r>
        <w:rPr>
          <w:noProof/>
        </w:rPr>
        <w:t>Articolul 6</w:t>
      </w:r>
    </w:p>
    <w:p>
      <w:pPr>
        <w:pStyle w:val="NormalCentered"/>
        <w:rPr>
          <w:noProof/>
        </w:rPr>
      </w:pPr>
      <w:r>
        <w:rPr>
          <w:b/>
          <w:noProof/>
        </w:rPr>
        <w:t>Grupuri de operatori economici</w:t>
      </w:r>
    </w:p>
    <w:p>
      <w:pPr>
        <w:pStyle w:val="ManualNumPar1"/>
        <w:rPr>
          <w:noProof/>
        </w:rPr>
      </w:pPr>
      <w:r>
        <w:rPr>
          <w:noProof/>
        </w:rPr>
        <w:t>4.</w:t>
      </w:r>
      <w:r>
        <w:rPr>
          <w:noProof/>
        </w:rPr>
        <w:tab/>
        <w:t>Achizitorii publici nu definesc criterii de selecție în temeiul articolului 15 pentru grupuri de operatori economici care diferă de cele pentru operatorii economici individuali, cu excepția cazului în care se prevede altfel în prezentul articol.</w:t>
      </w:r>
    </w:p>
    <w:p>
      <w:pPr>
        <w:pStyle w:val="Text1"/>
        <w:rPr>
          <w:noProof/>
        </w:rPr>
      </w:pPr>
      <w:r>
        <w:rPr>
          <w:noProof/>
        </w:rPr>
        <w:t>Se consideră că grupurile de operatori economici îndeplinesc un criteriu de selecție în cazul în care:</w:t>
      </w:r>
    </w:p>
    <w:p>
      <w:pPr>
        <w:pStyle w:val="Point1"/>
        <w:rPr>
          <w:noProof/>
        </w:rPr>
      </w:pPr>
      <w:r>
        <w:rPr>
          <w:noProof/>
        </w:rPr>
        <w:t>(a)</w:t>
      </w:r>
      <w:r>
        <w:rPr>
          <w:noProof/>
        </w:rPr>
        <w:tab/>
        <w:t>un operator economic din grup are competența tehnică și profesională sau capacitatea economică și financiară necesare; sau</w:t>
      </w:r>
    </w:p>
    <w:p>
      <w:pPr>
        <w:pStyle w:val="Point1"/>
        <w:rPr>
          <w:noProof/>
        </w:rPr>
      </w:pPr>
      <w:r>
        <w:rPr>
          <w:noProof/>
        </w:rPr>
        <w:t>(b)</w:t>
      </w:r>
      <w:r>
        <w:rPr>
          <w:noProof/>
        </w:rPr>
        <w:tab/>
        <w:t>în cazul în care o astfel de competență sau capacitate poate fi stabilită prin combinarea competenței tehnice și profesionale relevante sau a capacității economice și financiare a doi sau mai mulți membri ai grupului, cu excepția cazului în care o astfel de combinare nu va atinge același nivel de competență sau capacitate.</w:t>
      </w:r>
    </w:p>
    <w:p>
      <w:pPr>
        <w:pStyle w:val="ManualNumPar1"/>
        <w:rPr>
          <w:noProof/>
        </w:rPr>
      </w:pPr>
      <w:r>
        <w:rPr>
          <w:noProof/>
        </w:rPr>
        <w:t>5.</w:t>
      </w:r>
      <w:r>
        <w:rPr>
          <w:noProof/>
        </w:rPr>
        <w:tab/>
        <w:t>Atunci când natura contractului justifică acest lucru și în conformitate cu principiul proporționalității, achizitorii publici:</w:t>
      </w:r>
    </w:p>
    <w:p>
      <w:pPr>
        <w:pStyle w:val="Point1"/>
        <w:rPr>
          <w:noProof/>
        </w:rPr>
      </w:pPr>
      <w:r>
        <w:rPr>
          <w:noProof/>
        </w:rPr>
        <w:t>(a)</w:t>
      </w:r>
      <w:r>
        <w:rPr>
          <w:noProof/>
        </w:rPr>
        <w:tab/>
        <w:t>pot deroga de la articolul 1 al doilea paragraf litera (a) sau (b) în ceea ce privește criteriile de selecție relevante pentru anumite sarcini critice;</w:t>
      </w:r>
    </w:p>
    <w:p>
      <w:pPr>
        <w:pStyle w:val="Point1"/>
        <w:rPr>
          <w:noProof/>
        </w:rPr>
      </w:pPr>
      <w:r>
        <w:rPr>
          <w:noProof/>
        </w:rPr>
        <w:t>(b)</w:t>
      </w:r>
      <w:r>
        <w:rPr>
          <w:noProof/>
        </w:rPr>
        <w:tab/>
        <w:t>pot solicita ca anumite sarcini critice să fie îndeplinite direct de membrul grupului care îndeplinește criteriul de selecție relevant pentru sarcina respectivă.</w:t>
      </w:r>
    </w:p>
    <w:p>
      <w:pPr>
        <w:pStyle w:val="Text1"/>
        <w:rPr>
          <w:noProof/>
        </w:rPr>
      </w:pPr>
      <w:r>
        <w:rPr>
          <w:noProof/>
        </w:rPr>
        <w:t>Achizitorii publici identifică sarcinile critice și cerințele aferente, indicând în mod clar aceste sarcini și justificarea lor în documentele achiziției.</w:t>
      </w:r>
    </w:p>
    <w:p>
      <w:pPr>
        <w:pStyle w:val="ManualNumPar1"/>
        <w:rPr>
          <w:noProof/>
        </w:rPr>
      </w:pPr>
      <w:r>
        <w:rPr>
          <w:noProof/>
        </w:rPr>
        <w:t>6.</w:t>
      </w:r>
      <w:r>
        <w:rPr>
          <w:noProof/>
        </w:rPr>
        <w:tab/>
        <w:t>Condițiile de executare a contractului de achiziții în domeniul cercetării și dezvoltării de către grupuri pot fi diferite de cele impuse operatorilor economici individuali numai dacă sunt justificate de motive obiective, care sunt proporționale și indicate în mod clar în documentele achiziției.</w:t>
      </w:r>
    </w:p>
    <w:p>
      <w:pPr>
        <w:pStyle w:val="ManualNumPar1"/>
        <w:rPr>
          <w:noProof/>
        </w:rPr>
      </w:pPr>
      <w:r>
        <w:rPr>
          <w:noProof/>
        </w:rPr>
        <w:t>7.</w:t>
      </w:r>
      <w:r>
        <w:rPr>
          <w:noProof/>
        </w:rPr>
        <w:tab/>
        <w:t>Fără a aduce atingere competenței statelor membre de a-și organiza sistemele de securitate socială, achizitorii publici nu solicită grupurilor de operatori economici să își asume o anumită formă juridică după ce li s-a atribuit contractul de achiziții în domeniul cercetării și dezvoltării.</w:t>
      </w:r>
    </w:p>
    <w:p>
      <w:pPr>
        <w:pStyle w:val="ManualNumPar1"/>
        <w:rPr>
          <w:noProof/>
        </w:rPr>
      </w:pPr>
      <w:r>
        <w:rPr>
          <w:noProof/>
        </w:rPr>
        <w:t>8.</w:t>
      </w:r>
      <w:r>
        <w:rPr>
          <w:noProof/>
        </w:rPr>
        <w:tab/>
      </w:r>
      <w:bookmarkStart w:id="24" w:name="_Hlk233109132"/>
      <w:r>
        <w:rPr>
          <w:noProof/>
        </w:rPr>
        <w:t>Achizitorii publici acordă o atenție deosebită pentru a nu crea bariere nejustificate sau disproporționate legate de dimensiunea operatorilor economici care participă la un grup, în special pentru IMM-uri, start-upuri inovatoare și întreprinderi inovatoare în fază de extindere.</w:t>
      </w:r>
    </w:p>
    <w:p>
      <w:pPr>
        <w:pStyle w:val="Titrearticle"/>
        <w:keepLines/>
        <w:rPr>
          <w:noProof/>
        </w:rPr>
      </w:pPr>
      <w:bookmarkStart w:id="25" w:name="ecYVSEFWnmEZYSPka"/>
      <w:bookmarkEnd w:id="24"/>
      <w:bookmarkEnd w:id="25"/>
      <w:r>
        <w:rPr>
          <w:noProof/>
        </w:rPr>
        <w:t>Articolul 7</w:t>
      </w:r>
    </w:p>
    <w:p>
      <w:pPr>
        <w:pStyle w:val="NormalCentered"/>
        <w:keepNext/>
        <w:keepLines/>
        <w:rPr>
          <w:noProof/>
        </w:rPr>
      </w:pPr>
      <w:r>
        <w:rPr>
          <w:b/>
          <w:noProof/>
        </w:rPr>
        <w:t>Utilizarea capacității altor entități</w:t>
      </w:r>
    </w:p>
    <w:p>
      <w:pPr>
        <w:pStyle w:val="ManualNumPar1"/>
        <w:rPr>
          <w:noProof/>
        </w:rPr>
      </w:pPr>
      <w:r>
        <w:rPr>
          <w:noProof/>
        </w:rPr>
        <w:t>1.</w:t>
      </w:r>
      <w:r>
        <w:rPr>
          <w:noProof/>
        </w:rPr>
        <w:tab/>
        <w:t>În ceea ce privește criteriile de selecție stabilite în temeiul articolului 15, operatorii economici pot utiliza capacitățile altor entități, indiferent de natura juridică a legăturilor pe care le au cu acestea.</w:t>
      </w:r>
    </w:p>
    <w:p>
      <w:pPr>
        <w:pStyle w:val="ManualNumPar1"/>
        <w:rPr>
          <w:noProof/>
        </w:rPr>
      </w:pPr>
      <w:r>
        <w:rPr>
          <w:noProof/>
        </w:rPr>
        <w:t>2.</w:t>
      </w:r>
      <w:r>
        <w:rPr>
          <w:noProof/>
        </w:rPr>
        <w:tab/>
        <w:t xml:space="preserve">Achizitorul public verifică dacă entitățile a căror capacitate operatorul economic intenționează să o utilizeze îndeplinesc criteriile de selecție relevante și dacă există motive pentru excluderea acestora. </w:t>
      </w:r>
    </w:p>
    <w:p>
      <w:pPr>
        <w:pStyle w:val="ManualNumPar1"/>
        <w:rPr>
          <w:noProof/>
        </w:rPr>
      </w:pPr>
      <w:r>
        <w:rPr>
          <w:noProof/>
        </w:rPr>
        <w:t>3.</w:t>
      </w:r>
      <w:r>
        <w:rPr>
          <w:noProof/>
        </w:rPr>
        <w:tab/>
        <w:t>Achizitorul public impune operatorului economic să înlocuiască o entitate care nu îndeplinește criteriile de selecție relevante sau în privința căreia există motive obligatorii de excludere. Achizitorul public poate solicita operatorului economic să înlocuiască o entitate în privința căruia există motive opționale de excludere.</w:t>
      </w:r>
    </w:p>
    <w:p>
      <w:pPr>
        <w:pStyle w:val="ManualNumPar1"/>
        <w:rPr>
          <w:noProof/>
        </w:rPr>
      </w:pPr>
      <w:r>
        <w:rPr>
          <w:noProof/>
        </w:rPr>
        <w:t>4.</w:t>
      </w:r>
      <w:r>
        <w:rPr>
          <w:noProof/>
        </w:rPr>
        <w:tab/>
        <w:t>Achizitorii publici pot solicita în documentele achiziției ca operatorul economic să dovedească faptul că va dispune de resursele relevante ale entității pe care intenționează să o utilizeze pe întreaga perioadă de executare a contractului de achiziții în domeniul cercetării și dezvoltării, de exemplu printr-o declarație în acest sens din partea entităților respective.</w:t>
      </w:r>
    </w:p>
    <w:p>
      <w:pPr>
        <w:pStyle w:val="ManualNumPar1"/>
        <w:rPr>
          <w:noProof/>
        </w:rPr>
      </w:pPr>
      <w:r>
        <w:rPr>
          <w:noProof/>
        </w:rPr>
        <w:t>5.</w:t>
      </w:r>
      <w:r>
        <w:rPr>
          <w:noProof/>
        </w:rPr>
        <w:tab/>
        <w:t>În cazul în care un operator economic utilizează capacitățile altor entități în ceea ce privește criteriile referitoare la situația economică și financiară, achizitorul public poate solicita ca operatorul economic și entitățile respective să răspundă în solidar față de achizitorul public pentru executarea contractului de achiziții în domeniul cercetării și dezvoltării.</w:t>
      </w:r>
    </w:p>
    <w:p>
      <w:pPr>
        <w:pStyle w:val="ManualNumPar1"/>
        <w:rPr>
          <w:noProof/>
        </w:rPr>
      </w:pPr>
      <w:r>
        <w:rPr>
          <w:noProof/>
        </w:rPr>
        <w:t>6.</w:t>
      </w:r>
      <w:r>
        <w:rPr>
          <w:noProof/>
        </w:rPr>
        <w:tab/>
        <w:t>În cazul în care un operator economic utilizează capacitățile altor entități ca dovadă a capacității tehnice și profesionale, achizitorul public poate solicita în documentele achiziției ca entitatea respectivă să execute lucrările sau să presteze serviciile pentru care sunt necesare aceste capacități.</w:t>
      </w:r>
    </w:p>
    <w:p>
      <w:pPr>
        <w:pStyle w:val="Titrearticle"/>
        <w:rPr>
          <w:noProof/>
        </w:rPr>
      </w:pPr>
      <w:r>
        <w:rPr>
          <w:noProof/>
        </w:rPr>
        <w:t>Articolul 8</w:t>
      </w:r>
    </w:p>
    <w:p>
      <w:pPr>
        <w:pStyle w:val="NormalCentered"/>
        <w:rPr>
          <w:noProof/>
        </w:rPr>
      </w:pPr>
      <w:r>
        <w:rPr>
          <w:b/>
          <w:noProof/>
        </w:rPr>
        <w:t>Subcontractare</w:t>
      </w:r>
    </w:p>
    <w:p>
      <w:pPr>
        <w:pStyle w:val="ManualNumPar1"/>
        <w:rPr>
          <w:noProof/>
        </w:rPr>
      </w:pPr>
      <w:r>
        <w:rPr>
          <w:noProof/>
        </w:rPr>
        <w:t>1.</w:t>
      </w:r>
      <w:r>
        <w:rPr>
          <w:noProof/>
        </w:rPr>
        <w:tab/>
        <w:t>Părți ale unui contract de achiziții în domeniul cercetării și dezvoltării pot fi subcontractate. Contractul de achiziții în domeniul cercetării și dezvoltării atribuit operatorului economic nu se subcontractează în întregime și nici nu se va mai subcontracta în întregime în viitor.</w:t>
      </w:r>
    </w:p>
    <w:p>
      <w:pPr>
        <w:pStyle w:val="ManualNumPar1"/>
        <w:rPr>
          <w:noProof/>
        </w:rPr>
      </w:pPr>
      <w:r>
        <w:rPr>
          <w:noProof/>
        </w:rPr>
        <w:t>2.</w:t>
      </w:r>
      <w:r>
        <w:rPr>
          <w:noProof/>
        </w:rPr>
        <w:tab/>
        <w:t>Achizitorii publici solicită operatorilor economici să indice în oferta lor orice parte din contractul de achiziții în domeniul cercetării și dezvoltării pe care intenționează să o subcontracteze unor terți, precum și subcontractanții propuși.</w:t>
      </w:r>
    </w:p>
    <w:p>
      <w:pPr>
        <w:pStyle w:val="Text1"/>
        <w:rPr>
          <w:noProof/>
        </w:rPr>
      </w:pPr>
      <w:r>
        <w:rPr>
          <w:noProof/>
        </w:rPr>
        <w:t xml:space="preserve">Achizitorii publici solicită contractantului principal să îi informeze după atribuirea contractului și înainte de începerea executării contractului cu privire la sarcinile și activitățile pe care intenționează să le subcontracteze. Achizitorii publici solicită, de asemenea, informații cu privire la identitatea subcontractanților. Achizitorul public solicită contractantului principal să notifice achizitorului public, cât mai curând posibil, orice modificare a acestor informații pe parcursul derulării contractului de achiziții în domeniul cercetării și dezvoltării. </w:t>
      </w:r>
    </w:p>
    <w:p>
      <w:pPr>
        <w:pStyle w:val="ManualNumPar1"/>
        <w:rPr>
          <w:noProof/>
        </w:rPr>
      </w:pPr>
      <w:r>
        <w:rPr>
          <w:noProof/>
        </w:rPr>
        <w:t>3.</w:t>
      </w:r>
      <w:r>
        <w:rPr>
          <w:noProof/>
        </w:rPr>
        <w:tab/>
        <w:t>Achizitorul public solicită operatorului economic să înlocuiască un subcontractant în privința căruia există motive obligatorii de excludere în temeiul articolului 13. Achizitorul public poate solicita operatorului economic să înlocuiască un subcontractant în privința căruia există motive opționale de excludere în temeiul articolului 14.</w:t>
      </w:r>
    </w:p>
    <w:p>
      <w:pPr>
        <w:pStyle w:val="ManualNumPar1"/>
        <w:rPr>
          <w:noProof/>
        </w:rPr>
      </w:pPr>
      <w:r>
        <w:rPr>
          <w:noProof/>
        </w:rPr>
        <w:t>4.</w:t>
      </w:r>
      <w:r>
        <w:rPr>
          <w:noProof/>
        </w:rPr>
        <w:tab/>
        <w:t>Atunci când natura contractului de achiziții în domeniul cercetării și dezvoltării justifică acest lucru și în conformitate cu principiul proporționalității, achizitorii publici pot solicita ca anumite sarcini critice să fie îndeplinite direct de contractantul principal. Achizitorii publici identifică sarcinile critice și cerințele aferente, indicând în mod clar aceste sarcini și justificarea lor în documentele achiziției.</w:t>
      </w:r>
    </w:p>
    <w:p>
      <w:pPr>
        <w:pStyle w:val="ManualNumPar1"/>
        <w:rPr>
          <w:noProof/>
        </w:rPr>
      </w:pPr>
      <w:r>
        <w:rPr>
          <w:noProof/>
        </w:rPr>
        <w:t>5.</w:t>
      </w:r>
      <w:r>
        <w:rPr>
          <w:noProof/>
        </w:rPr>
        <w:tab/>
        <w:t>Subcontractarea în temeiul dispozițiilor prezentului articol nu aduc atingere răspunderii contractantului principal.</w:t>
      </w:r>
    </w:p>
    <w:p>
      <w:pPr>
        <w:pStyle w:val="ManualNumPar1"/>
        <w:rPr>
          <w:noProof/>
        </w:rPr>
      </w:pPr>
      <w:r>
        <w:rPr>
          <w:noProof/>
        </w:rPr>
        <w:t>6.</w:t>
      </w:r>
      <w:r>
        <w:rPr>
          <w:noProof/>
        </w:rPr>
        <w:tab/>
      </w:r>
      <w:bookmarkStart w:id="26" w:name="_Hlk233109852"/>
      <w:r>
        <w:rPr>
          <w:noProof/>
        </w:rPr>
        <w:t>Respectarea de către subcontractanți a obligațiilor menționate la articolul 4 alineatul (6) este asigurată prin intermediul unor acțiuni corespunzătoare întreprinse de autoritățile naționale competente în limitele responsabilității și competenței lor.</w:t>
      </w:r>
      <w:bookmarkEnd w:id="26"/>
      <w:r>
        <w:rPr>
          <w:noProof/>
        </w:rPr>
        <w:t xml:space="preserve"> Statele membre pot adopta sau menține măsuri suplimentare proporționale de limitare a subcontractării în cazul în care au identificat un risc mai ridicat, justificat în mod corespunzător, de nerespectare a obligațiilor sociale și de drept al muncii.</w:t>
      </w:r>
    </w:p>
    <w:p>
      <w:pPr>
        <w:pStyle w:val="Titrearticle"/>
        <w:rPr>
          <w:noProof/>
        </w:rPr>
      </w:pPr>
      <w:r>
        <w:rPr>
          <w:noProof/>
        </w:rPr>
        <w:t>Articolul 9</w:t>
      </w:r>
    </w:p>
    <w:p>
      <w:pPr>
        <w:pStyle w:val="NormalCentered"/>
        <w:rPr>
          <w:noProof/>
        </w:rPr>
      </w:pPr>
      <w:r>
        <w:rPr>
          <w:b/>
          <w:noProof/>
        </w:rPr>
        <w:t>Consultarea pieței</w:t>
      </w:r>
    </w:p>
    <w:p>
      <w:pPr>
        <w:pStyle w:val="ManualNumPar1"/>
        <w:rPr>
          <w:noProof/>
        </w:rPr>
      </w:pPr>
      <w:r>
        <w:rPr>
          <w:noProof/>
        </w:rPr>
        <w:t>1.</w:t>
      </w:r>
      <w:r>
        <w:rPr>
          <w:noProof/>
        </w:rPr>
        <w:tab/>
        <w:t xml:space="preserve">Înainte de lansarea procedurii de ofertare pentru achiziții în domeniul cercetării și dezvoltării menționate la articolul 23, achizitorii publici efectuează o consultare a pieței pentru a informa operatorii economici cu privire la viitoarea procedură de ofertare pentru achiziții în domeniul cercetării și dezvoltării și pentru a dobândi cunoștințe despre piață, inclusiv despre disponibilitatea sau potențialul de a dezvolta soluții inovatoare, precum și despre opiniile lor cu privire la domeniul de aplicare, valoarea și modalitățile propuse pentru punerea în aplicare a achizițiilor în domeniul cercetării și dezvoltării. </w:t>
      </w:r>
    </w:p>
    <w:p>
      <w:pPr>
        <w:pStyle w:val="ManualNumPar1"/>
        <w:rPr>
          <w:noProof/>
        </w:rPr>
      </w:pPr>
      <w:r>
        <w:rPr>
          <w:noProof/>
        </w:rPr>
        <w:t>2.</w:t>
      </w:r>
      <w:r>
        <w:rPr>
          <w:noProof/>
        </w:rPr>
        <w:tab/>
        <w:t xml:space="preserve">Înainte de începerea consultării pieței, achizitorii publici anunță consultarea pieței prin intermediul unui anunț de intenție. Anunțul de intenție: </w:t>
      </w:r>
    </w:p>
    <w:p>
      <w:pPr>
        <w:pStyle w:val="Point1"/>
        <w:rPr>
          <w:noProof/>
        </w:rPr>
      </w:pPr>
      <w:r>
        <w:rPr>
          <w:noProof/>
        </w:rPr>
        <w:t>(a)</w:t>
      </w:r>
      <w:r>
        <w:rPr>
          <w:noProof/>
        </w:rPr>
        <w:tab/>
        <w:t xml:space="preserve">se publică în </w:t>
      </w:r>
      <w:r>
        <w:rPr>
          <w:i/>
          <w:noProof/>
        </w:rPr>
        <w:t>Jurnalul Oficial al Uniunii Europene</w:t>
      </w:r>
      <w:r>
        <w:rPr>
          <w:noProof/>
        </w:rPr>
        <w:t xml:space="preserve"> și, ulterior, pe portalul național de achiziții publice al statului membru de unde provine achizitorul public;</w:t>
      </w:r>
    </w:p>
    <w:p>
      <w:pPr>
        <w:pStyle w:val="Point1"/>
        <w:rPr>
          <w:noProof/>
        </w:rPr>
      </w:pPr>
      <w:r>
        <w:rPr>
          <w:noProof/>
        </w:rPr>
        <w:t>(b)</w:t>
      </w:r>
      <w:r>
        <w:rPr>
          <w:noProof/>
        </w:rPr>
        <w:tab/>
        <w:t>include trimiteri la codurile CPV relevante pentru serviciile de cercetare și dezvoltare, indică faptul că consultarea pieței se desfășoară pentru o achiziție în domeniul cercetării și dezvoltării și se referă la inovare prin marcarea domeniului „inovare” în anunțul de intenție și prin includerea, după caz, a cuvintelor „achiziție înainte de comercializare” în câmpul „titlul achiziției”.</w:t>
      </w:r>
    </w:p>
    <w:p>
      <w:pPr>
        <w:pStyle w:val="Point1"/>
        <w:rPr>
          <w:noProof/>
        </w:rPr>
      </w:pPr>
      <w:r>
        <w:rPr>
          <w:noProof/>
        </w:rPr>
        <w:t>(c)</w:t>
      </w:r>
      <w:r>
        <w:rPr>
          <w:noProof/>
        </w:rPr>
        <w:tab/>
        <w:t xml:space="preserve">include formatul ales de achizitorul public pentru efectuarea consultării pieței, cum ar fi chestionare online, webinare online sau reuniuni fizice, </w:t>
      </w:r>
      <w:r>
        <w:rPr>
          <w:noProof/>
          <w:color w:val="000000" w:themeColor="text1"/>
        </w:rPr>
        <w:t>precum și orice linkuri sau contacte relevante prin care se pot obține informații suplimentare cu privire la desfășurarea achizițiilor în domeniul cercetării și dezvoltării.</w:t>
      </w:r>
    </w:p>
    <w:p>
      <w:pPr>
        <w:pStyle w:val="ManualNumPar1"/>
        <w:rPr>
          <w:noProof/>
        </w:rPr>
      </w:pPr>
      <w:r>
        <w:rPr>
          <w:noProof/>
        </w:rPr>
        <w:t>3.</w:t>
      </w:r>
      <w:r>
        <w:rPr>
          <w:noProof/>
        </w:rPr>
        <w:tab/>
        <w:t>Achizitorii publici consultă piața pe scară largă. În acest scop, după anunțarea consultării pieței prin intermediul unui anunț de intenție, achizitorii publici pot publica și promova anunțul privind consultarea pieței prin orice mijloc de comunicare în masă disponibil pe scară largă.</w:t>
      </w:r>
    </w:p>
    <w:p>
      <w:pPr>
        <w:pStyle w:val="ManualNumPar1"/>
        <w:rPr>
          <w:noProof/>
        </w:rPr>
      </w:pPr>
      <w:r>
        <w:rPr>
          <w:noProof/>
        </w:rPr>
        <w:t>4.</w:t>
      </w:r>
      <w:r>
        <w:rPr>
          <w:noProof/>
        </w:rPr>
        <w:tab/>
        <w:t xml:space="preserve">Prin derogare de la alineatele (2) și (3) de la prezentul articol, în cazul în care acest lucru este necesar și justificat pentru a asigura protecția intereselor de securitate sau de siguranță publică ale Uniunii sau ale unuia sau mai multor state membre ale sale în sensul articolului 28 alineatul (2), achizitorii publici publică și promovează în mass-media anunțul de intenție, omițând toate informațiile sensibile și solicitând operatorilor economici să își exprime interesul de a participa la consultarea pieței. Informațiile sensibile se transmit numai operatorilor economici care și-au exprimat interesul, care îndeplinesc criteriile de calificare și care nu prezintă un risc în materie de securitate în sensul articolului 28 alineatul (4) litera (d). </w:t>
      </w:r>
    </w:p>
    <w:p>
      <w:pPr>
        <w:pStyle w:val="ManualNumPar1"/>
        <w:rPr>
          <w:noProof/>
        </w:rPr>
      </w:pPr>
      <w:r>
        <w:rPr>
          <w:noProof/>
        </w:rPr>
        <w:t>5.</w:t>
      </w:r>
      <w:r>
        <w:rPr>
          <w:noProof/>
        </w:rPr>
        <w:tab/>
        <w:t xml:space="preserve">Prin derogare de la alineatele (2), (3) și (9) de la prezentul articol, în cazul în care publicarea și promovarea în mass-media a unui anunț de informare prealabilă și publicarea documentelor care explică contextul și detaliile logistice pentru organizarea consultării pieței ar fi contrare intereselor în materie de securitate sau de siguranță publică ale Uniunii sau ale unuia sau mai multor state membre ale sale în sensul articolului 28 alineatul (2), achizitorul public nu anunță consultarea pieței în temeiul alineatelor (2), (3) și (9) de la prezentul articol, ci trimite o invitație de a participa la consultarea pieței operatorilor economici potențial adecvați identificați printr-o cercetare de piață și transmite documentele de consultare a pieței numai celor care își exprimă interesul, care îndeplinesc criteriile de calificare și care nu prezintă un risc de securitate în sensul articolului 28 alineatul (4) litera (d). </w:t>
      </w:r>
    </w:p>
    <w:p>
      <w:pPr>
        <w:pStyle w:val="ManualNumPar1"/>
        <w:rPr>
          <w:noProof/>
        </w:rPr>
      </w:pPr>
      <w:r>
        <w:rPr>
          <w:noProof/>
        </w:rPr>
        <w:t>6.</w:t>
      </w:r>
      <w:r>
        <w:rPr>
          <w:noProof/>
        </w:rPr>
        <w:tab/>
        <w:t xml:space="preserve">Achizitorii publici nu exclud de la participarea la consultarea pieței niciun operator economic originar din țările menționate la articolul 11 alineatul (1). </w:t>
      </w:r>
    </w:p>
    <w:p>
      <w:pPr>
        <w:pStyle w:val="Text1"/>
        <w:rPr>
          <w:noProof/>
        </w:rPr>
      </w:pPr>
      <w:r>
        <w:rPr>
          <w:noProof/>
        </w:rPr>
        <w:t xml:space="preserve">Prin derogare de la primul paragraf de la prezentul alineat, în cazul în care acest lucru este necesar și justificat pentru protejarea intereselor în materie de securitate și siguranță publică ale Uniunii sau ale unuia sau mai multor state membre ale sale în sensul articolului 28 alineatul (2), achizitorii publici pot limita consultarea pieței numai la operatorii economici care își au originea în state membre. </w:t>
      </w:r>
    </w:p>
    <w:p>
      <w:pPr>
        <w:pStyle w:val="ManualNumPar1"/>
        <w:rPr>
          <w:noProof/>
        </w:rPr>
      </w:pPr>
      <w:r>
        <w:rPr>
          <w:noProof/>
        </w:rPr>
        <w:t>7.</w:t>
      </w:r>
      <w:r>
        <w:rPr>
          <w:noProof/>
        </w:rPr>
        <w:tab/>
        <w:t xml:space="preserve">Achizitorii publici asigură accesul egal la informații pe parcursul consultării pieței. Aceștia partajează orice informații privind achiziția în domeniul cercetării și dezvoltării furnizate unui operator economic care participă la consultarea pieței cu toți ceilalți operatori economici care participă la aceeași consultare a pieței. </w:t>
      </w:r>
    </w:p>
    <w:p>
      <w:pPr>
        <w:pStyle w:val="ManualNumPar1"/>
        <w:rPr>
          <w:noProof/>
        </w:rPr>
      </w:pPr>
      <w:r>
        <w:rPr>
          <w:noProof/>
        </w:rPr>
        <w:t>8.</w:t>
      </w:r>
      <w:r>
        <w:rPr>
          <w:noProof/>
        </w:rPr>
        <w:tab/>
        <w:t xml:space="preserve">În cursul consultării pieței, achizitorii publici pot solicita sau accepta informații și consultanță din partea publicului larg, a experților independenți, a autorităților publice, a participanților la piață sau a altor părți relevante. Consultarea pieței poate lua forma unor schimburi de informații scrise sau verbale, a unor chestionare online, a unor seminare online sau reuniuni fizice, a unor vizite la fața locului sau demonstrații ori a altor formate obiective adecvate. Informațiile și consilierea solicitate sau acceptate pot fi utilizate pentru planificarea și desfășurarea achizițiilor în domeniul cercetării și dezvoltării, cu respectarea principiilor egalității de tratament, nediscriminării, concurenței loiale și transparenței. </w:t>
      </w:r>
    </w:p>
    <w:p>
      <w:pPr>
        <w:pStyle w:val="ManualNumPar1"/>
        <w:rPr>
          <w:noProof/>
        </w:rPr>
      </w:pPr>
      <w:r>
        <w:rPr>
          <w:noProof/>
        </w:rPr>
        <w:t>9.</w:t>
      </w:r>
      <w:r>
        <w:rPr>
          <w:noProof/>
        </w:rPr>
        <w:tab/>
        <w:t xml:space="preserve">Cu excepția cazului în care acest lucru contravine intereselor Uniunii sau ale unuia sau mai multor state membre ale sale în materie de securitate sau siguranță publică, în sensul articolului 28 alineatul (2), achizitorii publici publică pe site-ul lor orice document referitor la consultarea pieței, inclusiv orice document care explică contextul și detaliile logistice privind organizarea consultării pieței, întrebările adresate de operatorii economici împreună cu răspunsurile achizitorului public la aceste întrebări și, dacă sunt disponibile, un rezumat al rezultatelor consultării pieței sau procese-verbale redactate în scris ori o înregistrare video sau audio a oricărei reuniuni de consultare a pieței. </w:t>
      </w:r>
    </w:p>
    <w:p>
      <w:pPr>
        <w:pStyle w:val="ManualNumPar1"/>
        <w:rPr>
          <w:noProof/>
        </w:rPr>
      </w:pPr>
      <w:r>
        <w:rPr>
          <w:noProof/>
        </w:rPr>
        <w:t>10.</w:t>
      </w:r>
      <w:r>
        <w:rPr>
          <w:noProof/>
        </w:rPr>
        <w:tab/>
        <w:t>Participarea unui operator economic la o consultare a pieței nu aduce atingere eligibilității sale de a participa la o procedură de ofertare ulterioară pentru achizițiile în domeniul cercetării și dezvoltării.</w:t>
      </w:r>
    </w:p>
    <w:p>
      <w:pPr>
        <w:pStyle w:val="ManualNumPar1"/>
        <w:rPr>
          <w:noProof/>
        </w:rPr>
      </w:pPr>
      <w:r>
        <w:rPr>
          <w:noProof/>
        </w:rPr>
        <w:t>11.</w:t>
      </w:r>
      <w:r>
        <w:rPr>
          <w:noProof/>
        </w:rPr>
        <w:tab/>
        <w:t>Prin derogare de la alineatul (1), obligația de a efectua o consultare a pieței în temeiul prezentului articol nu se aplică procedurilor de achiziții în domeniul cercetării și dezvoltării care au ca unic obiect achiziționarea de servicii de consultanță în materie de cercetare și dezvoltare, astfel cum sunt reglementate de codurile CPV 73200000-4, 73210000-7 și 73220000-0.</w:t>
      </w:r>
    </w:p>
    <w:p>
      <w:pPr>
        <w:pStyle w:val="Titrearticle"/>
        <w:rPr>
          <w:rFonts w:eastAsia="Times New Roman"/>
          <w:i w:val="0"/>
          <w:noProof/>
        </w:rPr>
      </w:pPr>
      <w:r>
        <w:rPr>
          <w:noProof/>
        </w:rPr>
        <w:t>Articolul 10</w:t>
      </w:r>
    </w:p>
    <w:p>
      <w:pPr>
        <w:pStyle w:val="NormalCentered"/>
        <w:rPr>
          <w:rFonts w:eastAsia="Times New Roman"/>
          <w:b/>
          <w:bCs/>
          <w:noProof/>
        </w:rPr>
      </w:pPr>
      <w:r>
        <w:rPr>
          <w:b/>
          <w:noProof/>
        </w:rPr>
        <w:t>Documentele achiziției</w:t>
      </w:r>
    </w:p>
    <w:p>
      <w:pPr>
        <w:pStyle w:val="ManualNumPar1"/>
        <w:rPr>
          <w:noProof/>
        </w:rPr>
      </w:pPr>
      <w:r>
        <w:rPr>
          <w:noProof/>
        </w:rPr>
        <w:t>1.</w:t>
      </w:r>
      <w:r>
        <w:rPr>
          <w:noProof/>
        </w:rPr>
        <w:tab/>
        <w:t>Achizitorii publici precizează în documentele achiziției cel puțin următoarele informații:</w:t>
      </w:r>
    </w:p>
    <w:p>
      <w:pPr>
        <w:pStyle w:val="Point1"/>
        <w:rPr>
          <w:noProof/>
        </w:rPr>
      </w:pPr>
      <w:r>
        <w:rPr>
          <w:noProof/>
        </w:rPr>
        <w:t>(a)</w:t>
      </w:r>
      <w:r>
        <w:rPr>
          <w:noProof/>
        </w:rPr>
        <w:tab/>
        <w:t>necesarul de achiziții în domeniul cercetării și dezvoltării, în conformitate cu alineatul (4);</w:t>
      </w:r>
    </w:p>
    <w:p>
      <w:pPr>
        <w:pStyle w:val="Point1"/>
        <w:rPr>
          <w:noProof/>
        </w:rPr>
      </w:pPr>
      <w:r>
        <w:rPr>
          <w:noProof/>
        </w:rPr>
        <w:t>(b)</w:t>
      </w:r>
      <w:r>
        <w:rPr>
          <w:noProof/>
        </w:rPr>
        <w:tab/>
        <w:t>valoarea estimată a achizițiilor în domeniul cercetării și dezvoltării stabilită în conformitate cu metodologia prevăzută la alineatul (5) și orice contribuții în numerar sau în natură pe care achizitorii publici intenționează sau pot să le pună la dispoziția contractanților pe parcursul achizițiilor în domeniul cercetării și dezvoltării;</w:t>
      </w:r>
    </w:p>
    <w:p>
      <w:pPr>
        <w:pStyle w:val="Point1"/>
        <w:rPr>
          <w:noProof/>
        </w:rPr>
      </w:pPr>
      <w:r>
        <w:rPr>
          <w:noProof/>
        </w:rPr>
        <w:t>(c)</w:t>
      </w:r>
      <w:r>
        <w:rPr>
          <w:noProof/>
        </w:rPr>
        <w:tab/>
        <w:t>informațiile privind desfășurarea și rezultatul consultării pieței puse la dispoziție în conformitate cu articolul 9 alineatul (7) și cu articolul 9 alineatul (9);</w:t>
      </w:r>
    </w:p>
    <w:p>
      <w:pPr>
        <w:pStyle w:val="Point1"/>
        <w:rPr>
          <w:noProof/>
        </w:rPr>
      </w:pPr>
      <w:r>
        <w:rPr>
          <w:noProof/>
        </w:rPr>
        <w:t>(d)</w:t>
      </w:r>
      <w:r>
        <w:rPr>
          <w:noProof/>
        </w:rPr>
        <w:tab/>
        <w:t>condițiile de acces la achiziția în domeniul cercetării și dezvoltării, în conformitate cu obligațiile prevăzute la articolul 11;</w:t>
      </w:r>
    </w:p>
    <w:p>
      <w:pPr>
        <w:pStyle w:val="Point1"/>
        <w:rPr>
          <w:noProof/>
        </w:rPr>
      </w:pPr>
      <w:r>
        <w:rPr>
          <w:noProof/>
        </w:rPr>
        <w:t>(e)</w:t>
      </w:r>
      <w:r>
        <w:rPr>
          <w:noProof/>
        </w:rPr>
        <w:tab/>
        <w:t xml:space="preserve">motivele de excludere, criteriile de selecție și garanțiile financiare aplicabile în conformitate cu obligațiile prevăzute la articolele 13, 14, 15 și 16; </w:t>
      </w:r>
    </w:p>
    <w:p>
      <w:pPr>
        <w:pStyle w:val="Point1"/>
        <w:rPr>
          <w:noProof/>
        </w:rPr>
      </w:pPr>
      <w:r>
        <w:rPr>
          <w:noProof/>
        </w:rPr>
        <w:t>(f)</w:t>
      </w:r>
      <w:r>
        <w:rPr>
          <w:noProof/>
        </w:rPr>
        <w:tab/>
        <w:t>cerințele minime pe care trebuie să le îndeplinească toți ofertanții;</w:t>
      </w:r>
    </w:p>
    <w:p>
      <w:pPr>
        <w:pStyle w:val="Point1"/>
        <w:rPr>
          <w:noProof/>
        </w:rPr>
      </w:pPr>
      <w:r>
        <w:rPr>
          <w:noProof/>
        </w:rPr>
        <w:t>(g)</w:t>
      </w:r>
      <w:r>
        <w:rPr>
          <w:noProof/>
        </w:rPr>
        <w:tab/>
        <w:t>criteriile de atribuire referitoare la inovare, inclusiv ponderile lor respective, care urmează să fie aplicate la evaluarea ofertelor, în conformitate cu obligațiile prevăzute la articolul 17;</w:t>
      </w:r>
    </w:p>
    <w:p>
      <w:pPr>
        <w:pStyle w:val="Point1"/>
        <w:rPr>
          <w:noProof/>
        </w:rPr>
      </w:pPr>
      <w:r>
        <w:rPr>
          <w:noProof/>
        </w:rPr>
        <w:t>(h)</w:t>
      </w:r>
      <w:r>
        <w:rPr>
          <w:noProof/>
        </w:rPr>
        <w:tab/>
        <w:t xml:space="preserve">repartizarea drepturilor și obligațiilor legate de drepturile de proprietate intelectuală și de proprietatea asupra rezultatelor, în conformitate cu obligațiile prevăzute la articolul 19; </w:t>
      </w:r>
    </w:p>
    <w:p>
      <w:pPr>
        <w:pStyle w:val="Point1"/>
        <w:rPr>
          <w:noProof/>
        </w:rPr>
      </w:pPr>
      <w:r>
        <w:rPr>
          <w:noProof/>
        </w:rPr>
        <w:t>(i)</w:t>
      </w:r>
      <w:r>
        <w:rPr>
          <w:noProof/>
        </w:rPr>
        <w:tab/>
        <w:t xml:space="preserve">dispozițiile privind modificările contractelor și, după caz, privind analiza valorii, în conformitate cu obligațiile prevăzute la articolele 20-21; </w:t>
      </w:r>
    </w:p>
    <w:p>
      <w:pPr>
        <w:pStyle w:val="Point1"/>
        <w:rPr>
          <w:noProof/>
        </w:rPr>
      </w:pPr>
      <w:r>
        <w:rPr>
          <w:noProof/>
        </w:rPr>
        <w:t>(j)</w:t>
      </w:r>
      <w:r>
        <w:rPr>
          <w:noProof/>
        </w:rPr>
        <w:tab/>
        <w:t>dispozițiile privind procedura de ofertare, inclusiv dispozițiile aplicabile privind negocierea prevăzute la alineatele (2)-(3) de la prezentul articol și numărul minim de contractanți care trebuie selectați în cazul în care se utilizează loturi și aprovizionarea de la mai mulți furnizori, în conformitate cu dispozițiile privind aprovizionarea de la mai mulți furnizori prevăzute la articolul 22 și cu dispozițiile privind lansarea procedurii de ofertare prevăzute la articolul 23;</w:t>
      </w:r>
    </w:p>
    <w:p>
      <w:pPr>
        <w:pStyle w:val="Point1"/>
        <w:rPr>
          <w:noProof/>
        </w:rPr>
      </w:pPr>
      <w:r>
        <w:rPr>
          <w:noProof/>
        </w:rPr>
        <w:t>(k)</w:t>
      </w:r>
      <w:r>
        <w:rPr>
          <w:noProof/>
        </w:rPr>
        <w:tab/>
        <w:t>după caz, numărul de etape de cercetare și dezvoltare în care sunt împărțite activitățile de cercetare și dezvoltare și dacă achizitorul public include opțiunea de a recurge la posibilitatea de a invita operatori economici care nu au participat la etapele anterioare ale achizițiilor în domeniul cercetării și dezvoltării să participe la etapele ulterioare ale achizițiilor în domeniul cercetării și dezvoltării, în conformitate cu obligațiile privind dezvoltarea competitivă în etape, prevăzute la articolul 24;</w:t>
      </w:r>
    </w:p>
    <w:p>
      <w:pPr>
        <w:pStyle w:val="Point1"/>
        <w:rPr>
          <w:noProof/>
        </w:rPr>
      </w:pPr>
      <w:r>
        <w:rPr>
          <w:noProof/>
        </w:rPr>
        <w:t>(l)</w:t>
      </w:r>
      <w:r>
        <w:rPr>
          <w:noProof/>
        </w:rPr>
        <w:tab/>
        <w:t>dacă și în ce mod achizitorul public intenționează să obțină dreptul de proprietate asupra rezultatelor procedurii de achiziții în domeniul cercetării și dezvoltării, inclusiv asupra oricăror prototipuri sau prime produse, servicii sau lucrări dezvoltate ca parte a achizițiilor în domeniul cercetării și dezvoltării;</w:t>
      </w:r>
    </w:p>
    <w:p>
      <w:pPr>
        <w:pStyle w:val="Point1"/>
        <w:rPr>
          <w:noProof/>
        </w:rPr>
      </w:pPr>
      <w:r>
        <w:rPr>
          <w:noProof/>
        </w:rPr>
        <w:t>(m)</w:t>
      </w:r>
      <w:r>
        <w:rPr>
          <w:noProof/>
        </w:rPr>
        <w:tab/>
        <w:t>indicatorii-cheie de performanță referitori la inovare, definiți, în cea mai mare măsură posibilă, ca cerințe de performanță, precum și metoda de evaluare a acestora, în vederea monitorizării executării contractului pe tot parcursul achiziției publice în domeniul cercetării și dezvoltării, în conformitate cu obligațiile prevăzute la articolul 24 alineatul (5);</w:t>
      </w:r>
    </w:p>
    <w:p>
      <w:pPr>
        <w:pStyle w:val="Point1"/>
        <w:rPr>
          <w:noProof/>
        </w:rPr>
      </w:pPr>
      <w:r>
        <w:rPr>
          <w:noProof/>
        </w:rPr>
        <w:t>(n)</w:t>
      </w:r>
      <w:r>
        <w:rPr>
          <w:noProof/>
        </w:rPr>
        <w:tab/>
        <w:t>dispozițiile privind plățile, în conformitate cu obligațiile prevăzute la articolul 25;</w:t>
      </w:r>
    </w:p>
    <w:p>
      <w:pPr>
        <w:pStyle w:val="Point1"/>
        <w:rPr>
          <w:noProof/>
        </w:rPr>
      </w:pPr>
      <w:r>
        <w:rPr>
          <w:noProof/>
        </w:rPr>
        <w:t>(o)</w:t>
      </w:r>
      <w:r>
        <w:rPr>
          <w:noProof/>
        </w:rPr>
        <w:tab/>
        <w:t>obligațiile aplicabile în materie de confidențialitate și de protecție a datelor, în conformitate cu obligațiile prevăzute la articolul 26;</w:t>
      </w:r>
    </w:p>
    <w:p>
      <w:pPr>
        <w:pStyle w:val="Point1"/>
        <w:rPr>
          <w:noProof/>
        </w:rPr>
      </w:pPr>
      <w:r>
        <w:rPr>
          <w:noProof/>
        </w:rPr>
        <w:t>(p)</w:t>
      </w:r>
      <w:r>
        <w:rPr>
          <w:noProof/>
        </w:rPr>
        <w:tab/>
        <w:t>după caz, orice cerințe impuse contractanților de a contribui la standardizarea, certificarea sau publicarea rezultatelor, inclusiv prin punerea acestora la dispoziție sub formă de date deschise sau cu sursă deschisă, fără a aduce atingere obligațiilor de confidențialitate și de protecție a datelor menționate la articolul 26 și obligațiilor cu privire la protecția drepturilor de proprietate intelectuală prevăzute la articolul 19;</w:t>
      </w:r>
    </w:p>
    <w:p>
      <w:pPr>
        <w:pStyle w:val="Point1"/>
        <w:rPr>
          <w:noProof/>
        </w:rPr>
      </w:pPr>
      <w:r>
        <w:rPr>
          <w:noProof/>
        </w:rPr>
        <w:t>(q)</w:t>
      </w:r>
      <w:r>
        <w:rPr>
          <w:noProof/>
        </w:rPr>
        <w:tab/>
        <w:t>dispozițiile privind rezilierea contractelor de achiziții în domeniul cercetării și dezvoltării, în conformitate cu obligațiile prevăzute la articolele 27 și 29;</w:t>
      </w:r>
    </w:p>
    <w:p>
      <w:pPr>
        <w:pStyle w:val="Point1"/>
        <w:rPr>
          <w:noProof/>
        </w:rPr>
      </w:pPr>
      <w:r>
        <w:rPr>
          <w:noProof/>
        </w:rPr>
        <w:t>(r)</w:t>
      </w:r>
      <w:r>
        <w:rPr>
          <w:noProof/>
        </w:rPr>
        <w:tab/>
        <w:t>obligațiile aplicabile în materie de securitate și siguranță publică, în conformitate cu obligațiile prevăzute la articolul 28, 29 și 30;</w:t>
      </w:r>
    </w:p>
    <w:p>
      <w:pPr>
        <w:pStyle w:val="Point1"/>
        <w:rPr>
          <w:noProof/>
        </w:rPr>
      </w:pPr>
      <w:r>
        <w:rPr>
          <w:noProof/>
        </w:rPr>
        <w:t>(s)</w:t>
      </w:r>
      <w:r>
        <w:rPr>
          <w:noProof/>
        </w:rPr>
        <w:tab/>
        <w:t>după caz, dispozițiile privind derularea procedurii ca achiziție comună în domeniul cercetării și dezvoltării, în conformitate cu obligațiile prevăzute la articolul 31;</w:t>
      </w:r>
    </w:p>
    <w:p>
      <w:pPr>
        <w:pStyle w:val="Point1"/>
        <w:rPr>
          <w:noProof/>
        </w:rPr>
      </w:pPr>
      <w:r>
        <w:rPr>
          <w:noProof/>
        </w:rPr>
        <w:t>(t)</w:t>
      </w:r>
      <w:r>
        <w:rPr>
          <w:noProof/>
        </w:rPr>
        <w:tab/>
        <w:t>că dispozițiile prezentului regulament se aplică achizițiilor în domeniul cercetării și dezvoltării.</w:t>
      </w:r>
    </w:p>
    <w:p>
      <w:pPr>
        <w:pStyle w:val="ManualNumPar1"/>
        <w:rPr>
          <w:rFonts w:eastAsia="Times New Roman"/>
          <w:noProof/>
        </w:rPr>
      </w:pPr>
      <w:r>
        <w:rPr>
          <w:noProof/>
        </w:rPr>
        <w:t>2.</w:t>
      </w:r>
      <w:r>
        <w:rPr>
          <w:noProof/>
        </w:rPr>
        <w:tab/>
        <w:t xml:space="preserve">Achizitorii publici indică în documentele achiziției că condițiile esențiale ale contractului de achiziții în domeniul cercetării și dezvoltării nu fac obiectul negocierii. Achizitorii publici nu modifică în mod substanțial obiectul contractului de achiziții în domeniul cercetării și dezvoltării ca urmare a negocierilor. Negocierile pot viza toate caracteristicile activităților de cercetare și dezvoltare și ale rezultatelor preconizate a fi dezvoltate pentru achizitorul public în cursul respectivelor activități de cercetare și dezvoltare ca parte a achiziției în domeniul cercetării și dezvoltării, inclusiv calitatea, cantitățile, precum și aspectele sociale, de mediu și cele legate de inovare, pot face obiectul negocierii, cu condiția ca aceste caracteristici să nu constituie cerințe minime. </w:t>
      </w:r>
    </w:p>
    <w:p>
      <w:pPr>
        <w:pStyle w:val="ManualNumPar1"/>
        <w:rPr>
          <w:rFonts w:eastAsia="Times New Roman"/>
          <w:noProof/>
        </w:rPr>
      </w:pPr>
      <w:r>
        <w:rPr>
          <w:noProof/>
        </w:rPr>
        <w:t>3.</w:t>
      </w:r>
      <w:r>
        <w:rPr>
          <w:noProof/>
        </w:rPr>
        <w:tab/>
        <w:t xml:space="preserve">Achizitorii publici indică, în documentele achiziției, orice elemente specifice care nu sunt enumerate la alineatul (1) pentru care invită ofertanții să indice, în oferta lor, abordarea lor preferată, lăsând finalizarea elementelor respective sub rezerva negocierii. </w:t>
      </w:r>
    </w:p>
    <w:p>
      <w:pPr>
        <w:pStyle w:val="ManualNumPar1"/>
        <w:rPr>
          <w:noProof/>
        </w:rPr>
      </w:pPr>
      <w:r>
        <w:rPr>
          <w:noProof/>
        </w:rPr>
        <w:t>4.</w:t>
      </w:r>
      <w:r>
        <w:rPr>
          <w:noProof/>
        </w:rPr>
        <w:tab/>
        <w:t xml:space="preserve">Achizitorii publici elaborează documentele achiziției pentru achiziția din domeniul cercetării și dezvoltării ținând seama de constatările consultării pieței și de orice cercetare de piață efectuată de achizitorul public cu privire la stadiul actual al tehnologiei în ceea ce privește orice foi de parcurs în curs ale operatorilor economici privind cercetarea și dezvoltarea și planificarea produselor. Achizitorii publici formulează nevoia de achiziții în domeniul cercetării și dezvoltării menționată la alineatul (1) litera (a) de la prezentul articol ca fiind o problemă care trebuie soluționată fără a limita în mod nejustificat posibilele abordări pentru soluționarea acesteia. Achizitorii publici acordă prioritate utilizării cerințelor funcționale sau a cerințelor de performanță în conformitate cu articolul 18 pentru a formula cerințele pentru abordarea nevoii de achiziții în domeniul cercetării și dezvoltării. Informațiile furnizate în documentele achiziției sunt suficient de precise pentru a permite operatorilor economici să identifice natura și sfera de aplicare a achiziției în domeniul cercetării și dezvoltării și să decidă dacă să depună o ofertă. </w:t>
      </w:r>
    </w:p>
    <w:p>
      <w:pPr>
        <w:pStyle w:val="ManualNumPar1"/>
        <w:rPr>
          <w:noProof/>
        </w:rPr>
      </w:pPr>
      <w:r>
        <w:rPr>
          <w:noProof/>
        </w:rPr>
        <w:t>5.</w:t>
      </w:r>
      <w:r>
        <w:rPr>
          <w:noProof/>
        </w:rPr>
        <w:tab/>
      </w:r>
      <w:bookmarkStart w:id="27" w:name="_Hlk232008197"/>
      <w:r>
        <w:rPr>
          <w:noProof/>
        </w:rPr>
        <w:t>Achizitorii publici calculează valoarea estimată procedurii de achiziții în domeniul cercetării și dezvoltării pe baza valorii maxime estimate, fără TVA, a serviciilor de cercetare și dezvoltare care urmează să fie furnizate în contextul contractului sau contractelor de achiziții în domeniul cercetării și dezvoltării care se preconizează că vor fi atribuite în cadrul procedurii de achiziții în domeniul cercetării și dezvoltării, inclusiv orice loturi, opțiuni sau reînnoiri. La calcularea valorii estimate se ia în considerare valoarea estimată a tuturor tipurilor de cheltuieli legate de activitățile de cercetare și dezvoltare, indiferent de ponderea acestora în valoarea totală estimată, inclusiv valoarea forței de muncă, a materialelor, a componentelor și a instrumentelor necesare pentru obținerea rezultatelor preconizate, inclusiv, după caz, activitățile de cercetare și dezvoltare desfășurate înainte de începerea procedurii de achiziție în domeniul cercetării și dezvoltării. În cazul în care achizitorii publici intenționează să dobândească în mod exclusiv drepturile de proprietate intelectuală asupra rezultatelor generate de contractanți, valoarea estimată include valoarea estimată a drepturilor de proprietate intelectuală respective. Valoarea estimată nu include nicio contribuție în numerar sau în natură pe care achizitorii publici intenționează sau ar putea să o pună la dispoziția contractanților în cursul procedurii de achiziții în domeniul cercetării și dezvoltării.</w:t>
      </w:r>
    </w:p>
    <w:p>
      <w:pPr>
        <w:pStyle w:val="ManualNumPar1"/>
        <w:rPr>
          <w:noProof/>
        </w:rPr>
      </w:pPr>
      <w:r>
        <w:rPr>
          <w:noProof/>
        </w:rPr>
        <w:t>6.</w:t>
      </w:r>
      <w:r>
        <w:rPr>
          <w:noProof/>
        </w:rPr>
        <w:tab/>
        <w:t>În ceea ce privește produsele, serviciile sau lucrările care rezultă din serviciile de cercetare și dezvoltare achiziționate și care sunt necesare pentru a proteja interesele de securitate și siguranță publică ale Uniunii sau ale unuia sau mai multor state membre ale sale în sensul articolului 28 alineatul (2), inclusiv pentru a evita problemele de securitate a aprovizionării, achizitorii publici pot preciza, în documentele achiziției, că achizitorii publici au dreptul prioritar de a achiziționa un volum sau o valoare predefinită a produselor, serviciilor sau lucrărilor respective înainte ca acestea să fie oferite altor cumpărători potențiali. În acest caz, achizitorii publici stabilesc dreptul de prioritate la cumpărare ca obligație contractuală în contractul de achiziții în domeniul cercetării și dezvoltării.</w:t>
      </w:r>
    </w:p>
    <w:bookmarkEnd w:id="27"/>
    <w:p>
      <w:pPr>
        <w:pStyle w:val="Titrearticle"/>
        <w:rPr>
          <w:noProof/>
        </w:rPr>
      </w:pPr>
      <w:r>
        <w:rPr>
          <w:noProof/>
        </w:rPr>
        <w:t>Articolul 11</w:t>
      </w:r>
    </w:p>
    <w:p>
      <w:pPr>
        <w:pStyle w:val="NormalCentered"/>
        <w:rPr>
          <w:rFonts w:eastAsia="Times New Roman"/>
          <w:b/>
          <w:bCs/>
          <w:noProof/>
        </w:rPr>
      </w:pPr>
      <w:r>
        <w:rPr>
          <w:b/>
          <w:noProof/>
        </w:rPr>
        <w:tab/>
        <w:t>Condiții de acces la procedurile de achiziții în domeniul cercetării și dezvoltării și cerințe privind locul de executare</w:t>
      </w:r>
    </w:p>
    <w:p>
      <w:pPr>
        <w:pStyle w:val="ManualNumPar1"/>
        <w:rPr>
          <w:noProof/>
        </w:rPr>
      </w:pPr>
      <w:r>
        <w:rPr>
          <w:noProof/>
        </w:rPr>
        <w:t>1.</w:t>
      </w:r>
      <w:r>
        <w:rPr>
          <w:noProof/>
        </w:rPr>
        <w:tab/>
        <w:t>Achizitorii publici deschid participarea la achiziții în domeniul cercetării și dezvoltării numai pentru:</w:t>
      </w:r>
    </w:p>
    <w:p>
      <w:pPr>
        <w:pStyle w:val="Point1"/>
        <w:rPr>
          <w:noProof/>
        </w:rPr>
      </w:pPr>
      <w:r>
        <w:rPr>
          <w:noProof/>
        </w:rPr>
        <w:t>(a)</w:t>
      </w:r>
      <w:r>
        <w:rPr>
          <w:noProof/>
        </w:rPr>
        <w:tab/>
        <w:t xml:space="preserve">operatorii economici care își au originea în state membre; </w:t>
      </w:r>
    </w:p>
    <w:p>
      <w:pPr>
        <w:pStyle w:val="Point1"/>
        <w:rPr>
          <w:noProof/>
        </w:rPr>
      </w:pPr>
      <w:r>
        <w:rPr>
          <w:noProof/>
        </w:rPr>
        <w:t>(b)</w:t>
      </w:r>
      <w:r>
        <w:rPr>
          <w:noProof/>
        </w:rPr>
        <w:tab/>
        <w:t xml:space="preserve">operatorii economici care își au originea în țări care au încheiat un acord internațional cu Uniunea, cu condiția ca achizițiile în domeniul cercetării și dezvoltării să intre în domeniul de aplicare al angajamentelor Uniunii în materie de achiziții publice din acordul respectiv. </w:t>
      </w:r>
    </w:p>
    <w:p>
      <w:pPr>
        <w:pStyle w:val="ManualNumPar1"/>
        <w:rPr>
          <w:noProof/>
        </w:rPr>
      </w:pPr>
      <w:r>
        <w:rPr>
          <w:noProof/>
        </w:rPr>
        <w:t>2.</w:t>
      </w:r>
      <w:r>
        <w:rPr>
          <w:noProof/>
        </w:rPr>
        <w:tab/>
        <w:t>Comisia este împuternicită să adopte acte delegate în conformitate cu articolul 39 pentru a completa prezentul regulament prin excluderea, totală sau parțială, sub rezerva obligațiilor internaționale ale Uniunii, a unei țări terțe din domeniul de aplicare al alineatului (1) litera (b) pe baza oricăruia dintre următoarele criterii:</w:t>
      </w:r>
    </w:p>
    <w:p>
      <w:pPr>
        <w:pStyle w:val="Point1"/>
        <w:rPr>
          <w:noProof/>
        </w:rPr>
      </w:pPr>
      <w:r>
        <w:rPr>
          <w:noProof/>
        </w:rPr>
        <w:t>(a)</w:t>
      </w:r>
      <w:r>
        <w:rPr>
          <w:noProof/>
        </w:rPr>
        <w:tab/>
        <w:t>țara terță respectivă nu a furnizat tratamentul național legat de serviciile sau entitățile de cercetare și dezvoltare ale Uniunii în temeiul acordurilor menționate la alineatul (1) primul paragraf litera (b);</w:t>
      </w:r>
    </w:p>
    <w:p>
      <w:pPr>
        <w:pStyle w:val="Point1"/>
        <w:rPr>
          <w:noProof/>
        </w:rPr>
      </w:pPr>
      <w:r>
        <w:rPr>
          <w:noProof/>
        </w:rPr>
        <w:t>(b)</w:t>
      </w:r>
      <w:r>
        <w:rPr>
          <w:noProof/>
        </w:rPr>
        <w:tab/>
        <w:t xml:space="preserve">o astfel de excludere este justificată pentru a evita dependențele sau orice alte evoluții care ar putea amenința securitatea aprovizionării în Uniune cu produsele, lucrările sau serviciile relevante în cauză; </w:t>
      </w:r>
    </w:p>
    <w:p>
      <w:pPr>
        <w:pStyle w:val="Point1"/>
        <w:rPr>
          <w:noProof/>
        </w:rPr>
      </w:pPr>
      <w:r>
        <w:rPr>
          <w:noProof/>
        </w:rPr>
        <w:t>(c)</w:t>
      </w:r>
      <w:r>
        <w:rPr>
          <w:noProof/>
        </w:rPr>
        <w:tab/>
        <w:t>o astfel de restricție este justificată în temeiul oricărei alte excepții prevăzute în acordul aplicabil.</w:t>
      </w:r>
    </w:p>
    <w:p>
      <w:pPr>
        <w:pStyle w:val="ManualNumPar1"/>
        <w:spacing w:after="0"/>
        <w:rPr>
          <w:noProof/>
        </w:rPr>
      </w:pPr>
      <w:r>
        <w:rPr>
          <w:noProof/>
        </w:rPr>
        <w:t>3.</w:t>
      </w:r>
      <w:r>
        <w:rPr>
          <w:noProof/>
        </w:rPr>
        <w:tab/>
        <w:t>Prin derogare de la alineatul (1) de la prezentul articol, în cazul în care acest lucru este necesar și justificat pentru a asigura protecția intereselor de securitate ale Uniunii sau ale unuia sau mai multor state membre ale sale în sensul articolului 28 alineatul (2), achizitorii publici pot restricționa participarea la achizițiile în domeniul cercetării și dezvoltării numai la operatorii economici care își au originea în state membre și care nu se supun controlului unei țări terțe sau al unei entități juridice care se supune controlului unei țări terțe.</w:t>
      </w:r>
    </w:p>
    <w:p>
      <w:pPr>
        <w:pStyle w:val="ManualNumPar1"/>
        <w:rPr>
          <w:rFonts w:eastAsia="Times New Roman"/>
          <w:noProof/>
          <w:szCs w:val="24"/>
        </w:rPr>
      </w:pPr>
      <w:r>
        <w:rPr>
          <w:noProof/>
        </w:rPr>
        <w:t>4.</w:t>
      </w:r>
      <w:r>
        <w:rPr>
          <w:noProof/>
        </w:rPr>
        <w:tab/>
      </w:r>
      <w:bookmarkStart w:id="28" w:name="_Hlk232248903"/>
      <w:r>
        <w:rPr>
          <w:noProof/>
        </w:rPr>
        <w:t xml:space="preserve">Prin derogare de la alineatul (1) litera (b), achizitorii publici pot deschide accesul la achizițiile publice în domeniul cercetării și dezvoltării și operatorilor economici care își au originea în țări care au încheiat un acord internațional cu Uniunea în cadrul căruia Uniunea și-a asumat angajamente în materie de achiziții publice, dar nu și pentru achizițiile în domeniul cercetării și dezvoltării, numai în unul dintre următoarele cazuri în care: </w:t>
      </w:r>
    </w:p>
    <w:p>
      <w:pPr>
        <w:pStyle w:val="Point1"/>
        <w:rPr>
          <w:noProof/>
        </w:rPr>
      </w:pPr>
      <w:r>
        <w:rPr>
          <w:noProof/>
        </w:rPr>
        <w:t>(d)</w:t>
      </w:r>
      <w:r>
        <w:rPr>
          <w:noProof/>
        </w:rPr>
        <w:tab/>
        <w:t>prin intermediul unui studiu de piață care include o consultare amplă și difuzată pe scară largă a pieței, achizitorul public poate stabili că serviciile de cercetare și dezvoltare necesare nu pot fi furnizate de operatorii economici din țările enumerate la alineatul (1) și că nu există nicio alternativă sau substitut rezonabil;</w:t>
      </w:r>
    </w:p>
    <w:p>
      <w:pPr>
        <w:pStyle w:val="Point1"/>
        <w:rPr>
          <w:noProof/>
        </w:rPr>
      </w:pPr>
      <w:r>
        <w:rPr>
          <w:noProof/>
        </w:rPr>
        <w:t>(e)</w:t>
      </w:r>
      <w:r>
        <w:rPr>
          <w:noProof/>
        </w:rPr>
        <w:tab/>
        <w:t>dacă nu au fost depuse oferte sau cereri de participare adecvate, inclusiv ca răspuns la o procedură similară de achiziții în domeniul cercetării și dezvoltării lansată de orice achizitor public din țările enumerate la alineatul (1) în cei doi ani anteriori lansării noii proceduri planificate de achiziții în domeniul cercetării și dezvoltării; sau</w:t>
      </w:r>
    </w:p>
    <w:p>
      <w:pPr>
        <w:pStyle w:val="Point1"/>
        <w:rPr>
          <w:noProof/>
        </w:rPr>
      </w:pPr>
      <w:r>
        <w:rPr>
          <w:noProof/>
        </w:rPr>
        <w:t>(f)</w:t>
      </w:r>
      <w:r>
        <w:rPr>
          <w:noProof/>
        </w:rPr>
        <w:tab/>
        <w:t xml:space="preserve">limitarea accesului la procedurile de achiziții în domeniul cercetării și dezvoltării în conformitate cu alineatul (1) ar însemna că achizitorul public este nevoit să achiziționeze servicii de cercetare și dezvoltare la costuri disproporționate. </w:t>
      </w:r>
    </w:p>
    <w:p>
      <w:pPr>
        <w:ind w:left="851"/>
        <w:rPr>
          <w:noProof/>
        </w:rPr>
      </w:pPr>
      <w:r>
        <w:rPr>
          <w:noProof/>
        </w:rPr>
        <w:t xml:space="preserve">În sensul primului paragraf litera (b), achizitorii publici pot considera că o diferență estimată mai mare de 20 % între costul estimat al unei oferte prezentate de un operator economic care își are originea într-o țară menționată la alineatul (1) și cel al unei oferte prezentate de un operator economic care își are originea într-o țară care a încheiat cu Uniunea un acord internațional în temeiul căruia Uniunea și-a asumat angajamente în materie de achiziții publice, dar nu și în ceea ce privește achizițiile în domeniul cercetării și dezvoltării, este disproporționată, pe baza unor date obiective și transparente. </w:t>
      </w:r>
    </w:p>
    <w:bookmarkEnd w:id="28"/>
    <w:p>
      <w:pPr>
        <w:pStyle w:val="ManualNumPar1"/>
        <w:spacing w:before="0" w:after="0"/>
        <w:rPr>
          <w:rFonts w:eastAsia="Times New Roman"/>
          <w:noProof/>
        </w:rPr>
      </w:pPr>
      <w:r>
        <w:rPr>
          <w:noProof/>
        </w:rPr>
        <w:t>5.</w:t>
      </w:r>
      <w:r>
        <w:rPr>
          <w:noProof/>
        </w:rPr>
        <w:tab/>
        <w:t xml:space="preserve">Subcontractarea nu este fi utilizată cu intenția sau efectul de a eluda normele privind accesul la achiziții în domeniul cercetării și dezvoltării. Condițiile de acces la achizițiile în domeniul cercetării și dezvoltării nu se aplică entităților pe ale căror capacități se bazează ofertantul și nici subcontractanților, cu excepția cazului în care achizitorii publici limitează subcontractarea: </w:t>
      </w:r>
    </w:p>
    <w:p>
      <w:pPr>
        <w:pStyle w:val="Point1"/>
        <w:rPr>
          <w:noProof/>
        </w:rPr>
      </w:pPr>
      <w:r>
        <w:rPr>
          <w:noProof/>
        </w:rPr>
        <w:t>(a)</w:t>
      </w:r>
      <w:r>
        <w:rPr>
          <w:noProof/>
        </w:rPr>
        <w:tab/>
        <w:t>în cazul în care se aplică alineatul (1) sau (4), la subcontractanții care își au originea în țările enumerate la alineatul (1);</w:t>
      </w:r>
      <w:r>
        <w:rPr>
          <w:noProof/>
          <w:color w:val="333333"/>
        </w:rPr>
        <w:t xml:space="preserve"> sau</w:t>
      </w:r>
    </w:p>
    <w:p>
      <w:pPr>
        <w:pStyle w:val="Point1"/>
        <w:rPr>
          <w:noProof/>
        </w:rPr>
      </w:pPr>
      <w:r>
        <w:rPr>
          <w:noProof/>
        </w:rPr>
        <w:t>(b)</w:t>
      </w:r>
      <w:r>
        <w:rPr>
          <w:noProof/>
        </w:rPr>
        <w:tab/>
        <w:t>în cazul în care se aplică alineatul (3) și în cazul în care acest lucru este necesar și justificat pentru a asigura protecția intereselor de securitate și de siguranță publică ale Uniunii sau ale unuia sau mai multora dintre statele sale membre în sensul articolului 28 alineatul (2), la subcontractanții care își au originea în state membre și care nu sunt supuși controlului unei țări terțe sau al unei entități juridice care se supune controlului unei țări terțe.</w:t>
      </w:r>
    </w:p>
    <w:p>
      <w:pPr>
        <w:pStyle w:val="ManualNumPar1"/>
        <w:spacing w:after="0"/>
        <w:rPr>
          <w:rFonts w:eastAsia="Times New Roman"/>
          <w:noProof/>
        </w:rPr>
      </w:pPr>
      <w:r>
        <w:rPr>
          <w:noProof/>
        </w:rPr>
        <w:t>6.</w:t>
      </w:r>
      <w:r>
        <w:rPr>
          <w:noProof/>
        </w:rPr>
        <w:tab/>
        <w:t xml:space="preserve">În cazul în care se aplică alineatul (4), achizitorii publici pot rezerva o serie de contracte de achiziții în domeniul cercetării și dezvoltării în cadrul aceleiași proceduri de achiziții în domeniul cercetării și dezvoltării: </w:t>
      </w:r>
    </w:p>
    <w:p>
      <w:pPr>
        <w:pStyle w:val="Point1"/>
        <w:rPr>
          <w:noProof/>
        </w:rPr>
      </w:pPr>
      <w:r>
        <w:rPr>
          <w:noProof/>
        </w:rPr>
        <w:t>(a)</w:t>
      </w:r>
      <w:r>
        <w:rPr>
          <w:noProof/>
        </w:rPr>
        <w:tab/>
        <w:t>pentru operatorii economici care își au originea în țările menționate la alineatul (1) primul paragraf literele (a) și (b); sau</w:t>
      </w:r>
    </w:p>
    <w:p>
      <w:pPr>
        <w:pStyle w:val="Point1"/>
        <w:rPr>
          <w:noProof/>
        </w:rPr>
      </w:pPr>
      <w:r>
        <w:rPr>
          <w:noProof/>
        </w:rPr>
        <w:t>(b)</w:t>
      </w:r>
      <w:r>
        <w:rPr>
          <w:noProof/>
        </w:rPr>
        <w:tab/>
        <w:t xml:space="preserve">dacă este necesar și justificat pentru protejarea intereselor de securitate sau de siguranță publică ale Uniunii sau ale unuia sau mai multor state membre ale sale în sensul articolului 28 alineatul (2), pentru operatorii economici care își au originea în state membre și care nu se supun controlului unei țări terțe sau al unei entități juridice care se supune controlului unei țări terțe. </w:t>
      </w:r>
    </w:p>
    <w:p>
      <w:pPr>
        <w:pStyle w:val="ManualNumPar1"/>
        <w:spacing w:after="0"/>
        <w:rPr>
          <w:noProof/>
        </w:rPr>
      </w:pPr>
      <w:r>
        <w:rPr>
          <w:noProof/>
        </w:rPr>
        <w:t>7.</w:t>
      </w:r>
      <w:r>
        <w:rPr>
          <w:noProof/>
        </w:rPr>
        <w:tab/>
        <w:t xml:space="preserve">Cu excepția cazului în care acest lucru este contrar intereselor de securitate sau de siguranță publică ale Uniunii sau ale unuia sau mai multor state membre ale sale în sensul articolului 28 alineatul (2) din motive justificate în documentele achiziției, achizitorii publici solicită contractanților să desfășoare cel puțin 50 % din activitățile de cercetare și dezvoltare prevăzute în contractul de achiziții în domeniul cercetării și dezvoltării în țările menționate la alineatul (1), inclusiv activitatea personalului principal din domeniul cercetării și dezvoltării cu responsabilitate științifică pentru contractul de achiziții în domeniul cercetării și dezvoltării. </w:t>
      </w:r>
    </w:p>
    <w:p>
      <w:pPr>
        <w:pStyle w:val="ManualNumPar1"/>
        <w:spacing w:after="0"/>
        <w:rPr>
          <w:noProof/>
        </w:rPr>
      </w:pPr>
      <w:r>
        <w:rPr>
          <w:noProof/>
        </w:rPr>
        <w:t>8.</w:t>
      </w:r>
      <w:r>
        <w:rPr>
          <w:noProof/>
        </w:rPr>
        <w:tab/>
        <w:t>Dacă este necesar și justificat pentru protejarea intereselor de securitate sau de siguranță publică ale Uniunii sau ale unuia sau mai multor state membre ale sale în sensul articolului 28 alineatul (2), achizitorii publici pot solicita contractanților, în plus față de măsura prevăzută la alineatul (7) de la prezentul articol, să desfășoare toate activitățile de cercetare și dezvoltare legate de noile componente de securitate ale rezultatelor preconizate în Uniune, inclusiv activitatea personalului principal din domeniul cercetării și dezvoltării cu responsabilitate științifică pentru contractul de achiziții în domeniul cercetării și dezvoltării.</w:t>
      </w:r>
    </w:p>
    <w:p>
      <w:pPr>
        <w:pStyle w:val="ManualNumPar1"/>
        <w:spacing w:after="0"/>
        <w:rPr>
          <w:rFonts w:eastAsia="Times New Roman"/>
          <w:noProof/>
          <w:szCs w:val="24"/>
        </w:rPr>
      </w:pPr>
      <w:r>
        <w:rPr>
          <w:noProof/>
        </w:rPr>
        <w:t>9.</w:t>
      </w:r>
      <w:r>
        <w:rPr>
          <w:noProof/>
        </w:rPr>
        <w:tab/>
        <w:t>În cazul în care un operator economic nu furnizează informațiile sau documentele solicitate de achizitorul public în legătură cu verificarea locului de executare menționat la alineatele (7) și (8) fără nicio explicație rezonabilă și, prin urmare, împiedică verificarea respectării de către operatorii economici a condițiilor locului de executare de către achizitorii publici sau face ca o astfel de verificare să fie practic imposibilă sau foarte dificilă, operatorul economic respectiv este exclus de la participarea la procedura de achiziții în domeniul cercetării și dezvoltării.</w:t>
      </w:r>
    </w:p>
    <w:p>
      <w:pPr>
        <w:pStyle w:val="ManualNumPar1"/>
        <w:spacing w:after="0"/>
        <w:rPr>
          <w:rFonts w:eastAsia="Times New Roman"/>
          <w:b/>
          <w:bCs/>
          <w:noProof/>
          <w:szCs w:val="24"/>
          <w:vertAlign w:val="superscript"/>
        </w:rPr>
      </w:pPr>
      <w:r>
        <w:rPr>
          <w:noProof/>
        </w:rPr>
        <w:t>10.</w:t>
      </w:r>
      <w:r>
        <w:rPr>
          <w:noProof/>
        </w:rPr>
        <w:tab/>
        <w:t>În plus sau prin derogare de la orice norme prevăzute în prezentul regulament, inclusiv sau prin derogare de la lista țărilor menționate la alineatele (1) și (4), pentru atribuirea și executarea contractelor de achiziții în domeniul cercetării și dezvoltării sprijinite de un program sau de un instrument al Uniunii, achizitorii publici aplică toate condițiile necesare pentru a respecta cerințele privind sprijinul din partea Uniunii în toate modurile de gestiune stabilite la articolul 62 din Regulamentul (UE, Euratom) 2024/2509</w:t>
      </w:r>
      <w:r>
        <w:rPr>
          <w:rStyle w:val="FootnoteReference"/>
          <w:noProof/>
        </w:rPr>
        <w:footnoteReference w:id="32"/>
      </w:r>
      <w:r>
        <w:rPr>
          <w:noProof/>
        </w:rPr>
        <w:t>. </w:t>
      </w:r>
    </w:p>
    <w:p>
      <w:pPr>
        <w:pStyle w:val="ManualNumPar1"/>
        <w:rPr>
          <w:noProof/>
        </w:rPr>
      </w:pPr>
      <w:r>
        <w:rPr>
          <w:noProof/>
        </w:rPr>
        <w:t>11.</w:t>
      </w:r>
      <w:r>
        <w:rPr>
          <w:noProof/>
        </w:rPr>
        <w:tab/>
        <w:t xml:space="preserve">Comisia instituie și pune la dispoziție în mod gratuit un instrument online accesibil publicului, care stabilește, într-un mod cuprinzător și actualizat, angajamentele Uniunii în materie de achiziții publice, inclusiv angajamentele în materie de achiziții în domeniul cercetării și dezvoltării, asumate în acordurile internaționale. </w:t>
      </w:r>
    </w:p>
    <w:p>
      <w:pPr>
        <w:pStyle w:val="Text1"/>
        <w:rPr>
          <w:noProof/>
        </w:rPr>
      </w:pPr>
      <w:r>
        <w:rPr>
          <w:noProof/>
        </w:rPr>
        <w:t xml:space="preserve">În sensul unei anumite proceduri de achiziții în domeniul cercetării și dezvoltării, achizitorii publici stabilesc țările menționate la alineatul (1) litera (b) și la alineatul (4) pe baza acordurilor internaționale aplicabile, astfel cum sunt reflectate în instrumentul online menționat la primul paragraf de la prezentul alineat. </w:t>
      </w:r>
    </w:p>
    <w:p>
      <w:pPr>
        <w:pStyle w:val="ManualNumPar1"/>
        <w:rPr>
          <w:noProof/>
        </w:rPr>
      </w:pPr>
      <w:r>
        <w:rPr>
          <w:noProof/>
        </w:rPr>
        <w:t>12.</w:t>
      </w:r>
      <w:r>
        <w:rPr>
          <w:noProof/>
        </w:rPr>
        <w:tab/>
        <w:t>În sensul unei anumite proceduri de achiziții, achizitorii publici stabilesc, pe baza acordurilor internaționale aplicabile, astfel cum sunt reflectate în instrumentul online menționat la alineatul (1), pentru parametrii introduși, inclusiv achizitorul public în cauză, obiectul contractului și valoarea estimată a contractului în raport cu pragurile aplicabile.</w:t>
      </w:r>
    </w:p>
    <w:p>
      <w:pPr>
        <w:pStyle w:val="ManualNumPar1"/>
        <w:rPr>
          <w:noProof/>
        </w:rPr>
      </w:pPr>
      <w:r>
        <w:rPr>
          <w:noProof/>
        </w:rPr>
        <w:t>13.</w:t>
      </w:r>
      <w:r>
        <w:rPr>
          <w:noProof/>
        </w:rPr>
        <w:tab/>
        <w:t>Achizitorii publici:</w:t>
      </w:r>
    </w:p>
    <w:p>
      <w:pPr>
        <w:pStyle w:val="Point1"/>
        <w:rPr>
          <w:noProof/>
        </w:rPr>
      </w:pPr>
      <w:r>
        <w:rPr>
          <w:noProof/>
        </w:rPr>
        <w:t>(a)</w:t>
      </w:r>
      <w:r>
        <w:rPr>
          <w:noProof/>
        </w:rPr>
        <w:tab/>
        <w:t>limitează participarea la procedurile de achiziții în domeniul cercetării și dezvoltării, în cazul grupurilor de operatori economici menționate la articolul 6, la grupurile constituite exclusiv din operatori economici care își au originea în țările menționate la alineatele (1)-(4) de la prezentul articol;</w:t>
      </w:r>
    </w:p>
    <w:p>
      <w:pPr>
        <w:pStyle w:val="Point1"/>
        <w:rPr>
          <w:noProof/>
        </w:rPr>
      </w:pPr>
      <w:r>
        <w:rPr>
          <w:noProof/>
        </w:rPr>
        <w:t>(b)</w:t>
      </w:r>
      <w:r>
        <w:rPr>
          <w:noProof/>
        </w:rPr>
        <w:tab/>
        <w:t>resping o ofertă în cursul unei proceduri de achiziții în domeniul cercetării și dezvoltării dacă aceasta nu este prezentată de operatori economici care își au originea în țările menționate la alineatele (1)-(4) de la prezentul articol sau de grupuri de operatori economici constituite din aceștia, astfel cum se menționează la litera (a).</w:t>
      </w:r>
    </w:p>
    <w:p>
      <w:pPr>
        <w:pStyle w:val="Titrearticle"/>
        <w:rPr>
          <w:noProof/>
        </w:rPr>
      </w:pPr>
      <w:r>
        <w:rPr>
          <w:noProof/>
        </w:rPr>
        <w:t>Articolul 12</w:t>
      </w:r>
    </w:p>
    <w:p>
      <w:pPr>
        <w:jc w:val="center"/>
        <w:rPr>
          <w:b/>
          <w:bCs/>
          <w:noProof/>
        </w:rPr>
      </w:pPr>
      <w:r>
        <w:rPr>
          <w:b/>
          <w:noProof/>
        </w:rPr>
        <w:t xml:space="preserve">Stabilirea originii </w:t>
      </w:r>
    </w:p>
    <w:p>
      <w:pPr>
        <w:pStyle w:val="ManualNumPar1"/>
        <w:rPr>
          <w:rFonts w:eastAsia="Times New Roman"/>
          <w:noProof/>
        </w:rPr>
      </w:pPr>
      <w:r>
        <w:rPr>
          <w:noProof/>
        </w:rPr>
        <w:t>1.</w:t>
      </w:r>
      <w:r>
        <w:rPr>
          <w:noProof/>
        </w:rPr>
        <w:tab/>
        <w:t>Originea unui operator economic se consideră a fi:</w:t>
      </w:r>
    </w:p>
    <w:p>
      <w:pPr>
        <w:ind w:left="1276" w:hanging="425"/>
        <w:rPr>
          <w:noProof/>
        </w:rPr>
      </w:pPr>
      <w:r>
        <w:rPr>
          <w:noProof/>
        </w:rPr>
        <w:t xml:space="preserve">(a) în cazul unei persoane fizice, țara al cărei resortisant este persoana respectivă sau în care respectiva persoană are drept de ședere permanentă; </w:t>
      </w:r>
    </w:p>
    <w:p>
      <w:pPr>
        <w:ind w:left="1276" w:hanging="425"/>
        <w:rPr>
          <w:noProof/>
        </w:rPr>
      </w:pPr>
      <w:r>
        <w:rPr>
          <w:noProof/>
        </w:rPr>
        <w:t xml:space="preserve">(b) în cazul unei persoane juridice, oricare dintre următoarele: </w:t>
      </w:r>
    </w:p>
    <w:p>
      <w:pPr>
        <w:ind w:left="1276"/>
        <w:rPr>
          <w:noProof/>
        </w:rPr>
      </w:pPr>
      <w:r>
        <w:rPr>
          <w:noProof/>
        </w:rPr>
        <w:t xml:space="preserve">(i) țara în temeiul legislației căreia este constituită sau este organizată în alt mod persoana juridică și pe teritoriul căreia persoana juridică este implicată în operațiuni comerciale importante; </w:t>
      </w:r>
    </w:p>
    <w:p>
      <w:pPr>
        <w:pStyle w:val="Text1"/>
        <w:ind w:left="1276"/>
        <w:rPr>
          <w:noProof/>
        </w:rPr>
      </w:pPr>
      <w:r>
        <w:rPr>
          <w:noProof/>
        </w:rPr>
        <w:t xml:space="preserve">(ii) dacă persoana juridică nu este implicată în operațiuni comerciale importante pe teritoriul țării în care este constituită sau organizată în alt mod, originea persoanei juridice este cea a persoanei sau a persoanelor care pot exercita, direct sau indirect, o influență dominantă asupra persoanei juridice respective în virtutea calității de proprietar al acesteia, a participării sale financiare sau a normelor care reglementează respectiva persoană juridică. </w:t>
      </w:r>
    </w:p>
    <w:p>
      <w:pPr>
        <w:pStyle w:val="ManualNumPar1"/>
        <w:rPr>
          <w:noProof/>
        </w:rPr>
      </w:pPr>
      <w:r>
        <w:rPr>
          <w:noProof/>
        </w:rPr>
        <w:t>2.</w:t>
      </w:r>
      <w:r>
        <w:rPr>
          <w:noProof/>
        </w:rPr>
        <w:tab/>
        <w:t>În sensul literei (b) punctul (ii) din primul paragraf, se prezumă că persoana sau persoanele respective au o influență dominantă asupra persoanei juridice în oricare dintre următoarele cazuri în care acestea, direct sau indirect:</w:t>
      </w:r>
    </w:p>
    <w:p>
      <w:pPr>
        <w:pStyle w:val="Point1"/>
        <w:rPr>
          <w:i/>
          <w:noProof/>
        </w:rPr>
      </w:pPr>
      <w:r>
        <w:rPr>
          <w:noProof/>
        </w:rPr>
        <w:t>(a)</w:t>
      </w:r>
      <w:r>
        <w:rPr>
          <w:noProof/>
        </w:rPr>
        <w:tab/>
        <w:t xml:space="preserve">dețin majoritatea capitalului subscris al persoanei juridice; </w:t>
      </w:r>
    </w:p>
    <w:p>
      <w:pPr>
        <w:pStyle w:val="Point1"/>
        <w:rPr>
          <w:i/>
          <w:noProof/>
        </w:rPr>
      </w:pPr>
      <w:r>
        <w:rPr>
          <w:noProof/>
        </w:rPr>
        <w:t>(b)</w:t>
      </w:r>
      <w:r>
        <w:rPr>
          <w:noProof/>
        </w:rPr>
        <w:tab/>
        <w:t xml:space="preserve">controlează majoritatea voturilor aferente acțiunilor emise de persoana juridică; sau </w:t>
      </w:r>
    </w:p>
    <w:p>
      <w:pPr>
        <w:pStyle w:val="Point1"/>
        <w:rPr>
          <w:noProof/>
        </w:rPr>
      </w:pPr>
      <w:r>
        <w:rPr>
          <w:noProof/>
        </w:rPr>
        <w:t>(c)</w:t>
      </w:r>
      <w:r>
        <w:rPr>
          <w:noProof/>
        </w:rPr>
        <w:tab/>
        <w:t xml:space="preserve">au posibilitatea de a numi mai mult de jumătate dintre membrii organului administrativ, de conducere sau de supraveghere al persoanei juridice. </w:t>
      </w:r>
    </w:p>
    <w:p>
      <w:pPr>
        <w:pStyle w:val="ManualNumPar1"/>
        <w:rPr>
          <w:noProof/>
        </w:rPr>
      </w:pPr>
      <w:r>
        <w:rPr>
          <w:noProof/>
        </w:rPr>
        <w:t>3.</w:t>
      </w:r>
      <w:r>
        <w:rPr>
          <w:noProof/>
        </w:rPr>
        <w:tab/>
        <w:t>Achizitorii publici pot, în orice moment al procedurii de achiziții în domeniul cercetării și dezvoltării, să solicite operatorului economic să prezinte, să suplimenteze, să clarifice sau să completeze informațiile sau documentele referitoare la verificarea originii operatorului economic într-un termen adecvat, cu condiția ca aceste cereri să fie făcute cu respectarea principiilor egalității de tratament și transparenței. În cazul în care operatorul economic nu furnizează astfel de informații sau documente și nici nu oferă o explicație rezonabilă pentru aceasta și împiedică astfel verificarea originii operatorului economic de către achizitorii publici sau face ca o astfel de verificare să fie practic imposibilă sau foarte dificilă, operatorul economic respectiv este exclus de la participarea la procedura de achiziții în domeniul cercetării și dezvoltării în cauză.</w:t>
      </w:r>
    </w:p>
    <w:p>
      <w:pPr>
        <w:pStyle w:val="Titrearticle"/>
        <w:rPr>
          <w:noProof/>
        </w:rPr>
      </w:pPr>
      <w:r>
        <w:rPr>
          <w:noProof/>
        </w:rPr>
        <w:t>Articolul 13</w:t>
      </w:r>
    </w:p>
    <w:p>
      <w:pPr>
        <w:pStyle w:val="NormalCentered"/>
        <w:rPr>
          <w:noProof/>
        </w:rPr>
      </w:pPr>
      <w:r>
        <w:rPr>
          <w:b/>
          <w:noProof/>
        </w:rPr>
        <w:t>Motive de excludere obligatorii</w:t>
      </w:r>
    </w:p>
    <w:p>
      <w:pPr>
        <w:pStyle w:val="ManualNumPar1"/>
        <w:rPr>
          <w:noProof/>
        </w:rPr>
      </w:pPr>
      <w:r>
        <w:rPr>
          <w:noProof/>
        </w:rPr>
        <w:t>1.</w:t>
      </w:r>
      <w:r>
        <w:rPr>
          <w:noProof/>
        </w:rPr>
        <w:tab/>
        <w:t>Achizitorii publici exclud în orice moment un operator economic, inclusiv membrii individuali ai unui grup de operatori economici, de la participarea la o procedură de achiziții în domeniul cercetării și dezvoltării dacă operatorul economic respectiv sau o persoană-cheie în funcționarea unei persoane juridice, astfel cum este definită la al doilea paragraf, a făcut, în orice stat membru, obiectul unei condamnări pronunțate printr-o hotărâre definitivă, pentru oricare dintre infracțiunile enumerate în prezentul paragraf, sau, în ceea ce privește statele membre care nu au obligații în temeiul actului legislativ relevant al Uniunii, infracțiuni astfel cum sunt definite în legislația națională echivalentă, pentru:</w:t>
      </w:r>
    </w:p>
    <w:p>
      <w:pPr>
        <w:pStyle w:val="Point1"/>
        <w:rPr>
          <w:noProof/>
        </w:rPr>
      </w:pPr>
      <w:r>
        <w:rPr>
          <w:noProof/>
        </w:rPr>
        <w:t>(a)</w:t>
      </w:r>
      <w:r>
        <w:rPr>
          <w:noProof/>
        </w:rPr>
        <w:tab/>
        <w:t>participarea la o organizație criminală, în sensul articolului 1 punctul 1 din Decizia-cadru 2008/841/JAI a Consiliului</w:t>
      </w:r>
      <w:r>
        <w:rPr>
          <w:rStyle w:val="FootnoteReference"/>
          <w:noProof/>
        </w:rPr>
        <w:footnoteReference w:id="33"/>
      </w:r>
      <w:r>
        <w:rPr>
          <w:noProof/>
        </w:rPr>
        <w:t>;</w:t>
      </w:r>
    </w:p>
    <w:p>
      <w:pPr>
        <w:pStyle w:val="Point1"/>
        <w:rPr>
          <w:noProof/>
        </w:rPr>
      </w:pPr>
      <w:r>
        <w:rPr>
          <w:noProof/>
        </w:rPr>
        <w:t>(b)</w:t>
      </w:r>
      <w:r>
        <w:rPr>
          <w:noProof/>
        </w:rPr>
        <w:tab/>
        <w:t>infracțiuni de corupție, în sensul Directivei (UE) 2026/1021</w:t>
      </w:r>
      <w:r>
        <w:rPr>
          <w:rStyle w:val="FootnoteReference"/>
          <w:noProof/>
        </w:rPr>
        <w:footnoteReference w:id="34"/>
      </w:r>
      <w:r>
        <w:rPr>
          <w:noProof/>
        </w:rPr>
        <w:t>;</w:t>
      </w:r>
    </w:p>
    <w:p>
      <w:pPr>
        <w:pStyle w:val="Point1"/>
        <w:rPr>
          <w:noProof/>
        </w:rPr>
      </w:pPr>
      <w:r>
        <w:rPr>
          <w:noProof/>
        </w:rPr>
        <w:t>(c)</w:t>
      </w:r>
      <w:r>
        <w:rPr>
          <w:noProof/>
        </w:rPr>
        <w:tab/>
        <w:t>frauda care aduce atingere intereselor financiare ale Uniunii în sensul articolului 1 din Convenția privind protejarea intereselor financiare ale Comunităților Europene și infracțiunile menționate la articolele 3, 4 și 5 din Directiva (UE) 2017/1371</w:t>
      </w:r>
      <w:r>
        <w:rPr>
          <w:rStyle w:val="FootnoteReference"/>
          <w:rFonts w:eastAsia="Times New Roman"/>
          <w:noProof/>
        </w:rPr>
        <w:footnoteReference w:id="35"/>
      </w:r>
      <w:r>
        <w:rPr>
          <w:noProof/>
        </w:rPr>
        <w:t xml:space="preserve">; </w:t>
      </w:r>
    </w:p>
    <w:p>
      <w:pPr>
        <w:pStyle w:val="Point1"/>
        <w:rPr>
          <w:noProof/>
        </w:rPr>
      </w:pPr>
      <w:r>
        <w:rPr>
          <w:noProof/>
        </w:rPr>
        <w:t>(d)</w:t>
      </w:r>
      <w:r>
        <w:rPr>
          <w:noProof/>
        </w:rPr>
        <w:tab/>
        <w:t>infracțiuni de terorism și infracțiuni legate de un grup terorist, precum și infracțiuni legate de activități teroriste, astfel cum sunt definite la articolele 3-12 din Directiva (UE) 2017/541</w:t>
      </w:r>
      <w:r>
        <w:rPr>
          <w:rStyle w:val="FootnoteReference"/>
          <w:rFonts w:eastAsia="Times New Roman"/>
          <w:noProof/>
        </w:rPr>
        <w:footnoteReference w:id="36"/>
      </w:r>
      <w:r>
        <w:rPr>
          <w:noProof/>
        </w:rPr>
        <w:t>;</w:t>
      </w:r>
    </w:p>
    <w:p>
      <w:pPr>
        <w:pStyle w:val="Point1"/>
        <w:rPr>
          <w:noProof/>
        </w:rPr>
      </w:pPr>
      <w:r>
        <w:rPr>
          <w:noProof/>
        </w:rPr>
        <w:t>(e)</w:t>
      </w:r>
      <w:r>
        <w:rPr>
          <w:noProof/>
        </w:rPr>
        <w:tab/>
        <w:t>spălarea banilor în sensul articolului 3 din Directiva (UE) 2018/1673</w:t>
      </w:r>
      <w:r>
        <w:rPr>
          <w:rStyle w:val="FootnoteReference"/>
          <w:rFonts w:eastAsia="Times New Roman"/>
          <w:noProof/>
        </w:rPr>
        <w:footnoteReference w:id="37"/>
      </w:r>
      <w:r>
        <w:rPr>
          <w:noProof/>
        </w:rPr>
        <w:t>;</w:t>
      </w:r>
    </w:p>
    <w:p>
      <w:pPr>
        <w:pStyle w:val="Point1"/>
        <w:rPr>
          <w:noProof/>
        </w:rPr>
      </w:pPr>
      <w:r>
        <w:rPr>
          <w:noProof/>
        </w:rPr>
        <w:t>(f)</w:t>
      </w:r>
      <w:r>
        <w:rPr>
          <w:noProof/>
        </w:rPr>
        <w:tab/>
        <w:t>trafic de persoane în sensul articolului 2 din Directiva 2011/36/UE</w:t>
      </w:r>
      <w:r>
        <w:rPr>
          <w:rStyle w:val="FootnoteReference"/>
          <w:rFonts w:eastAsia="Times New Roman"/>
          <w:noProof/>
        </w:rPr>
        <w:footnoteReference w:id="38"/>
      </w:r>
      <w:r>
        <w:rPr>
          <w:noProof/>
        </w:rPr>
        <w:t>; </w:t>
      </w:r>
    </w:p>
    <w:p>
      <w:pPr>
        <w:pStyle w:val="Point1"/>
        <w:rPr>
          <w:noProof/>
        </w:rPr>
      </w:pPr>
      <w:r>
        <w:rPr>
          <w:noProof/>
        </w:rPr>
        <w:t>(g)</w:t>
      </w:r>
      <w:r>
        <w:rPr>
          <w:noProof/>
        </w:rPr>
        <w:tab/>
        <w:t>infracțiuni privind angajarea de resortisanți ai țărilor terțe aflați în situație de ședere ilegală, astfel cum sunt menționate la articolele 2, 3 și 9 din Directiva 2009/52/CE</w:t>
      </w:r>
      <w:r>
        <w:rPr>
          <w:rStyle w:val="FootnoteReference"/>
          <w:rFonts w:eastAsia="Times New Roman"/>
          <w:noProof/>
        </w:rPr>
        <w:footnoteReference w:id="39"/>
      </w:r>
      <w:r>
        <w:rPr>
          <w:noProof/>
        </w:rPr>
        <w:t>;</w:t>
      </w:r>
    </w:p>
    <w:p>
      <w:pPr>
        <w:pStyle w:val="Point1"/>
        <w:rPr>
          <w:noProof/>
        </w:rPr>
      </w:pPr>
      <w:r>
        <w:rPr>
          <w:noProof/>
        </w:rPr>
        <w:t>(h)</w:t>
      </w:r>
      <w:r>
        <w:rPr>
          <w:noProof/>
        </w:rPr>
        <w:tab/>
        <w:t>infracțiuni de mediu, astfel cum sunt menționate la articolele 3 și 4 din Directiva (UE) 2024/1203</w:t>
      </w:r>
      <w:r>
        <w:rPr>
          <w:rStyle w:val="FootnoteReference"/>
          <w:rFonts w:eastAsia="Times New Roman"/>
          <w:noProof/>
        </w:rPr>
        <w:footnoteReference w:id="40"/>
      </w:r>
      <w:r>
        <w:rPr>
          <w:noProof/>
        </w:rPr>
        <w:t>;</w:t>
      </w:r>
    </w:p>
    <w:p>
      <w:pPr>
        <w:pStyle w:val="Point1"/>
        <w:rPr>
          <w:noProof/>
        </w:rPr>
      </w:pPr>
      <w:r>
        <w:rPr>
          <w:noProof/>
        </w:rPr>
        <w:t>(i)</w:t>
      </w:r>
      <w:r>
        <w:rPr>
          <w:noProof/>
        </w:rPr>
        <w:tab/>
        <w:t>infracțiuni privind încălcarea măsurilor restrictive ale Uniunii, astfel cum sunt menționate la articolele 3 și 4 din Directiva (UE) 2024/1226</w:t>
      </w:r>
      <w:r>
        <w:rPr>
          <w:rStyle w:val="FootnoteReference"/>
          <w:rFonts w:eastAsia="Times New Roman"/>
          <w:noProof/>
        </w:rPr>
        <w:footnoteReference w:id="41"/>
      </w:r>
      <w:r>
        <w:rPr>
          <w:noProof/>
        </w:rPr>
        <w:t>;</w:t>
      </w:r>
    </w:p>
    <w:p>
      <w:pPr>
        <w:pStyle w:val="Point1"/>
        <w:rPr>
          <w:noProof/>
        </w:rPr>
      </w:pPr>
      <w:r>
        <w:rPr>
          <w:noProof/>
        </w:rPr>
        <w:t>(j)</w:t>
      </w:r>
      <w:r>
        <w:rPr>
          <w:noProof/>
        </w:rPr>
        <w:tab/>
        <w:t>utilizarea frauduloasă a instrumentelor de plată fără numerar, astfel cum este menționată la articolele 3-8 din Directiva (UE) 2019/713</w:t>
      </w:r>
      <w:r>
        <w:rPr>
          <w:rStyle w:val="FootnoteReference"/>
          <w:rFonts w:eastAsia="Times New Roman"/>
          <w:noProof/>
        </w:rPr>
        <w:footnoteReference w:id="42"/>
      </w:r>
      <w:r>
        <w:rPr>
          <w:noProof/>
        </w:rPr>
        <w:t xml:space="preserve">; </w:t>
      </w:r>
    </w:p>
    <w:p>
      <w:pPr>
        <w:pStyle w:val="Point1"/>
        <w:rPr>
          <w:noProof/>
        </w:rPr>
      </w:pPr>
      <w:r>
        <w:rPr>
          <w:noProof/>
        </w:rPr>
        <w:t>(k)</w:t>
      </w:r>
      <w:r>
        <w:rPr>
          <w:noProof/>
        </w:rPr>
        <w:tab/>
        <w:t>infracțiuni referitoare la abuzul sexual și la exploatarea sexuală a copiilor și la materialele cu copii supuși unor abuzuri sexuale, astfel cum sunt menționate la articolele 3-9 din Directiva 2011/93/UE</w:t>
      </w:r>
      <w:r>
        <w:rPr>
          <w:rStyle w:val="FootnoteReference"/>
          <w:rFonts w:eastAsia="Times New Roman"/>
          <w:noProof/>
        </w:rPr>
        <w:footnoteReference w:id="43"/>
      </w:r>
      <w:r>
        <w:rPr>
          <w:noProof/>
        </w:rPr>
        <w:t>;</w:t>
      </w:r>
    </w:p>
    <w:p>
      <w:pPr>
        <w:pStyle w:val="Text1"/>
        <w:rPr>
          <w:noProof/>
        </w:rPr>
      </w:pPr>
      <w:r>
        <w:rPr>
          <w:noProof/>
        </w:rPr>
        <w:t>În sensul primului paragraf, o persoană-cheie în funcționarea unei persoane juridice înseamnă o persoană care deține o funcție de conducere în cadrul persoanei juridice, pe baza oricăruia dintre următoarele elemente:</w:t>
      </w:r>
    </w:p>
    <w:p>
      <w:pPr>
        <w:pStyle w:val="Point1"/>
        <w:rPr>
          <w:noProof/>
        </w:rPr>
      </w:pPr>
      <w:r>
        <w:rPr>
          <w:noProof/>
        </w:rPr>
        <w:t>(a)</w:t>
      </w:r>
      <w:r>
        <w:rPr>
          <w:noProof/>
        </w:rPr>
        <w:tab/>
        <w:t xml:space="preserve">o împuternicire de reprezentare din partea persoanei juridice; </w:t>
      </w:r>
    </w:p>
    <w:p>
      <w:pPr>
        <w:pStyle w:val="Point1"/>
        <w:rPr>
          <w:noProof/>
        </w:rPr>
      </w:pPr>
      <w:r>
        <w:rPr>
          <w:noProof/>
        </w:rPr>
        <w:t>(b)</w:t>
      </w:r>
      <w:r>
        <w:rPr>
          <w:noProof/>
        </w:rPr>
        <w:tab/>
        <w:t>autoritatea de a lua decizii în numele persoanei juridice; sau</w:t>
      </w:r>
    </w:p>
    <w:p>
      <w:pPr>
        <w:pStyle w:val="Point1"/>
        <w:rPr>
          <w:noProof/>
        </w:rPr>
      </w:pPr>
      <w:r>
        <w:rPr>
          <w:noProof/>
        </w:rPr>
        <w:t>(c)</w:t>
      </w:r>
      <w:r>
        <w:rPr>
          <w:noProof/>
        </w:rPr>
        <w:tab/>
        <w:t>autoritatea de a exercita controlul în cadrul persoanei juridice.</w:t>
      </w:r>
    </w:p>
    <w:p>
      <w:pPr>
        <w:pStyle w:val="ManualNumPar1"/>
        <w:rPr>
          <w:noProof/>
        </w:rPr>
      </w:pPr>
      <w:r>
        <w:rPr>
          <w:noProof/>
        </w:rPr>
        <w:t>2.</w:t>
      </w:r>
      <w:r>
        <w:rPr>
          <w:noProof/>
        </w:rPr>
        <w:tab/>
        <w:t>Motivele de excludere prevăzute la prezentul articol se aplică timp de cinci ani de la data pronunțării hotărârii definitive, cu excepția cazului în care perioada de excludere a fost stabilită prin hotărârea definitivă, ceea ce înseamnă că nu se ia nicio decizie de excludere după expirarea perioadelor menționate în prezenta teză.</w:t>
      </w:r>
    </w:p>
    <w:p>
      <w:pPr>
        <w:pStyle w:val="ManualNumPar1"/>
        <w:rPr>
          <w:noProof/>
        </w:rPr>
      </w:pPr>
      <w:r>
        <w:rPr>
          <w:noProof/>
        </w:rPr>
        <w:t>3.</w:t>
      </w:r>
      <w:r>
        <w:rPr>
          <w:noProof/>
        </w:rPr>
        <w:tab/>
        <w:t>Achizitorii publici exclud, în orice moment pe parcursul procedurii de achiziții în domeniul cercetării și dezvoltării, un operator economic de la participarea la o procedură de achiziții în domeniul cercetării și dezvoltării în cazul în care constată că operatorul economic sau contractantul și-a încălcat obligațiile privind plata impozitelor sau a contribuțiilor la asigurările sociale, iar acest lucru a fost stabilit printr-o hotărâre judecătorească sau administrativă definitivă, cu excepția cazului în care, până la momentul respectiv, operatorul economic a încheiat un acord obligatoriu privind plata impozitelor sau a contribuțiilor la asigurările sociale datorate, inclusiv, după caz, a oricăror dobânzi acumulate sau amenzi.</w:t>
      </w:r>
    </w:p>
    <w:p>
      <w:pPr>
        <w:pStyle w:val="Text1"/>
        <w:rPr>
          <w:noProof/>
        </w:rPr>
      </w:pPr>
      <w:r>
        <w:rPr>
          <w:noProof/>
        </w:rPr>
        <w:t>Achizitorii publici pot deroga de la excluderea obligatorie prevăzută la primul paragraf atunci când o excludere ar fi în mod clar disproporționată, îndeosebi în cazul în care sunt neachitate doar sume minore.</w:t>
      </w:r>
    </w:p>
    <w:p>
      <w:pPr>
        <w:pStyle w:val="ManualNumPar1"/>
        <w:rPr>
          <w:noProof/>
        </w:rPr>
      </w:pPr>
      <w:r>
        <w:rPr>
          <w:noProof/>
        </w:rPr>
        <w:t>4.</w:t>
      </w:r>
      <w:r>
        <w:rPr>
          <w:noProof/>
        </w:rPr>
        <w:tab/>
        <w:t>Achizitorii publici pot decide să deroge de la excluderea obligatorie prevăzută la prezentul articol, în mod excepțional, din motive imperative de interes public, cum ar fi sănătatea publică sau protecția mediului. Orice decizie de derogare și justificarea acesteia se consemnează în documentația individuală a procedurilor de achiziții în domeniul cercetării și dezvoltării.</w:t>
      </w:r>
    </w:p>
    <w:p>
      <w:pPr>
        <w:pStyle w:val="Text1"/>
        <w:ind w:left="0"/>
        <w:rPr>
          <w:noProof/>
        </w:rPr>
      </w:pPr>
    </w:p>
    <w:p>
      <w:pPr>
        <w:pStyle w:val="Titrearticle"/>
        <w:rPr>
          <w:noProof/>
        </w:rPr>
      </w:pPr>
      <w:bookmarkStart w:id="29" w:name="ecm7m97IUHVeMuIll"/>
      <w:bookmarkEnd w:id="29"/>
      <w:r>
        <w:rPr>
          <w:noProof/>
        </w:rPr>
        <w:t>Articolul 14</w:t>
      </w:r>
    </w:p>
    <w:p>
      <w:pPr>
        <w:pStyle w:val="NormalCentered"/>
        <w:rPr>
          <w:noProof/>
        </w:rPr>
      </w:pPr>
      <w:r>
        <w:rPr>
          <w:b/>
          <w:noProof/>
        </w:rPr>
        <w:t xml:space="preserve">Motive de excludere opționale </w:t>
      </w:r>
    </w:p>
    <w:p>
      <w:pPr>
        <w:pStyle w:val="ManualNumPar1"/>
        <w:rPr>
          <w:noProof/>
        </w:rPr>
      </w:pPr>
      <w:r>
        <w:rPr>
          <w:noProof/>
        </w:rPr>
        <w:t>1.</w:t>
      </w:r>
      <w:r>
        <w:rPr>
          <w:noProof/>
        </w:rPr>
        <w:tab/>
        <w:t>Achizitorii publici pot exclude în orice moment un operator economic de la procedura de achiziții în domeniul cercetării și dezvoltării, inclusiv membri individuali ai grupurilor de operatori economici, de la participarea la o procedură de achiziții în domeniul cercetării și dezvoltării, în cazul în care:</w:t>
      </w:r>
    </w:p>
    <w:p>
      <w:pPr>
        <w:pStyle w:val="Point1"/>
        <w:rPr>
          <w:noProof/>
        </w:rPr>
      </w:pPr>
      <w:r>
        <w:rPr>
          <w:noProof/>
        </w:rPr>
        <w:t>(a)</w:t>
      </w:r>
      <w:r>
        <w:rPr>
          <w:noProof/>
        </w:rPr>
        <w:tab/>
      </w:r>
      <w:bookmarkStart w:id="30" w:name="ecrR4PmjUQTcbt7VO"/>
      <w:bookmarkEnd w:id="30"/>
      <w:r>
        <w:rPr>
          <w:noProof/>
        </w:rPr>
        <w:t>achizitorul public poate demonstra prin orice mijloace adecvate că operatorul economic a încălcat obligațiile aplicabile în temeiul legislației relevante a Uniunii, astfel cum se menționează la articolul 4 alineatul (6);</w:t>
      </w:r>
    </w:p>
    <w:p>
      <w:pPr>
        <w:pStyle w:val="Point1"/>
        <w:rPr>
          <w:noProof/>
        </w:rPr>
      </w:pPr>
      <w:r>
        <w:rPr>
          <w:noProof/>
        </w:rPr>
        <w:t>(b)</w:t>
      </w:r>
      <w:r>
        <w:rPr>
          <w:noProof/>
        </w:rPr>
        <w:tab/>
        <w:t>operatorul economic este în stare de faliment sau face obiectul unei proceduri de insolvență sau de lichidare sau se află într-o situație comparabilă;</w:t>
      </w:r>
    </w:p>
    <w:p>
      <w:pPr>
        <w:pStyle w:val="Point1"/>
        <w:rPr>
          <w:noProof/>
        </w:rPr>
      </w:pPr>
      <w:r>
        <w:rPr>
          <w:noProof/>
        </w:rPr>
        <w:t>(c)</w:t>
      </w:r>
      <w:r>
        <w:rPr>
          <w:noProof/>
        </w:rPr>
        <w:tab/>
        <w:t>achizitorul public poate demonstra, prin mijloace adecvate, o abatere profesională gravă din partea operatorului economic, care pune sub semnul întrebării integritatea sau fiabilitatea acestuia;</w:t>
      </w:r>
    </w:p>
    <w:p>
      <w:pPr>
        <w:pStyle w:val="Point1"/>
        <w:rPr>
          <w:noProof/>
        </w:rPr>
      </w:pPr>
      <w:r>
        <w:rPr>
          <w:noProof/>
        </w:rPr>
        <w:t>(d)</w:t>
      </w:r>
      <w:r>
        <w:rPr>
          <w:noProof/>
        </w:rPr>
        <w:tab/>
        <w:t>achizitorul public dispune de indicii suficient de plauzibile pentru a concluziona că operatorul economic a încheiat acorduri cu alți operatori economici care au ca obiect denaturarea concurenței;</w:t>
      </w:r>
    </w:p>
    <w:p>
      <w:pPr>
        <w:pStyle w:val="Point1"/>
        <w:rPr>
          <w:noProof/>
        </w:rPr>
      </w:pPr>
      <w:r>
        <w:rPr>
          <w:noProof/>
        </w:rPr>
        <w:t>(e)</w:t>
      </w:r>
      <w:r>
        <w:rPr>
          <w:noProof/>
        </w:rPr>
        <w:tab/>
        <w:t>operatorul economic a prezentat deficiențe semnificative sau persistente în executarea unei cerințe fundamentale în cadrul unui contract anterior de achiziții publice, care au condus la încetarea anticipată a contractului respectiv, la plata unor despăgubiri sau la aplicarea altor sancțiuni comparabile de către achizitorul public;</w:t>
      </w:r>
    </w:p>
    <w:p>
      <w:pPr>
        <w:pStyle w:val="Point1"/>
        <w:rPr>
          <w:noProof/>
        </w:rPr>
      </w:pPr>
      <w:r>
        <w:rPr>
          <w:noProof/>
        </w:rPr>
        <w:t>(f)</w:t>
      </w:r>
      <w:r>
        <w:rPr>
          <w:noProof/>
        </w:rPr>
        <w:tab/>
        <w:t>în contextul procedurii de achiziții în domeniul cercetării și dezvoltării în cauză, operatorul economic a fost găsit răspunzător pentru declarații false grave în ceea ce privește informațiile necesare pentru verificarea absenței motivelor de excludere sau a îndeplinirii criteriilor de selecție sau a întreprins, în alt mod, acțiuni pentru a obține în mod necuvenit avantaje în cadrul procedurii de achiziții în domeniul cercetării și dezvoltării;</w:t>
      </w:r>
    </w:p>
    <w:p>
      <w:pPr>
        <w:pStyle w:val="Point1"/>
        <w:rPr>
          <w:noProof/>
        </w:rPr>
      </w:pPr>
      <w:r>
        <w:rPr>
          <w:noProof/>
        </w:rPr>
        <w:t>(g)</w:t>
      </w:r>
      <w:r>
        <w:rPr>
          <w:noProof/>
        </w:rPr>
        <w:tab/>
        <w:t>achizitorul public poate demonstra prin orice mijloace adecvate, inclusiv, dar fără a se limita la informații clasificate sau evaluări care nu pot fi făcute publice, furnizate de autoritățile naționale competente, că operatorul economic nu prezintă un nivel suficient de fiabilitate pentru a exclude riscurile la adresa intereselor Uniunii sau ale unuia sau mai multor state membre în materie de securitate și siguranță publică;</w:t>
      </w:r>
    </w:p>
    <w:p>
      <w:pPr>
        <w:pStyle w:val="Point1"/>
        <w:rPr>
          <w:noProof/>
        </w:rPr>
      </w:pPr>
      <w:r>
        <w:rPr>
          <w:noProof/>
        </w:rPr>
        <w:t>(h)</w:t>
      </w:r>
      <w:r>
        <w:rPr>
          <w:noProof/>
        </w:rPr>
        <w:tab/>
        <w:t>operatorul economic a beneficiat de subvenții străine care denaturează piața internă, stabilite printr-un act de punere în aplicare adoptat de Comisie în temeiul articolului 31 alineatul (2) din Regulamentul (UE) 2022/2560</w:t>
      </w:r>
      <w:r>
        <w:rPr>
          <w:rStyle w:val="FootnoteReference"/>
          <w:noProof/>
        </w:rPr>
        <w:footnoteReference w:id="44"/>
      </w:r>
      <w:r>
        <w:rPr>
          <w:noProof/>
        </w:rPr>
        <w:t>, în cei trei ani anteriori procedurii de achiziții publice, iar achizitorul public dispune de suficiente indicii plauzibile pentru a concluziona că subvențiile străine în cauză sunt susceptibile să aibă un impact asupra ofertei operatorului economic.</w:t>
      </w:r>
    </w:p>
    <w:p>
      <w:pPr>
        <w:pStyle w:val="ManualNumPar1"/>
        <w:rPr>
          <w:noProof/>
        </w:rPr>
      </w:pPr>
      <w:r>
        <w:rPr>
          <w:noProof/>
        </w:rPr>
        <w:t>2.</w:t>
      </w:r>
      <w:r>
        <w:rPr>
          <w:noProof/>
        </w:rPr>
        <w:tab/>
        <w:t>Orice operator economic care face obiectul unei excluderi în temeiul alineatului (1) poate furniza dovezi pentru a respinge existența motivului de excludere sau pentru a demonstra că a luat suficiente măsuri pentru a-și demonstra fiabilitatea în pofida existenței motivului de excludere.</w:t>
      </w:r>
    </w:p>
    <w:p>
      <w:pPr>
        <w:pStyle w:val="Text1"/>
        <w:rPr>
          <w:noProof/>
        </w:rPr>
      </w:pPr>
      <w:r>
        <w:rPr>
          <w:noProof/>
        </w:rPr>
        <w:t>În acest scop, operatorul economic dovedește, în special, că:</w:t>
      </w:r>
    </w:p>
    <w:p>
      <w:pPr>
        <w:pStyle w:val="Point1"/>
        <w:rPr>
          <w:noProof/>
        </w:rPr>
      </w:pPr>
      <w:r>
        <w:rPr>
          <w:noProof/>
        </w:rPr>
        <w:t>(a)</w:t>
      </w:r>
      <w:r>
        <w:rPr>
          <w:noProof/>
        </w:rPr>
        <w:tab/>
        <w:t>a plătit sau s-a angajat să plătească despăgubiri pentru orice prejudiciu cauzat prin abaterea respectivă; </w:t>
      </w:r>
    </w:p>
    <w:p>
      <w:pPr>
        <w:pStyle w:val="Point1"/>
        <w:rPr>
          <w:noProof/>
        </w:rPr>
      </w:pPr>
      <w:r>
        <w:rPr>
          <w:noProof/>
        </w:rPr>
        <w:t>(b)</w:t>
      </w:r>
      <w:r>
        <w:rPr>
          <w:noProof/>
        </w:rPr>
        <w:tab/>
        <w:t>a clarificat într-un mod cuprinzător faptele și circumstanțele, cooperând activ cu autoritățile de anchetă; și</w:t>
      </w:r>
    </w:p>
    <w:p>
      <w:pPr>
        <w:pStyle w:val="Point1"/>
        <w:rPr>
          <w:noProof/>
        </w:rPr>
      </w:pPr>
      <w:r>
        <w:rPr>
          <w:noProof/>
        </w:rPr>
        <w:t>(c)</w:t>
      </w:r>
      <w:r>
        <w:rPr>
          <w:noProof/>
        </w:rPr>
        <w:tab/>
        <w:t>a luat măsuri concrete tehnice, organizatorice și în materie de personal care sunt adecvate pentru a preveni noi abateri.</w:t>
      </w:r>
    </w:p>
    <w:p>
      <w:pPr>
        <w:pStyle w:val="Text1"/>
        <w:rPr>
          <w:noProof/>
        </w:rPr>
      </w:pPr>
      <w:r>
        <w:rPr>
          <w:noProof/>
        </w:rPr>
        <w:t>În cazul în care achizitorul public consideră că dovezile furnizate sunt suficiente, operatorul economic în cauză nu este exclus de la procedura de achiziții în domeniul cercetării și dezvoltării.</w:t>
      </w:r>
    </w:p>
    <w:p>
      <w:pPr>
        <w:pStyle w:val="Text1"/>
        <w:rPr>
          <w:noProof/>
        </w:rPr>
      </w:pPr>
      <w:r>
        <w:rPr>
          <w:noProof/>
        </w:rPr>
        <w:t>Măsurile luate de către operatorii economici sunt evaluate ținând seama de gravitatea și de circumstanțele particulare ale abaterii. La evaluarea măsurilor luate de operatorul economic, achizitorii publici țin seama de natura, amploarea și calendarul cooperării cu autoritățile de anchetă relevante.</w:t>
      </w:r>
    </w:p>
    <w:p>
      <w:pPr>
        <w:pStyle w:val="Text1"/>
        <w:rPr>
          <w:noProof/>
        </w:rPr>
      </w:pPr>
      <w:r>
        <w:rPr>
          <w:noProof/>
        </w:rPr>
        <w:t>În cazul în care măsurile sunt considerate insuficiente, operatorul economic primește o expunere a motivelor respectivei decizii.</w:t>
      </w:r>
    </w:p>
    <w:p>
      <w:pPr>
        <w:pStyle w:val="Text1"/>
        <w:rPr>
          <w:noProof/>
        </w:rPr>
      </w:pPr>
      <w:r>
        <w:rPr>
          <w:noProof/>
        </w:rPr>
        <w:t>Un operator economic care a fost exclus prin hotărâre definitivă într-un stat membru de la participarea la procedurile de achiziții nu are dreptul de a face uz de posibilitatea prevăzută la prezentul alineat în perioada de excludere care rezultă din hotărârea respectivă.</w:t>
      </w:r>
    </w:p>
    <w:p>
      <w:pPr>
        <w:pStyle w:val="ManualNumPar1"/>
        <w:rPr>
          <w:noProof/>
        </w:rPr>
      </w:pPr>
      <w:r>
        <w:rPr>
          <w:noProof/>
        </w:rPr>
        <w:t>3.</w:t>
      </w:r>
      <w:r>
        <w:rPr>
          <w:noProof/>
        </w:rPr>
        <w:tab/>
        <w:t xml:space="preserve">Statele membre pot desemna o autoritate națională competentă să evalueze dovezile și să decidă dacă acestea sunt suficiente în sensul prezentului alineat. Achizitorii publici se bazează pe o decizie pozitivă a autorității naționale competente în cadrul procedurilor lor de achiziții. </w:t>
      </w:r>
    </w:p>
    <w:p>
      <w:pPr>
        <w:pStyle w:val="ManualNumPar1"/>
        <w:rPr>
          <w:noProof/>
        </w:rPr>
      </w:pPr>
      <w:r>
        <w:rPr>
          <w:noProof/>
        </w:rPr>
        <w:t>4.</w:t>
      </w:r>
      <w:r>
        <w:rPr>
          <w:noProof/>
        </w:rPr>
        <w:tab/>
        <w:t>În cazul în care nu se iau măsurile prevăzute la alineatul (2) și în cazul în care perioada de excludere nu a fost stabilită printr-o hotărâre definitivă, achizitorii publici pot exclude operatorii economici în temeiul prezentului articol pentru o perioadă de cinci ani de la data comportamentului care a condus la excludere sau, în cazul actelor continue sau repetate, de la data la care comportamentul încetează, dar nu după această perioadă maximă.</w:t>
      </w:r>
    </w:p>
    <w:p>
      <w:pPr>
        <w:pStyle w:val="ManualNumPar1"/>
        <w:rPr>
          <w:noProof/>
        </w:rPr>
      </w:pPr>
      <w:r>
        <w:rPr>
          <w:noProof/>
        </w:rPr>
        <w:t>5.</w:t>
      </w:r>
      <w:r>
        <w:rPr>
          <w:noProof/>
        </w:rPr>
        <w:tab/>
        <w:t>În cazul în care un achizitor public exclude un operator economic în temeiul alineatului (1) litera (h), acesta informează Comisia în acest sens.</w:t>
      </w:r>
    </w:p>
    <w:p>
      <w:pPr>
        <w:pStyle w:val="Titrearticle"/>
        <w:rPr>
          <w:rFonts w:eastAsia="Times New Roman"/>
          <w:noProof/>
        </w:rPr>
      </w:pPr>
      <w:r>
        <w:rPr>
          <w:noProof/>
        </w:rPr>
        <w:t>Articolul 15</w:t>
      </w:r>
    </w:p>
    <w:p>
      <w:pPr>
        <w:pStyle w:val="NormalCentered"/>
        <w:rPr>
          <w:rFonts w:eastAsia="Times New Roman"/>
          <w:b/>
          <w:bCs/>
          <w:noProof/>
        </w:rPr>
      </w:pPr>
      <w:r>
        <w:rPr>
          <w:b/>
          <w:noProof/>
        </w:rPr>
        <w:t>Criterii de selecție</w:t>
      </w:r>
    </w:p>
    <w:p>
      <w:pPr>
        <w:pStyle w:val="ManualNumPar1"/>
        <w:rPr>
          <w:noProof/>
        </w:rPr>
      </w:pPr>
      <w:r>
        <w:rPr>
          <w:noProof/>
        </w:rPr>
        <w:t>1.</w:t>
      </w:r>
      <w:r>
        <w:rPr>
          <w:noProof/>
        </w:rPr>
        <w:tab/>
        <w:t>În cazul în care achizitorii publici decid să utilizeze criteriile de selecție drept cerințe pentru participarea la procedurile de achiziții publice în domeniul cercetării și dezvoltării, aceștia definesc criteriile respective în conformitate cu condițiile prevăzute la prezentul articol.</w:t>
      </w:r>
    </w:p>
    <w:p>
      <w:pPr>
        <w:pStyle w:val="ManualNumPar1"/>
        <w:rPr>
          <w:noProof/>
        </w:rPr>
      </w:pPr>
      <w:r>
        <w:rPr>
          <w:noProof/>
        </w:rPr>
        <w:t>2.</w:t>
      </w:r>
      <w:r>
        <w:rPr>
          <w:noProof/>
        </w:rPr>
        <w:tab/>
        <w:t xml:space="preserve">Criteriile de selecție pentru procedurile de achiziții în domeniul cercetării și dezvoltării se referă numai la: </w:t>
      </w:r>
    </w:p>
    <w:p>
      <w:pPr>
        <w:pStyle w:val="Point1"/>
        <w:rPr>
          <w:noProof/>
        </w:rPr>
      </w:pPr>
      <w:r>
        <w:rPr>
          <w:noProof/>
        </w:rPr>
        <w:t>(a)</w:t>
      </w:r>
      <w:r>
        <w:rPr>
          <w:noProof/>
        </w:rPr>
        <w:tab/>
        <w:t>capacitatea de exercitare a activității profesionale în sensul alineatului (4);</w:t>
      </w:r>
    </w:p>
    <w:p>
      <w:pPr>
        <w:pStyle w:val="Point1"/>
        <w:rPr>
          <w:noProof/>
        </w:rPr>
      </w:pPr>
      <w:r>
        <w:rPr>
          <w:noProof/>
        </w:rPr>
        <w:t>(b)</w:t>
      </w:r>
      <w:r>
        <w:rPr>
          <w:noProof/>
        </w:rPr>
        <w:tab/>
        <w:t>capacitatea tehnică și profesională în sensul alineatului (5);</w:t>
      </w:r>
    </w:p>
    <w:p>
      <w:pPr>
        <w:pStyle w:val="Point1"/>
        <w:rPr>
          <w:noProof/>
        </w:rPr>
      </w:pPr>
      <w:r>
        <w:rPr>
          <w:noProof/>
        </w:rPr>
        <w:t>(c)</w:t>
      </w:r>
      <w:r>
        <w:rPr>
          <w:noProof/>
        </w:rPr>
        <w:tab/>
        <w:t xml:space="preserve">capacitatea economică și financiară în sensul alineatelor (6), (7) și (8). </w:t>
      </w:r>
    </w:p>
    <w:p>
      <w:pPr>
        <w:pStyle w:val="ManualNumPar1"/>
        <w:rPr>
          <w:rFonts w:eastAsia="Times New Roman"/>
          <w:noProof/>
          <w:szCs w:val="24"/>
        </w:rPr>
      </w:pPr>
      <w:r>
        <w:rPr>
          <w:noProof/>
        </w:rPr>
        <w:t>3.</w:t>
      </w:r>
      <w:r>
        <w:rPr>
          <w:noProof/>
        </w:rPr>
        <w:tab/>
        <w:t>Achizitorii publici limitează orice cerințe privind criteriile de selecție la cele care sunt adecvate pentru a se asigura că un operator economic are capacitățile și competențele necesare pentru a executa contractul de achiziții în domeniul cercetării și dezvoltării. Toate cerințele privind criteriile de selecție sunt legate și proporționale cu complexitatea și riscurile asociate cu obiectul contractului de achiziții în domeniul cercetării și dezvoltării și respectă principiile transparenței, nediscriminării și proporționalității.</w:t>
      </w:r>
    </w:p>
    <w:p>
      <w:pPr>
        <w:ind w:left="851"/>
        <w:rPr>
          <w:noProof/>
        </w:rPr>
      </w:pPr>
      <w:r>
        <w:rPr>
          <w:noProof/>
        </w:rPr>
        <w:t xml:space="preserve">Fiecare trimitere care trebuie furnizată ca dovadă a conformității cu oricare dintre criteriile de selecție este însoțită de mențiunea „sau echivalent”, pentru a permite ofertanților să furnizeze orice tip de dovadă alternativă a conformității. </w:t>
      </w:r>
    </w:p>
    <w:p>
      <w:pPr>
        <w:pStyle w:val="ManualNumPar1"/>
        <w:rPr>
          <w:noProof/>
        </w:rPr>
      </w:pPr>
      <w:r>
        <w:rPr>
          <w:noProof/>
        </w:rPr>
        <w:t>4.</w:t>
      </w:r>
      <w:r>
        <w:rPr>
          <w:noProof/>
        </w:rPr>
        <w:tab/>
        <w:t xml:space="preserve">În cadrul procedurilor de achiziții publice în domeniul cercetării și dezvoltării, în măsura în care operatorii economici sunt obligați să dețină o anumită autorizație sau să fie membri ai unei anumite organizații pentru a putea desfășura activitățile de cercetare și dezvoltare în cauză în țara în care operatorul economic își desfășoară activitatea principală, achizitorul public poate solicita operatorilor economici respectivi să dovedească că dețin o astfel de autorizație sau că aparțin unei astfel de organizații. </w:t>
      </w:r>
    </w:p>
    <w:p>
      <w:pPr>
        <w:ind w:left="851"/>
        <w:rPr>
          <w:noProof/>
        </w:rPr>
      </w:pPr>
      <w:r>
        <w:rPr>
          <w:noProof/>
        </w:rPr>
        <w:t>Înscrierea certificată pe listele oficiale deținute de organismele competente sau un certificat eliberat de organismul de certificare constituie o prezumție de conformitate în ceea ce privește cerințele prevăzute la primul și la al doilea paragraf.</w:t>
      </w:r>
    </w:p>
    <w:p>
      <w:pPr>
        <w:pStyle w:val="ManualNumPar1"/>
        <w:rPr>
          <w:noProof/>
        </w:rPr>
      </w:pPr>
      <w:r>
        <w:rPr>
          <w:noProof/>
        </w:rPr>
        <w:t>5.</w:t>
      </w:r>
      <w:r>
        <w:rPr>
          <w:noProof/>
        </w:rPr>
        <w:tab/>
        <w:t xml:space="preserve">Achizitorii publici pot impune cerințe care să asigure faptul că operatorii economici dețin experiența și resursele umane și tehnice necesare pentru a executa contractul de achiziții în domeniul cercetării și dezvoltării la un standard de calitate corespunzător. </w:t>
      </w:r>
    </w:p>
    <w:p>
      <w:pPr>
        <w:pStyle w:val="Text1"/>
        <w:rPr>
          <w:noProof/>
        </w:rPr>
      </w:pPr>
      <w:r>
        <w:rPr>
          <w:noProof/>
        </w:rPr>
        <w:t xml:space="preserve">Cu excepția cazului în care acest lucru este justificat de complexitatea contractului de achiziții în domeniul cercetării și dezvoltării sau de tipul obiectului acestui contract, achizitorii publici nu solicită experiență prealabilă în cadrul altor contracte ca o condiție pentru participarea la o procedură de achiziții în domeniul cercetării și dezvoltării. </w:t>
      </w:r>
    </w:p>
    <w:p>
      <w:pPr>
        <w:pStyle w:val="Text1"/>
        <w:rPr>
          <w:noProof/>
        </w:rPr>
      </w:pPr>
      <w:r>
        <w:rPr>
          <w:noProof/>
        </w:rPr>
        <w:t>Un achizitor public poate presupune că un operator economic nu deține capacitățile profesionale necesare în oricare dintre următoarele cazuri în care:</w:t>
      </w:r>
    </w:p>
    <w:p>
      <w:pPr>
        <w:pStyle w:val="Point1"/>
        <w:rPr>
          <w:noProof/>
        </w:rPr>
      </w:pPr>
      <w:r>
        <w:rPr>
          <w:noProof/>
        </w:rPr>
        <w:t>(a)</w:t>
      </w:r>
      <w:r>
        <w:rPr>
          <w:noProof/>
        </w:rPr>
        <w:tab/>
        <w:t xml:space="preserve">achizitorul public a stabilit prin orice mijloace că operatorul economic se află într-o situație de conflict de interese care poate afecta negativ executarea contractului respectiv; </w:t>
      </w:r>
    </w:p>
    <w:p>
      <w:pPr>
        <w:pStyle w:val="Point1"/>
        <w:rPr>
          <w:noProof/>
        </w:rPr>
      </w:pPr>
      <w:r>
        <w:rPr>
          <w:noProof/>
        </w:rPr>
        <w:t>(b)</w:t>
      </w:r>
      <w:r>
        <w:rPr>
          <w:noProof/>
        </w:rPr>
        <w:tab/>
        <w:t>achizitorului public i s-a adus la cunoștință prin orice mijloace că operatorul economic prezintă o problemă de securitate pentru un stat membru sau pentru Uniune în ansamblu.</w:t>
      </w:r>
    </w:p>
    <w:p>
      <w:pPr>
        <w:ind w:left="851"/>
        <w:rPr>
          <w:rFonts w:eastAsia="Times New Roman"/>
          <w:noProof/>
          <w:szCs w:val="24"/>
        </w:rPr>
      </w:pPr>
      <w:r>
        <w:rPr>
          <w:noProof/>
        </w:rPr>
        <w:t xml:space="preserve">Achizitorii publici nu solicită experiență prealabilă în alte contracte fără a solicita contractanților să dețină resursele umane și tehnice necesare pentru a executa contractul de achiziții în domeniul cercetării și dezvoltării. Achizitorii publici nu consideră că operatorii economici nu respectă cerințele privind capacitatea tehnică și profesională exclusiv din cauza lipsei experienței anterioare în cadrul altor contracte. </w:t>
      </w:r>
    </w:p>
    <w:p>
      <w:pPr>
        <w:pStyle w:val="ManualNumPar1"/>
        <w:rPr>
          <w:noProof/>
        </w:rPr>
      </w:pPr>
      <w:r>
        <w:rPr>
          <w:noProof/>
        </w:rPr>
        <w:t>6.</w:t>
      </w:r>
      <w:r>
        <w:rPr>
          <w:noProof/>
        </w:rPr>
        <w:tab/>
        <w:t>Orice trimitere la calificări sau niveluri de calificare incluse în criteriile de selecție menționează nivelurile Cadrului european al calificărilor stabilite în anexa II la Recomandarea Consiliului din 22 mai 2017</w:t>
      </w:r>
      <w:r>
        <w:rPr>
          <w:rStyle w:val="FootnoteReference"/>
          <w:noProof/>
        </w:rPr>
        <w:footnoteReference w:id="45"/>
      </w:r>
      <w:r>
        <w:rPr>
          <w:noProof/>
        </w:rPr>
        <w:t>.</w:t>
      </w:r>
    </w:p>
    <w:p>
      <w:pPr>
        <w:pStyle w:val="ManualNumPar1"/>
        <w:rPr>
          <w:noProof/>
        </w:rPr>
      </w:pPr>
      <w:r>
        <w:rPr>
          <w:noProof/>
        </w:rPr>
        <w:t>7.</w:t>
      </w:r>
      <w:r>
        <w:rPr>
          <w:noProof/>
        </w:rPr>
        <w:tab/>
        <w:t>În cazul în care achizitorii publici impun operatorilor economici să aibă o capacitate economică și financiară minimă, aceștia pot solicita operatorilor economici să îndeplinească una sau ambele dintre următoarele condiții:</w:t>
      </w:r>
    </w:p>
    <w:p>
      <w:pPr>
        <w:pStyle w:val="Point1"/>
        <w:rPr>
          <w:noProof/>
        </w:rPr>
      </w:pPr>
      <w:r>
        <w:rPr>
          <w:noProof/>
        </w:rPr>
        <w:t>(a)</w:t>
      </w:r>
      <w:r>
        <w:rPr>
          <w:noProof/>
        </w:rPr>
        <w:tab/>
        <w:t>să dispună de o anumită capacitate financiară minimă;</w:t>
      </w:r>
    </w:p>
    <w:p>
      <w:pPr>
        <w:pStyle w:val="Point1"/>
        <w:rPr>
          <w:noProof/>
        </w:rPr>
      </w:pPr>
      <w:r>
        <w:rPr>
          <w:noProof/>
        </w:rPr>
        <w:t>(b)</w:t>
      </w:r>
      <w:r>
        <w:rPr>
          <w:noProof/>
        </w:rPr>
        <w:tab/>
        <w:t>să dețină o asigurare de răspundere profesională la un nivel adecvat.</w:t>
      </w:r>
    </w:p>
    <w:p>
      <w:pPr>
        <w:pStyle w:val="ManualNumPar1"/>
        <w:rPr>
          <w:noProof/>
        </w:rPr>
      </w:pPr>
      <w:r>
        <w:rPr>
          <w:noProof/>
        </w:rPr>
        <w:t>8.</w:t>
      </w:r>
      <w:r>
        <w:rPr>
          <w:noProof/>
        </w:rPr>
        <w:tab/>
        <w:t xml:space="preserve">În cazul în care achizitorii publici solicită operatorilor economici să furnizeze dovezi privind capacitatea economică și financiară minimă, achizitorii publici permit operatorilor economici să furnizeze astfel de dovezi prin orice mijloace adecvate, inclusiv prin oricare dintre următoarele: </w:t>
      </w:r>
    </w:p>
    <w:p>
      <w:pPr>
        <w:pStyle w:val="Point1"/>
        <w:rPr>
          <w:noProof/>
        </w:rPr>
      </w:pPr>
      <w:r>
        <w:rPr>
          <w:noProof/>
        </w:rPr>
        <w:t>(a)</w:t>
      </w:r>
      <w:r>
        <w:rPr>
          <w:noProof/>
        </w:rPr>
        <w:tab/>
        <w:t xml:space="preserve">declarații bancare sau, după caz, dovada unei asigurări de răspundere profesională; </w:t>
      </w:r>
    </w:p>
    <w:p>
      <w:pPr>
        <w:pStyle w:val="Point1"/>
        <w:rPr>
          <w:noProof/>
        </w:rPr>
      </w:pPr>
      <w:r>
        <w:rPr>
          <w:noProof/>
        </w:rPr>
        <w:t>(b)</w:t>
      </w:r>
      <w:r>
        <w:rPr>
          <w:noProof/>
        </w:rPr>
        <w:tab/>
        <w:t xml:space="preserve">situații financiare sau extrase de situații financiare, în cazul în care publicarea situațiilor financiare este prevăzută de legislația țării în care este stabilit operatorul economic; </w:t>
      </w:r>
    </w:p>
    <w:p>
      <w:pPr>
        <w:pStyle w:val="Point1"/>
        <w:rPr>
          <w:noProof/>
        </w:rPr>
      </w:pPr>
      <w:r>
        <w:rPr>
          <w:noProof/>
        </w:rPr>
        <w:t>(c)</w:t>
      </w:r>
      <w:r>
        <w:rPr>
          <w:noProof/>
        </w:rPr>
        <w:tab/>
        <w:t xml:space="preserve">o declarație privind cifra de afaceri a operatorului economic pentru cel mult ultimele trei exerciții financiare disponibile, în funcție de data la care operatorul economic a fost înființat sau și-a început activitatea, în măsura în care informațiile privind aceste cifre de afaceri sunt disponibile; </w:t>
      </w:r>
    </w:p>
    <w:p>
      <w:pPr>
        <w:pStyle w:val="Point1"/>
        <w:rPr>
          <w:noProof/>
        </w:rPr>
      </w:pPr>
      <w:r>
        <w:rPr>
          <w:noProof/>
        </w:rPr>
        <w:t>(d)</w:t>
      </w:r>
      <w:r>
        <w:rPr>
          <w:noProof/>
        </w:rPr>
        <w:tab/>
        <w:t>un plan de afaceri susținut de declarații sau de alte dovezi privind activele financiare corporale și necorporale ale operatorului economic, inclusiv activele sale de proprietate intelectuală, contribuțiile financiare din partea investitorilor financiari sau a organismelor de finanțare sau dovezi privind capitalul propriu investit în operatorul economic.</w:t>
      </w:r>
    </w:p>
    <w:p>
      <w:pPr>
        <w:pStyle w:val="Text1"/>
        <w:rPr>
          <w:noProof/>
        </w:rPr>
      </w:pPr>
      <w:r>
        <w:rPr>
          <w:noProof/>
        </w:rPr>
        <w:t xml:space="preserve">În cazul în care este necesară o capacitate financiară minimă, aceasta nu depășește 50 % din valoarea estimată a contractului de achiziții publice în domeniul cercetării și dezvoltării, cu excepția cazurilor justificate în mod corespunzător, cum ar fi cele legate de riscurile speciale aferente naturii serviciilor de cercetare și dezvoltare achiziționate în cadrul contractului de achiziții în domeniul cercetării și dezvoltării. Achizitorul public precizează principalele motive pentru o astfel de cerință în documentele achiziției. </w:t>
      </w:r>
    </w:p>
    <w:p>
      <w:pPr>
        <w:ind w:left="851"/>
        <w:rPr>
          <w:noProof/>
        </w:rPr>
      </w:pPr>
      <w:r>
        <w:rPr>
          <w:noProof/>
        </w:rPr>
        <w:t>La evaluarea capacității financiare și economice minime, achizitorii publici pot lua în considerare informații din conturile anuale ale operatorului economic numai dacă achizitorul public a specificat în documentele achiziției metodele și criteriile pentru o astfel de luare în considerare. Aceste metode și criterii sunt transparente, obiective și nediscriminatorii.</w:t>
      </w:r>
    </w:p>
    <w:p>
      <w:pPr>
        <w:pStyle w:val="Text1"/>
        <w:rPr>
          <w:noProof/>
        </w:rPr>
      </w:pPr>
      <w:r>
        <w:rPr>
          <w:noProof/>
        </w:rPr>
        <w:t xml:space="preserve">În cazul în care achizitorii publici impun criterii de selecție privind capacitatea economică și financiară în conformitate cu alineatul (6), achizitorii publici le permit ofertanților să furnizeze dovada menționată la prezentul alineat primul paragraf litera (d) între data la care achizitorul public notifică ofertanților decizia de atribuire a contractului de achiziții în domeniul cercetării și dezvoltării și data semnării contractului respectiv. </w:t>
      </w:r>
    </w:p>
    <w:p>
      <w:pPr>
        <w:pStyle w:val="ManualNumPar1"/>
        <w:rPr>
          <w:rFonts w:eastAsia="Times New Roman"/>
          <w:noProof/>
        </w:rPr>
      </w:pPr>
      <w:r>
        <w:rPr>
          <w:noProof/>
        </w:rPr>
        <w:t>9.</w:t>
      </w:r>
      <w:r>
        <w:rPr>
          <w:noProof/>
        </w:rPr>
        <w:tab/>
        <w:t xml:space="preserve">În cazul în care achizitorii publici solicită o asigurare de răspundere civilă profesională, aceștia se asigură și furnizează în documentele achiziției o justificare a faptului că asigurarea de răspundere necesară este proporțională cu cuantumul previzibil în mod rezonabil al pierderilor sau al daunelor pe care contractanții și subcontractanții le pot cauza în timpul sau ca urmare a executării contractului de achiziții în domeniul cercetării și dezvoltării. </w:t>
      </w:r>
    </w:p>
    <w:p>
      <w:pPr>
        <w:pStyle w:val="ManualNumPar1"/>
        <w:rPr>
          <w:rFonts w:asciiTheme="minorHAnsi" w:eastAsiaTheme="minorEastAsia" w:hAnsiTheme="minorHAnsi" w:cstheme="minorBidi"/>
          <w:noProof/>
        </w:rPr>
      </w:pPr>
      <w:r>
        <w:rPr>
          <w:noProof/>
        </w:rPr>
        <w:t>10.</w:t>
      </w:r>
      <w:r>
        <w:rPr>
          <w:noProof/>
        </w:rPr>
        <w:tab/>
        <w:t>În cazul în care procedura de achiziții în domeniul cercetării și dezvoltării aplicată de achizitorul public nu include o preselecție a operatorilor economici pe baza motivelor de excludere sau a criteriilor de selecție, achizitorul public solicită documente justificative complete care să ateste conformitatea cu motivele de excludere și cu criteriile de selecție aplicabile numai din partea ofertelor câștigătoare care s-au clasat pe primul loc pe baza criteriilor de atribuire. Informațiile care pot fi stabilite accesând bazele de date naționale existente create de un organism public sau prin înscrierea pe listele oficiale sau pe baza unor certificări nu pot fi contestate fără o justificare suficientă. </w:t>
      </w:r>
    </w:p>
    <w:p>
      <w:pPr>
        <w:pStyle w:val="ManualNumPar1"/>
        <w:rPr>
          <w:rFonts w:eastAsia="Times New Roman"/>
          <w:noProof/>
        </w:rPr>
      </w:pPr>
      <w:r>
        <w:rPr>
          <w:noProof/>
        </w:rPr>
        <w:t>11.</w:t>
      </w:r>
      <w:r>
        <w:rPr>
          <w:noProof/>
        </w:rPr>
        <w:tab/>
        <w:t xml:space="preserve">În cazul în care informațiile sau documentele depuse de operatorii economici sunt sau par a fi incomplete sau eronate sau dacă lipsesc anumite documente, achizitorii publici, în conformitate cu principiile egalității de tratament și transparenței, oferă operatorilor economici în cauză posibilitatea să prezinte, să suplimenteze, să clarifice sau să completeze informațiile sau documentele relevante într-un termen adecvat pentru a remedia orice deficiență rezultată de pe urma unei abateri formale sau nereguli minore a unei oferte care nu pune sub semnul întrebării decizia de atribuire a contractelor de achiziții în domeniul cercetării și dezvoltării. </w:t>
      </w:r>
    </w:p>
    <w:p>
      <w:pPr>
        <w:pStyle w:val="Titrearticle"/>
        <w:rPr>
          <w:rFonts w:eastAsia="Times New Roman"/>
          <w:noProof/>
        </w:rPr>
      </w:pPr>
      <w:r>
        <w:rPr>
          <w:noProof/>
        </w:rPr>
        <w:t>Articolul 10</w:t>
      </w:r>
    </w:p>
    <w:p>
      <w:pPr>
        <w:pStyle w:val="NormalCentered"/>
        <w:rPr>
          <w:rFonts w:eastAsia="Times New Roman"/>
          <w:b/>
          <w:bCs/>
          <w:noProof/>
        </w:rPr>
      </w:pPr>
      <w:r>
        <w:rPr>
          <w:b/>
          <w:noProof/>
        </w:rPr>
        <w:t>Garanții financiare</w:t>
      </w:r>
    </w:p>
    <w:p>
      <w:pPr>
        <w:pStyle w:val="ManualNumPar1"/>
        <w:rPr>
          <w:rFonts w:asciiTheme="minorHAnsi" w:eastAsiaTheme="minorEastAsia" w:hAnsiTheme="minorHAnsi" w:cstheme="minorBidi"/>
          <w:noProof/>
        </w:rPr>
      </w:pPr>
      <w:r>
        <w:rPr>
          <w:noProof/>
        </w:rPr>
        <w:t>1.</w:t>
      </w:r>
      <w:r>
        <w:rPr>
          <w:noProof/>
        </w:rPr>
        <w:tab/>
        <w:t xml:space="preserve">Achizitorii publici pot solicita ofertanților să furnizeze garanții de participare la licitație, garanții de bună execuție sau garanții sub forma reținerii unei sume de bani, dacă sunt îndeplinite toate următoarele condiții: </w:t>
      </w:r>
    </w:p>
    <w:p>
      <w:pPr>
        <w:pStyle w:val="Point1"/>
        <w:rPr>
          <w:rFonts w:eastAsiaTheme="minorEastAsia"/>
          <w:noProof/>
        </w:rPr>
      </w:pPr>
      <w:r>
        <w:rPr>
          <w:noProof/>
        </w:rPr>
        <w:t>(a)</w:t>
      </w:r>
      <w:r>
        <w:rPr>
          <w:noProof/>
        </w:rPr>
        <w:tab/>
        <w:t xml:space="preserve">valoarea garanțiilor de participare la licitație nu depășește 2 % din valoarea totală estimată a contractului de achiziții în domeniul cercetării și dezvoltării, cu o valoare maximă a garanției de participare la licitație de 500 000 EUR pentru contractele de achiziții în domeniul cercetării și dezvoltării cu o valoare estimată mai mare de 5 000 000 EUR și de 100 000 EUR pentru contractele cu o valoare estimată mai mică de 5 000 000 EUR; </w:t>
      </w:r>
    </w:p>
    <w:p>
      <w:pPr>
        <w:pStyle w:val="Point1"/>
        <w:rPr>
          <w:noProof/>
        </w:rPr>
      </w:pPr>
      <w:r>
        <w:rPr>
          <w:noProof/>
        </w:rPr>
        <w:t>(b)</w:t>
      </w:r>
      <w:r>
        <w:rPr>
          <w:noProof/>
        </w:rPr>
        <w:tab/>
        <w:t xml:space="preserve">pentru contractele de achiziții în domeniul cercetării și dezvoltării cu o valoare estimată a contractului de peste 500 000 EUR, valoarea garanțiilor de bună execuție și cele sub forma reținerii unei sume de bani nu depășește 5 % din prețul specific al contractului, procent care poate fi majorat la 10 % pentru contractele de achiziții în domeniul cercetării și dezvoltării cu un grad foarte ridicat de complexitate sau de risc atunci când acest lucru este justificat de o analiză a riscurilor. </w:t>
      </w:r>
    </w:p>
    <w:p>
      <w:pPr>
        <w:pStyle w:val="Point1"/>
        <w:rPr>
          <w:noProof/>
        </w:rPr>
      </w:pPr>
      <w:r>
        <w:rPr>
          <w:noProof/>
        </w:rPr>
        <w:t>(c)</w:t>
      </w:r>
      <w:r>
        <w:rPr>
          <w:noProof/>
        </w:rPr>
        <w:tab/>
        <w:t xml:space="preserve">Pentru contractele de achiziții în domeniul cercetării și dezvoltării cu o valoare estimată a contractului mai mică de 500 000 EUR, nu se solicită garanții de bună execuție sau sub forma reținerii unei sume de bani. </w:t>
      </w:r>
    </w:p>
    <w:p>
      <w:pPr>
        <w:pStyle w:val="ManualNumPar1"/>
        <w:rPr>
          <w:noProof/>
        </w:rPr>
      </w:pPr>
      <w:r>
        <w:rPr>
          <w:noProof/>
        </w:rPr>
        <w:t>2.</w:t>
      </w:r>
      <w:r>
        <w:rPr>
          <w:noProof/>
        </w:rPr>
        <w:tab/>
        <w:t xml:space="preserve">Valoarea garanțiilor de participare la licitație, a garanțiilor de bună execuție și a garanțiilor sub forma reținerii unei sume de bani pe care achizitorii publici le solicită ofertanților se reduce cu 50 % pentru IMM-uri, start-upuri inovatoare și întreprinderi inovatoare în fază de extindere. </w:t>
      </w:r>
    </w:p>
    <w:p>
      <w:pPr>
        <w:pStyle w:val="ManualNumPar1"/>
        <w:rPr>
          <w:noProof/>
        </w:rPr>
      </w:pPr>
      <w:r>
        <w:rPr>
          <w:noProof/>
        </w:rPr>
        <w:t>3.</w:t>
      </w:r>
      <w:r>
        <w:rPr>
          <w:noProof/>
        </w:rPr>
        <w:tab/>
        <w:t>Achizitorii publici asigură reducerea sau eliberarea în timp util a garanțiilor financiare de îndată ce acestea nu mai sunt justificate.</w:t>
      </w:r>
    </w:p>
    <w:p>
      <w:pPr>
        <w:pStyle w:val="Titrearticle"/>
        <w:rPr>
          <w:noProof/>
        </w:rPr>
      </w:pPr>
      <w:r>
        <w:rPr>
          <w:noProof/>
        </w:rPr>
        <w:t>Articolul 17</w:t>
      </w:r>
    </w:p>
    <w:p>
      <w:pPr>
        <w:pStyle w:val="NormalCentered"/>
        <w:rPr>
          <w:rFonts w:eastAsia="Times New Roman"/>
          <w:noProof/>
          <w:szCs w:val="24"/>
        </w:rPr>
      </w:pPr>
      <w:r>
        <w:rPr>
          <w:b/>
          <w:noProof/>
        </w:rPr>
        <w:t xml:space="preserve">Criterii de atribuire referitoare la inovare </w:t>
      </w:r>
    </w:p>
    <w:p>
      <w:pPr>
        <w:pStyle w:val="ManualNumPar1"/>
        <w:rPr>
          <w:noProof/>
        </w:rPr>
      </w:pPr>
      <w:r>
        <w:rPr>
          <w:noProof/>
        </w:rPr>
        <w:t>1.</w:t>
      </w:r>
      <w:r>
        <w:rPr>
          <w:noProof/>
        </w:rPr>
        <w:tab/>
        <w:t>Achizitorii publici atribuie contractul operatorului economic care oferă cel mai bun raport calitate-preț. În acest scop, achizitorii publici evaluează ofertele primite pe baza metodei celui mai bun raport preț-calitate. Pentru a determina cel mai bun raport preț-calitate, achizitorii publici evaluează ofertele prin compararea prețului și a calității lor, aceasta din urmă pe baza unor criterii de calitate legate de obiectul contractului de achiziții în domeniul cercetării și dezvoltării. La determinarea celui mai bun raport preț-calitate pot fi luate în considerare și costurile. Atunci când evaluează ofertele pe baza metodei celui mai bun raport preț-calitate, ponderea cumulată a tuturor criteriilor de atribuire referitoare la calitate reprezintă cel puțin 50 % din ponderea totală a tuturor criteriilor de atribuire. Criteriul referitor la preț se referă numai la prețul ofertei. Ponderea acordată criteriilor referitoare la costul total aferent deținerii se include în cota procentuală respectivă.</w:t>
      </w:r>
    </w:p>
    <w:p>
      <w:pPr>
        <w:pStyle w:val="ManualNumPar1"/>
        <w:rPr>
          <w:noProof/>
        </w:rPr>
      </w:pPr>
      <w:r>
        <w:rPr>
          <w:noProof/>
        </w:rPr>
        <w:t>2.</w:t>
      </w:r>
      <w:r>
        <w:rPr>
          <w:noProof/>
        </w:rPr>
        <w:tab/>
        <w:t xml:space="preserve">Criteriile de calitate se referă la orice criteriu utilizat pentru a evalua măsura în care o ofertă propune rezultate benefice, eficiente sau durabile în raport cu obiectul contractului de achiziții în domeniul cercetării și dezvoltării. </w:t>
      </w:r>
    </w:p>
    <w:p>
      <w:pPr>
        <w:pStyle w:val="Text1"/>
        <w:rPr>
          <w:noProof/>
        </w:rPr>
      </w:pPr>
      <w:r>
        <w:rPr>
          <w:noProof/>
        </w:rPr>
        <w:t>Calitatea ofertei se poate referi, de exemplu, la următoarele aspecte:</w:t>
      </w:r>
    </w:p>
    <w:p>
      <w:pPr>
        <w:pStyle w:val="Point1"/>
        <w:rPr>
          <w:noProof/>
        </w:rPr>
      </w:pPr>
      <w:r>
        <w:rPr>
          <w:noProof/>
        </w:rPr>
        <w:t>(a)</w:t>
      </w:r>
      <w:r>
        <w:rPr>
          <w:noProof/>
        </w:rPr>
        <w:tab/>
        <w:t>avantajele tehnice, caracteristicile estetice și funcționale, accesibilitatea, proiectarea pentru toți utilizatorii, metodele de cercetare și dezvoltare;</w:t>
      </w:r>
    </w:p>
    <w:p>
      <w:pPr>
        <w:pStyle w:val="Point1"/>
        <w:rPr>
          <w:noProof/>
        </w:rPr>
      </w:pPr>
      <w:r>
        <w:rPr>
          <w:noProof/>
        </w:rPr>
        <w:t>(b)</w:t>
      </w:r>
      <w:r>
        <w:rPr>
          <w:noProof/>
        </w:rPr>
        <w:tab/>
        <w:t>obiectivele de mediu, climatice, sociale și de inovare în conformitate cu articolul 4 alineatul (6), interesele în materie de securitate și siguranță publică în conformitate cu articolul 28 sau cerințele privind preferințele europene, în cazul în care un achizitor public aplică cerințele respective sub forma unei alocări de puncte de atribuire;</w:t>
      </w:r>
    </w:p>
    <w:p>
      <w:pPr>
        <w:pStyle w:val="Point1"/>
        <w:rPr>
          <w:noProof/>
        </w:rPr>
      </w:pPr>
      <w:r>
        <w:rPr>
          <w:noProof/>
        </w:rPr>
        <w:t>(c)</w:t>
      </w:r>
      <w:r>
        <w:rPr>
          <w:noProof/>
        </w:rPr>
        <w:tab/>
        <w:t xml:space="preserve">calitatea personalului desemnat care poate avea un impact semnificativ asupra nivelului de executare a contractului, cum ar fi organizarea, calificarea și experiența personalului desemnat să execute contractul de achiziții în domeniul cercetării și dezvoltării; </w:t>
      </w:r>
    </w:p>
    <w:p>
      <w:pPr>
        <w:pStyle w:val="Point1"/>
        <w:rPr>
          <w:noProof/>
        </w:rPr>
      </w:pPr>
      <w:r>
        <w:rPr>
          <w:noProof/>
        </w:rPr>
        <w:t>(d)</w:t>
      </w:r>
      <w:r>
        <w:rPr>
          <w:noProof/>
        </w:rPr>
        <w:tab/>
        <w:t>calitatea organizării activității, calitatea alocării resurselor destinate executării contractului de achiziții în domeniul cercetării și dezvoltării.</w:t>
      </w:r>
    </w:p>
    <w:p>
      <w:pPr>
        <w:pStyle w:val="ManualNumPar1"/>
        <w:rPr>
          <w:noProof/>
        </w:rPr>
      </w:pPr>
      <w:r>
        <w:rPr>
          <w:noProof/>
        </w:rPr>
        <w:t>3.</w:t>
      </w:r>
      <w:r>
        <w:rPr>
          <w:noProof/>
        </w:rPr>
        <w:tab/>
        <w:t>Criteriile de atribuire sunt nediscriminatorii, proporționale, specifice, obiective și măsurabile; ele sunt evaluate în cadrul unui proces care conține garanții suficiente împotriva neregulilor. Acestea permit achizitorului public să compare efectiv punctele forte și punctele slabe ale serviciilor de cercetare și dezvoltare oferite și nu au ca efect conferirea unei libertăți de alegere nerestricționate achizitorului public.</w:t>
      </w:r>
    </w:p>
    <w:p>
      <w:pPr>
        <w:pStyle w:val="ManualNumPar1"/>
        <w:rPr>
          <w:noProof/>
        </w:rPr>
      </w:pPr>
      <w:r>
        <w:rPr>
          <w:noProof/>
        </w:rPr>
        <w:t>4.</w:t>
      </w:r>
      <w:r>
        <w:rPr>
          <w:noProof/>
        </w:rPr>
        <w:tab/>
        <w:t>În cadrul procedurilor de achiziții în domeniul cercetării și dezvoltării, achizitorii publici aplică, ca parte a criteriilor de atribuire privind calitatea menționate la alineatul (2), criterii specifice de atribuire privind calitatea concepute pentru a măsura impactul potențial al ofertelor asupra inovării și asupra creării de valoare adăugată pentru Uniune. Astfel de criterii de atribuire privind calitatea legate de inovare, astfel cum sunt menționate la alineatul (2) litera (e) de la prezentul articol, includ următoarele:</w:t>
      </w:r>
    </w:p>
    <w:p>
      <w:pPr>
        <w:pStyle w:val="Point1"/>
        <w:rPr>
          <w:noProof/>
        </w:rPr>
      </w:pPr>
      <w:r>
        <w:rPr>
          <w:noProof/>
        </w:rPr>
        <w:t>(a)</w:t>
      </w:r>
      <w:r>
        <w:rPr>
          <w:noProof/>
        </w:rPr>
        <w:tab/>
        <w:t xml:space="preserve">gradul de inovare </w:t>
      </w:r>
      <w:bookmarkStart w:id="31" w:name="_Hlk232012712"/>
      <w:r>
        <w:rPr>
          <w:noProof/>
        </w:rPr>
        <w:t xml:space="preserve">al ofertei și măsura în care acest grad de inovare contribuie la calitatea generală </w:t>
      </w:r>
      <w:bookmarkEnd w:id="31"/>
      <w:r>
        <w:rPr>
          <w:noProof/>
        </w:rPr>
        <w:t xml:space="preserve">a propunerii care urmează să </w:t>
      </w:r>
      <w:bookmarkStart w:id="32" w:name="_Hlk232012766"/>
      <w:r>
        <w:rPr>
          <w:noProof/>
        </w:rPr>
        <w:t>fie cercetată, dezvoltată sau testată în cadrul achizițiilor în domeniul cercetării și dezvoltării</w:t>
      </w:r>
      <w:bookmarkEnd w:id="32"/>
      <w:r>
        <w:rPr>
          <w:noProof/>
        </w:rPr>
        <w:t xml:space="preserve">, dacă este posibil prin utilizarea unor criterii de calitate specifice rezultatelor preconizate ale achizițiilor în domeniul cercetării și dezvoltării; </w:t>
      </w:r>
    </w:p>
    <w:p>
      <w:pPr>
        <w:pStyle w:val="Point1"/>
        <w:rPr>
          <w:noProof/>
        </w:rPr>
      </w:pPr>
      <w:r>
        <w:rPr>
          <w:noProof/>
        </w:rPr>
        <w:t>(b)</w:t>
      </w:r>
      <w:r>
        <w:rPr>
          <w:noProof/>
        </w:rPr>
        <w:tab/>
        <w:t xml:space="preserve">costul total aferent deținerii și beneficiile pe termen lung ale ofertei, inclusiv impactul oricărei abordări bazate pe analiza valorii care este propusă în ofertă asupra costurilor și beneficiilor respective; </w:t>
      </w:r>
    </w:p>
    <w:p>
      <w:pPr>
        <w:pStyle w:val="Point1"/>
        <w:rPr>
          <w:noProof/>
        </w:rPr>
      </w:pPr>
      <w:r>
        <w:rPr>
          <w:noProof/>
        </w:rPr>
        <w:t>(c)</w:t>
      </w:r>
      <w:r>
        <w:rPr>
          <w:noProof/>
        </w:rPr>
        <w:tab/>
        <w:t>impactul ofertei asupra consolidării lanțului de aprovizionare tehnologic și asupra dezvoltării unui ecosistem de inovare în Uniune, inclusiv în ceea ce privește tehnologiile critice;</w:t>
      </w:r>
    </w:p>
    <w:p>
      <w:pPr>
        <w:pStyle w:val="Point1"/>
        <w:rPr>
          <w:noProof/>
        </w:rPr>
      </w:pPr>
      <w:r>
        <w:rPr>
          <w:noProof/>
        </w:rPr>
        <w:t>(d)</w:t>
      </w:r>
      <w:r>
        <w:rPr>
          <w:noProof/>
        </w:rPr>
        <w:tab/>
        <w:t>ponderea valorii activităților propuse a fi desfășurate în Uniune ca parte a contractului de achiziții în domeniul cercetării și dezvoltării;</w:t>
      </w:r>
    </w:p>
    <w:p>
      <w:pPr>
        <w:pStyle w:val="Point1"/>
        <w:rPr>
          <w:noProof/>
        </w:rPr>
      </w:pPr>
      <w:r>
        <w:rPr>
          <w:noProof/>
        </w:rPr>
        <w:t>(e)</w:t>
      </w:r>
      <w:r>
        <w:rPr>
          <w:noProof/>
        </w:rPr>
        <w:tab/>
        <w:t>după caz, măsura în care oferta propune să integreze tehnologii dezvoltate în Uniune, inclusiv rezultatele cercetării și dezvoltării care decurg din programele de cercetare și dezvoltare finanțate din fonduri publice pe piața internă și utilizează instrumente precum standarde, specificații, software sau modele ori alte tehnologii dezvoltate în Uniune.</w:t>
      </w:r>
    </w:p>
    <w:p>
      <w:pPr>
        <w:pStyle w:val="ManualNumPar1"/>
        <w:rPr>
          <w:noProof/>
        </w:rPr>
      </w:pPr>
      <w:r>
        <w:rPr>
          <w:noProof/>
        </w:rPr>
        <w:t>5.</w:t>
      </w:r>
      <w:r>
        <w:rPr>
          <w:noProof/>
        </w:rPr>
        <w:tab/>
        <w:t xml:space="preserve">Achizitorii publici pot aplica și alte criterii de atribuire referitoare la inovare în plus față de cele prevăzute la alineatul (4). Ponderea cumulată a tuturor criteriilor de atribuire referitoare la inovare este de cel puțin 15 % din ponderea totală a tuturor criteriilor de atribuire, iar ponderea cumulată a criteriilor de atribuire referitoare la inovare menționate la alineatul (1) literele (c), (d) și (e) nu depășește 15 % din ponderea totală a tuturor criteriilor de atribuire. Criteriile de atribuire referitoare la inovare fac parte din criteriile de atribuire privind calitatea menționate la alineatul (2). </w:t>
      </w:r>
    </w:p>
    <w:p>
      <w:pPr>
        <w:pStyle w:val="ManualNumPar1"/>
        <w:rPr>
          <w:noProof/>
        </w:rPr>
      </w:pPr>
      <w:r>
        <w:rPr>
          <w:noProof/>
        </w:rPr>
        <w:t>6.</w:t>
      </w:r>
      <w:r>
        <w:rPr>
          <w:noProof/>
        </w:rPr>
        <w:tab/>
        <w:t>Prin derogare de la alineatele (4) și (5), obligația de a aplica criterii de atribuire referitoare la inovare în temeiul prezentului articol nu se aplică procedurilor de achiziții în domeniul cercetării și dezvoltării care au ca unic obiect achiziționarea de servicii de consultanță în materie de cercetare și dezvoltare, astfel cum sunt reglementate de codurile CPV 73200000-4, 73210000-7 și 73220000-0.</w:t>
      </w:r>
    </w:p>
    <w:p>
      <w:pPr>
        <w:pStyle w:val="Titrearticle"/>
        <w:rPr>
          <w:noProof/>
        </w:rPr>
      </w:pPr>
      <w:r>
        <w:rPr>
          <w:noProof/>
        </w:rPr>
        <w:t>Articolul 18</w:t>
      </w:r>
    </w:p>
    <w:p>
      <w:pPr>
        <w:pStyle w:val="NormalCentered"/>
        <w:rPr>
          <w:noProof/>
        </w:rPr>
      </w:pPr>
      <w:r>
        <w:rPr>
          <w:b/>
          <w:noProof/>
        </w:rPr>
        <w:t>Formularea cerințelor pentru caracteristicile serviciilor de cercetare și dezvoltare achiziționate</w:t>
      </w:r>
    </w:p>
    <w:p>
      <w:pPr>
        <w:pStyle w:val="ManualNumPar1"/>
        <w:rPr>
          <w:rFonts w:eastAsia="Times New Roman"/>
          <w:noProof/>
        </w:rPr>
      </w:pPr>
      <w:r>
        <w:rPr>
          <w:noProof/>
        </w:rPr>
        <w:t>1.</w:t>
      </w:r>
      <w:r>
        <w:rPr>
          <w:noProof/>
        </w:rPr>
        <w:tab/>
        <w:t xml:space="preserve">Achizitorii publici formulează cerințele privind caracteristicile serviciilor de cercetare și dezvoltare care urmează să fie achiziționate și rezultatele preconizate ale acestora în documentele achiziției în următoarea ordine de prioritate: </w:t>
      </w:r>
    </w:p>
    <w:p>
      <w:pPr>
        <w:pStyle w:val="Point1"/>
        <w:rPr>
          <w:noProof/>
        </w:rPr>
      </w:pPr>
      <w:r>
        <w:rPr>
          <w:noProof/>
        </w:rPr>
        <w:t>(a)</w:t>
      </w:r>
      <w:r>
        <w:rPr>
          <w:noProof/>
        </w:rPr>
        <w:tab/>
        <w:t xml:space="preserve">cerințe impuse prin lege; </w:t>
      </w:r>
    </w:p>
    <w:p>
      <w:pPr>
        <w:pStyle w:val="Point1"/>
        <w:rPr>
          <w:noProof/>
        </w:rPr>
      </w:pPr>
      <w:r>
        <w:rPr>
          <w:noProof/>
        </w:rPr>
        <w:t>(b)</w:t>
      </w:r>
      <w:r>
        <w:rPr>
          <w:noProof/>
        </w:rPr>
        <w:tab/>
        <w:t>cerințe funcționale;</w:t>
      </w:r>
    </w:p>
    <w:p>
      <w:pPr>
        <w:pStyle w:val="Point1"/>
        <w:rPr>
          <w:noProof/>
        </w:rPr>
      </w:pPr>
      <w:r>
        <w:rPr>
          <w:noProof/>
        </w:rPr>
        <w:t>(c)</w:t>
      </w:r>
      <w:r>
        <w:rPr>
          <w:noProof/>
        </w:rPr>
        <w:tab/>
        <w:t>cerințe de performanță;</w:t>
      </w:r>
    </w:p>
    <w:p>
      <w:pPr>
        <w:pStyle w:val="Point1"/>
        <w:rPr>
          <w:noProof/>
        </w:rPr>
      </w:pPr>
      <w:r>
        <w:rPr>
          <w:noProof/>
        </w:rPr>
        <w:t>(d)</w:t>
      </w:r>
      <w:r>
        <w:rPr>
          <w:noProof/>
        </w:rPr>
        <w:tab/>
        <w:t>cerințe pentru proiectare;</w:t>
      </w:r>
    </w:p>
    <w:p>
      <w:pPr>
        <w:ind w:left="850"/>
        <w:rPr>
          <w:noProof/>
        </w:rPr>
      </w:pPr>
      <w:r>
        <w:rPr>
          <w:noProof/>
        </w:rPr>
        <w:t xml:space="preserve">Achizitorii publici aplică ordinea preferințelor stabilită la primul paragraf în mod individual pentru fiecare caracteristică. </w:t>
      </w:r>
    </w:p>
    <w:p>
      <w:pPr>
        <w:ind w:left="850"/>
        <w:rPr>
          <w:noProof/>
        </w:rPr>
      </w:pPr>
      <w:r>
        <w:rPr>
          <w:noProof/>
        </w:rPr>
        <w:t xml:space="preserve">Cu excepția cazului în care se prevede altfel în dreptul Uniunii sau în dreptul intern aplicabil, achizitorii publici elaborează toate cerințele menționate la prezentul alineat într-un mod care să îi permită ofertantului să dovedească conformitatea prin intermediul oricăror dovezi echivalente alternative. </w:t>
      </w:r>
    </w:p>
    <w:p>
      <w:pPr>
        <w:pStyle w:val="ManualNumPar1"/>
        <w:rPr>
          <w:noProof/>
        </w:rPr>
      </w:pPr>
      <w:r>
        <w:rPr>
          <w:noProof/>
        </w:rPr>
        <w:t>2.</w:t>
      </w:r>
      <w:r>
        <w:rPr>
          <w:noProof/>
        </w:rPr>
        <w:tab/>
        <w:t xml:space="preserve">Achizitorii publici formulează o cerință drept cerință de performanță sau ca cerință de proiectare numai în cazul în care este imposibil să se elaboreze o astfel de cerință drept cerință funcțională. </w:t>
      </w:r>
    </w:p>
    <w:p>
      <w:pPr>
        <w:pStyle w:val="ManualNumPar1"/>
        <w:rPr>
          <w:noProof/>
        </w:rPr>
      </w:pPr>
      <w:r>
        <w:rPr>
          <w:noProof/>
        </w:rPr>
        <w:t>3.</w:t>
      </w:r>
      <w:r>
        <w:rPr>
          <w:noProof/>
        </w:rPr>
        <w:tab/>
        <w:t xml:space="preserve">În cazul în care, pentru o anumită caracteristică, nu există nicio cerință impusă prin lege și în cazul în care o anumită caracteristică nu poate fi descrisă suficient prin cerințele de la alineatul (1), cerințele pentru caracteristica respectivă pot fi formulate în oricare dintre următoarele moduri, în ordinea priorității, prin trimitere la: </w:t>
      </w:r>
    </w:p>
    <w:p>
      <w:pPr>
        <w:pStyle w:val="Point1"/>
        <w:rPr>
          <w:noProof/>
        </w:rPr>
      </w:pPr>
      <w:r>
        <w:rPr>
          <w:noProof/>
        </w:rPr>
        <w:t>(a)</w:t>
      </w:r>
      <w:r>
        <w:rPr>
          <w:noProof/>
        </w:rPr>
        <w:tab/>
        <w:t xml:space="preserve">standarde armonizate, precum și standarde și documentele de standardizare ale căror referințe au fost publicate în sensul prezentului alineat în </w:t>
      </w:r>
      <w:r>
        <w:rPr>
          <w:i/>
          <w:noProof/>
        </w:rPr>
        <w:t>Jurnalul Oficial al Uniunii Europene</w:t>
      </w:r>
      <w:r>
        <w:rPr>
          <w:noProof/>
        </w:rPr>
        <w:t xml:space="preserve"> sau prin orice alte mijloace, astfel cum se prevede în conformitate cu legislația Uniunii și cu specificațiile comune, înțelese ca o specificație tehnică, alta decât un standard, și adoptate de Comisie, și a căror conformitate prevede prezumția de conformitate cu cerințele prevăzute în legislația relevantă a Uniunii;</w:t>
      </w:r>
    </w:p>
    <w:p>
      <w:pPr>
        <w:pStyle w:val="Point1"/>
        <w:rPr>
          <w:noProof/>
        </w:rPr>
      </w:pPr>
      <w:r>
        <w:rPr>
          <w:noProof/>
        </w:rPr>
        <w:t>(b)</w:t>
      </w:r>
      <w:r>
        <w:rPr>
          <w:noProof/>
        </w:rPr>
        <w:tab/>
        <w:t>standarde europene, astfel cum sunt definite la articolul 2 din Regulamentul (UE) nr. 1025/2012, inclusiv standardele naționale care transpun standardele europene;</w:t>
      </w:r>
    </w:p>
    <w:p>
      <w:pPr>
        <w:pStyle w:val="Point1"/>
        <w:rPr>
          <w:noProof/>
        </w:rPr>
      </w:pPr>
      <w:r>
        <w:rPr>
          <w:noProof/>
        </w:rPr>
        <w:t>(c)</w:t>
      </w:r>
      <w:r>
        <w:rPr>
          <w:noProof/>
        </w:rPr>
        <w:tab/>
        <w:t>documente europene de evaluare;</w:t>
      </w:r>
    </w:p>
    <w:p>
      <w:pPr>
        <w:pStyle w:val="Point1"/>
        <w:rPr>
          <w:noProof/>
        </w:rPr>
      </w:pPr>
      <w:r>
        <w:rPr>
          <w:noProof/>
        </w:rPr>
        <w:t>(d)</w:t>
      </w:r>
      <w:r>
        <w:rPr>
          <w:noProof/>
        </w:rPr>
        <w:tab/>
        <w:t>standarde internaționale;</w:t>
      </w:r>
    </w:p>
    <w:p>
      <w:pPr>
        <w:pStyle w:val="Point1"/>
        <w:rPr>
          <w:noProof/>
        </w:rPr>
      </w:pPr>
      <w:r>
        <w:rPr>
          <w:noProof/>
        </w:rPr>
        <w:t>(e)</w:t>
      </w:r>
      <w:r>
        <w:rPr>
          <w:noProof/>
        </w:rPr>
        <w:tab/>
        <w:t xml:space="preserve">alte documente de standardizare stabilite de o organizație europeană de standardizare, astfel cum este definită în Regulamentul (UE) nr. 1025/2012; </w:t>
      </w:r>
    </w:p>
    <w:p>
      <w:pPr>
        <w:pStyle w:val="Point1"/>
        <w:rPr>
          <w:noProof/>
        </w:rPr>
      </w:pPr>
      <w:r>
        <w:rPr>
          <w:noProof/>
        </w:rPr>
        <w:t>(f)</w:t>
      </w:r>
      <w:r>
        <w:rPr>
          <w:noProof/>
        </w:rPr>
        <w:tab/>
        <w:t xml:space="preserve">în cazul în care nu există niciuna dintre trimiterile enumerate la literele (a)-(f), standarde naționale, agremente tehnice naționale sau specificații tehnice naționale. </w:t>
      </w:r>
    </w:p>
    <w:p>
      <w:pPr>
        <w:ind w:left="851"/>
        <w:rPr>
          <w:noProof/>
        </w:rPr>
      </w:pPr>
      <w:r>
        <w:rPr>
          <w:noProof/>
        </w:rPr>
        <w:t>Fiecare trimitere este însoțită de mențiunea „sau echivalent”, cu excepția cazului în care se face trimitere la specificații tehnice armonizate obligatorii.</w:t>
      </w:r>
    </w:p>
    <w:p>
      <w:pPr>
        <w:pStyle w:val="ManualNumPar1"/>
        <w:rPr>
          <w:rFonts w:eastAsia="Times New Roman"/>
          <w:noProof/>
        </w:rPr>
      </w:pPr>
      <w:r>
        <w:rPr>
          <w:noProof/>
        </w:rPr>
        <w:t>4.</w:t>
      </w:r>
      <w:r>
        <w:rPr>
          <w:noProof/>
        </w:rPr>
        <w:tab/>
        <w:t xml:space="preserve">Achizitorii publici se asigură că documentele achiziției </w:t>
      </w:r>
      <w:r>
        <w:rPr>
          <w:rFonts w:ascii="Times" w:hAnsi="Times"/>
          <w:noProof/>
        </w:rPr>
        <w:t>nu se referă la o anumită marcă, denumire comercială sau sursă ori la un anumit proces care caracterizează produsele, serviciile sau lucrările furnizate de un anumit operator economic sau la mărci comerciale, brevete, tipuri ori la o origine sau producție specifică, care ar avea ca efect favorizarea sau eliminarea anumitor operatori economici sau a anumitor produse, servicii sau lucrări.</w:t>
      </w:r>
    </w:p>
    <w:p>
      <w:pPr>
        <w:ind w:left="851"/>
        <w:rPr>
          <w:noProof/>
        </w:rPr>
      </w:pPr>
      <w:r>
        <w:rPr>
          <w:noProof/>
        </w:rPr>
        <w:t xml:space="preserve">Prin derogare de la primul paragraf, astfel de trimiteri sunt permise doar atunci când nu este posibilă o descriere suficient de exactă și inteligibilă a obiectului contractului de achiziții în domeniul cercetării și dezvoltării în conformitate cu alineatele (1), (2) și (3). Achizitorii publici nu derogă de la această obligație, cu excepția cazului în care acest lucru este justificat de obiectul contractului de achiziții în domeniul cercetării și dezvoltării și, în acest caz, trimiterea este însoțită de mențiunea „sau echivalent”. </w:t>
      </w:r>
    </w:p>
    <w:p>
      <w:pPr>
        <w:pStyle w:val="Titrearticle"/>
        <w:rPr>
          <w:noProof/>
        </w:rPr>
      </w:pPr>
      <w:r>
        <w:rPr>
          <w:noProof/>
        </w:rPr>
        <w:t>Articolul 19</w:t>
      </w:r>
    </w:p>
    <w:p>
      <w:pPr>
        <w:pStyle w:val="NormalCentered"/>
        <w:rPr>
          <w:noProof/>
        </w:rPr>
      </w:pPr>
      <w:r>
        <w:rPr>
          <w:b/>
          <w:noProof/>
        </w:rPr>
        <w:t>Partajarea riscurilor și beneficiilor în condiții de piață</w:t>
      </w:r>
    </w:p>
    <w:p>
      <w:pPr>
        <w:pStyle w:val="ManualNumPar1"/>
        <w:rPr>
          <w:noProof/>
        </w:rPr>
      </w:pPr>
      <w:r>
        <w:rPr>
          <w:noProof/>
        </w:rPr>
        <w:t>1.</w:t>
      </w:r>
      <w:r>
        <w:rPr>
          <w:noProof/>
        </w:rPr>
        <w:tab/>
        <w:t>Achizitorii publici se asigură că drepturile de proprietate intelectuală asupra rezultatelor generate de un contractant în executarea unui contract de achiziții în domeniul cercetării și dezvoltării nu revin exclusiv achizitorului public pentru uz propriu în exercitarea propriei activități lor, ci că achizitorul public partajează cu contractantul, în condiții de piață, riscurile și beneficiile aferente respectivelor drepturi de proprietate intelectuală. Pentru a îndeplini această cerință, achizitorii și contractanții publici îndeplinesc obligațiile prevăzute la alineatele (2)-(9).</w:t>
      </w:r>
    </w:p>
    <w:p>
      <w:pPr>
        <w:pStyle w:val="ManualNumPar1"/>
        <w:rPr>
          <w:noProof/>
        </w:rPr>
      </w:pPr>
      <w:r>
        <w:rPr>
          <w:noProof/>
        </w:rPr>
        <w:t>2.</w:t>
      </w:r>
      <w:r>
        <w:rPr>
          <w:noProof/>
        </w:rPr>
        <w:tab/>
        <w:t>Contractanții au dreptul de a păstra drepturile de proprietate intelectuală asupra rezultatelor pe care le-au generat în cadrul executării unui contract de achiziții în domeniul cercetării și dezvoltării. Contractul de achiziții în domeniul cercetării și dezvoltării prevede acest drept pentru contractanți, sub rezerva obligației acestora de a-și proteja rezultatele, de a depune toate eforturile pentru a-și comercializa rezultatele și de a nu utiliza rezultatele contrar interesului public.</w:t>
      </w:r>
    </w:p>
    <w:p>
      <w:pPr>
        <w:pStyle w:val="ManualNumPar1"/>
        <w:rPr>
          <w:noProof/>
        </w:rPr>
      </w:pPr>
      <w:r>
        <w:rPr>
          <w:noProof/>
        </w:rPr>
        <w:t>3.</w:t>
      </w:r>
      <w:r>
        <w:rPr>
          <w:noProof/>
        </w:rPr>
        <w:tab/>
        <w:t>Contractanții notifică achizitorilor publici, cât mai curând posibil, orice rezultate care pot fi exploatate într-o perioadă maximă de la generarea rezultatelor specificate în contractul de achiziții în domeniul cercetării și dezvoltării. Această notificare include decizia contractantului de a proteja și comercializa aceste rezultate. În cazul în care contractanții decid să nu protejeze sau să nu comercializeze rezultatele astfel cum sunt definite în contractul de achiziții în domeniul cercetării și dezvoltării, achizitorul public are dreptul, prin derogare de la alineatul (2) și fără a aduce atingere drepturilor morale ale autorilor:</w:t>
      </w:r>
    </w:p>
    <w:p>
      <w:pPr>
        <w:pStyle w:val="Point1"/>
        <w:rPr>
          <w:noProof/>
        </w:rPr>
      </w:pPr>
      <w:r>
        <w:rPr>
          <w:noProof/>
        </w:rPr>
        <w:t>(a)</w:t>
      </w:r>
      <w:r>
        <w:rPr>
          <w:noProof/>
        </w:rPr>
        <w:tab/>
        <w:t>să acorde, de comun acord cu contractantul, personalului contractantului dreptul de a proteja rezultatele respective și de a dobândi drepturile de proprietate intelectuală asupra rezultatelor respective; sau</w:t>
      </w:r>
    </w:p>
    <w:p>
      <w:pPr>
        <w:pStyle w:val="Point1"/>
        <w:rPr>
          <w:noProof/>
        </w:rPr>
      </w:pPr>
      <w:r>
        <w:rPr>
          <w:noProof/>
        </w:rPr>
        <w:t>(b)</w:t>
      </w:r>
      <w:r>
        <w:rPr>
          <w:noProof/>
        </w:rPr>
        <w:tab/>
        <w:t>să protejeze el însuși rezultatele respective, să dobândească el însuși drepturile de proprietate intelectuală asupra acestor rezultate și să transfere sau să acorde licențe pentru rezultate, în condiții echitabile și rezonabile și în mod nediscriminatoriu.</w:t>
      </w:r>
    </w:p>
    <w:p>
      <w:pPr>
        <w:pStyle w:val="ManualNumPar1"/>
        <w:rPr>
          <w:noProof/>
        </w:rPr>
      </w:pPr>
      <w:r>
        <w:rPr>
          <w:noProof/>
        </w:rPr>
        <w:t>4.</w:t>
      </w:r>
      <w:r>
        <w:rPr>
          <w:noProof/>
        </w:rPr>
        <w:tab/>
        <w:t xml:space="preserve">Achizitorii publici obțin cel puțin acces liber la rezultatele generate de contractanți în contextul unui contract de achiziții în domeniul cercetării și dezvoltării pentru uz propriu și pentru uzul contractanților lor actuali și viitori în executarea oricăror contracte atribuite de achizitorii publici respectivi. Achizitorii publici pot solicita, de asemenea, ca un astfel de acces liber să includă, pe lângă drepturile de utilizare, și alte drepturi de acces, cum ar fi drepturile de modificare și păstrare a rezultatelor. </w:t>
      </w:r>
    </w:p>
    <w:p>
      <w:pPr>
        <w:pStyle w:val="ManualNumPar1"/>
        <w:rPr>
          <w:noProof/>
        </w:rPr>
      </w:pPr>
      <w:r>
        <w:rPr>
          <w:noProof/>
        </w:rPr>
        <w:t>5.</w:t>
      </w:r>
      <w:r>
        <w:rPr>
          <w:noProof/>
        </w:rPr>
        <w:tab/>
        <w:t>În situații de urgență în care contractanții nu sunt în măsură să satisfacă cererea ulterioară de rezultate ale contractului de achiziții în domeniul cercetării și dezvoltării pe piața Uniunii, achizitorii publici au dreptul de a acorda licențe sau de a solicita contractanților să acorde licențe terților pentru a utiliza în scop comercial rezultatele contractului de achiziții în domeniul cercetării și dezvoltării, pe bază neexclusivă, fără drept de sublicențiere și în condiții echitabile și rezonabile.</w:t>
      </w:r>
    </w:p>
    <w:p>
      <w:pPr>
        <w:pStyle w:val="ManualNumPar1"/>
        <w:rPr>
          <w:noProof/>
        </w:rPr>
      </w:pPr>
      <w:r>
        <w:rPr>
          <w:noProof/>
        </w:rPr>
        <w:t>6.</w:t>
      </w:r>
      <w:r>
        <w:rPr>
          <w:noProof/>
        </w:rPr>
        <w:tab/>
        <w:t>În cazul în care contractanții nu reușesc să își comercializeze rezultatele într-un termen rezonabil, astfel cum este prevăzut în contractul de achiziții în domeniul cercetării și dezvoltării, dar prezintă motive legitime pentru această situație, achizitorii publici:</w:t>
      </w:r>
    </w:p>
    <w:p>
      <w:pPr>
        <w:pStyle w:val="Point1"/>
        <w:rPr>
          <w:noProof/>
        </w:rPr>
      </w:pPr>
      <w:r>
        <w:rPr>
          <w:noProof/>
        </w:rPr>
        <w:t>(a)</w:t>
      </w:r>
      <w:r>
        <w:rPr>
          <w:noProof/>
        </w:rPr>
        <w:tab/>
        <w:t>verifică împreună cu contractanții dacă aceștia sunt în măsură și dispuși să comercializeze rezultatele în cazul în care li se acordă un termen suplimentar rezonabil;</w:t>
      </w:r>
    </w:p>
    <w:p>
      <w:pPr>
        <w:pStyle w:val="Point1"/>
        <w:rPr>
          <w:noProof/>
        </w:rPr>
      </w:pPr>
      <w:r>
        <w:rPr>
          <w:noProof/>
        </w:rPr>
        <w:t>(b)</w:t>
      </w:r>
      <w:r>
        <w:rPr>
          <w:noProof/>
        </w:rPr>
        <w:tab/>
        <w:t>numai în cazul în care se verifică faptul că contractanții nu sunt în măsură sau nu sunt dispuși să comercializeze rezultatele sau nu reușesc să le comercializeze în termenul suplimentar menționat la litera (a), au dreptul:</w:t>
      </w:r>
    </w:p>
    <w:p>
      <w:pPr>
        <w:pStyle w:val="Point2"/>
        <w:rPr>
          <w:noProof/>
        </w:rPr>
      </w:pPr>
      <w:r>
        <w:rPr>
          <w:noProof/>
        </w:rPr>
        <w:t>(a)</w:t>
      </w:r>
      <w:r>
        <w:rPr>
          <w:noProof/>
        </w:rPr>
        <w:tab/>
        <w:t>să acorde licențe sau să solicite contractanților să acorde licențe unor terți, în condiții echitabile și rezonabile, pentru utilizarea comercială a rezultatelor contractului de achiziții în domeniul cercetării și dezvoltării, pe bază neexclusivă, fără drept de sublicențiere; sau</w:t>
      </w:r>
    </w:p>
    <w:p>
      <w:pPr>
        <w:pStyle w:val="Point2"/>
        <w:rPr>
          <w:noProof/>
        </w:rPr>
      </w:pPr>
      <w:r>
        <w:rPr>
          <w:noProof/>
        </w:rPr>
        <w:t>(b)</w:t>
      </w:r>
      <w:r>
        <w:rPr>
          <w:noProof/>
        </w:rPr>
        <w:tab/>
        <w:t>numai în cazul în care demersul privind acordarea unei licențe menționat la litera (i) nu este suficient pentru a asigura comercializarea impusă prin contractul de achiziții în domeniul cercetării și dezvoltării, să solicite contractantului să transfere achizitorilor publici dreptul de proprietate asupra rezultatelor respective, în condiții echitabile și rezonabile, fără a aduce atingere drepturilor morale ale autorilor.</w:t>
      </w:r>
    </w:p>
    <w:p>
      <w:pPr>
        <w:pStyle w:val="ManualNumPar1"/>
        <w:rPr>
          <w:noProof/>
        </w:rPr>
      </w:pPr>
      <w:r>
        <w:rPr>
          <w:noProof/>
        </w:rPr>
        <w:t>7.</w:t>
      </w:r>
      <w:r>
        <w:rPr>
          <w:noProof/>
        </w:rPr>
        <w:tab/>
        <w:t>În cazul în care contractanții nu reușesc să își comercializeze rezultatele în termenul rezonabil prevăzut în contractul de achiziții în domeniul cercetării și dezvoltării și nu justifică această situație prin motive legitime sau în cazul în care contractanții utilizează rezultatele respective într-un mod contrar interesului public, iar eforturile depuse de achizitorii publici pentru a obține, într-un termen rezonabil, autorizarea din partea contractanților de a acorda licențe pentru rezultate în condiții echitabile și rezonabile au eșuat, achizitorii publici au dreptul:</w:t>
      </w:r>
    </w:p>
    <w:p>
      <w:pPr>
        <w:pStyle w:val="Point1"/>
        <w:rPr>
          <w:noProof/>
        </w:rPr>
      </w:pPr>
      <w:r>
        <w:rPr>
          <w:noProof/>
        </w:rPr>
        <w:t>(a)</w:t>
      </w:r>
      <w:r>
        <w:rPr>
          <w:noProof/>
        </w:rPr>
        <w:tab/>
        <w:t>să acorde licențe sau să solicite contractanților să acorde licențe unor terți pentru utilizarea comercială a rezultatelor contractului de achiziții în domeniul cercetării și dezvoltării, pe bază neexclusivă, fără drept de sublicențiere și fără a acorda contractanților compensații financiare; sau</w:t>
      </w:r>
    </w:p>
    <w:p>
      <w:pPr>
        <w:pStyle w:val="Point1"/>
        <w:rPr>
          <w:noProof/>
        </w:rPr>
      </w:pPr>
      <w:r>
        <w:rPr>
          <w:noProof/>
        </w:rPr>
        <w:t>(b)</w:t>
      </w:r>
      <w:r>
        <w:rPr>
          <w:noProof/>
        </w:rPr>
        <w:tab/>
        <w:t>în cazul în care demersul menționat la litera (a) nu este suficient pentru a preveni utilizarea rezultatelor într-un mod contrar interesului public sau pentru a asigura comercializarea impusă prin contractul de achiziții în domeniul cercetării și dezvoltării, să solicite contractantului să transfere achizitorilor publici dreptul de proprietate asupra rezultatelor respective, fără a acorda contractanților compensații financiare și fără a aduce atingere drepturilor morale ale autorilor.</w:t>
      </w:r>
    </w:p>
    <w:p>
      <w:pPr>
        <w:pStyle w:val="ManualNumPar1"/>
        <w:rPr>
          <w:noProof/>
        </w:rPr>
      </w:pPr>
      <w:r>
        <w:rPr>
          <w:noProof/>
        </w:rPr>
        <w:t>8.</w:t>
      </w:r>
      <w:r>
        <w:rPr>
          <w:noProof/>
        </w:rPr>
        <w:tab/>
        <w:t>În sensul alineatelor (6) și (7), motivele legitime includ cazul în care contractantul demonstrează că a depus toate eforturile pentru a comercializa rezultatele și pentru a evita utilizarea abuzivă a rezultatelor într-un mod care contravine interesului public.</w:t>
      </w:r>
    </w:p>
    <w:p>
      <w:pPr>
        <w:pStyle w:val="ManualNumPar1"/>
        <w:rPr>
          <w:noProof/>
        </w:rPr>
      </w:pPr>
      <w:r>
        <w:rPr>
          <w:noProof/>
        </w:rPr>
        <w:t>9.</w:t>
      </w:r>
      <w:r>
        <w:rPr>
          <w:noProof/>
        </w:rPr>
        <w:tab/>
        <w:t xml:space="preserve">Contractanții notifică în prealabil achizitorilor publici orice intenție de a acorda licențe exclusive sau de a transfera dreptul de proprietate asupra rezultatelor achizițiilor în domeniul cercetării și dezvoltării. Achizitorii publici au dreptul de a se opune acordării unor licențe exclusive sau transferului de proprietate asupra rezultatelor achizițiilor din domeniul cercetării și dezvoltării de către contractanți în oricare dintre următoarele cazuri: </w:t>
      </w:r>
    </w:p>
    <w:p>
      <w:pPr>
        <w:pStyle w:val="Point1"/>
        <w:rPr>
          <w:noProof/>
        </w:rPr>
      </w:pPr>
      <w:r>
        <w:rPr>
          <w:noProof/>
        </w:rPr>
        <w:t>(a)</w:t>
      </w:r>
      <w:r>
        <w:rPr>
          <w:noProof/>
        </w:rPr>
        <w:tab/>
        <w:t>în cazul în care o astfel de acordare a licențelor sau un astfel de transfer ar avea un impact negativ asupra accesului achizitorului public la rezultate sau asupra exploatării comerciale a acestora;</w:t>
      </w:r>
    </w:p>
    <w:p>
      <w:pPr>
        <w:pStyle w:val="Point1"/>
        <w:rPr>
          <w:noProof/>
        </w:rPr>
      </w:pPr>
      <w:r>
        <w:rPr>
          <w:noProof/>
        </w:rPr>
        <w:t>(b)</w:t>
      </w:r>
      <w:r>
        <w:rPr>
          <w:noProof/>
        </w:rPr>
        <w:tab/>
        <w:t>în cazul în care o astfel de acordare a licențelor sau un astfel de transfer ar fi contrar interesului public în sectoare de importanță vitală pentru dezvoltarea socioeconomică sau tehnologică a Uniunii sau a statelor membre în care își au sediul achizitorii publici;</w:t>
      </w:r>
    </w:p>
    <w:p>
      <w:pPr>
        <w:pStyle w:val="Point1"/>
        <w:rPr>
          <w:noProof/>
        </w:rPr>
      </w:pPr>
      <w:r>
        <w:rPr>
          <w:noProof/>
        </w:rPr>
        <w:t>(c)</w:t>
      </w:r>
      <w:r>
        <w:rPr>
          <w:noProof/>
        </w:rPr>
        <w:tab/>
        <w:t>în cazul în care rezultatele respective ar fi supuse controlului sau altor restricții din partea unei alte țări decât cele menționate la articolul 11 alineatul (1), într-un mod care ar avea un impact negativ asupra accesului achizitorului public la rezultate sau asupra exploatării comerciale a acestora, astfel cum se menționează la litera (a) de la prezentul alineat, sau într-un mod care ar contraveni interesului public, astfel cum se menționează la litera (b) de la prezentul alineat.</w:t>
      </w:r>
    </w:p>
    <w:p>
      <w:pPr>
        <w:pStyle w:val="ManualNumPar1"/>
        <w:rPr>
          <w:noProof/>
        </w:rPr>
      </w:pPr>
      <w:r>
        <w:rPr>
          <w:noProof/>
        </w:rPr>
        <w:t>10.</w:t>
      </w:r>
      <w:r>
        <w:rPr>
          <w:noProof/>
        </w:rPr>
        <w:tab/>
        <w:t xml:space="preserve">În cazul achizițiilor în domeniul cercetării și dezvoltării care nu constituie achiziții publice înainte de comercializare, prin derogare de la alineatele (1)-(9), dacă acest lucru este justificat de oricare dintre următoarele motive preponderente legate de interesul public, care se specifică în documentele achiziției, achizitorii publici pot dobândi drepturile de proprietate intelectuală asupra rezultatelor generate de contractanți în cadrul unui contract de achiziții în domeniul cercetării și dezvoltării: </w:t>
      </w:r>
    </w:p>
    <w:p>
      <w:pPr>
        <w:pStyle w:val="Point1"/>
        <w:rPr>
          <w:noProof/>
        </w:rPr>
      </w:pPr>
      <w:r>
        <w:rPr>
          <w:noProof/>
        </w:rPr>
        <w:t>(a)</w:t>
      </w:r>
      <w:r>
        <w:rPr>
          <w:noProof/>
        </w:rPr>
        <w:tab/>
        <w:t>atunci când acest lucru este necesar și justificat pentru a asigura protecția intereselor Uniunii sau ale unuia sau mai multor state membre ale sale în materie de securitate și siguranță publică, în sensul articolului 28 alineatul (2);</w:t>
      </w:r>
    </w:p>
    <w:p>
      <w:pPr>
        <w:pStyle w:val="Point1"/>
        <w:rPr>
          <w:noProof/>
        </w:rPr>
      </w:pPr>
      <w:r>
        <w:rPr>
          <w:noProof/>
        </w:rPr>
        <w:t>(b)</w:t>
      </w:r>
      <w:r>
        <w:rPr>
          <w:noProof/>
        </w:rPr>
        <w:tab/>
        <w:t xml:space="preserve">atunci când acest lucru este necesar pentru a preveni utilizarea abuzivă a rezultatelor de către contractanți sau alte părți terțe și nu există nicio altă modalitate eficace de a preveni o astfel de utilizare abuzivă; </w:t>
      </w:r>
    </w:p>
    <w:p>
      <w:pPr>
        <w:pStyle w:val="Point1"/>
        <w:rPr>
          <w:noProof/>
        </w:rPr>
      </w:pPr>
      <w:r>
        <w:rPr>
          <w:noProof/>
        </w:rPr>
        <w:t>(c)</w:t>
      </w:r>
      <w:r>
        <w:rPr>
          <w:noProof/>
        </w:rPr>
        <w:tab/>
        <w:t>atunci când achizitorul public intenționează să dețină drepturi exclusive de exploatare a drepturilor de proprietate intelectuală asupra rezultatelor generate de contractanți.</w:t>
      </w:r>
    </w:p>
    <w:p>
      <w:pPr>
        <w:ind w:left="851"/>
        <w:rPr>
          <w:noProof/>
        </w:rPr>
      </w:pPr>
      <w:r>
        <w:rPr>
          <w:noProof/>
        </w:rPr>
        <w:t>Atunci când achizitorii publici dobândesc drepturile de proprietate intelectuală în conformitate cu primul paragraf:</w:t>
      </w:r>
    </w:p>
    <w:p>
      <w:pPr>
        <w:pStyle w:val="Point1"/>
        <w:rPr>
          <w:noProof/>
        </w:rPr>
      </w:pPr>
      <w:r>
        <w:rPr>
          <w:noProof/>
        </w:rPr>
        <w:t>(a)</w:t>
      </w:r>
      <w:r>
        <w:rPr>
          <w:noProof/>
        </w:rPr>
        <w:tab/>
        <w:t>dacă nu reușesc să exploateze drepturile de proprietate intelectuală obținute în temeiul alineatului (10) litera (c) în termen de patru ani de la data dobândirii drepturilor de proprietate intelectuală, se oferă să transfere drepturile de proprietate intelectuală respective sau să acorde licențe pentru acestea în condiții echitabile și rezonabile și în mod nediscriminatoriu;</w:t>
      </w:r>
    </w:p>
    <w:p>
      <w:pPr>
        <w:pStyle w:val="Point1"/>
        <w:rPr>
          <w:noProof/>
        </w:rPr>
      </w:pPr>
      <w:r>
        <w:rPr>
          <w:noProof/>
        </w:rPr>
        <w:t>(b)</w:t>
      </w:r>
      <w:r>
        <w:rPr>
          <w:noProof/>
        </w:rPr>
        <w:tab/>
        <w:t>dacă decid să transfere drepturile de proprietate intelectuală respective sau să acorde licențe pentru acestea, procedează astfel în condiții echitabile și rezonabile și în mod nediscriminatoriu;</w:t>
      </w:r>
    </w:p>
    <w:p>
      <w:pPr>
        <w:pStyle w:val="Point1"/>
        <w:rPr>
          <w:noProof/>
        </w:rPr>
      </w:pPr>
      <w:r>
        <w:rPr>
          <w:noProof/>
        </w:rPr>
        <w:t>(c)</w:t>
      </w:r>
      <w:r>
        <w:rPr>
          <w:noProof/>
        </w:rPr>
        <w:tab/>
        <w:t>se asigură că toate rezultatele care nu dau naștere unor drepturi de proprietate intelectuală pot fi diseminate pe scară largă, fără a aduce atingere obligațiilor în materie de confidențialitate și de protecție a datelor menționate la articolul 26.</w:t>
      </w:r>
    </w:p>
    <w:p>
      <w:pPr>
        <w:ind w:left="851"/>
        <w:rPr>
          <w:noProof/>
        </w:rPr>
      </w:pPr>
      <w:r>
        <w:rPr>
          <w:noProof/>
        </w:rPr>
        <w:t>Comisia este împuternicită să adopte acte delegate în conformitate cu articolul 39 pentru a modifica lista cazurilor prevăzute la primul paragraf de la prezentul alineat, ținând seama de următoarele criterii:</w:t>
      </w:r>
    </w:p>
    <w:p>
      <w:pPr>
        <w:pStyle w:val="Point1"/>
        <w:rPr>
          <w:noProof/>
        </w:rPr>
      </w:pPr>
      <w:r>
        <w:rPr>
          <w:noProof/>
        </w:rPr>
        <w:t>(a)</w:t>
      </w:r>
      <w:r>
        <w:rPr>
          <w:noProof/>
        </w:rPr>
        <w:tab/>
        <w:t>impactul asupra intensificării comercializării rezultatelor în materie de cercetare și dezvoltare;</w:t>
      </w:r>
    </w:p>
    <w:p>
      <w:pPr>
        <w:pStyle w:val="Point1"/>
        <w:rPr>
          <w:noProof/>
        </w:rPr>
      </w:pPr>
      <w:r>
        <w:rPr>
          <w:noProof/>
        </w:rPr>
        <w:t>(b)</w:t>
      </w:r>
      <w:r>
        <w:rPr>
          <w:noProof/>
        </w:rPr>
        <w:tab/>
        <w:t>impactul asupra îmbunătățirii accesului întreprinderilor inovatoare, inclusiv, în special, al start-upurilor și al întreprinderilor inovatoare în fază de extindere, precum și al noilor operatori intrați pe piață;</w:t>
      </w:r>
    </w:p>
    <w:p>
      <w:pPr>
        <w:pStyle w:val="Point1"/>
        <w:rPr>
          <w:noProof/>
        </w:rPr>
      </w:pPr>
      <w:r>
        <w:rPr>
          <w:noProof/>
        </w:rPr>
        <w:t>(c)</w:t>
      </w:r>
      <w:r>
        <w:rPr>
          <w:noProof/>
        </w:rPr>
        <w:tab/>
        <w:t>impactul asupra dezvoltării socioeconomice sau tehnologice în Uniune;</w:t>
      </w:r>
    </w:p>
    <w:p>
      <w:pPr>
        <w:pStyle w:val="Point1"/>
        <w:rPr>
          <w:noProof/>
        </w:rPr>
      </w:pPr>
      <w:r>
        <w:rPr>
          <w:noProof/>
        </w:rPr>
        <w:t>(d)</w:t>
      </w:r>
      <w:r>
        <w:rPr>
          <w:noProof/>
        </w:rPr>
        <w:tab/>
        <w:t>impactul asupra autonomiei strategice și a securității economice a Uniunii;</w:t>
      </w:r>
    </w:p>
    <w:p>
      <w:pPr>
        <w:pStyle w:val="Point1"/>
        <w:rPr>
          <w:noProof/>
        </w:rPr>
      </w:pPr>
      <w:r>
        <w:rPr>
          <w:noProof/>
        </w:rPr>
        <w:t>(e)</w:t>
      </w:r>
      <w:r>
        <w:rPr>
          <w:noProof/>
        </w:rPr>
        <w:tab/>
        <w:t>impactul asupra protejării intereselor publice.</w:t>
      </w:r>
    </w:p>
    <w:p>
      <w:pPr>
        <w:pStyle w:val="ManualNumPar1"/>
        <w:rPr>
          <w:noProof/>
        </w:rPr>
      </w:pPr>
      <w:r>
        <w:rPr>
          <w:noProof/>
        </w:rPr>
        <w:t>11.</w:t>
      </w:r>
      <w:r>
        <w:rPr>
          <w:noProof/>
        </w:rPr>
        <w:tab/>
        <w:t xml:space="preserve">Achizitorii publici: </w:t>
      </w:r>
    </w:p>
    <w:p>
      <w:pPr>
        <w:pStyle w:val="Point1"/>
        <w:rPr>
          <w:noProof/>
        </w:rPr>
      </w:pPr>
      <w:r>
        <w:rPr>
          <w:noProof/>
        </w:rPr>
        <w:t>(a)</w:t>
      </w:r>
      <w:r>
        <w:rPr>
          <w:noProof/>
        </w:rPr>
        <w:tab/>
        <w:t>solicită contractanților să prevadă în acordurile de subcontractare că subcontractanții trebuie să respecte aceleași drepturi și obligații în materie de proprietate intelectuală ca cele aplicabile contractanților în temeiul contractului de achiziții în domeniul cercetării și dezvoltării, în special ca, în cadrul oricărui acord de transfer sau de acordare a unei licențe, obligațiile contractantului în temeiul contractului de achiziții în domeniul cercetării și dezvoltării să fie transferate noului titular sau noului deținător al licenței și ca noul titular sau noul deținător al licenței să aibă obligația de a le transfera în cadrul oricărui transfer sau acord ulterior de acordare a unei licențe;</w:t>
      </w:r>
    </w:p>
    <w:p>
      <w:pPr>
        <w:pStyle w:val="Point1"/>
        <w:rPr>
          <w:noProof/>
        </w:rPr>
      </w:pPr>
      <w:r>
        <w:rPr>
          <w:noProof/>
        </w:rPr>
        <w:t>(b)</w:t>
      </w:r>
      <w:r>
        <w:rPr>
          <w:noProof/>
        </w:rPr>
        <w:tab/>
        <w:t>la elaborarea și punerea în aplicare a obligațiilor care afectează protecția drepturilor de proprietate intelectuală în cadrul contractelor de achiziții în domeniul cercetării și dezvoltării, respectă dreptul Uniunii aplicabil în materie de proprietate intelectuală, Acordul TRIPS</w:t>
      </w:r>
      <w:r>
        <w:rPr>
          <w:rStyle w:val="FootnoteReference"/>
          <w:noProof/>
        </w:rPr>
        <w:footnoteReference w:id="46"/>
      </w:r>
      <w:r>
        <w:rPr>
          <w:noProof/>
        </w:rPr>
        <w:t xml:space="preserve"> și celelalte obligații internaționale ale Uniunii sau ale statelor membre în cauză. </w:t>
      </w:r>
    </w:p>
    <w:p>
      <w:pPr>
        <w:pStyle w:val="Text1"/>
        <w:ind w:left="1417"/>
        <w:rPr>
          <w:noProof/>
        </w:rPr>
      </w:pPr>
      <w:r>
        <w:rPr>
          <w:noProof/>
        </w:rPr>
        <w:t xml:space="preserve">În sensul primului paragraf litera (b), în cazul în care participarea la achiziții în domeniul cercetării și dezvoltării nu este limitată la operatorii economici care își au originea în statele membre, achizitorii publici tratează operatorii economici care își au originea în alte țări membre ale OMC în condiții nu mai puțin favorabile decât pe operatorii economici care își au originea în propria țară a achizitorului public în ceea ce privește protecția proprietății intelectuale, cu excepția cazului în care Acordul TRIPS prevede altfel. </w:t>
      </w:r>
    </w:p>
    <w:p>
      <w:pPr>
        <w:pStyle w:val="Titrearticle"/>
        <w:rPr>
          <w:noProof/>
        </w:rPr>
      </w:pPr>
      <w:r>
        <w:rPr>
          <w:noProof/>
        </w:rPr>
        <w:t>Articolul 20</w:t>
      </w:r>
    </w:p>
    <w:p>
      <w:pPr>
        <w:pStyle w:val="NormalCentered"/>
        <w:rPr>
          <w:noProof/>
        </w:rPr>
      </w:pPr>
      <w:r>
        <w:rPr>
          <w:b/>
          <w:noProof/>
        </w:rPr>
        <w:t>Modificări contractuale</w:t>
      </w:r>
    </w:p>
    <w:p>
      <w:pPr>
        <w:pStyle w:val="ManualNumPar1"/>
        <w:rPr>
          <w:noProof/>
        </w:rPr>
      </w:pPr>
      <w:r>
        <w:rPr>
          <w:noProof/>
        </w:rPr>
        <w:t>1.</w:t>
      </w:r>
      <w:r>
        <w:rPr>
          <w:noProof/>
        </w:rPr>
        <w:tab/>
        <w:t xml:space="preserve">Achizitorii publici pot modifica contractele atribuite de achiziții în domeniul cercetării și dezvoltării fără a lansa o nouă procedură de achiziții în domeniul cercetării și dezvoltării în cazul în care această posibilitate, indiferent de valoarea monetară a modificărilor, a fost prevăzută în documentele inițiale ale achiziției sub forma unor clauze sau opțiuni de revizuire clare, precise și fără echivoc, printre care se pot număra clauze sau opțiuni de revizuire a prețurilor. Astfel de clauze precizează limitele și natura posibilelor modificări sau opțiuni, precum și condițiile în care se poate recurge la acestea. Astfel de clauze nu prevăd modificări sau opțiuni care ar schimba caracterul general al contractului de achiziții în domeniul cercetării și dezvoltării. </w:t>
      </w:r>
    </w:p>
    <w:p>
      <w:pPr>
        <w:pStyle w:val="ManualNumPar1"/>
        <w:rPr>
          <w:noProof/>
        </w:rPr>
      </w:pPr>
      <w:r>
        <w:rPr>
          <w:noProof/>
        </w:rPr>
        <w:t>2.</w:t>
      </w:r>
      <w:r>
        <w:rPr>
          <w:noProof/>
        </w:rPr>
        <w:tab/>
        <w:t>Achizitorii publici pot, de asemenea, să modifice contractele de achiziții în domeniul cercetării și dezvoltării atribuite în cursul perioadei lor de valabilitate fără o nouă procedură de achiziții în domeniul cercetării și dezvoltării, dacă sunt îndeplinite cumulativ următoarele două condiții:</w:t>
      </w:r>
    </w:p>
    <w:p>
      <w:pPr>
        <w:pStyle w:val="Point1"/>
        <w:rPr>
          <w:noProof/>
        </w:rPr>
      </w:pPr>
      <w:r>
        <w:rPr>
          <w:noProof/>
        </w:rPr>
        <w:t>(a)</w:t>
      </w:r>
      <w:r>
        <w:rPr>
          <w:noProof/>
        </w:rPr>
        <w:tab/>
        <w:t>modificarea nu este substanțială în sensul alineatului (3) sau, în cazul în care modificarea este substanțială, se încadrează în oricare dintre cazurile enumerate la alineatul (4);</w:t>
      </w:r>
    </w:p>
    <w:p>
      <w:pPr>
        <w:pStyle w:val="Point1"/>
        <w:rPr>
          <w:noProof/>
        </w:rPr>
      </w:pPr>
      <w:r>
        <w:rPr>
          <w:noProof/>
        </w:rPr>
        <w:t>(b)</w:t>
      </w:r>
      <w:r>
        <w:rPr>
          <w:noProof/>
        </w:rPr>
        <w:tab/>
        <w:t>modificarea răspunde unor nevoi obiective care apar în cursul executării contractului de achiziții în domeniul cercetării și dezvoltării, se limitează la ceea ce este necesar și adecvat pentru a asigura executarea și continuitatea acestuia și nu modifică echilibrul economic inițial al contractului în favoarea contractantului într-un mod care nu a fost prevăzut în contractul inițial. </w:t>
      </w:r>
    </w:p>
    <w:p>
      <w:pPr>
        <w:pStyle w:val="ManualNumPar1"/>
        <w:rPr>
          <w:noProof/>
        </w:rPr>
      </w:pPr>
      <w:r>
        <w:rPr>
          <w:noProof/>
        </w:rPr>
        <w:t>3.</w:t>
      </w:r>
      <w:r>
        <w:rPr>
          <w:noProof/>
        </w:rPr>
        <w:tab/>
        <w:t>O modificare este considerată substanțială în unul sau mai multe dintre următoarele cazuri:</w:t>
      </w:r>
    </w:p>
    <w:p>
      <w:pPr>
        <w:pStyle w:val="Point1"/>
        <w:rPr>
          <w:noProof/>
        </w:rPr>
      </w:pPr>
      <w:r>
        <w:rPr>
          <w:noProof/>
        </w:rPr>
        <w:t>(a)</w:t>
      </w:r>
      <w:r>
        <w:rPr>
          <w:noProof/>
        </w:rPr>
        <w:tab/>
        <w:t>modificarea introduce condiții care, dacă ar fi fost incluse în procedura inițială de achiziții, ar fi permis admiterea altor candidați decât cei selectați inițial sau acceptarea unei alte oferte decât cea acceptată inițial sau ar fi atras alți participanți la procedura de achiziții;</w:t>
      </w:r>
    </w:p>
    <w:p>
      <w:pPr>
        <w:pStyle w:val="Point1"/>
        <w:rPr>
          <w:noProof/>
        </w:rPr>
      </w:pPr>
      <w:r>
        <w:rPr>
          <w:noProof/>
        </w:rPr>
        <w:t>(b)</w:t>
      </w:r>
      <w:r>
        <w:rPr>
          <w:noProof/>
        </w:rPr>
        <w:tab/>
        <w:t xml:space="preserve">în cazul în care modificarea vizează termeni sau condiții esențiale ale contractului, cum ar fi: </w:t>
      </w:r>
    </w:p>
    <w:p>
      <w:pPr>
        <w:pStyle w:val="Point1"/>
        <w:rPr>
          <w:noProof/>
        </w:rPr>
      </w:pPr>
      <w:r>
        <w:rPr>
          <w:noProof/>
        </w:rPr>
        <w:t>(c)</w:t>
      </w:r>
      <w:r>
        <w:rPr>
          <w:noProof/>
        </w:rPr>
        <w:tab/>
        <w:t>modificarea echilibrului economic al contractului de achiziții în domeniul cercetării și dezvoltării în favoarea contractantului într-un mod care nu a fost prevăzut în contractul inițial, ca urmare a oricăreia dintre următoarele:</w:t>
      </w:r>
    </w:p>
    <w:p>
      <w:pPr>
        <w:pStyle w:val="Point2"/>
        <w:rPr>
          <w:noProof/>
        </w:rPr>
      </w:pPr>
      <w:r>
        <w:rPr>
          <w:noProof/>
        </w:rPr>
        <w:t>(a)</w:t>
      </w:r>
      <w:r>
        <w:rPr>
          <w:noProof/>
        </w:rPr>
        <w:tab/>
        <w:t xml:space="preserve">o extindere considerabilă a domeniului de aplicare al contractului de achiziții în domeniul cercetării și dezvoltării; </w:t>
      </w:r>
    </w:p>
    <w:p>
      <w:pPr>
        <w:pStyle w:val="Point2"/>
        <w:rPr>
          <w:noProof/>
        </w:rPr>
      </w:pPr>
      <w:r>
        <w:rPr>
          <w:noProof/>
        </w:rPr>
        <w:t>(b)</w:t>
      </w:r>
      <w:r>
        <w:rPr>
          <w:noProof/>
        </w:rPr>
        <w:tab/>
        <w:t>identitatea contractantului în alte cazuri decât cele prevăzute la alineatul (4) litera (c).</w:t>
      </w:r>
    </w:p>
    <w:p>
      <w:pPr>
        <w:pStyle w:val="ManualNumPar1"/>
        <w:rPr>
          <w:noProof/>
        </w:rPr>
      </w:pPr>
      <w:r>
        <w:rPr>
          <w:noProof/>
        </w:rPr>
        <w:t>4.</w:t>
      </w:r>
      <w:r>
        <w:rPr>
          <w:noProof/>
        </w:rPr>
        <w:tab/>
        <w:t>Cu condiția ca acestea să nu modifice echilibrul economic inițial al contractului de achiziții în domeniul cercetării și dezvoltării în favoarea contractantului într-un mod care nu a fost prevăzut în contractul inițial de achiziții în domeniul cercetării și dezvoltării, modificările substanțiale sunt permise, în sensul alineatului (2), numai în următoarele cazuri:</w:t>
      </w:r>
    </w:p>
    <w:p>
      <w:pPr>
        <w:pStyle w:val="Point1"/>
        <w:rPr>
          <w:noProof/>
        </w:rPr>
      </w:pPr>
      <w:r>
        <w:rPr>
          <w:noProof/>
        </w:rPr>
        <w:t>(a)</w:t>
      </w:r>
      <w:r>
        <w:rPr>
          <w:noProof/>
        </w:rPr>
        <w:tab/>
        <w:t>în cazul în care, pe parcursul executării contractului de achiziții în domeniul cercetării și dezvoltării, au devenit necesare servicii sau produse suplimentare, cu condiția ca schimbarea contractantului să nu fie fezabilă din punct de vedere tehnic sau economic, inclusiv din cauza interdependenței cu lucrările sau serviciile existente ori a creșterii substanțiale a costurilor;</w:t>
      </w:r>
    </w:p>
    <w:p>
      <w:pPr>
        <w:pStyle w:val="Point1"/>
        <w:rPr>
          <w:noProof/>
        </w:rPr>
      </w:pPr>
      <w:r>
        <w:rPr>
          <w:noProof/>
        </w:rPr>
        <w:t>(b)</w:t>
      </w:r>
      <w:r>
        <w:rPr>
          <w:noProof/>
        </w:rPr>
        <w:tab/>
        <w:t>în cazul în care modificarea este necesară ca urmare a unor circumstanțe pe care un achizitor public diligent nu le-ar fi putut anticipa în mod rezonabil la momentul lansării procedurii de achiziții în domeniul cercetării și dezvoltării și care afectează în mod semnificativ executarea sau fezabilitatea contractului, inclusiv:</w:t>
      </w:r>
    </w:p>
    <w:p>
      <w:pPr>
        <w:pStyle w:val="Point2"/>
        <w:rPr>
          <w:noProof/>
        </w:rPr>
      </w:pPr>
      <w:r>
        <w:rPr>
          <w:noProof/>
        </w:rPr>
        <w:t>(a)</w:t>
      </w:r>
      <w:r>
        <w:rPr>
          <w:noProof/>
        </w:rPr>
        <w:tab/>
        <w:t>modificări substanțiale ale cadrului juridic sau de reglementare aplicabil;</w:t>
      </w:r>
    </w:p>
    <w:p>
      <w:pPr>
        <w:pStyle w:val="Point2"/>
        <w:rPr>
          <w:noProof/>
        </w:rPr>
      </w:pPr>
      <w:r>
        <w:rPr>
          <w:noProof/>
        </w:rPr>
        <w:t>(ii)</w:t>
      </w:r>
      <w:r>
        <w:rPr>
          <w:noProof/>
        </w:rPr>
        <w:tab/>
        <w:t>evoluții tehnologice majore;</w:t>
      </w:r>
    </w:p>
    <w:p>
      <w:pPr>
        <w:pStyle w:val="Point2"/>
        <w:rPr>
          <w:noProof/>
        </w:rPr>
      </w:pPr>
      <w:r>
        <w:rPr>
          <w:noProof/>
        </w:rPr>
        <w:t>(iii)</w:t>
      </w:r>
      <w:r>
        <w:rPr>
          <w:noProof/>
        </w:rPr>
        <w:tab/>
        <w:t>perturbări grave, situații de urgență sau crize cu un impact economic, societal sau operațional semnificativ;</w:t>
      </w:r>
    </w:p>
    <w:p>
      <w:pPr>
        <w:pStyle w:val="Point1"/>
        <w:rPr>
          <w:noProof/>
        </w:rPr>
      </w:pPr>
      <w:r>
        <w:rPr>
          <w:noProof/>
        </w:rPr>
        <w:t>(c)</w:t>
      </w:r>
      <w:r>
        <w:rPr>
          <w:noProof/>
        </w:rPr>
        <w:tab/>
        <w:t>în cazul în care contractantul inițial este înlocuit de o altă entitate în unul dintre următoarele cazuri:</w:t>
      </w:r>
    </w:p>
    <w:p>
      <w:pPr>
        <w:pStyle w:val="Point2"/>
        <w:rPr>
          <w:noProof/>
        </w:rPr>
      </w:pPr>
      <w:r>
        <w:rPr>
          <w:noProof/>
        </w:rPr>
        <w:t>(a)</w:t>
      </w:r>
      <w:r>
        <w:rPr>
          <w:noProof/>
        </w:rPr>
        <w:tab/>
        <w:t>în urma unei fuziuni, preluări, achiziții, proceduri de insolvență sau a unei alte restructurări corporative, un alt operator economic dobândește, integral sau parțial, drepturile și obligațiile contractantului inițial, cu condiția ca noua entitate să îndeplinească criteriile inițiale de selecție calitativă, să nu se efectueze alte modificări substanțiale ale contractului de achiziții în domeniul cercetării și dezvoltării și ca înlocuirea să nu urmărească eludarea aplicării prezentului regulament; sau</w:t>
      </w:r>
    </w:p>
    <w:p>
      <w:pPr>
        <w:pStyle w:val="Point2"/>
        <w:rPr>
          <w:noProof/>
        </w:rPr>
      </w:pPr>
      <w:r>
        <w:rPr>
          <w:noProof/>
        </w:rPr>
        <w:t>(ii)</w:t>
      </w:r>
      <w:r>
        <w:rPr>
          <w:noProof/>
        </w:rPr>
        <w:tab/>
        <w:t>în cazul în care achizitorul public însuși preia obligațiile contractantului principal față de subcontractanții acestuia, în măsura în care această posibilitate este prevăzută de dreptul național.</w:t>
      </w:r>
    </w:p>
    <w:p>
      <w:pPr>
        <w:pStyle w:val="ManualNumPar1"/>
        <w:rPr>
          <w:noProof/>
        </w:rPr>
      </w:pPr>
      <w:r>
        <w:rPr>
          <w:noProof/>
        </w:rPr>
        <w:t>5.</w:t>
      </w:r>
      <w:r>
        <w:rPr>
          <w:noProof/>
        </w:rPr>
        <w:tab/>
      </w:r>
      <w:r>
        <w:rPr>
          <w:rStyle w:val="Strong"/>
          <w:b w:val="0"/>
          <w:noProof/>
        </w:rPr>
        <w:t xml:space="preserve">O modificare a cărei valoare nu depășește 15 % din valoarea contractului inițial de achiziții în domeniul cercetării și dezvoltării este considerată nesubstanțială și poate fi efectuată fără o nouă procedură de achiziții, cu condiția ca modificarea să nu modifice echilibrul economic inițial al contractului de achiziții în domeniul cercetării și dezvoltării </w:t>
      </w:r>
      <w:r>
        <w:rPr>
          <w:noProof/>
        </w:rPr>
        <w:t>în favoarea contractantului într-un mod care nu a fost prevăzut în contractul inițial de achiziții în domeniul cercetării și dezvoltării</w:t>
      </w:r>
      <w:r>
        <w:rPr>
          <w:rStyle w:val="Strong"/>
          <w:b w:val="0"/>
          <w:noProof/>
        </w:rPr>
        <w:t xml:space="preserve">. </w:t>
      </w:r>
    </w:p>
    <w:p>
      <w:pPr>
        <w:pStyle w:val="Text1"/>
        <w:rPr>
          <w:b/>
          <w:bCs/>
          <w:noProof/>
        </w:rPr>
      </w:pPr>
      <w:r>
        <w:rPr>
          <w:rStyle w:val="Strong"/>
          <w:b w:val="0"/>
          <w:noProof/>
        </w:rPr>
        <w:t>În cazul în care se efectuează mai multe modificări succesive, pragurile se evaluează pe baza valorii nete cumulate a acestor modificări succesive.</w:t>
      </w:r>
    </w:p>
    <w:p>
      <w:pPr>
        <w:pStyle w:val="ManualNumPar1"/>
        <w:rPr>
          <w:noProof/>
        </w:rPr>
      </w:pPr>
      <w:r>
        <w:rPr>
          <w:noProof/>
        </w:rPr>
        <w:t>6.</w:t>
      </w:r>
      <w:r>
        <w:rPr>
          <w:noProof/>
        </w:rPr>
        <w:tab/>
        <w:t>Înainte de modificarea contractului de achiziții în domeniul cercetării și dezvoltării, achizitorul public stabilește, pe baza unor elemente obiective și verificabile, că sunt îndeplinite condițiile prevăzute la alineatul (2). Achizitorii publici păstrează evidențe scrise detaliate privind elementele esențiale ale modificării, inclusiv justificarea acesteia, necesitatea sau caracterul adecvat al acesteia și impactul său asupra echilibrului economic al contractului, în special în ceea ce privește alocarea riscurilor și a avantajelor economice, pentru a justifica deciziile de modificare a contractului de achiziții în domeniul cercetării și dezvoltării și pentru a permite organismelor competente de supraveghere, audit și reexaminare să verifice respectarea prezentului articol.</w:t>
      </w:r>
    </w:p>
    <w:p>
      <w:pPr>
        <w:pStyle w:val="ManualNumPar1"/>
        <w:rPr>
          <w:noProof/>
        </w:rPr>
      </w:pPr>
      <w:r>
        <w:rPr>
          <w:noProof/>
        </w:rPr>
        <w:t>7.</w:t>
      </w:r>
      <w:r>
        <w:rPr>
          <w:noProof/>
        </w:rPr>
        <w:tab/>
        <w:t>Înainte de orice modificare a unui contract de achiziții în domeniul cercetării și dezvoltării a cărei valoare depășește 50 % din valoarea estimată inițială a contractului, achizitorii publici publică un anunț de modificare a contractului în acest sens. Anunțul respectiv conține justificarea modificării efectuate fără o nouă procedură de achiziții. Modificările succesive nu urmăresc eludarea prezentului regulament.</w:t>
      </w:r>
    </w:p>
    <w:p>
      <w:pPr>
        <w:pStyle w:val="ManualNumPar1"/>
        <w:rPr>
          <w:noProof/>
        </w:rPr>
      </w:pPr>
      <w:r>
        <w:rPr>
          <w:noProof/>
        </w:rPr>
        <w:t>8.</w:t>
      </w:r>
      <w:r>
        <w:rPr>
          <w:noProof/>
        </w:rPr>
        <w:tab/>
        <w:t>În cazul în care achizitorii publici modifică în mod substanțial un contract de achiziții în domeniul cercetării și dezvoltării în conformitate cu alineatul (4), iar modificarea nu depășește 50 % din valoarea estimată inițială a contractului, aceștia publică un anunț de modificare a contractului în termen de 20 de zile calendaristice de la data efectuării modificării.</w:t>
      </w:r>
    </w:p>
    <w:p>
      <w:pPr>
        <w:pStyle w:val="ManualNumPar1"/>
        <w:rPr>
          <w:noProof/>
        </w:rPr>
      </w:pPr>
      <w:r>
        <w:rPr>
          <w:noProof/>
        </w:rPr>
        <w:t>9.</w:t>
      </w:r>
      <w:r>
        <w:rPr>
          <w:noProof/>
        </w:rPr>
        <w:tab/>
        <w:t>Modificările unui contract de achiziții în domeniul cercetării și dezvoltării nu sunt utilizate pentru remedierea deficiențelor în executarea contractului de către contractant care nu sunt justificate de circumstanțe independente de voința sa.</w:t>
      </w:r>
    </w:p>
    <w:p>
      <w:pPr>
        <w:pStyle w:val="Titrearticle"/>
        <w:rPr>
          <w:noProof/>
        </w:rPr>
      </w:pPr>
      <w:r>
        <w:rPr>
          <w:noProof/>
        </w:rPr>
        <w:t>Articolul 21</w:t>
      </w:r>
    </w:p>
    <w:p>
      <w:pPr>
        <w:pStyle w:val="NormalCentered"/>
        <w:rPr>
          <w:noProof/>
        </w:rPr>
      </w:pPr>
      <w:r>
        <w:rPr>
          <w:b/>
          <w:noProof/>
        </w:rPr>
        <w:t>Analiza valorii</w:t>
      </w:r>
    </w:p>
    <w:p>
      <w:pPr>
        <w:pStyle w:val="ManualNumPar1"/>
        <w:rPr>
          <w:noProof/>
        </w:rPr>
      </w:pPr>
      <w:r>
        <w:rPr>
          <w:noProof/>
        </w:rPr>
        <w:t>1.</w:t>
      </w:r>
      <w:r>
        <w:rPr>
          <w:noProof/>
        </w:rPr>
        <w:tab/>
        <w:t>Achizitorii publici introduc o clauză privind analiza valorii în toate contractele de achiziții în domeniul cercetării și dezvoltării care intră sub incidența prezentului regulament și a căror valoare estimată, fără TVA, depășește:</w:t>
      </w:r>
    </w:p>
    <w:p>
      <w:pPr>
        <w:pStyle w:val="Point1"/>
        <w:rPr>
          <w:noProof/>
        </w:rPr>
      </w:pPr>
      <w:r>
        <w:rPr>
          <w:noProof/>
        </w:rPr>
        <w:t>(a)</w:t>
      </w:r>
      <w:r>
        <w:rPr>
          <w:noProof/>
        </w:rPr>
        <w:tab/>
        <w:t>10 milioane EUR, de la ... [OP: a se introduce data – 1 an de la intrarea în vigoare a prezentului regulament];</w:t>
      </w:r>
    </w:p>
    <w:p>
      <w:pPr>
        <w:pStyle w:val="Point1"/>
        <w:rPr>
          <w:noProof/>
        </w:rPr>
      </w:pPr>
      <w:r>
        <w:rPr>
          <w:noProof/>
        </w:rPr>
        <w:t>(b)</w:t>
      </w:r>
      <w:r>
        <w:rPr>
          <w:noProof/>
        </w:rPr>
        <w:tab/>
        <w:t>9 milioane EUR, de la ... [OP: a se introduce data – 2 ani de la intrarea în vigoare a prezentului regulament];</w:t>
      </w:r>
    </w:p>
    <w:p>
      <w:pPr>
        <w:pStyle w:val="Point1"/>
        <w:rPr>
          <w:noProof/>
        </w:rPr>
      </w:pPr>
      <w:r>
        <w:rPr>
          <w:noProof/>
        </w:rPr>
        <w:t>(c)</w:t>
      </w:r>
      <w:r>
        <w:rPr>
          <w:noProof/>
        </w:rPr>
        <w:tab/>
        <w:t>8 milioane EUR, de la ... [OP: a se introduce data – 3 ani de la intrarea în vigoare a prezentului regulament];</w:t>
      </w:r>
    </w:p>
    <w:p>
      <w:pPr>
        <w:pStyle w:val="Point1"/>
        <w:rPr>
          <w:noProof/>
        </w:rPr>
      </w:pPr>
      <w:r>
        <w:rPr>
          <w:noProof/>
        </w:rPr>
        <w:t>(d)</w:t>
      </w:r>
      <w:r>
        <w:rPr>
          <w:noProof/>
        </w:rPr>
        <w:tab/>
        <w:t>7 milioane EUR, de la ... [OP: a se introduce data – 3 ani de la intrarea în vigoare a prezentului regulament];</w:t>
      </w:r>
    </w:p>
    <w:p>
      <w:pPr>
        <w:pStyle w:val="Point1"/>
        <w:rPr>
          <w:noProof/>
        </w:rPr>
      </w:pPr>
      <w:r>
        <w:rPr>
          <w:noProof/>
        </w:rPr>
        <w:t>(e)</w:t>
      </w:r>
      <w:r>
        <w:rPr>
          <w:noProof/>
        </w:rPr>
        <w:tab/>
        <w:t>6 milioane EUR, de la ... [OP: a se introduce data – 4 ani de la intrarea în vigoare a prezentului regulament];</w:t>
      </w:r>
    </w:p>
    <w:p>
      <w:pPr>
        <w:pStyle w:val="Point1"/>
        <w:rPr>
          <w:noProof/>
        </w:rPr>
      </w:pPr>
      <w:r>
        <w:rPr>
          <w:noProof/>
        </w:rPr>
        <w:t>(f)</w:t>
      </w:r>
      <w:r>
        <w:rPr>
          <w:noProof/>
        </w:rPr>
        <w:tab/>
        <w:t xml:space="preserve">5 milioane EUR, de la ... [OP: a se introduce data – 5 ani de la intrarea în vigoare a prezentului regulament]. </w:t>
      </w:r>
    </w:p>
    <w:p>
      <w:pPr>
        <w:ind w:left="850"/>
        <w:rPr>
          <w:noProof/>
        </w:rPr>
      </w:pPr>
      <w:r>
        <w:rPr>
          <w:noProof/>
        </w:rPr>
        <w:t xml:space="preserve">Achizitorii publici pot include o clauză privind analiza valorii în contractele de achiziții în domeniul cercetării și dezvoltării cu o valoare estimată mai mică. </w:t>
      </w:r>
    </w:p>
    <w:p>
      <w:pPr>
        <w:pStyle w:val="ManualNumPar1"/>
        <w:rPr>
          <w:noProof/>
        </w:rPr>
      </w:pPr>
      <w:r>
        <w:rPr>
          <w:noProof/>
        </w:rPr>
        <w:t>2.</w:t>
      </w:r>
      <w:r>
        <w:rPr>
          <w:noProof/>
        </w:rPr>
        <w:tab/>
        <w:t>Achizitorii publici includ în contractul de achiziții în domeniul cercetării și dezvoltării:</w:t>
      </w:r>
    </w:p>
    <w:p>
      <w:pPr>
        <w:pStyle w:val="Point1"/>
        <w:rPr>
          <w:noProof/>
        </w:rPr>
      </w:pPr>
      <w:r>
        <w:rPr>
          <w:noProof/>
        </w:rPr>
        <w:t>(a)</w:t>
      </w:r>
      <w:r>
        <w:rPr>
          <w:noProof/>
        </w:rPr>
        <w:tab/>
        <w:t xml:space="preserve">clauze privind analiza valorii care încurajează contractanții să prezinte propuneri de modificare contractuală bazată pe analiza valorii pe durata executării contractului de achiziții în domeniul cercetării și dezvoltării („clauze voluntare privind analiza valorii”); sau </w:t>
      </w:r>
    </w:p>
    <w:p>
      <w:pPr>
        <w:pStyle w:val="Point1"/>
        <w:rPr>
          <w:noProof/>
        </w:rPr>
      </w:pPr>
      <w:r>
        <w:rPr>
          <w:noProof/>
        </w:rPr>
        <w:t>(b)</w:t>
      </w:r>
      <w:r>
        <w:rPr>
          <w:noProof/>
        </w:rPr>
        <w:tab/>
        <w:t xml:space="preserve">clauze privind analiza valorii care impun contractanților să prezinte achizitorului public propuneri de modificare contractuală bazată pe analiza valorii la intervale regulate pe parcursul executării contractului de achiziții în domeniul cercetării și dezvoltării („clauze obligatorii privind analiza valorii”). </w:t>
      </w:r>
    </w:p>
    <w:p>
      <w:pPr>
        <w:ind w:left="850"/>
        <w:rPr>
          <w:noProof/>
        </w:rPr>
      </w:pPr>
      <w:r>
        <w:rPr>
          <w:noProof/>
        </w:rPr>
        <w:t>Achizitorii publici pot utiliza clauzele obligatorii privind analiza valorii menționate la primul paragraf litera (b) pentru întregul contract de achiziții în domeniul cercetării și dezvoltării sau numai pentru părți ale contractului de achiziții în domeniul cercetării și dezvoltării.</w:t>
      </w:r>
    </w:p>
    <w:p>
      <w:pPr>
        <w:ind w:left="850"/>
        <w:rPr>
          <w:noProof/>
        </w:rPr>
      </w:pPr>
      <w:r>
        <w:rPr>
          <w:noProof/>
        </w:rPr>
        <w:t xml:space="preserve">În cazul în care achizitorii publici utilizează clauze obligatorii privind analiza valorii pentru părți ale contractului de achiziții în domeniul cercetării și dezvoltării, aceștia formulează, în documentele achiziției, cerințele referitoare la părțile respective sub forma unor cerințe funcționale sau de performanță. </w:t>
      </w:r>
    </w:p>
    <w:p>
      <w:pPr>
        <w:ind w:left="850"/>
        <w:rPr>
          <w:rFonts w:eastAsia="Times New Roman"/>
          <w:noProof/>
        </w:rPr>
      </w:pPr>
      <w:r>
        <w:rPr>
          <w:noProof/>
        </w:rPr>
        <w:t xml:space="preserve">Contractanții includ clauze corespunzătoare obligatorii sau voluntare privind analiza valorii în orice acord de subcontractare care, la data încheierii sale, depășește valorile menționate la alineatul (1). Aceștia pot include clauze privind analiza valorii obligatorii sau voluntare corespunzătoare în acordurile de subcontractare de valori inferioare valorilor respective. </w:t>
      </w:r>
    </w:p>
    <w:p>
      <w:pPr>
        <w:pStyle w:val="ManualNumPar1"/>
        <w:spacing w:before="0" w:after="0"/>
        <w:rPr>
          <w:rFonts w:eastAsia="Times New Roman"/>
          <w:noProof/>
        </w:rPr>
      </w:pPr>
      <w:r>
        <w:rPr>
          <w:noProof/>
        </w:rPr>
        <w:t>3.</w:t>
      </w:r>
      <w:r>
        <w:rPr>
          <w:noProof/>
        </w:rPr>
        <w:tab/>
        <w:t xml:space="preserve">În cazul în care contractanții prezintă propuneri de modificare contractuală bazată pe analiza valorii, astfel cum se menționează la alineatul (2) primul paragraf, aceștia includ în propunerile respective: </w:t>
      </w:r>
    </w:p>
    <w:p>
      <w:pPr>
        <w:pStyle w:val="Point1"/>
        <w:ind w:left="1276" w:hanging="425"/>
        <w:rPr>
          <w:noProof/>
        </w:rPr>
      </w:pPr>
      <w:r>
        <w:rPr>
          <w:noProof/>
        </w:rPr>
        <w:t>(a)</w:t>
      </w:r>
      <w:r>
        <w:rPr>
          <w:noProof/>
        </w:rPr>
        <w:tab/>
        <w:t xml:space="preserve">toate modificările propuse pentru oricare dintre serviciile de cercetare și dezvoltare achiziționate în cadrul achizițiilor în domeniul cercetării și dezvoltării; </w:t>
      </w:r>
    </w:p>
    <w:p>
      <w:pPr>
        <w:pStyle w:val="ManualNumPar4"/>
        <w:ind w:left="1276" w:hanging="425"/>
        <w:rPr>
          <w:noProof/>
        </w:rPr>
      </w:pPr>
      <w:r>
        <w:rPr>
          <w:noProof/>
        </w:rPr>
        <w:t>(b)</w:t>
      </w:r>
      <w:r>
        <w:rPr>
          <w:noProof/>
        </w:rPr>
        <w:tab/>
        <w:t xml:space="preserve">o descriere a oricărui impact pe care modificările propuse menționate la litera (a) de la prezentul alineat îl pot avea asupra drepturilor și obligațiilor părților la contractul de achiziții în domeniul cercetării și dezvoltării, inclusiv asupra prețului diferitelor părți ale contractului de achiziții în domeniul cercetării și dezvoltării, astfel cum se menționează la alineatul (2) al doilea paragraf, sau asupra sarcinilor contractantului; </w:t>
      </w:r>
    </w:p>
    <w:p>
      <w:pPr>
        <w:pStyle w:val="ManualNumPar4"/>
        <w:ind w:left="1276" w:hanging="425"/>
        <w:rPr>
          <w:noProof/>
        </w:rPr>
      </w:pPr>
      <w:r>
        <w:rPr>
          <w:noProof/>
        </w:rPr>
        <w:t>(c)</w:t>
      </w:r>
      <w:r>
        <w:rPr>
          <w:noProof/>
        </w:rPr>
        <w:tab/>
        <w:t>o analiză bazată pe dovezi a costurilor și beneficiilor preconizate ale modificărilor propuse;</w:t>
      </w:r>
    </w:p>
    <w:p>
      <w:pPr>
        <w:pStyle w:val="ManualNumPar4"/>
        <w:ind w:left="1276" w:hanging="425"/>
        <w:rPr>
          <w:noProof/>
        </w:rPr>
      </w:pPr>
      <w:r>
        <w:rPr>
          <w:noProof/>
        </w:rPr>
        <w:t>(d)</w:t>
      </w:r>
      <w:r>
        <w:rPr>
          <w:noProof/>
        </w:rPr>
        <w:tab/>
        <w:t>în cazul subcontractării, orice propuneri de modificare contractuală bazată pe analiza valorii din partea subcontractanților lor, care sunt necesare pentru punerea în aplicare a propunerii contractantului de modificare contractuală bazată pe analiza valorii.</w:t>
      </w:r>
    </w:p>
    <w:p>
      <w:pPr>
        <w:pStyle w:val="ManualNumPar1"/>
        <w:spacing w:before="0" w:after="0"/>
        <w:rPr>
          <w:rFonts w:eastAsia="Times New Roman"/>
          <w:noProof/>
        </w:rPr>
      </w:pPr>
      <w:r>
        <w:rPr>
          <w:noProof/>
        </w:rPr>
        <w:t>4.</w:t>
      </w:r>
      <w:r>
        <w:rPr>
          <w:noProof/>
        </w:rPr>
        <w:tab/>
        <w:t>Achizitorii publici nu acceptă propuneri de modificare contractuală bazată pe analiza valorii care:</w:t>
      </w:r>
    </w:p>
    <w:p>
      <w:pPr>
        <w:pStyle w:val="Point1"/>
        <w:ind w:left="1276" w:hanging="425"/>
        <w:rPr>
          <w:noProof/>
        </w:rPr>
      </w:pPr>
      <w:r>
        <w:rPr>
          <w:noProof/>
        </w:rPr>
        <w:t>(a)</w:t>
      </w:r>
      <w:r>
        <w:rPr>
          <w:noProof/>
        </w:rPr>
        <w:tab/>
        <w:t xml:space="preserve">modifică obiectul contractului de achiziții în domeniul cercetării și dezvoltării; </w:t>
      </w:r>
    </w:p>
    <w:p>
      <w:pPr>
        <w:pStyle w:val="ManualNumPar4"/>
        <w:ind w:left="1276" w:hanging="425"/>
        <w:rPr>
          <w:noProof/>
        </w:rPr>
      </w:pPr>
      <w:r>
        <w:rPr>
          <w:noProof/>
        </w:rPr>
        <w:t>(b)</w:t>
      </w:r>
      <w:r>
        <w:rPr>
          <w:noProof/>
        </w:rPr>
        <w:tab/>
        <w:t>afectează funcțiile sau caracteristicile esențiale ale serviciilor de cercetare și dezvoltare achiziționate sau rezultatele preconizate ale acestora, astfel cum sunt descrise în cerințele funcționale sau de performanță;</w:t>
      </w:r>
    </w:p>
    <w:p>
      <w:pPr>
        <w:pStyle w:val="ManualNumPar4"/>
        <w:ind w:left="1276" w:hanging="425"/>
        <w:rPr>
          <w:noProof/>
        </w:rPr>
      </w:pPr>
      <w:r>
        <w:rPr>
          <w:noProof/>
        </w:rPr>
        <w:t>(c)</w:t>
      </w:r>
      <w:r>
        <w:rPr>
          <w:noProof/>
        </w:rPr>
        <w:tab/>
        <w:t>implică doar o modificare a cantităților de livrabile ale serviciilor de cercetare și dezvoltare achiziționate și a rezultatelor preconizate ale acestora;</w:t>
      </w:r>
    </w:p>
    <w:p>
      <w:pPr>
        <w:pStyle w:val="ManualNumPar4"/>
        <w:ind w:left="1276" w:hanging="425"/>
        <w:rPr>
          <w:noProof/>
        </w:rPr>
      </w:pPr>
      <w:r>
        <w:rPr>
          <w:noProof/>
        </w:rPr>
        <w:t>(d)</w:t>
      </w:r>
      <w:r>
        <w:rPr>
          <w:noProof/>
        </w:rPr>
        <w:tab/>
        <w:t>implică o modificare a produselor finale rezultate din activitățile de cercetare și dezvoltare sau a cantităților destinate testării în cadrul activităților de cercetare și dezvoltare, care rezultă exclusiv din testarea efectuată anterior în temeiul contractului de achiziții în domeniul cercetării și dezvoltării.</w:t>
      </w:r>
    </w:p>
    <w:p>
      <w:pPr>
        <w:pStyle w:val="ManualNumPar1"/>
        <w:spacing w:before="0"/>
        <w:ind w:left="851" w:hanging="851"/>
        <w:rPr>
          <w:noProof/>
        </w:rPr>
      </w:pPr>
      <w:r>
        <w:rPr>
          <w:noProof/>
        </w:rPr>
        <w:t>5.</w:t>
      </w:r>
      <w:r>
        <w:rPr>
          <w:noProof/>
        </w:rPr>
        <w:tab/>
        <w:t>Achizitorii publici precizează în documentele achiziției că pot aproba modificări care pot reduce sau majora prețul contractului de achiziții în domeniul cercetării și dezvoltării în urma unei propuneri de modificare contractuală bazată pe analiza valorii formulate de contractant. Documentele achiziției precizează limitele majorărilor permise ale prețului contractului de achiziții în domeniul cercetării și dezvoltării ca urmare a modificărilor contractului care aplică o propunere de modificare rezultată în urma analizei valorii. Orice astfel de modificări ale contractului în scopul analizei valorii se efectuează în conformitate cu articolul 20.</w:t>
      </w:r>
    </w:p>
    <w:p>
      <w:pPr>
        <w:pStyle w:val="ManualNumPar1"/>
        <w:spacing w:before="0"/>
        <w:ind w:left="851" w:hanging="851"/>
        <w:rPr>
          <w:rFonts w:eastAsia="Times New Roman"/>
          <w:noProof/>
        </w:rPr>
      </w:pPr>
      <w:r>
        <w:rPr>
          <w:noProof/>
        </w:rPr>
        <w:t>6.</w:t>
      </w:r>
      <w:r>
        <w:rPr>
          <w:noProof/>
        </w:rPr>
        <w:tab/>
        <w:t xml:space="preserve">Achizitorii publici stabilesc în documentele achiziției rate de repartizare a stimulentelor, pe baza cărora orice economii nete de costuri realizate de achizitorii publici în cadrul contractului de achiziții în domeniul cercetării și dezvoltării în curs ca urmare a propunerilor acceptate de modificare în vederea analizei valorii sunt împărțite între achizitorii publici și contractanți. În cazul în care o propunere de modificare rezultată în urma analizei valorii generează economii nete de costuri pentru achizitorii publici în cadrul unor potențiale contracte viitoare de achiziții în domeniul cercetării și dezvoltării, documentele achiziției precizează dacă achizitorul public plătește contractantului partea care îi revine din economiile realizate în cadrul contractului sub forma unei plăți unice sau sub forma unei serii de plăți efectuate în timp, pe măsură ce sunt atribuite contracte viitoare de achiziții în domeniul cercetării și dezvoltării. Achizitorii publici se asigură că partea din economiile de costuri care revine contractantului și pe care aceștia o plătesc contractantului în cadrul achizițiilor în domeniul cercetării și dezvoltării nu este egală sau mai mare decât costul serviciilor de cercetare și dezvoltare prestate în cadrul contractului de achiziții în domeniul cercetării și dezvoltării. </w:t>
      </w:r>
    </w:p>
    <w:p>
      <w:pPr>
        <w:pStyle w:val="ManualNumPar1"/>
        <w:spacing w:before="0"/>
        <w:ind w:left="851" w:hanging="851"/>
        <w:rPr>
          <w:rFonts w:eastAsia="Times New Roman"/>
          <w:noProof/>
        </w:rPr>
      </w:pPr>
      <w:r>
        <w:rPr>
          <w:noProof/>
        </w:rPr>
        <w:t>7.</w:t>
      </w:r>
      <w:r>
        <w:rPr>
          <w:noProof/>
        </w:rPr>
        <w:tab/>
        <w:t>Achizitorii publici pot accepta sau respinge unilateral, integral sau parțial, orice propunere de modificare rezultată în urma analizei valorii. În cazul în care achizitorul public nu acceptă o propunere de modificare contractuală bazată pe analiza valorii, acesta notifică în scris contractantul, explicând motivele respingerii. Contractantul poate retrage orice propunere de modificare contractuală bazată pe analiza valorii, integral sau parțial, în orice moment înainte ca aceasta să fie acceptată de achizitorul public. Până la includerea în contractul de achiziții în domeniul cercetării și dezvoltării în curs de executare a propunerii de modificare contractuală bazată pe analiza valorii printr-o modificare a acestuia, contractantul continuă să execute contractul respectiv în conformitate cu dispozițiile sale actuale.</w:t>
      </w:r>
    </w:p>
    <w:p>
      <w:pPr>
        <w:rPr>
          <w:noProof/>
        </w:rPr>
      </w:pPr>
    </w:p>
    <w:p>
      <w:pPr>
        <w:pStyle w:val="Text1"/>
        <w:jc w:val="center"/>
        <w:rPr>
          <w:i/>
          <w:iCs/>
          <w:noProof/>
        </w:rPr>
      </w:pPr>
      <w:r>
        <w:rPr>
          <w:i/>
          <w:noProof/>
        </w:rPr>
        <w:t>Articolul 22</w:t>
      </w:r>
    </w:p>
    <w:p>
      <w:pPr>
        <w:pStyle w:val="Text1"/>
        <w:jc w:val="center"/>
        <w:rPr>
          <w:b/>
          <w:bCs/>
          <w:noProof/>
        </w:rPr>
      </w:pPr>
      <w:r>
        <w:rPr>
          <w:b/>
          <w:noProof/>
        </w:rPr>
        <w:t>Aprovizionarea de la mai mulți furnizori</w:t>
      </w:r>
    </w:p>
    <w:p>
      <w:pPr>
        <w:pStyle w:val="ManualNumPar1"/>
        <w:rPr>
          <w:noProof/>
          <w:szCs w:val="24"/>
        </w:rPr>
      </w:pPr>
      <w:r>
        <w:rPr>
          <w:noProof/>
        </w:rPr>
        <w:t>1.</w:t>
      </w:r>
      <w:r>
        <w:rPr>
          <w:noProof/>
        </w:rPr>
        <w:tab/>
        <w:t>Achizitorii publici recurg la aprovizionarea de la mai mulți furnizori în cadrul procedurilor de achiziții în domeniul cercetării și dezvoltării și atribuie mai multe contracte de achiziții în domeniul cercetării și dezvoltării mai multor contractanți.</w:t>
      </w:r>
    </w:p>
    <w:p>
      <w:pPr>
        <w:pStyle w:val="ManualNumPar1"/>
        <w:rPr>
          <w:noProof/>
          <w:szCs w:val="24"/>
        </w:rPr>
      </w:pPr>
      <w:r>
        <w:rPr>
          <w:noProof/>
        </w:rPr>
        <w:t>2.</w:t>
      </w:r>
      <w:r>
        <w:rPr>
          <w:noProof/>
        </w:rPr>
        <w:tab/>
        <w:t xml:space="preserve">Achizitorii publici indică în documentele achiziției numărul minim de contracte de achiziții în domeniul cercetării și dezvoltării care se preconizează că vor fi atribuite în conformitate cu alineatul (1). </w:t>
      </w:r>
    </w:p>
    <w:p>
      <w:pPr>
        <w:pStyle w:val="ManualNumPar1"/>
        <w:rPr>
          <w:noProof/>
          <w:szCs w:val="24"/>
        </w:rPr>
      </w:pPr>
      <w:r>
        <w:rPr>
          <w:noProof/>
        </w:rPr>
        <w:t>3.</w:t>
      </w:r>
      <w:r>
        <w:rPr>
          <w:noProof/>
        </w:rPr>
        <w:tab/>
        <w:t xml:space="preserve">Contractele de achiziții în domeniul cercetării și dezvoltării bazate pe aprovizionarea de la mai mulți furnizori se atribuie și se semnează în ordinea listei de clasificare a ofertelor, de la punctajul cel mai mare la punctajul cel mai mic, pe baza evaluării acestora în conformitate cu articolul 11, cu excepția cazului în care există motive justificate în mod corespunzător pentru a proceda altfel, cu respectarea deplină a principiilor egalității de tratament și transparenței. Toate contractele de achiziții în domeniul cercetării și dezvoltării se atribuie în cadrul aceleiași proceduri de achiziții în domeniul cercetării și dezvoltării. </w:t>
      </w:r>
    </w:p>
    <w:p>
      <w:pPr>
        <w:pStyle w:val="ManualNumPar1"/>
        <w:rPr>
          <w:noProof/>
        </w:rPr>
      </w:pPr>
      <w:r>
        <w:rPr>
          <w:noProof/>
        </w:rPr>
        <w:t>4.</w:t>
      </w:r>
      <w:r>
        <w:rPr>
          <w:noProof/>
        </w:rPr>
        <w:tab/>
        <w:t>Pentru a stabili numărul de contracte de achiziții în domeniul cercetării și dezvoltării care urmează să fie atribuite în conformitate cu alineatul (1), achizitorii publici țin seama de beneficiile pe care le poate genera aprovizionarea de la mai mulți furnizori pentru:</w:t>
      </w:r>
    </w:p>
    <w:p>
      <w:pPr>
        <w:pStyle w:val="Point1"/>
        <w:ind w:left="1276" w:hanging="425"/>
        <w:rPr>
          <w:noProof/>
        </w:rPr>
      </w:pPr>
      <w:r>
        <w:rPr>
          <w:noProof/>
        </w:rPr>
        <w:t>(a)</w:t>
      </w:r>
      <w:r>
        <w:rPr>
          <w:noProof/>
        </w:rPr>
        <w:tab/>
        <w:t>a evita dependența excesivă de un singur contractant sau de un număr limitat de contractanți pentru produsele, lucrările sau serviciile care sunt esențiale pentru operațiunile interne sau externe ale achizitorului public sau pentru produsele, lucrările sau serviciile care se bazează pe tehnologii critice sau pe materii prime critice;</w:t>
      </w:r>
    </w:p>
    <w:p>
      <w:pPr>
        <w:pStyle w:val="ManualNumPar4"/>
        <w:ind w:left="1276" w:hanging="425"/>
        <w:rPr>
          <w:noProof/>
        </w:rPr>
      </w:pPr>
      <w:r>
        <w:rPr>
          <w:noProof/>
        </w:rPr>
        <w:t>(b)</w:t>
      </w:r>
      <w:r>
        <w:rPr>
          <w:noProof/>
        </w:rPr>
        <w:tab/>
        <w:t>a reduce riscurile tehnologice sau legate de inovare, inclusiv prin stimularea dezvoltării, testării sau integrării unor rezultate alternative din partea diferiților contractanți;</w:t>
      </w:r>
    </w:p>
    <w:p>
      <w:pPr>
        <w:pStyle w:val="ManualNumPar4"/>
        <w:ind w:left="1276" w:hanging="425"/>
        <w:rPr>
          <w:noProof/>
        </w:rPr>
      </w:pPr>
      <w:r>
        <w:rPr>
          <w:noProof/>
        </w:rPr>
        <w:t>(c)</w:t>
      </w:r>
      <w:r>
        <w:rPr>
          <w:noProof/>
        </w:rPr>
        <w:tab/>
        <w:t>a aborda situațiile în care nu există suficientă concurență pe piață sau a preveni sau reduce dependența de furnizor prin stimularea unei concurențe mai intense pe piață;</w:t>
      </w:r>
    </w:p>
    <w:p>
      <w:pPr>
        <w:pStyle w:val="ManualNumPar4"/>
        <w:ind w:left="1276" w:hanging="425"/>
        <w:rPr>
          <w:noProof/>
        </w:rPr>
      </w:pPr>
      <w:r>
        <w:rPr>
          <w:noProof/>
        </w:rPr>
        <w:t>(d)</w:t>
      </w:r>
      <w:r>
        <w:rPr>
          <w:noProof/>
        </w:rPr>
        <w:tab/>
        <w:t>a atenua întreruperile serviciilor și a evita punctele unice de defecțiune prin asigurarea redundanței tehnice la nivelul infrastructurii, al rețelei sau al sistemului de furnizare a serviciilor al achizitorului public;</w:t>
      </w:r>
    </w:p>
    <w:p>
      <w:pPr>
        <w:pStyle w:val="ManualNumPar4"/>
        <w:ind w:left="1276" w:hanging="425"/>
        <w:rPr>
          <w:noProof/>
        </w:rPr>
      </w:pPr>
      <w:r>
        <w:rPr>
          <w:noProof/>
        </w:rPr>
        <w:t>(e)</w:t>
      </w:r>
      <w:r>
        <w:rPr>
          <w:noProof/>
        </w:rPr>
        <w:tab/>
        <w:t xml:space="preserve">atunci când acest lucru este necesar și justificat pentru protejarea intereselor de securitate și de siguranță publică ale Uniunii sau ale unuia sau mai multor state membre ale sale în sensul articolului 28 alineatul (2), pentru a rezerva un număr minim de contracte de achiziții în domeniul cercetării și dezvoltării pentru operatorii economici originari din statele membre, în conformitate cu articolul 11 alineatul (6). </w:t>
      </w:r>
    </w:p>
    <w:p>
      <w:pPr>
        <w:pStyle w:val="ManualNumPar1"/>
        <w:rPr>
          <w:noProof/>
        </w:rPr>
      </w:pPr>
      <w:r>
        <w:rPr>
          <w:noProof/>
        </w:rPr>
        <w:t>5.</w:t>
      </w:r>
      <w:r>
        <w:rPr>
          <w:noProof/>
        </w:rPr>
        <w:tab/>
        <w:t>Prin derogare de la alineatul (1), în cazul în care acest lucru este justificat de oricare dintre următoarele motive, care se specifică în documentele achiziției, achizitorii publici pot atribui un singur contract de achiziții în domeniul cercetării și dezvoltării fără a recurge la aprovizionarea de la mai mulți furnizori în conformitate cu prezentul articol:</w:t>
      </w:r>
    </w:p>
    <w:p>
      <w:pPr>
        <w:pStyle w:val="Point1"/>
        <w:rPr>
          <w:noProof/>
        </w:rPr>
      </w:pPr>
      <w:r>
        <w:rPr>
          <w:noProof/>
        </w:rPr>
        <w:t>(a)</w:t>
      </w:r>
      <w:r>
        <w:rPr>
          <w:noProof/>
        </w:rPr>
        <w:tab/>
        <w:t xml:space="preserve">proceduri de achiziții în domeniul cercetării și dezvoltării care au ca unic obiect achiziționarea de servicii de consultanță în materie de cercetare și dezvoltare, astfel cum sunt reglementate de codurile CPV 73200000-4, 73210000-7 și 73220000-0; </w:t>
      </w:r>
    </w:p>
    <w:p>
      <w:pPr>
        <w:pStyle w:val="Point1"/>
        <w:rPr>
          <w:noProof/>
        </w:rPr>
      </w:pPr>
      <w:r>
        <w:rPr>
          <w:noProof/>
        </w:rPr>
        <w:t>(b)</w:t>
      </w:r>
      <w:r>
        <w:rPr>
          <w:noProof/>
        </w:rPr>
        <w:tab/>
        <w:t xml:space="preserve">în cazul achizițiilor în domeniul cercetării și dezvoltării care nu constituie achiziții publice înainte de comercializare, dacă este îndeplinită oricare dintre următoarele condiții: </w:t>
      </w:r>
    </w:p>
    <w:p>
      <w:pPr>
        <w:pStyle w:val="Point2"/>
        <w:rPr>
          <w:noProof/>
        </w:rPr>
      </w:pPr>
      <w:r>
        <w:rPr>
          <w:noProof/>
        </w:rPr>
        <w:t>(a)</w:t>
      </w:r>
      <w:r>
        <w:rPr>
          <w:noProof/>
        </w:rPr>
        <w:tab/>
        <w:t>rezultatele consultării pieței menționate la articolul 9 și ale cercetării de piață indică faptul că piața este prea restrânsă pentru ca mai mulți contractanți să participe la procedura de achiziții în domeniul cercetării și dezvoltării;</w:t>
      </w:r>
    </w:p>
    <w:p>
      <w:pPr>
        <w:pStyle w:val="Point2"/>
        <w:rPr>
          <w:noProof/>
        </w:rPr>
      </w:pPr>
      <w:r>
        <w:rPr>
          <w:noProof/>
        </w:rPr>
        <w:t>(b)</w:t>
      </w:r>
      <w:r>
        <w:rPr>
          <w:noProof/>
        </w:rPr>
        <w:tab/>
        <w:t>beneficiile pe termen lung ale aprovizionării de la mai mulți furnizori, astfel cum sunt enumerate la alineatul (4) de la prezentul articol, nu depășesc costurile suplimentare pentru achizitorul public care aplică aprovizionarea de la mai mulți furnizori;</w:t>
      </w:r>
    </w:p>
    <w:p>
      <w:pPr>
        <w:pStyle w:val="Point2"/>
        <w:rPr>
          <w:noProof/>
        </w:rPr>
      </w:pPr>
      <w:r>
        <w:rPr>
          <w:noProof/>
        </w:rPr>
        <w:t>(c)</w:t>
      </w:r>
      <w:r>
        <w:rPr>
          <w:noProof/>
        </w:rPr>
        <w:tab/>
        <w:t>atribuirea unui contract unic de achiziții în domeniul cercetării și dezvoltării atunci când acest lucru este necesar și justificat pentru a asigura protecția intereselor Uniunii sau ale unuia sau mai multor state membre ale sale în materie de securitate și siguranță publică, în sensul articolului 28 alineatul (2);</w:t>
      </w:r>
    </w:p>
    <w:p>
      <w:pPr>
        <w:ind w:left="851"/>
        <w:rPr>
          <w:noProof/>
        </w:rPr>
      </w:pPr>
      <w:r>
        <w:rPr>
          <w:noProof/>
        </w:rPr>
        <w:t>Comisia este împuternicită să adopte acte delegate în conformitate cu articolul 39 pentru a modifica lista cazurilor prevăzute la primul paragraf de la prezentul alineat, ținând seama de următoarele criterii:</w:t>
      </w:r>
    </w:p>
    <w:p>
      <w:pPr>
        <w:pStyle w:val="Point1"/>
        <w:rPr>
          <w:noProof/>
        </w:rPr>
      </w:pPr>
      <w:r>
        <w:rPr>
          <w:noProof/>
        </w:rPr>
        <w:t>(a)</w:t>
      </w:r>
      <w:r>
        <w:rPr>
          <w:noProof/>
        </w:rPr>
        <w:tab/>
        <w:t>impactul asupra intensificării comercializării rezultatelor în materie de cercetare și dezvoltare;</w:t>
      </w:r>
    </w:p>
    <w:p>
      <w:pPr>
        <w:pStyle w:val="Point1"/>
        <w:rPr>
          <w:noProof/>
        </w:rPr>
      </w:pPr>
      <w:r>
        <w:rPr>
          <w:noProof/>
        </w:rPr>
        <w:t>(b)</w:t>
      </w:r>
      <w:r>
        <w:rPr>
          <w:noProof/>
        </w:rPr>
        <w:tab/>
        <w:t>impactul asupra îmbunătățirii accesului întreprinderilor inovatoare, inclusiv, în special, al start-upurilor și al întreprinderilor inovatoare în fază de extindere, precum și al noilor operatori intrați pe piață;</w:t>
      </w:r>
    </w:p>
    <w:p>
      <w:pPr>
        <w:pStyle w:val="Point1"/>
        <w:rPr>
          <w:noProof/>
        </w:rPr>
      </w:pPr>
      <w:r>
        <w:rPr>
          <w:noProof/>
        </w:rPr>
        <w:t>(c)</w:t>
      </w:r>
      <w:r>
        <w:rPr>
          <w:noProof/>
        </w:rPr>
        <w:tab/>
        <w:t>impactul asupra dezvoltării socioeconomice sau tehnologice în Uniune;</w:t>
      </w:r>
    </w:p>
    <w:p>
      <w:pPr>
        <w:pStyle w:val="Point1"/>
        <w:rPr>
          <w:noProof/>
        </w:rPr>
      </w:pPr>
      <w:r>
        <w:rPr>
          <w:noProof/>
        </w:rPr>
        <w:t>(d)</w:t>
      </w:r>
      <w:r>
        <w:rPr>
          <w:noProof/>
        </w:rPr>
        <w:tab/>
        <w:t>impactul asupra autonomiei strategice și a securității economice a Uniunii;</w:t>
      </w:r>
    </w:p>
    <w:p>
      <w:pPr>
        <w:pStyle w:val="Point1"/>
        <w:rPr>
          <w:noProof/>
        </w:rPr>
      </w:pPr>
      <w:r>
        <w:rPr>
          <w:noProof/>
        </w:rPr>
        <w:t>(e)</w:t>
      </w:r>
      <w:r>
        <w:rPr>
          <w:noProof/>
        </w:rPr>
        <w:tab/>
        <w:t>impactul asupra protejării intereselor publice.</w:t>
      </w:r>
    </w:p>
    <w:p>
      <w:pPr>
        <w:pStyle w:val="Titrearticle"/>
        <w:jc w:val="both"/>
        <w:rPr>
          <w:noProof/>
        </w:rPr>
      </w:pPr>
    </w:p>
    <w:p>
      <w:pPr>
        <w:pStyle w:val="NormalCentered"/>
        <w:rPr>
          <w:i/>
          <w:noProof/>
        </w:rPr>
      </w:pPr>
      <w:r>
        <w:rPr>
          <w:i/>
          <w:noProof/>
        </w:rPr>
        <w:t>Articolul 23</w:t>
      </w:r>
    </w:p>
    <w:p>
      <w:pPr>
        <w:pStyle w:val="NormalCentered"/>
        <w:rPr>
          <w:rFonts w:eastAsia="Times New Roman"/>
          <w:b/>
          <w:bCs/>
          <w:noProof/>
        </w:rPr>
      </w:pPr>
      <w:r>
        <w:rPr>
          <w:b/>
          <w:noProof/>
        </w:rPr>
        <w:t>Procedura de ofertare pentru achiziții în domeniul cercetării și dezvoltării</w:t>
      </w:r>
    </w:p>
    <w:p>
      <w:pPr>
        <w:pStyle w:val="ManualNumPar1"/>
        <w:rPr>
          <w:noProof/>
        </w:rPr>
      </w:pPr>
      <w:r>
        <w:rPr>
          <w:noProof/>
        </w:rPr>
        <w:t>1.</w:t>
      </w:r>
      <w:r>
        <w:rPr>
          <w:noProof/>
        </w:rPr>
        <w:tab/>
        <w:t>Achizitorii publici anunță lansarea procedurii de ofertare pentru achiziții în domeniul cercetării și dezvoltării prin intermediul unui anunț de participare. Anunțul de participare respectiv:</w:t>
      </w:r>
    </w:p>
    <w:p>
      <w:pPr>
        <w:pStyle w:val="Point1"/>
        <w:rPr>
          <w:noProof/>
        </w:rPr>
      </w:pPr>
      <w:r>
        <w:rPr>
          <w:noProof/>
        </w:rPr>
        <w:t>(a)</w:t>
      </w:r>
      <w:r>
        <w:rPr>
          <w:noProof/>
        </w:rPr>
        <w:tab/>
        <w:t xml:space="preserve">se publică în </w:t>
      </w:r>
      <w:r>
        <w:rPr>
          <w:i/>
          <w:noProof/>
        </w:rPr>
        <w:t>Jurnalul Oficial al Uniunii Europene</w:t>
      </w:r>
      <w:r>
        <w:rPr>
          <w:noProof/>
        </w:rPr>
        <w:t xml:space="preserve"> și, ulterior, inclusiv pe portalul național de achiziții publice al statului membru de unde provine achizitorul public;</w:t>
      </w:r>
    </w:p>
    <w:p>
      <w:pPr>
        <w:pStyle w:val="Point1"/>
        <w:rPr>
          <w:noProof/>
        </w:rPr>
      </w:pPr>
      <w:r>
        <w:rPr>
          <w:noProof/>
        </w:rPr>
        <w:t>(b)</w:t>
      </w:r>
      <w:r>
        <w:rPr>
          <w:noProof/>
        </w:rPr>
        <w:tab/>
        <w:t>conține următoarele elemente:</w:t>
      </w:r>
    </w:p>
    <w:p>
      <w:pPr>
        <w:pStyle w:val="Point2"/>
        <w:rPr>
          <w:noProof/>
        </w:rPr>
      </w:pPr>
      <w:r>
        <w:rPr>
          <w:noProof/>
        </w:rPr>
        <w:t>(a)</w:t>
      </w:r>
      <w:r>
        <w:rPr>
          <w:noProof/>
        </w:rPr>
        <w:tab/>
        <w:t>trimiteri la codurile CPV relevante pentru serviciile de cercetare și dezvoltare;</w:t>
      </w:r>
    </w:p>
    <w:p>
      <w:pPr>
        <w:pStyle w:val="Point2"/>
        <w:rPr>
          <w:noProof/>
        </w:rPr>
      </w:pPr>
      <w:r>
        <w:rPr>
          <w:noProof/>
        </w:rPr>
        <w:t>(b)</w:t>
      </w:r>
      <w:r>
        <w:rPr>
          <w:noProof/>
        </w:rPr>
        <w:tab/>
        <w:t>indicarea, după caz, a faptului că procedura de ofertare se referă la inovare prin marcarea domeniului „inovare” în anunțul de participare și prin includerea, după caz, a cuvintelor „achiziție înainte de comercializare” în câmpul „titlul achiziției”;</w:t>
      </w:r>
    </w:p>
    <w:p>
      <w:pPr>
        <w:pStyle w:val="Point2"/>
        <w:rPr>
          <w:noProof/>
        </w:rPr>
      </w:pPr>
      <w:r>
        <w:rPr>
          <w:noProof/>
        </w:rPr>
        <w:t>(c)</w:t>
      </w:r>
      <w:r>
        <w:rPr>
          <w:noProof/>
        </w:rPr>
        <w:tab/>
        <w:t xml:space="preserve">valoarea estimată a achiziției în domeniul cercetării și dezvoltării calculată în conformitate cu metodologia prevăzută la articolul 10 alineatul (5). </w:t>
      </w:r>
    </w:p>
    <w:p>
      <w:pPr>
        <w:pStyle w:val="ManualNumPar1"/>
        <w:rPr>
          <w:noProof/>
        </w:rPr>
      </w:pPr>
      <w:r>
        <w:rPr>
          <w:noProof/>
        </w:rPr>
        <w:t>2.</w:t>
      </w:r>
      <w:r>
        <w:rPr>
          <w:noProof/>
        </w:rPr>
        <w:tab/>
        <w:t>Achizitorii publici promovează pe scară largă lansarea pe piață a procedurii de ofertare pentru achiziții în domeniul cercetării și dezvoltării. În acest scop, după anunțarea lansării procedurii de ofertare prin intermediul unui anunț de participare, achizitorii publici pot publica și promova lansarea procedurii de ofertare prin orice mijloace de comunicare în masă disponibile pe scară largă.</w:t>
      </w:r>
    </w:p>
    <w:p>
      <w:pPr>
        <w:pStyle w:val="ManualNumPar1"/>
        <w:rPr>
          <w:noProof/>
        </w:rPr>
      </w:pPr>
      <w:r>
        <w:rPr>
          <w:noProof/>
        </w:rPr>
        <w:t>3.</w:t>
      </w:r>
      <w:r>
        <w:rPr>
          <w:noProof/>
        </w:rPr>
        <w:tab/>
        <w:t xml:space="preserve">Prin derogare de la alineatele (1) și (2) de la prezentul articol, în cazul în care acest lucru este necesar și justificat pentru a asigura protecția intereselor de securitate sau de siguranță publică ale Uniunii sau ale unuia sau mai multor state membre ale sale în sensul articolului 28 alineatul (2), achizitorii publici publică și promovează anunțul de participare, omițând toate informațiile sensibile și solicitând operatorilor economici să își exprime interesul de a depune oferte pentru achizițiile publice în domeniul cercetării și dezvoltării. Informațiile sensibile se transmit numai operatorilor economici care și-au exprimat interesul, care îndeplinesc criteriile de selecție și care nu prezintă un risc în materie de securitate în sensul articolului 28 alineatul (4) litera (d). </w:t>
      </w:r>
    </w:p>
    <w:p>
      <w:pPr>
        <w:pStyle w:val="ManualNumPar1"/>
        <w:rPr>
          <w:noProof/>
        </w:rPr>
      </w:pPr>
      <w:r>
        <w:rPr>
          <w:noProof/>
        </w:rPr>
        <w:t>4.</w:t>
      </w:r>
      <w:r>
        <w:rPr>
          <w:noProof/>
        </w:rPr>
        <w:tab/>
        <w:t xml:space="preserve">Prin derogare de la alineatele (1) și (2) de la prezentul articol, în cazul în care publicarea anunțului de participare menționat la alineatele (1) și (2) de la prezentul articol și publicarea altor elemente din documentele achiziției menționate la articolul 10 ar fi contrare intereselor în materie de securitate și siguranță publică ale Uniunii sau ale unuia sau mai multor state membre ale sale în sensul articolului 28 alineatul (2), achizitorii publici invită să participe la licitație numai operatorii economici potențial adecvați care au fost identificați în cursul consultării pieței menționate la articolul 9 și în cursul cercetării de piață, care îndeplinesc criteriile de calificare și care nu prezintă un risc de securitate în sensul articolului 28 alineatul (4) litera (d) și partajează documentele achiziției numai cu aceștia. </w:t>
      </w:r>
    </w:p>
    <w:p>
      <w:pPr>
        <w:pStyle w:val="ManualNumPar1"/>
        <w:rPr>
          <w:noProof/>
        </w:rPr>
      </w:pPr>
      <w:r>
        <w:rPr>
          <w:noProof/>
        </w:rPr>
        <w:t>5.</w:t>
      </w:r>
      <w:r>
        <w:rPr>
          <w:noProof/>
        </w:rPr>
        <w:tab/>
        <w:t xml:space="preserve">Termenul minim de primire a ofertelor este de o lună de la data la care anunțul de participare a fost transmis spre publicare în </w:t>
      </w:r>
      <w:r>
        <w:rPr>
          <w:i/>
          <w:noProof/>
        </w:rPr>
        <w:t>Jurnalul Oficial al Uniunii Europene</w:t>
      </w:r>
      <w:r>
        <w:rPr>
          <w:noProof/>
        </w:rPr>
        <w:t>. Acest termen minim poate fi redus de către achizitorul public în cazul în care: a fost activat un regim de urgență în temeiul Regulamentului (UE) 2024/2747</w:t>
      </w:r>
      <w:r>
        <w:rPr>
          <w:rStyle w:val="FootnoteReference"/>
          <w:noProof/>
        </w:rPr>
        <w:footnoteReference w:id="47"/>
      </w:r>
      <w:r>
        <w:rPr>
          <w:noProof/>
        </w:rPr>
        <w:t>; a fost activat cadrul pentru situații de urgență în temeiul Regulamentului (UE) 2022/2372 al Consiliului</w:t>
      </w:r>
      <w:r>
        <w:rPr>
          <w:rStyle w:val="FootnoteReference"/>
          <w:noProof/>
        </w:rPr>
        <w:footnoteReference w:id="48"/>
      </w:r>
      <w:r>
        <w:rPr>
          <w:noProof/>
        </w:rPr>
        <w:t>; există amenințări transfrontaliere grave pentru sănătate în temeiul Regulamentului (UE) 2022/2371</w:t>
      </w:r>
      <w:r>
        <w:rPr>
          <w:rStyle w:val="FootnoteReference"/>
          <w:noProof/>
        </w:rPr>
        <w:footnoteReference w:id="49"/>
      </w:r>
      <w:r>
        <w:rPr>
          <w:noProof/>
        </w:rPr>
        <w:t xml:space="preserve">; sau Comisia a declarat o criză sau o stare de urgență. Termenul maxim pentru ca achizitorii publici să finalizeze evaluarea ofertelor și să notifice ofertanților decizia de atribuire este de 60 de zile calendaristice de la termenul pentru primirea ofertelor. </w:t>
      </w:r>
    </w:p>
    <w:p>
      <w:pPr>
        <w:pStyle w:val="ManualNumPar1"/>
        <w:rPr>
          <w:rFonts w:eastAsia="Times New Roman"/>
          <w:noProof/>
        </w:rPr>
      </w:pPr>
      <w:r>
        <w:rPr>
          <w:noProof/>
        </w:rPr>
        <w:t>6.</w:t>
      </w:r>
      <w:r>
        <w:rPr>
          <w:noProof/>
        </w:rPr>
        <w:tab/>
        <w:t xml:space="preserve">Achizitorii publici verifică, pe baza informațiilor din ofertă, care ofertanți au acces la achizițiile în domeniul cercetării și dezvoltării, în conformitate cu condițiile prevăzute la articolul 11. </w:t>
      </w:r>
    </w:p>
    <w:p>
      <w:pPr>
        <w:pStyle w:val="ManualNumPar1"/>
        <w:rPr>
          <w:noProof/>
        </w:rPr>
      </w:pPr>
      <w:r>
        <w:rPr>
          <w:noProof/>
        </w:rPr>
        <w:t>7.</w:t>
      </w:r>
      <w:r>
        <w:rPr>
          <w:noProof/>
        </w:rPr>
        <w:tab/>
        <w:t>Fără a aduce atingere articolului 15 alineatul (9), achizitorii publici evaluează toate ofertele depuse de ofertanții care au acces la achiziții în domeniul cercetării și dezvoltării pe baza unor criterii obiective și nediscriminatorii, ținând seama de motivele de excludere și de criteriile de selecție aplicabile prevăzute la articolele 13, 14 și 15, de cerințele minime care trebuie îndeplinite de toți ofertanții și de criteriile de atribuire aplicabile menționate la articolul 17, inclusiv criteriile de atribuire referitoare la inovare, și întocmesc o listă de clasificare a ofertelor evaluate.</w:t>
      </w:r>
    </w:p>
    <w:p>
      <w:pPr>
        <w:pStyle w:val="ManualNumPar1"/>
        <w:rPr>
          <w:noProof/>
          <w:szCs w:val="24"/>
        </w:rPr>
      </w:pPr>
      <w:r>
        <w:rPr>
          <w:noProof/>
        </w:rPr>
        <w:t>8.</w:t>
      </w:r>
      <w:r>
        <w:rPr>
          <w:noProof/>
        </w:rPr>
        <w:tab/>
        <w:t xml:space="preserve">După depunerea ofertelor inițiale, achizitorii publici pot organiza interviuri cu operatorii economici și pot desfășura negocieri în una sau mai multe runde. Publicul se asigură că, în orice rundă de negocieri, numărul de soluții discutate permite o concurență reală. După fiecare rundă și în funcție de rezultatul negocierilor, operatorii economici care participă la negocieri sunt invitați să depună o ofertă revizuită, iar achizitorii publici pot decide să reducă numărul de participanți pe baza criteriilor de atribuire stabilite în conformitate cu articolul 17. Achizitorii publici informează operatorii economici atunci când va începe o nouă rundă de negocieri și dacă aceștia vor fi invitați sau nu. Achizitorii publici informează toți ofertanții ale căror oferte nu au fost eliminate cu privire la orice modificare a caietului de sarcini sau la orice modificare a altor părți ale detaliului achiziției ca urmare a negocierilor. Achizitorii publici acordă suficient timp ofertanților pentru a modifica și a retrimite ofertele modificate, după caz. Operatorii economici pot depune oferte revizuite în funcție de rezultatul negocierilor. În cazul în care un achizitor public a decis să încheie negocierile și să treacă la atribuirea contractului de achiziții în domeniul cercetării și dezvoltării, acesta invită operatorii economici rămași să depună o ofertă finală. </w:t>
      </w:r>
    </w:p>
    <w:p>
      <w:pPr>
        <w:pStyle w:val="ManualNumPar1"/>
        <w:rPr>
          <w:noProof/>
        </w:rPr>
      </w:pPr>
      <w:r>
        <w:rPr>
          <w:noProof/>
        </w:rPr>
        <w:t>9.</w:t>
      </w:r>
      <w:r>
        <w:rPr>
          <w:noProof/>
        </w:rPr>
        <w:tab/>
        <w:t xml:space="preserve">În termen de cel mult 30 de zile de la încheierea contractului de achiziții în domeniul cercetării și dezvoltării, achizitorii publici publică un anunț de atribuire a contractului în </w:t>
      </w:r>
      <w:r>
        <w:rPr>
          <w:i/>
          <w:noProof/>
        </w:rPr>
        <w:t>Jurnalul Oficial al Uniunii Europene</w:t>
      </w:r>
      <w:r>
        <w:rPr>
          <w:noProof/>
        </w:rPr>
        <w:t xml:space="preserve"> și, ulterior, și pe portalul lor național de achiziții, cu excepția cazului în care publicarea ar fi contrară intereselor de securitate sau de siguranță publică ale Uniunii sau ale unuia sau mai multor state membre ale sale în sensul articolului 28 alineatul (2).</w:t>
      </w:r>
    </w:p>
    <w:p>
      <w:pPr>
        <w:ind w:left="850"/>
        <w:rPr>
          <w:noProof/>
        </w:rPr>
      </w:pPr>
      <w:r>
        <w:rPr>
          <w:noProof/>
        </w:rPr>
        <w:t xml:space="preserve">Anunțul de atribuire a contractului indică faptul că procedura vizează o achiziție în domeniul cercetării și dezvoltării și se referă la inovare. Achizitorul public include, după caz, mențiunea „achiziție înainte de comercializare” în câmpul „titlul achiziției” și bifează rubrica „inovare” în anunțul de atribuire a contractului. </w:t>
      </w:r>
    </w:p>
    <w:p>
      <w:pPr>
        <w:ind w:left="851"/>
        <w:rPr>
          <w:noProof/>
        </w:rPr>
      </w:pPr>
      <w:r>
        <w:rPr>
          <w:noProof/>
        </w:rPr>
        <w:t>Anunțul de atribuire a contractului include informații privind valoarea contractului sau contractelor atribuit(e) și a oricăror loturi atribuite.</w:t>
      </w:r>
    </w:p>
    <w:p>
      <w:pPr>
        <w:pStyle w:val="Titrearticle"/>
        <w:rPr>
          <w:rFonts w:eastAsia="Times New Roman"/>
          <w:i w:val="0"/>
          <w:iCs/>
          <w:noProof/>
        </w:rPr>
      </w:pPr>
      <w:r>
        <w:rPr>
          <w:noProof/>
        </w:rPr>
        <w:t>Articolul 24</w:t>
      </w:r>
    </w:p>
    <w:p>
      <w:pPr>
        <w:pStyle w:val="NormalCentered"/>
        <w:rPr>
          <w:noProof/>
        </w:rPr>
      </w:pPr>
      <w:bookmarkStart w:id="33" w:name="_Hlk215849181"/>
      <w:r>
        <w:rPr>
          <w:b/>
          <w:noProof/>
        </w:rPr>
        <w:t>Dezvoltarea competitivă în etape</w:t>
      </w:r>
      <w:bookmarkEnd w:id="33"/>
      <w:r>
        <w:rPr>
          <w:b/>
          <w:noProof/>
        </w:rPr>
        <w:t xml:space="preserve"> și evaluarea executării contractului</w:t>
      </w:r>
    </w:p>
    <w:p>
      <w:pPr>
        <w:pStyle w:val="ManualNumPar1"/>
        <w:rPr>
          <w:noProof/>
        </w:rPr>
      </w:pPr>
      <w:r>
        <w:rPr>
          <w:noProof/>
        </w:rPr>
        <w:t>1.</w:t>
      </w:r>
      <w:r>
        <w:rPr>
          <w:noProof/>
        </w:rPr>
        <w:tab/>
        <w:t xml:space="preserve">Achizitorii publici efectuează achiziții în domeniul cercetării și dezvoltării în mai multe faze succesive de cercetare și dezvoltare, care pot include orice combinație de activități de cercetare științifică fundamentală, cercetare industrială și dezvoltare experimentală. </w:t>
      </w:r>
    </w:p>
    <w:p>
      <w:pPr>
        <w:pStyle w:val="ManualNumPar1"/>
        <w:rPr>
          <w:noProof/>
        </w:rPr>
      </w:pPr>
      <w:r>
        <w:rPr>
          <w:noProof/>
        </w:rPr>
        <w:t>2.</w:t>
      </w:r>
      <w:r>
        <w:rPr>
          <w:noProof/>
        </w:rPr>
        <w:tab/>
        <w:t xml:space="preserve">Achizitorii publici pot organiza achiziții accelerate în domeniul cercetării și dezvoltării în cadrul cărora oricare dintre fazele de dezvoltare și testare care fac parte din cercetarea industrială și dezvoltarea experimentală sunt combinate într-o singură fază. </w:t>
      </w:r>
    </w:p>
    <w:p>
      <w:pPr>
        <w:pStyle w:val="ManualNumPar1"/>
        <w:rPr>
          <w:rFonts w:eastAsia="Times New Roman"/>
          <w:noProof/>
        </w:rPr>
      </w:pPr>
      <w:r>
        <w:rPr>
          <w:noProof/>
        </w:rPr>
        <w:t>3.</w:t>
      </w:r>
      <w:r>
        <w:rPr>
          <w:noProof/>
        </w:rPr>
        <w:tab/>
        <w:t>Achizitorii publici organizează fazele de cercetare și dezvoltare astfel încât să se asigure că numărul minim de contracte planificate pentru fiecare fază a procedurii de achiziții în domeniul cercetării și dezvoltării permite existența unei concurențe reale în domeniul cercetării și dezvoltării („dezvoltare competitivă”) între operatorii economici.</w:t>
      </w:r>
    </w:p>
    <w:p>
      <w:pPr>
        <w:pStyle w:val="ManualNumPar1"/>
        <w:rPr>
          <w:rFonts w:eastAsia="Times New Roman"/>
          <w:noProof/>
        </w:rPr>
      </w:pPr>
      <w:r>
        <w:rPr>
          <w:noProof/>
        </w:rPr>
        <w:t>4.</w:t>
      </w:r>
      <w:r>
        <w:rPr>
          <w:noProof/>
        </w:rPr>
        <w:tab/>
        <w:t xml:space="preserve">În cursul fiecărei faze de cercetare și dezvoltare, achizitorii publici evaluează toate propunerile de modificare contractuală bazată pe analiza valorii și, dacă este necesar, modifică în consecință contractele de achiziții în domeniul cercetării și dezvoltării aflate în curs de executare, în conformitate cu dispozițiile privind analiza valorii prevăzute la articolul 21. </w:t>
      </w:r>
    </w:p>
    <w:p>
      <w:pPr>
        <w:pStyle w:val="ManualNumPar1"/>
        <w:rPr>
          <w:rFonts w:eastAsia="Times New Roman"/>
          <w:noProof/>
        </w:rPr>
      </w:pPr>
      <w:r>
        <w:rPr>
          <w:noProof/>
        </w:rPr>
        <w:t>5.</w:t>
      </w:r>
      <w:r>
        <w:rPr>
          <w:noProof/>
        </w:rPr>
        <w:tab/>
        <w:t xml:space="preserve">La sfârșitul fiecărei faze de cercetare și dezvoltare în cadrul achiziției în domeniul cercetării și dezvoltării, achizitorii publici evaluează performanța contractanților pe baza indicatorilor-cheie de performanță referitori la inovare menționați la articolul 24 alineatul (13). </w:t>
      </w:r>
    </w:p>
    <w:p>
      <w:pPr>
        <w:pStyle w:val="ManualNumPar1"/>
        <w:rPr>
          <w:rFonts w:eastAsia="Times New Roman"/>
          <w:noProof/>
        </w:rPr>
      </w:pPr>
      <w:r>
        <w:rPr>
          <w:noProof/>
        </w:rPr>
        <w:t>6.</w:t>
      </w:r>
      <w:r>
        <w:rPr>
          <w:noProof/>
        </w:rPr>
        <w:tab/>
        <w:t xml:space="preserve">Evaluarea stabilește dacă contractantul a finalizat cu succes faza specifică de cercetare și dezvoltare, în funcție de măsura în care rezultatele respectivei faze specifice sunt inovatoare, capabile să îndeplinească cerințele și viabile din punct de vedere comercial. </w:t>
      </w:r>
    </w:p>
    <w:p>
      <w:pPr>
        <w:pStyle w:val="ManualNumPar1"/>
        <w:rPr>
          <w:rFonts w:eastAsia="Times New Roman"/>
          <w:noProof/>
          <w:szCs w:val="24"/>
        </w:rPr>
      </w:pPr>
      <w:r>
        <w:rPr>
          <w:noProof/>
        </w:rPr>
        <w:t>7.</w:t>
      </w:r>
      <w:r>
        <w:rPr>
          <w:noProof/>
        </w:rPr>
        <w:tab/>
        <w:t xml:space="preserve">În cazul în care, în urma evaluării, se stabilește că contractantul nu a finalizat cu succes o anumită fază, achizitorul public poate rezilia contractul de achiziții în domeniul cercetării și dezvoltării cu contractantul respectiv. Cu toate acestea, în cazul în care contractantul respectiv a îndeplinit în mod satisfăcător toate sarcinile solicitate și a furnizat toate livrabilele solicitate, acesta are dreptul la plata aferentă fazei respective, astfel cum s-a convenit în contractul de achiziții în domeniul cercetării și dezvoltării. </w:t>
      </w:r>
    </w:p>
    <w:p>
      <w:pPr>
        <w:pStyle w:val="ManualNumPar1"/>
        <w:rPr>
          <w:rFonts w:eastAsia="Times New Roman"/>
          <w:noProof/>
        </w:rPr>
      </w:pPr>
      <w:r>
        <w:rPr>
          <w:noProof/>
        </w:rPr>
        <w:t>8.</w:t>
      </w:r>
      <w:r>
        <w:rPr>
          <w:noProof/>
        </w:rPr>
        <w:tab/>
        <w:t>În cazul în care, în cadrul unui contract de achiziții în domeniul cercetării și dezvoltării, contractanții au pus în aplicare propuneri de modificare contractuală bazată pe analiza valorii care au condus la economii nete de costuri pentru achizitorul public, achizitorul public plătește contractantului cota care îi revine din economiile respective în conformitate cu metoda de plată a analizei valorii convenită.</w:t>
      </w:r>
    </w:p>
    <w:p>
      <w:pPr>
        <w:pStyle w:val="ManualNumPar1"/>
        <w:rPr>
          <w:noProof/>
        </w:rPr>
      </w:pPr>
      <w:r>
        <w:rPr>
          <w:noProof/>
        </w:rPr>
        <w:t>9.</w:t>
      </w:r>
      <w:r>
        <w:rPr>
          <w:noProof/>
        </w:rPr>
        <w:tab/>
        <w:t xml:space="preserve">Prin rezilierea contractelor de achiziții în domeniul cercetării și dezvoltării la sfârșitul unei faze, astfel cum se menționează la alineatul (7), și prin selectarea celor mai bune oferte pentru faza următoare, achizitorul public poate reduce numărul contractanților după finalizarea fiecărei faze. </w:t>
      </w:r>
    </w:p>
    <w:p>
      <w:pPr>
        <w:pStyle w:val="ManualNumPar1"/>
        <w:rPr>
          <w:noProof/>
        </w:rPr>
      </w:pPr>
      <w:r>
        <w:rPr>
          <w:noProof/>
        </w:rPr>
        <w:t>10.</w:t>
      </w:r>
      <w:r>
        <w:rPr>
          <w:noProof/>
        </w:rPr>
        <w:tab/>
        <w:t xml:space="preserve">În cazul în care, în pofida tuturor eforturilor depuse de achizitorul public pentru a asigura dezvoltarea competitivă în toate fazele menționate la alineatul (3), achizitorul public a reziliat un contract de achiziții în domeniul cercetării și dezvoltării la sfârșitul unei faze, astfel cum se menționează la alineatul (7), sau primește un număr insuficient de oferte de bună calitate pentru a permite selectarea mai multor contractanți pentru faza următoare, achizitorul public poate permite operatorilor economici care nu au participat la fazele anterioare și care nu au participat la procedura inițială de achiziții în domeniul cercetării și dezvoltării să depună oferte numai pentru faza rămasă sau fazele rămase în vederea încheierii unor contracte specifice. În cazul în care achizitorul public dorește să utilizeze această opțiune, achizitorul public păstrează posibilitatea ca operatorii economici care nu au participat la etapele anterioare să își exprime interesul de a participa la fazele ulterioare ale achiziției în domeniul cercetării și dezvoltării, până în momentul selectării contractanților pentru ultima fază de cercetare și dezvoltare. Orice astfel de operatori economici sunt selectați pe baza acelorași motive de excludere, criterii de selecție, cerințe minime și criterii de atribuire ca și alți contractanți care au participat la fazele anterioare. </w:t>
      </w:r>
    </w:p>
    <w:p>
      <w:pPr>
        <w:pStyle w:val="ManualNumPar1"/>
        <w:rPr>
          <w:noProof/>
        </w:rPr>
      </w:pPr>
      <w:r>
        <w:rPr>
          <w:noProof/>
        </w:rPr>
        <w:t>11.</w:t>
      </w:r>
      <w:r>
        <w:rPr>
          <w:noProof/>
        </w:rPr>
        <w:tab/>
        <w:t xml:space="preserve">În cazul în care, în pofida tuturor eforturilor depuse de achizitorul public pentru a asigura dezvoltarea competitivă în toate fazele menționate la alineatele (3) și (10), achizitorul public a reziliat un contract de achiziții în domeniul cercetării și dezvoltării la sfârșitul unei faze, astfel cum se menționează la alineatul (7), sau primește un număr insuficient de oferte de bună calitate pentru a permite selectarea mai multor contractanți pentru faza următoare, achizitorul public poate trece la faza următoare cu un singur contractant. </w:t>
      </w:r>
    </w:p>
    <w:p>
      <w:pPr>
        <w:pStyle w:val="ManualNumPar1"/>
        <w:rPr>
          <w:noProof/>
        </w:rPr>
      </w:pPr>
      <w:r>
        <w:rPr>
          <w:noProof/>
        </w:rPr>
        <w:t>12.</w:t>
      </w:r>
      <w:r>
        <w:rPr>
          <w:noProof/>
        </w:rPr>
        <w:tab/>
        <w:t>Prin derogare de la alineatele (1)-(11), dacă acest lucru este justificat de oricare dintre următoarele motive, care se specifică în documentele achiziției, achizitorii publici pot decide să nu organizeze procedura de achiziții în domeniul cercetării și dezvoltării în mai multe faze succesive de cercetare și dezvoltare în următoarele cazuri:</w:t>
      </w:r>
    </w:p>
    <w:p>
      <w:pPr>
        <w:pStyle w:val="Point1"/>
        <w:rPr>
          <w:noProof/>
        </w:rPr>
      </w:pPr>
      <w:r>
        <w:rPr>
          <w:noProof/>
        </w:rPr>
        <w:t>(a)</w:t>
      </w:r>
      <w:r>
        <w:rPr>
          <w:noProof/>
        </w:rPr>
        <w:tab/>
        <w:t>pentru procedurile de achiziții în domeniul cercetării și dezvoltării care au ca unic obiect achiziționarea de servicii de consultanță în materie de cercetare și dezvoltare, astfel cum sunt reglementate de codurile CPV 73200000-4, 73210000-7 și 73220000-0;</w:t>
      </w:r>
    </w:p>
    <w:p>
      <w:pPr>
        <w:pStyle w:val="Point1"/>
        <w:rPr>
          <w:noProof/>
        </w:rPr>
      </w:pPr>
      <w:r>
        <w:rPr>
          <w:noProof/>
        </w:rPr>
        <w:t>(b)</w:t>
      </w:r>
      <w:r>
        <w:rPr>
          <w:noProof/>
        </w:rPr>
        <w:tab/>
        <w:t xml:space="preserve">pentru achizițiile publice în domeniul cercetării și dezvoltării care nu sunt achiziții înainte de comercializare, al căror obiect se referă la servicii de cercetare și dezvoltare care sunt limitate la un singur nivel de maturitate tehnologică, iar respectivele servicii de cercetare și dezvoltare au un domeniu de aplicare prea restrâns pentru a permite împărțirea activităților de cercetare și dezvoltare în mai multe faze. </w:t>
      </w:r>
    </w:p>
    <w:p>
      <w:pPr>
        <w:ind w:left="851"/>
        <w:rPr>
          <w:noProof/>
        </w:rPr>
      </w:pPr>
      <w:r>
        <w:rPr>
          <w:noProof/>
        </w:rPr>
        <w:t>Comisia este împuternicită să adopte acte delegate în conformitate cu articolul 39 pentru a modifica lista cazurilor prevăzute la primul paragraf de la prezentul alineat, ținând seama de următoarele criterii:</w:t>
      </w:r>
    </w:p>
    <w:p>
      <w:pPr>
        <w:pStyle w:val="Point1"/>
        <w:rPr>
          <w:noProof/>
        </w:rPr>
      </w:pPr>
      <w:r>
        <w:rPr>
          <w:noProof/>
        </w:rPr>
        <w:t>(a)</w:t>
      </w:r>
      <w:r>
        <w:rPr>
          <w:noProof/>
        </w:rPr>
        <w:tab/>
        <w:t>impactul asupra intensificării comercializării rezultatelor în materie de cercetare și dezvoltare;</w:t>
      </w:r>
    </w:p>
    <w:p>
      <w:pPr>
        <w:pStyle w:val="Point1"/>
        <w:rPr>
          <w:noProof/>
        </w:rPr>
      </w:pPr>
      <w:r>
        <w:rPr>
          <w:noProof/>
        </w:rPr>
        <w:t>(b)</w:t>
      </w:r>
      <w:r>
        <w:rPr>
          <w:noProof/>
        </w:rPr>
        <w:tab/>
        <w:t>impactul asupra îmbunătățirii accesului întreprinderilor inovatoare, inclusiv, în special, al start-upurilor și al întreprinderilor inovatoare în fază de extindere, precum și al noilor operatori intrați pe piață;</w:t>
      </w:r>
    </w:p>
    <w:p>
      <w:pPr>
        <w:pStyle w:val="Point1"/>
        <w:rPr>
          <w:noProof/>
        </w:rPr>
      </w:pPr>
      <w:r>
        <w:rPr>
          <w:noProof/>
        </w:rPr>
        <w:t>(c)</w:t>
      </w:r>
      <w:r>
        <w:rPr>
          <w:noProof/>
        </w:rPr>
        <w:tab/>
        <w:t>impactul asupra dezvoltării socioeconomice sau tehnologice în Uniune;</w:t>
      </w:r>
    </w:p>
    <w:p>
      <w:pPr>
        <w:pStyle w:val="Point1"/>
        <w:rPr>
          <w:noProof/>
        </w:rPr>
      </w:pPr>
      <w:r>
        <w:rPr>
          <w:noProof/>
        </w:rPr>
        <w:t>(d)</w:t>
      </w:r>
      <w:r>
        <w:rPr>
          <w:noProof/>
        </w:rPr>
        <w:tab/>
        <w:t>impactul asupra autonomiei strategice și a securității economice a Uniunii;</w:t>
      </w:r>
    </w:p>
    <w:p>
      <w:pPr>
        <w:pStyle w:val="Point1"/>
        <w:rPr>
          <w:noProof/>
        </w:rPr>
      </w:pPr>
      <w:r>
        <w:rPr>
          <w:noProof/>
        </w:rPr>
        <w:t>(e)</w:t>
      </w:r>
      <w:r>
        <w:rPr>
          <w:noProof/>
        </w:rPr>
        <w:tab/>
        <w:t>impactul asupra protejării intereselor publice.</w:t>
      </w:r>
    </w:p>
    <w:p>
      <w:pPr>
        <w:pStyle w:val="ManualNumPar1"/>
        <w:rPr>
          <w:noProof/>
        </w:rPr>
      </w:pPr>
      <w:r>
        <w:rPr>
          <w:noProof/>
        </w:rPr>
        <w:t>13.</w:t>
      </w:r>
      <w:r>
        <w:rPr>
          <w:noProof/>
        </w:rPr>
        <w:tab/>
        <w:t>Achizitorii publici:</w:t>
      </w:r>
    </w:p>
    <w:p>
      <w:pPr>
        <w:pStyle w:val="Point1"/>
        <w:rPr>
          <w:noProof/>
        </w:rPr>
      </w:pPr>
      <w:r>
        <w:rPr>
          <w:noProof/>
        </w:rPr>
        <w:t>(a)</w:t>
      </w:r>
      <w:r>
        <w:rPr>
          <w:noProof/>
        </w:rPr>
        <w:tab/>
        <w:t xml:space="preserve">evaluează periodic performanța contractanților pe baza indicatorilor-cheie de performanță referitori la inovare, care includ respectarea calendarului, ținerea sub control a costurilor și asigurarea calității preconizate în ceea ce privește îndeplinirea cerințelor minime menționate la articolul 10 alineatul (1) litera (f), a cerințelor funcționale sau a cerințelor de performanță menționate la articolul 18, precum și a criteriilor de atribuire, inclusiv a criteriilor de atribuire legate de inovare, menționate la articolul 17; </w:t>
      </w:r>
    </w:p>
    <w:p>
      <w:pPr>
        <w:pStyle w:val="Point1"/>
        <w:rPr>
          <w:noProof/>
        </w:rPr>
      </w:pPr>
      <w:r>
        <w:rPr>
          <w:noProof/>
        </w:rPr>
        <w:t>(b)</w:t>
      </w:r>
      <w:r>
        <w:rPr>
          <w:noProof/>
        </w:rPr>
        <w:tab/>
        <w:t xml:space="preserve">în cazul în care, în urma evaluării menționate la litera (a), ajung la concluzia că executarea contractului nu respectă indicatorii-cheie de performanță inovare, solicită contractanților să ia măsuri corective pentru a realiza executarea contractului convenită în contractul de achiziții în domeniul cercetării și dezvoltării; în cazul în care un contractant nu ia măsurile corective necesare, achizitorii publici pot rezilia contractul de achiziții în domeniul cercetării și dezvoltării cu contractantul respectiv; </w:t>
      </w:r>
    </w:p>
    <w:p>
      <w:pPr>
        <w:pStyle w:val="Point1"/>
        <w:rPr>
          <w:rFonts w:eastAsia="Times New Roman"/>
          <w:noProof/>
        </w:rPr>
      </w:pPr>
      <w:r>
        <w:rPr>
          <w:noProof/>
        </w:rPr>
        <w:t>(c)</w:t>
      </w:r>
      <w:r>
        <w:rPr>
          <w:noProof/>
        </w:rPr>
        <w:tab/>
        <w:t xml:space="preserve">în cazul în care este utilizată analiza valorii pentru a îmbunătăți executarea contractului pe parcursul procedurii de achiziții în domeniul cercetării și dezvoltării, în conformitate cu articolul 21, iau în considerare propunerile de modificare rezultate în urma analizei valorii care au fost acceptate atunci când evaluează executarea contractului și atunci când plătesc contractantului partea sa din economiile de costuri rezultate din propunerile de modificare rezultate în urma analizei valorii acceptate. </w:t>
      </w:r>
    </w:p>
    <w:p>
      <w:pPr>
        <w:pStyle w:val="Titrearticle"/>
        <w:rPr>
          <w:noProof/>
        </w:rPr>
      </w:pPr>
      <w:r>
        <w:rPr>
          <w:noProof/>
        </w:rPr>
        <w:t>Articolul 25</w:t>
      </w:r>
    </w:p>
    <w:p>
      <w:pPr>
        <w:pStyle w:val="NormalCentered"/>
        <w:rPr>
          <w:noProof/>
        </w:rPr>
      </w:pPr>
      <w:r>
        <w:rPr>
          <w:b/>
          <w:noProof/>
        </w:rPr>
        <w:t>Plăți</w:t>
      </w:r>
    </w:p>
    <w:p>
      <w:pPr>
        <w:pStyle w:val="ManualNumPar1"/>
        <w:rPr>
          <w:noProof/>
        </w:rPr>
      </w:pPr>
      <w:r>
        <w:rPr>
          <w:noProof/>
        </w:rPr>
        <w:t>1.</w:t>
      </w:r>
      <w:r>
        <w:rPr>
          <w:noProof/>
        </w:rPr>
        <w:tab/>
        <w:t>Fără a aduce atingere obligațiilor care le revin în temeiul Directivei 2011/7/UE a Parlamentului European și a Consiliului</w:t>
      </w:r>
      <w:r>
        <w:rPr>
          <w:rStyle w:val="FootnoteReference"/>
          <w:noProof/>
        </w:rPr>
        <w:footnoteReference w:id="50"/>
      </w:r>
      <w:r>
        <w:rPr>
          <w:noProof/>
        </w:rPr>
        <w:t>, achizitorii publici asigură plata la timp a contractanților și, după caz, a subcontractanților.</w:t>
      </w:r>
    </w:p>
    <w:p>
      <w:pPr>
        <w:pStyle w:val="ManualNumPar1"/>
        <w:rPr>
          <w:noProof/>
        </w:rPr>
      </w:pPr>
      <w:r>
        <w:rPr>
          <w:noProof/>
        </w:rPr>
        <w:t>2.</w:t>
      </w:r>
      <w:r>
        <w:rPr>
          <w:noProof/>
        </w:rPr>
        <w:tab/>
        <w:t>În cadrul condițiilor de executare a contractului de achiziții în domeniul cercetării și dezvoltării, achizitorii publici pot prevedea obligația contractanților de a asigura, de-a lungul lanțului de aprovizionare, condiții de plată echivalente, astfel cum se prevede în dispozițiile relevante din Directiva 2011/7/UE a Parlamentului European și a Consiliului.</w:t>
      </w:r>
    </w:p>
    <w:p>
      <w:pPr>
        <w:pStyle w:val="ManualNumPar1"/>
        <w:rPr>
          <w:noProof/>
        </w:rPr>
      </w:pPr>
      <w:r>
        <w:rPr>
          <w:noProof/>
        </w:rPr>
        <w:t>3.</w:t>
      </w:r>
      <w:r>
        <w:rPr>
          <w:noProof/>
        </w:rPr>
        <w:tab/>
        <w:t>Cu excepția cazului în care acest lucru este justificat de un interes superior al achizitorului public, achizitorul public prevede o plată în avans corespunzătoare către contractant.</w:t>
      </w:r>
    </w:p>
    <w:p>
      <w:pPr>
        <w:pStyle w:val="ManualNumPar1"/>
        <w:rPr>
          <w:noProof/>
        </w:rPr>
      </w:pPr>
      <w:r>
        <w:rPr>
          <w:noProof/>
        </w:rPr>
        <w:t>4.</w:t>
      </w:r>
      <w:r>
        <w:rPr>
          <w:noProof/>
        </w:rPr>
        <w:tab/>
        <w:t xml:space="preserve">La cererea subcontractantului și atunci când natura contractului de achiziții în domeniul cercetării și dezvoltării permite acest lucru, achizitorul public transferă plățile datorate direct subcontractantului pentru serviciile, produsele sau lucrările în materie de cercetare și dezvoltare furnizate contractorului principal. Printre aceste măsuri se pot număra mecanisme corespunzătoare care să permită contractantului principal să formuleze obiecții cu privire la plățile necuvenite. Dispozițiile privind această modalitate de plată se includ în documentele achiziției. </w:t>
      </w:r>
    </w:p>
    <w:p>
      <w:pPr>
        <w:pStyle w:val="Titrearticle"/>
        <w:rPr>
          <w:rFonts w:eastAsia="Times New Roman"/>
          <w:noProof/>
        </w:rPr>
      </w:pPr>
      <w:r>
        <w:rPr>
          <w:noProof/>
        </w:rPr>
        <w:t>Articolul 26</w:t>
      </w:r>
    </w:p>
    <w:p>
      <w:pPr>
        <w:pStyle w:val="NormalCentered"/>
        <w:rPr>
          <w:rFonts w:eastAsia="Times New Roman"/>
          <w:b/>
          <w:bCs/>
          <w:noProof/>
        </w:rPr>
      </w:pPr>
      <w:r>
        <w:rPr>
          <w:b/>
          <w:noProof/>
        </w:rPr>
        <w:t>Confidențialitate și protecția datelor</w:t>
      </w:r>
    </w:p>
    <w:p>
      <w:pPr>
        <w:pStyle w:val="ManualNumPar1"/>
        <w:rPr>
          <w:noProof/>
        </w:rPr>
      </w:pPr>
      <w:r>
        <w:rPr>
          <w:noProof/>
        </w:rPr>
        <w:t>1.</w:t>
      </w:r>
      <w:r>
        <w:rPr>
          <w:noProof/>
        </w:rPr>
        <w:tab/>
        <w:t>Fără a aduce atingere dreptului Uniunii și dreptului intern aplicabil, achizitorii publici nu divulgă, fără un acord scris prealabil, informațiile care le-au fost furnizate de operatorii economici în cadrul consultărilor pieței, de ofertanți în timpul sau după procedura de ofertare, de contractanți în cursul executării contractului sau de foști contractanți după încheierea achiziției în domeniul cercetării și dezvoltării, pe care acești operatori economici le-au desemnat drept confidențiale, inclusiv secretele tehnice sau comerciale și aspectele confidențiale ale ofertelor. De asemenea, ofertanții, contractanții sau foștii contractanți nu divulgă, fără un acord scris prealabil, informațiile care le-au fost furnizate de achizitorii publici și pe care achizitorii publici le-au desemnat ca fiind confidențiale. Acordul scris prealabil nu ia forma unei renunțări generale, ci este dat cu referire la comunicarea preconizată a informațiilor confidențiale specifice.</w:t>
      </w:r>
    </w:p>
    <w:p>
      <w:pPr>
        <w:pStyle w:val="ManualNumPar1"/>
        <w:rPr>
          <w:noProof/>
        </w:rPr>
      </w:pPr>
      <w:r>
        <w:rPr>
          <w:noProof/>
        </w:rPr>
        <w:t>2.</w:t>
      </w:r>
      <w:r>
        <w:rPr>
          <w:noProof/>
        </w:rPr>
        <w:tab/>
        <w:t>Achizitorii publici asigură respectarea normelor de protecție a datelor cu caracter personal prevăzute în Regulamentul (UE) 2016/679 și în Directiva 2002/58/CE, precum și în dreptul intern aplicabil, în cadrul tuturor schimburilor și publicărilor de informații efectuate în cursul consultării pieței, al procedurii de ofertare, al executării contractului, precum și după finalizarea achiziției publice în domeniul cercetării și dezvoltării.</w:t>
      </w:r>
    </w:p>
    <w:p>
      <w:pPr>
        <w:pStyle w:val="ManualNumPar1"/>
        <w:rPr>
          <w:noProof/>
        </w:rPr>
      </w:pPr>
      <w:r>
        <w:rPr>
          <w:noProof/>
        </w:rPr>
        <w:t>3.</w:t>
      </w:r>
      <w:r>
        <w:rPr>
          <w:noProof/>
        </w:rPr>
        <w:tab/>
        <w:t>Achizitorii publici specifică în documentele achiziției menționate la articolul 10 orice cerințe privind localizarea datelor cu caracter personal prelucrate de contractant și accesul la acestea. Aceste cerințe pot include următoarele:</w:t>
      </w:r>
    </w:p>
    <w:p>
      <w:pPr>
        <w:pStyle w:val="Point1"/>
        <w:ind w:left="1276" w:hanging="425"/>
        <w:rPr>
          <w:noProof/>
        </w:rPr>
      </w:pPr>
      <w:r>
        <w:rPr>
          <w:noProof/>
        </w:rPr>
        <w:t>(a)</w:t>
      </w:r>
      <w:r>
        <w:rPr>
          <w:noProof/>
        </w:rPr>
        <w:tab/>
        <w:t xml:space="preserve">datele cu caracter personal se prelucrează numai pe teritoriul țărilor menționate la articolul 11 alineatul (1) și nu pot fi retrase de pe teritoriul respectiv; </w:t>
      </w:r>
    </w:p>
    <w:p>
      <w:pPr>
        <w:pStyle w:val="ManualNumPar4"/>
        <w:ind w:left="1276" w:hanging="425"/>
        <w:rPr>
          <w:noProof/>
        </w:rPr>
      </w:pPr>
      <w:r>
        <w:rPr>
          <w:noProof/>
        </w:rPr>
        <w:t>(b)</w:t>
      </w:r>
      <w:r>
        <w:rPr>
          <w:noProof/>
        </w:rPr>
        <w:tab/>
        <w:t xml:space="preserve">datele se păstrează numai în centre de date situate pe teritoriul țărilor menționate la articolul 11 alineatul (1); </w:t>
      </w:r>
    </w:p>
    <w:p>
      <w:pPr>
        <w:pStyle w:val="ManualNumPar4"/>
        <w:ind w:left="1276" w:hanging="425"/>
        <w:rPr>
          <w:noProof/>
        </w:rPr>
      </w:pPr>
      <w:r>
        <w:rPr>
          <w:noProof/>
        </w:rPr>
        <w:t>(c)</w:t>
      </w:r>
      <w:r>
        <w:rPr>
          <w:noProof/>
        </w:rPr>
        <w:tab/>
        <w:t>accesul la aceste date nu este permis din afara țărilor menționate la articolul 11 alineatul (1);</w:t>
      </w:r>
    </w:p>
    <w:p>
      <w:pPr>
        <w:pStyle w:val="ManualNumPar4"/>
        <w:ind w:left="1276" w:hanging="425"/>
        <w:rPr>
          <w:noProof/>
        </w:rPr>
      </w:pPr>
      <w:r>
        <w:rPr>
          <w:noProof/>
        </w:rPr>
        <w:t>(d)</w:t>
      </w:r>
      <w:r>
        <w:rPr>
          <w:noProof/>
        </w:rPr>
        <w:tab/>
        <w:t xml:space="preserve">contractantul nu poate schimba locul de prelucrare a datelor fără autorizația scrisă prealabilă a achizitorului public; </w:t>
      </w:r>
    </w:p>
    <w:p>
      <w:pPr>
        <w:pStyle w:val="ManualNumPar4"/>
        <w:ind w:left="1276" w:hanging="425"/>
        <w:rPr>
          <w:noProof/>
        </w:rPr>
      </w:pPr>
      <w:r>
        <w:rPr>
          <w:noProof/>
        </w:rPr>
        <w:t>(e)</w:t>
      </w:r>
      <w:r>
        <w:rPr>
          <w:noProof/>
        </w:rPr>
        <w:tab/>
        <w:t>orice transfer de date cu caracter personal în temeiul contractului de achiziții în domeniul cercetării și dezvoltării către țări terțe sau organizații internaționale respectă pe deplin cerințele prevăzute în Regulamentul (UE) 2016/679.</w:t>
      </w:r>
    </w:p>
    <w:p>
      <w:pPr>
        <w:pStyle w:val="Text1"/>
        <w:rPr>
          <w:noProof/>
          <w:sz w:val="2"/>
          <w:szCs w:val="2"/>
        </w:rPr>
      </w:pPr>
    </w:p>
    <w:p>
      <w:pPr>
        <w:pStyle w:val="Titrearticle"/>
        <w:rPr>
          <w:noProof/>
        </w:rPr>
      </w:pPr>
      <w:r>
        <w:rPr>
          <w:noProof/>
        </w:rPr>
        <w:t>Articolul 27</w:t>
      </w:r>
    </w:p>
    <w:p>
      <w:pPr>
        <w:pStyle w:val="NormalCentered"/>
        <w:rPr>
          <w:noProof/>
        </w:rPr>
      </w:pPr>
      <w:r>
        <w:rPr>
          <w:b/>
          <w:noProof/>
        </w:rPr>
        <w:t>Rezilierea contractelor de achiziții în domeniul cercetării și dezvoltării</w:t>
      </w:r>
    </w:p>
    <w:p>
      <w:pPr>
        <w:rPr>
          <w:noProof/>
        </w:rPr>
      </w:pPr>
      <w:r>
        <w:rPr>
          <w:noProof/>
        </w:rPr>
        <w:t>Fără a aduce atingere oricăror alte motive de reziliere prevăzute în prezentul act sau în legislația națională aplicabilă, achizitorii publici reziliază contractul de achiziții în domeniul cercetării și dezvoltării în cazul în care:</w:t>
      </w:r>
    </w:p>
    <w:p>
      <w:pPr>
        <w:pStyle w:val="Point0"/>
        <w:rPr>
          <w:noProof/>
        </w:rPr>
      </w:pPr>
      <w:r>
        <w:rPr>
          <w:noProof/>
        </w:rPr>
        <w:t>(a)</w:t>
      </w:r>
      <w:r>
        <w:rPr>
          <w:noProof/>
        </w:rPr>
        <w:tab/>
        <w:t>operatorul economic face obiectul unei hotărâri definitive de condamnare pentru unul dintre motivele obligatorii de excludere menționate la articolul 13, cu excepția cazului în care achizitorul public stabilește că o astfel de reziliere nu este justificată de motive de interes public major, iar hotărârea definitivă nu împiedică acest lucru;</w:t>
      </w:r>
    </w:p>
    <w:p>
      <w:pPr>
        <w:pStyle w:val="Point0"/>
        <w:rPr>
          <w:noProof/>
        </w:rPr>
      </w:pPr>
      <w:r>
        <w:rPr>
          <w:noProof/>
        </w:rPr>
        <w:t>(b)</w:t>
      </w:r>
      <w:r>
        <w:rPr>
          <w:noProof/>
        </w:rPr>
        <w:tab/>
        <w:t>contractul de achiziții în domeniul cercetării și dezvoltării sau contractul modificat nu ar fi trebuit să fie atribuit contractantului respectiv, având în vedere o încălcare gravă a obligațiilor care rezultă din tratate și din prezentul regulament, declarată de Curtea de Justiție a Uniunii Europene printr-o procedură în temeiul articolului 258 din tratat.</w:t>
      </w:r>
    </w:p>
    <w:p>
      <w:pPr>
        <w:spacing w:after="360"/>
        <w:jc w:val="center"/>
        <w:rPr>
          <w:rFonts w:eastAsia="Times New Roman"/>
          <w:b/>
          <w:bCs/>
          <w:smallCaps/>
          <w:noProof/>
          <w:sz w:val="28"/>
          <w:szCs w:val="28"/>
        </w:rPr>
      </w:pPr>
    </w:p>
    <w:p>
      <w:pPr>
        <w:keepNext/>
        <w:spacing w:after="360"/>
        <w:jc w:val="center"/>
        <w:rPr>
          <w:noProof/>
        </w:rPr>
      </w:pPr>
      <w:r>
        <w:rPr>
          <w:b/>
          <w:smallCaps/>
          <w:noProof/>
          <w:sz w:val="28"/>
        </w:rPr>
        <w:t>Secțiunea 2</w:t>
      </w:r>
      <w:r>
        <w:rPr>
          <w:noProof/>
        </w:rPr>
        <w:br/>
      </w:r>
      <w:r>
        <w:rPr>
          <w:b/>
          <w:smallCaps/>
          <w:noProof/>
          <w:sz w:val="28"/>
        </w:rPr>
        <w:t xml:space="preserve">securitate </w:t>
      </w:r>
    </w:p>
    <w:p>
      <w:pPr>
        <w:pStyle w:val="Titrearticle"/>
        <w:rPr>
          <w:noProof/>
        </w:rPr>
      </w:pPr>
      <w:r>
        <w:rPr>
          <w:noProof/>
        </w:rPr>
        <w:t>Articolul 28</w:t>
      </w:r>
    </w:p>
    <w:p>
      <w:pPr>
        <w:pStyle w:val="NormalCentered"/>
        <w:keepNext/>
        <w:rPr>
          <w:noProof/>
        </w:rPr>
      </w:pPr>
      <w:r>
        <w:rPr>
          <w:b/>
          <w:noProof/>
        </w:rPr>
        <w:t xml:space="preserve">Considerente de securitate în achizițiile în domeniul cercetării și dezvoltării </w:t>
      </w:r>
    </w:p>
    <w:p>
      <w:pPr>
        <w:pStyle w:val="ManualNumPar1"/>
        <w:rPr>
          <w:noProof/>
        </w:rPr>
      </w:pPr>
      <w:r>
        <w:rPr>
          <w:noProof/>
        </w:rPr>
        <w:t>1.</w:t>
      </w:r>
      <w:r>
        <w:rPr>
          <w:noProof/>
        </w:rPr>
        <w:tab/>
        <w:t>Achizitorii publici iau măsurile adecvate, în plus față de măsurile cerute sau impuse în temeiul altor acte legislative ale Uniunii, după caz, în orice etapă a procedurii de achiziții în domeniul cercetării și dezvoltării, de la planificare și consultarea pieței până la atribuirea contractelor și executarea contractelor, pentru a asigura protecția intereselor de securitate și siguranță publică ale Uniunii sau ale unuia sau mai multor state membre pentru orice procedură de achiziții în domeniul cercetării și dezvoltării identificată ca prezentând sau implicând un risc pentru securitate sau siguranța publică. Prezentul capitol nu aduce atingere altor cerințe prevăzute în legislația relevantă a Uniunii.</w:t>
      </w:r>
    </w:p>
    <w:p>
      <w:pPr>
        <w:pStyle w:val="ManualNumPar1"/>
        <w:rPr>
          <w:noProof/>
        </w:rPr>
      </w:pPr>
      <w:r>
        <w:rPr>
          <w:noProof/>
        </w:rPr>
        <w:t>2.</w:t>
      </w:r>
      <w:r>
        <w:rPr>
          <w:noProof/>
        </w:rPr>
        <w:tab/>
        <w:t xml:space="preserve">Interesele de securitate și de siguranță publică ale Uniunii sau ale unui stat membru relevante pentru un anumit contract de achiziții în domeniul cercetării și dezvoltării </w:t>
      </w:r>
      <w:bookmarkStart w:id="34" w:name="_Hlk233454973"/>
      <w:r>
        <w:rPr>
          <w:noProof/>
        </w:rPr>
        <w:t>pot include, dar nu se limitează la următoarele</w:t>
      </w:r>
      <w:bookmarkEnd w:id="34"/>
      <w:r>
        <w:rPr>
          <w:noProof/>
        </w:rPr>
        <w:t>:</w:t>
      </w:r>
    </w:p>
    <w:p>
      <w:pPr>
        <w:pStyle w:val="Point1"/>
        <w:rPr>
          <w:noProof/>
        </w:rPr>
      </w:pPr>
      <w:r>
        <w:rPr>
          <w:noProof/>
        </w:rPr>
        <w:t>(a)</w:t>
      </w:r>
      <w:r>
        <w:rPr>
          <w:noProof/>
        </w:rPr>
        <w:tab/>
      </w:r>
      <w:bookmarkStart w:id="35" w:name="_Hlk233454989"/>
      <w:r>
        <w:rPr>
          <w:noProof/>
        </w:rPr>
        <w:t>protecția infrastructurii critice, a infrastructurii strategice cu dublă utilizare, identificată de statele membre în conformitate cu [articolul 33 din Regulamentul privind mobilitatea militară], în special pentru cele situate pe un coridor de mobilitate militară, a serviciilor esențiale, a lanțurilor de aprovizionare critice, a tehnologiilor critice, a rezilienței împotriva amenințărilor fizice, cibernetice sau hibride, precum și prevenirea și protecția împotriva riscurilor de perturbare, inclusiv din cauza dependențelor strategice dăunătoare de furnizorii din țări terțe;</w:t>
      </w:r>
    </w:p>
    <w:p>
      <w:pPr>
        <w:pStyle w:val="Point1"/>
        <w:rPr>
          <w:noProof/>
        </w:rPr>
      </w:pPr>
      <w:r>
        <w:rPr>
          <w:noProof/>
        </w:rPr>
        <w:t>(b)</w:t>
      </w:r>
      <w:r>
        <w:rPr>
          <w:noProof/>
        </w:rPr>
        <w:tab/>
        <w:t>prevenirea spionajului, a sabotajului sau a scurgerilor de tehnologie;</w:t>
      </w:r>
    </w:p>
    <w:p>
      <w:pPr>
        <w:pStyle w:val="Point1"/>
        <w:rPr>
          <w:noProof/>
        </w:rPr>
      </w:pPr>
      <w:r>
        <w:rPr>
          <w:noProof/>
        </w:rPr>
        <w:t>(c)</w:t>
      </w:r>
      <w:r>
        <w:rPr>
          <w:noProof/>
        </w:rPr>
        <w:tab/>
        <w:t>pregătirea pentru situații de criză, inclusiv continuitatea activității și planificarea măsurilor de contingență în caz de dezastre naturale sau instabilitate geopolitică, pandemii sau atacuri cibernetice;</w:t>
      </w:r>
    </w:p>
    <w:p>
      <w:pPr>
        <w:pStyle w:val="Point1"/>
        <w:rPr>
          <w:noProof/>
        </w:rPr>
      </w:pPr>
      <w:r>
        <w:rPr>
          <w:noProof/>
        </w:rPr>
        <w:t>(d)</w:t>
      </w:r>
      <w:r>
        <w:rPr>
          <w:noProof/>
        </w:rPr>
        <w:tab/>
        <w:t>prevenirea altor interferențe dăunătoare, inclusiv a influenței exercitate de țări terțe și a influenței exercitate de state terțe sau controlate de acestea;</w:t>
      </w:r>
    </w:p>
    <w:p>
      <w:pPr>
        <w:pStyle w:val="Point1"/>
        <w:rPr>
          <w:noProof/>
        </w:rPr>
      </w:pPr>
      <w:r>
        <w:rPr>
          <w:noProof/>
        </w:rPr>
        <w:t>(e)</w:t>
      </w:r>
      <w:r>
        <w:rPr>
          <w:noProof/>
        </w:rPr>
        <w:tab/>
        <w:t>securitatea cibernetică a sistemelor, rețelelor și datelor prelucrate;</w:t>
      </w:r>
    </w:p>
    <w:p>
      <w:pPr>
        <w:pStyle w:val="Point1"/>
        <w:rPr>
          <w:noProof/>
        </w:rPr>
      </w:pPr>
      <w:r>
        <w:rPr>
          <w:noProof/>
        </w:rPr>
        <w:t>(f)</w:t>
      </w:r>
      <w:r>
        <w:rPr>
          <w:noProof/>
        </w:rPr>
        <w:tab/>
        <w:t>protecția informațiilor clasificate, a datelor sensibile, a activităților de cercetare sau a proprietății intelectuale împotriva accesului sau transferului neautorizat;</w:t>
      </w:r>
    </w:p>
    <w:p>
      <w:pPr>
        <w:pStyle w:val="Point1"/>
        <w:rPr>
          <w:noProof/>
        </w:rPr>
      </w:pPr>
      <w:r>
        <w:rPr>
          <w:noProof/>
        </w:rPr>
        <w:t>(g)</w:t>
      </w:r>
      <w:r>
        <w:rPr>
          <w:noProof/>
        </w:rPr>
        <w:tab/>
        <w:t>asigurarea sănătății publice, inclusiv a unor servicii de sănătate pregătite pentru situații de criză și autonome sau</w:t>
      </w:r>
    </w:p>
    <w:p>
      <w:pPr>
        <w:pStyle w:val="Point1"/>
        <w:rPr>
          <w:noProof/>
        </w:rPr>
      </w:pPr>
      <w:r>
        <w:rPr>
          <w:noProof/>
        </w:rPr>
        <w:t>(h)</w:t>
      </w:r>
      <w:r>
        <w:rPr>
          <w:noProof/>
        </w:rPr>
        <w:tab/>
        <w:t>protecția mediului și rezistența în fața perturbărilor legate de climă.</w:t>
      </w:r>
    </w:p>
    <w:bookmarkEnd w:id="35"/>
    <w:p>
      <w:pPr>
        <w:pStyle w:val="ManualNumPar1"/>
        <w:rPr>
          <w:noProof/>
        </w:rPr>
      </w:pPr>
      <w:r>
        <w:rPr>
          <w:noProof/>
        </w:rPr>
        <w:t>3.</w:t>
      </w:r>
      <w:r>
        <w:rPr>
          <w:noProof/>
        </w:rPr>
        <w:tab/>
        <w:t>Riscurile pentru securitatea și siguranța publică în cadrul unui contract de achiziții în domeniul cercetării și dezvoltării pot decurge în special din:</w:t>
      </w:r>
    </w:p>
    <w:p>
      <w:pPr>
        <w:pStyle w:val="Point1"/>
        <w:rPr>
          <w:noProof/>
        </w:rPr>
      </w:pPr>
      <w:r>
        <w:rPr>
          <w:noProof/>
        </w:rPr>
        <w:t>(a)</w:t>
      </w:r>
      <w:r>
        <w:rPr>
          <w:noProof/>
        </w:rPr>
        <w:tab/>
        <w:t>obiectul contractului de achiziții în domeniul cercetării și dezvoltării, inclusiv:</w:t>
      </w:r>
    </w:p>
    <w:p>
      <w:pPr>
        <w:pStyle w:val="Point2"/>
        <w:rPr>
          <w:noProof/>
        </w:rPr>
      </w:pPr>
      <w:r>
        <w:rPr>
          <w:noProof/>
        </w:rPr>
        <w:t>(a)</w:t>
      </w:r>
      <w:r>
        <w:rPr>
          <w:noProof/>
        </w:rPr>
        <w:tab/>
        <w:t>caracterul sensibil al activelor implicate sau care urmează să fie dezvoltate în cadrul executării contractului;</w:t>
      </w:r>
    </w:p>
    <w:p>
      <w:pPr>
        <w:pStyle w:val="Point2"/>
        <w:rPr>
          <w:noProof/>
        </w:rPr>
      </w:pPr>
      <w:r>
        <w:rPr>
          <w:noProof/>
        </w:rPr>
        <w:t>(b)</w:t>
      </w:r>
      <w:r>
        <w:rPr>
          <w:noProof/>
        </w:rPr>
        <w:tab/>
        <w:t>accesul la date sensibile și gestionarea acestora;</w:t>
      </w:r>
    </w:p>
    <w:p>
      <w:pPr>
        <w:pStyle w:val="Point2"/>
        <w:rPr>
          <w:noProof/>
        </w:rPr>
      </w:pPr>
      <w:r>
        <w:rPr>
          <w:noProof/>
        </w:rPr>
        <w:t>(c)</w:t>
      </w:r>
      <w:r>
        <w:rPr>
          <w:noProof/>
        </w:rPr>
        <w:tab/>
        <w:t>dependența critică sau riscul de dependență critică de un număr limitat de furnizori, produse, servicii sau tehnologii din țări terțe;</w:t>
      </w:r>
    </w:p>
    <w:p>
      <w:pPr>
        <w:pStyle w:val="Point2"/>
        <w:rPr>
          <w:noProof/>
        </w:rPr>
      </w:pPr>
      <w:r>
        <w:rPr>
          <w:noProof/>
        </w:rPr>
        <w:t>(d)</w:t>
      </w:r>
      <w:r>
        <w:rPr>
          <w:noProof/>
        </w:rPr>
        <w:tab/>
        <w:t>riscurile asociate accesului la infrastructura critică, la infrastructura strategică cu dublă utilizare identificată de statele membre în conformitate cu [articolul 33 din Regulamentul privind mobilitatea militară], la instalațiile de cercetare, la sistemele informatice sau la materialele critice;</w:t>
      </w:r>
    </w:p>
    <w:p>
      <w:pPr>
        <w:pStyle w:val="Point2"/>
        <w:rPr>
          <w:noProof/>
        </w:rPr>
      </w:pPr>
      <w:r>
        <w:rPr>
          <w:noProof/>
        </w:rPr>
        <w:t>(e)</w:t>
      </w:r>
      <w:r>
        <w:rPr>
          <w:noProof/>
        </w:rPr>
        <w:tab/>
        <w:t>dubla utilizare a rezultatelor serviciilor de cercetare și dezvoltare achiziționate;</w:t>
      </w:r>
    </w:p>
    <w:p>
      <w:pPr>
        <w:pStyle w:val="Point2"/>
        <w:rPr>
          <w:noProof/>
        </w:rPr>
      </w:pPr>
      <w:r>
        <w:rPr>
          <w:noProof/>
        </w:rPr>
        <w:t>(f)</w:t>
      </w:r>
      <w:r>
        <w:rPr>
          <w:noProof/>
        </w:rPr>
        <w:tab/>
        <w:t>natura intereselor publice aferente contractului și consecințele potențiale ale unei funcționări defectuoase sau ale unei executări necorespunzătoare, cum ar fi prejudicierea siguranței publice, a securității naționale, a stabilității economice, a securității sanitare sau a drepturilor fundamentale.</w:t>
      </w:r>
    </w:p>
    <w:p>
      <w:pPr>
        <w:pStyle w:val="Point1"/>
        <w:rPr>
          <w:noProof/>
        </w:rPr>
      </w:pPr>
      <w:r>
        <w:rPr>
          <w:noProof/>
        </w:rPr>
        <w:t>(b)</w:t>
      </w:r>
      <w:r>
        <w:rPr>
          <w:noProof/>
        </w:rPr>
        <w:tab/>
        <w:t xml:space="preserve"> caracteristicile operatorilor economici, inclusiv:</w:t>
      </w:r>
    </w:p>
    <w:p>
      <w:pPr>
        <w:pStyle w:val="Point2"/>
        <w:rPr>
          <w:noProof/>
        </w:rPr>
      </w:pPr>
      <w:r>
        <w:rPr>
          <w:noProof/>
        </w:rPr>
        <w:t>(a)</w:t>
      </w:r>
      <w:r>
        <w:rPr>
          <w:noProof/>
        </w:rPr>
        <w:tab/>
        <w:t>structura proprietății, a controlului sau a finanțării care prezintă riscuri de interferență nejustificată sau de influență asupra operatorului economic;</w:t>
      </w:r>
    </w:p>
    <w:p>
      <w:pPr>
        <w:pStyle w:val="Point2"/>
        <w:rPr>
          <w:noProof/>
        </w:rPr>
      </w:pPr>
      <w:r>
        <w:rPr>
          <w:noProof/>
        </w:rPr>
        <w:t>(ii)</w:t>
      </w:r>
      <w:r>
        <w:rPr>
          <w:noProof/>
        </w:rPr>
        <w:tab/>
        <w:t>istoricul în materie de securitate, inclusiv încălcări anterioare, nerespectarea standardelor de securitate sau excluderea de la alte proceduri de achiziții din motive de securitate;</w:t>
      </w:r>
    </w:p>
    <w:p>
      <w:pPr>
        <w:pStyle w:val="Point2"/>
        <w:rPr>
          <w:noProof/>
        </w:rPr>
      </w:pPr>
      <w:r>
        <w:rPr>
          <w:noProof/>
        </w:rPr>
        <w:t>(iii)</w:t>
      </w:r>
      <w:r>
        <w:rPr>
          <w:noProof/>
        </w:rPr>
        <w:tab/>
        <w:t>capacitatea de a îndeplini cerințele aplicabile privind autorizarea de securitate, verificarea personalului sau securitatea informațiilor;</w:t>
      </w:r>
    </w:p>
    <w:p>
      <w:pPr>
        <w:pStyle w:val="Point2"/>
        <w:rPr>
          <w:noProof/>
        </w:rPr>
      </w:pPr>
      <w:r>
        <w:rPr>
          <w:noProof/>
        </w:rPr>
        <w:t>(iv)</w:t>
      </w:r>
      <w:r>
        <w:rPr>
          <w:noProof/>
        </w:rPr>
        <w:tab/>
        <w:t>expunerea la legislația țărilor terțe care poate impune divulgarea de informații sensibile sau interferența cu executarea contractului.</w:t>
      </w:r>
    </w:p>
    <w:p>
      <w:pPr>
        <w:pStyle w:val="ManualNumPar1"/>
        <w:rPr>
          <w:noProof/>
        </w:rPr>
      </w:pPr>
      <w:r>
        <w:rPr>
          <w:noProof/>
        </w:rPr>
        <w:t>4.</w:t>
      </w:r>
      <w:r>
        <w:rPr>
          <w:noProof/>
        </w:rPr>
        <w:tab/>
        <w:t>Achizitorii publici precizează, în măsura posibilului, în documentele achiziției, în mod clar și suficient de detaliat, măsuri adecvate care sunt proporționale cu riscurile menționate la alineatul (3) și nediscriminatorii. Aceste măsuri pot fi puse în aplicare în special prin:</w:t>
      </w:r>
    </w:p>
    <w:p>
      <w:pPr>
        <w:pStyle w:val="Point1"/>
        <w:rPr>
          <w:noProof/>
        </w:rPr>
      </w:pPr>
      <w:r>
        <w:rPr>
          <w:noProof/>
        </w:rPr>
        <w:t>(a)</w:t>
      </w:r>
      <w:r>
        <w:rPr>
          <w:noProof/>
        </w:rPr>
        <w:tab/>
        <w:t>specificații și documente privind consultarea pieței, inclusiv standarde de securitate obligatorii, certificări, obligații privind verificarea personalului sau autorizarea de securitate ori cerințe n materie de gestionare a riscurilor și de asigurare împotriva acestora;</w:t>
      </w:r>
    </w:p>
    <w:p>
      <w:pPr>
        <w:pStyle w:val="Point1"/>
        <w:rPr>
          <w:noProof/>
        </w:rPr>
      </w:pPr>
      <w:r>
        <w:rPr>
          <w:noProof/>
        </w:rPr>
        <w:t>(b)</w:t>
      </w:r>
      <w:r>
        <w:rPr>
          <w:noProof/>
        </w:rPr>
        <w:tab/>
        <w:t>criterii de atribuire, cum ar fi evaluarea sistemelor de gestionare a securității, a standardelor de conformitate în materie de securitate, a capacităților de răspuns la incidente, a securității lanțului de aprovizionare ale ofertanților;</w:t>
      </w:r>
    </w:p>
    <w:p>
      <w:pPr>
        <w:pStyle w:val="Point1"/>
        <w:rPr>
          <w:noProof/>
        </w:rPr>
      </w:pPr>
      <w:r>
        <w:rPr>
          <w:noProof/>
        </w:rPr>
        <w:t>(c)</w:t>
      </w:r>
      <w:r>
        <w:rPr>
          <w:noProof/>
        </w:rPr>
        <w:tab/>
        <w:t>condiții de executare a contractelor, inclusiv clauze care permit supravegherea furnizorilor din perspectiva securității prin audituri, inspecții sau verificări ale documentelor și punerea în aplicare a unor măsuri corective în cazul unor încălcări, precum și dispoziții privind subcontractarea, notificarea unei schimbări în structura proprietății și protecția informațiilor clasificate sau sensibile;</w:t>
      </w:r>
    </w:p>
    <w:p>
      <w:pPr>
        <w:pStyle w:val="Point1"/>
        <w:rPr>
          <w:noProof/>
        </w:rPr>
      </w:pPr>
      <w:r>
        <w:rPr>
          <w:noProof/>
        </w:rPr>
        <w:t>(d)</w:t>
      </w:r>
      <w:r>
        <w:rPr>
          <w:noProof/>
        </w:rPr>
        <w:tab/>
        <w:t>criterii de selecție, atunci când sunt justificate, cum ar fi deținerea unor autorizări de securitate sau obligația ofertanților de a demonstra în alt mod că nu prezintă riscuri pentru securitate sau siguranța publică în temeiul alineatului (3) litera (b) de la prezentul articol. Această dispoziție nu aduce atingere articolului 14.</w:t>
      </w:r>
    </w:p>
    <w:p>
      <w:pPr>
        <w:pStyle w:val="Point1"/>
        <w:rPr>
          <w:noProof/>
        </w:rPr>
      </w:pPr>
      <w:r>
        <w:rPr>
          <w:noProof/>
        </w:rPr>
        <w:t>(e)</w:t>
      </w:r>
      <w:r>
        <w:rPr>
          <w:noProof/>
        </w:rPr>
        <w:tab/>
        <w:t>invitarea la depunerea unei oferte numai a operatorilor economici care îndeplinesc cerințele specifice obiective și nediscriminatorii legate de securitate, cu condiția ca achizitorul public să își fi exprimat intenția de a face acest lucru, precum și cerințele legate de securitate pe care intenționează să le aplice, în anunțul de participare pentru achiziția de cercetare și dezvoltare în cauză.</w:t>
      </w:r>
    </w:p>
    <w:p>
      <w:pPr>
        <w:pStyle w:val="Text1"/>
        <w:rPr>
          <w:noProof/>
        </w:rPr>
      </w:pPr>
      <w:r>
        <w:rPr>
          <w:noProof/>
        </w:rPr>
        <w:t>Achizitorii publici pot indica, de asemenea, în documentele achiziției măsurile de securitate intenționează să pună în aplicare în cazul în care apar riscuri pentru securitate sau siguranța publică în cursul procedurii de achiziții în domeniul cercetării și dezvoltării.</w:t>
      </w:r>
    </w:p>
    <w:p>
      <w:pPr>
        <w:pStyle w:val="ManualNumPar1"/>
        <w:rPr>
          <w:noProof/>
        </w:rPr>
      </w:pPr>
      <w:r>
        <w:rPr>
          <w:noProof/>
        </w:rPr>
        <w:t>5.</w:t>
      </w:r>
      <w:r>
        <w:rPr>
          <w:noProof/>
        </w:rPr>
        <w:tab/>
        <w:t>Achizitorii publici exclud, în orice moment pe parcursul unei proceduri de achiziții în domeniul cercetării și dezvoltării, un operator economic de la participarea la o procedură de achiziții în domeniul cercetării și dezvoltării în cazul în care operatorul a fost identificat ca furnizor cu grad ridicat de risc în temeiul Regulamentului (UE) XXXX/XXX [Regulamentul privind securitatea cibernetică 2] în ceea ce privește furnizarea de componente TIC sau de componente care includ componente TIC ce urmează să fie utilizate în active TIC esențiale.</w:t>
      </w:r>
    </w:p>
    <w:p>
      <w:pPr>
        <w:pStyle w:val="ManualNumPar1"/>
        <w:rPr>
          <w:noProof/>
        </w:rPr>
      </w:pPr>
      <w:r>
        <w:rPr>
          <w:noProof/>
        </w:rPr>
        <w:t>6.</w:t>
      </w:r>
      <w:r>
        <w:rPr>
          <w:noProof/>
        </w:rPr>
        <w:tab/>
        <w:t>În cazul în care există dovezi că disparitățile dintre măsuri afectează funcționarea pieței interne, Comisia este împuternicită să adopte acte delegate în conformitate cu articolul 39 pentru a completa prezentul regulament prin stabilirea de specificații tehnice obligatorii, criterii de selecție, criterii de atribuire sau clauze de executare a contractului pentru anumite categorii de servicii de achiziții în domeniul cercetării și dezvoltării sau rezultatele preconizate ale acestora, în cazul în care astfel de elemente abordează un interes specific identificat în materie de securitate și siguranță publică al Uniunii.</w:t>
      </w:r>
    </w:p>
    <w:p>
      <w:pPr>
        <w:pStyle w:val="Text1"/>
        <w:rPr>
          <w:noProof/>
        </w:rPr>
      </w:pPr>
    </w:p>
    <w:p>
      <w:pPr>
        <w:pStyle w:val="Titrearticle"/>
        <w:rPr>
          <w:noProof/>
        </w:rPr>
      </w:pPr>
      <w:r>
        <w:rPr>
          <w:noProof/>
        </w:rPr>
        <w:t>Articolul 29</w:t>
      </w:r>
    </w:p>
    <w:p>
      <w:pPr>
        <w:pStyle w:val="NormalCentered"/>
        <w:rPr>
          <w:noProof/>
        </w:rPr>
      </w:pPr>
      <w:r>
        <w:rPr>
          <w:b/>
          <w:noProof/>
        </w:rPr>
        <w:t>Măsuri de securitate în cursul executării contractului</w:t>
      </w:r>
    </w:p>
    <w:p>
      <w:pPr>
        <w:pStyle w:val="ManualNumPar1"/>
        <w:rPr>
          <w:noProof/>
        </w:rPr>
      </w:pPr>
      <w:r>
        <w:rPr>
          <w:noProof/>
        </w:rPr>
        <w:t>1.</w:t>
      </w:r>
      <w:r>
        <w:rPr>
          <w:noProof/>
        </w:rPr>
        <w:tab/>
        <w:t>Fără a aduce atingere dreptului contractelor al statelor membre, achizitorul public poate rezilia un contract de achiziții în domeniul cercetării și dezvoltării, în totalitate sau parțial, în cazul în care constată că contractantul nu a respectat măsurile sau obligațiile care vizează prevenirea sau atenuarea riscurilor pentru securitate și siguranța publică sau că un risc la adresa securității sau a siguranței publice s-a materializat sau este probabil să se materializeze. În aceleași condiții, acesta poate exclude anumiți operatori economici pe durata executării contractului.</w:t>
      </w:r>
    </w:p>
    <w:p>
      <w:pPr>
        <w:pStyle w:val="ManualNumPar1"/>
        <w:rPr>
          <w:noProof/>
        </w:rPr>
      </w:pPr>
      <w:r>
        <w:rPr>
          <w:noProof/>
        </w:rPr>
        <w:t>2.</w:t>
      </w:r>
      <w:r>
        <w:rPr>
          <w:noProof/>
        </w:rPr>
        <w:tab/>
        <w:t>Rezilierea și excluderea în temeiul prezentului articol sunt proporționale cu riscul la adresa securității sau a siguranței publice. Înainte de a rezilia un contract de achiziții în domeniul cercetării și dezvoltării sau de a exclude un operator economic, achizitorul public efectuează o evaluare scrisă. Achizitorul public ține seama în special de:</w:t>
      </w:r>
    </w:p>
    <w:p>
      <w:pPr>
        <w:pStyle w:val="Point1"/>
        <w:rPr>
          <w:noProof/>
        </w:rPr>
      </w:pPr>
      <w:r>
        <w:rPr>
          <w:noProof/>
        </w:rPr>
        <w:t>(a)</w:t>
      </w:r>
      <w:r>
        <w:rPr>
          <w:noProof/>
        </w:rPr>
        <w:tab/>
        <w:t>gravitatea riscului la adresa securității sau a siguranței publice;</w:t>
      </w:r>
    </w:p>
    <w:p>
      <w:pPr>
        <w:pStyle w:val="Point1"/>
        <w:rPr>
          <w:noProof/>
        </w:rPr>
      </w:pPr>
      <w:r>
        <w:rPr>
          <w:noProof/>
        </w:rPr>
        <w:t>(b)</w:t>
      </w:r>
      <w:r>
        <w:rPr>
          <w:noProof/>
        </w:rPr>
        <w:tab/>
        <w:t>impactul rezilierii sau a excluderii asupra furnizării serviciilor publice;</w:t>
      </w:r>
    </w:p>
    <w:p>
      <w:pPr>
        <w:pStyle w:val="Point1"/>
        <w:rPr>
          <w:noProof/>
        </w:rPr>
      </w:pPr>
      <w:r>
        <w:rPr>
          <w:noProof/>
        </w:rPr>
        <w:t>(c)</w:t>
      </w:r>
      <w:r>
        <w:rPr>
          <w:noProof/>
        </w:rPr>
        <w:tab/>
        <w:t>măsuri alternative de atenuare a riscurilor, cum ar fi modificări contractuale sau o monitorizare sporită.</w:t>
      </w:r>
    </w:p>
    <w:p>
      <w:pPr>
        <w:pStyle w:val="ManualNumPar1"/>
        <w:rPr>
          <w:noProof/>
        </w:rPr>
      </w:pPr>
      <w:r>
        <w:rPr>
          <w:noProof/>
        </w:rPr>
        <w:t>3.</w:t>
      </w:r>
      <w:r>
        <w:rPr>
          <w:noProof/>
        </w:rPr>
        <w:tab/>
        <w:t>Cu excepția cazului în care acest lucru este justificat de gravitatea riscurilor implicate, caracterul iminent al amenințării sau în cazul în care notificarea poate agrava riscul, achizitorul public notifică în scris contractantului intenția sa de a rezilia sau de a exclude contractul, precizând:</w:t>
      </w:r>
    </w:p>
    <w:p>
      <w:pPr>
        <w:pStyle w:val="Point1"/>
        <w:rPr>
          <w:noProof/>
        </w:rPr>
      </w:pPr>
      <w:r>
        <w:rPr>
          <w:noProof/>
        </w:rPr>
        <w:t>(a)</w:t>
      </w:r>
      <w:r>
        <w:rPr>
          <w:noProof/>
        </w:rPr>
        <w:tab/>
        <w:t>motivele rezilierii sau excluderii;</w:t>
      </w:r>
    </w:p>
    <w:p>
      <w:pPr>
        <w:pStyle w:val="Point1"/>
        <w:rPr>
          <w:noProof/>
        </w:rPr>
      </w:pPr>
      <w:r>
        <w:rPr>
          <w:noProof/>
        </w:rPr>
        <w:t>(b)</w:t>
      </w:r>
      <w:r>
        <w:rPr>
          <w:noProof/>
        </w:rPr>
        <w:tab/>
        <w:t>faptele și elementele de probă care stau la baza deciziei, cu excepția informațiilor clasificate;</w:t>
      </w:r>
    </w:p>
    <w:p>
      <w:pPr>
        <w:pStyle w:val="Point1"/>
        <w:rPr>
          <w:noProof/>
        </w:rPr>
      </w:pPr>
      <w:r>
        <w:rPr>
          <w:noProof/>
        </w:rPr>
        <w:t>(c)</w:t>
      </w:r>
      <w:r>
        <w:rPr>
          <w:noProof/>
        </w:rPr>
        <w:tab/>
        <w:t>data propusă pentru reziliere sau excludere.</w:t>
      </w:r>
    </w:p>
    <w:p>
      <w:pPr>
        <w:pStyle w:val="ManualNumPar1"/>
        <w:rPr>
          <w:noProof/>
        </w:rPr>
      </w:pPr>
      <w:r>
        <w:rPr>
          <w:noProof/>
        </w:rPr>
        <w:t>4.</w:t>
      </w:r>
      <w:r>
        <w:rPr>
          <w:noProof/>
        </w:rPr>
        <w:tab/>
        <w:t>Contractantul are la dispoziție de un termen adecvat, stabilit de achizitorul public, care nu poate fi mai scurt de cel puțin 10 zile calendaristice, pentru a prezenta observații cu privire la motivele rezilierii și pentru a propune măsuri de remediere. Achizitorul public poate reduce acest termen în caz de urgență.</w:t>
      </w:r>
    </w:p>
    <w:p>
      <w:pPr>
        <w:pStyle w:val="ManualNumPar1"/>
        <w:rPr>
          <w:noProof/>
        </w:rPr>
      </w:pPr>
      <w:r>
        <w:rPr>
          <w:noProof/>
        </w:rPr>
        <w:t>5.</w:t>
      </w:r>
      <w:r>
        <w:rPr>
          <w:noProof/>
        </w:rPr>
        <w:tab/>
        <w:t>Contractantul cooperează cu achizitorul public pentru a securiza sau a transfera date, documente sau active legate de contractul de achiziții în domeniul cercetării și dezvoltării și pentru a asigura continuitatea serviciilor critice până la intrarea în vigoare a rezilierii sau a excluderii.</w:t>
      </w:r>
    </w:p>
    <w:p>
      <w:pPr>
        <w:pStyle w:val="Titrearticle"/>
        <w:rPr>
          <w:noProof/>
        </w:rPr>
      </w:pPr>
      <w:bookmarkStart w:id="36" w:name="ecZ0i5RYSv6LszUH1"/>
      <w:bookmarkEnd w:id="36"/>
      <w:r>
        <w:rPr>
          <w:noProof/>
        </w:rPr>
        <w:t>Articolul 30</w:t>
      </w:r>
    </w:p>
    <w:p>
      <w:pPr>
        <w:pStyle w:val="NormalCentered"/>
        <w:rPr>
          <w:noProof/>
        </w:rPr>
      </w:pPr>
      <w:r>
        <w:rPr>
          <w:b/>
          <w:noProof/>
        </w:rPr>
        <w:t>Securitatea cibernetică</w:t>
      </w:r>
    </w:p>
    <w:p>
      <w:pPr>
        <w:pStyle w:val="ManualNumPar1"/>
        <w:rPr>
          <w:noProof/>
        </w:rPr>
      </w:pPr>
      <w:r>
        <w:rPr>
          <w:noProof/>
        </w:rPr>
        <w:t>1.</w:t>
      </w:r>
      <w:r>
        <w:rPr>
          <w:noProof/>
        </w:rPr>
        <w:tab/>
        <w:t>Pentru toate produsele cu elemente digitale utilizate și dezvoltate ca parte a serviciilor de cercetare și dezvoltare achiziționate care intră în domeniul de aplicare al Regulamentului (UE) 2024/2847 al Parlamentului European și al Consiliului</w:t>
      </w:r>
      <w:r>
        <w:rPr>
          <w:rStyle w:val="FootnoteReference"/>
          <w:noProof/>
        </w:rPr>
        <w:footnoteReference w:id="51"/>
      </w:r>
      <w:r>
        <w:rPr>
          <w:noProof/>
        </w:rPr>
        <w:t>, achizitorii publici asigură conformitatea cu cerințele esențiale de securitate cibernetică prevăzute în anexa I la regulamentul respectiv, inclusiv capacitatea producătorilor de a gestiona în mod eficace vulnerabilitățile, care sunt luate în considerare în procesul de achiziții în domeniul cercetării și dezvoltării.</w:t>
      </w:r>
    </w:p>
    <w:p>
      <w:pPr>
        <w:pStyle w:val="ManualNumPar1"/>
        <w:rPr>
          <w:noProof/>
        </w:rPr>
      </w:pPr>
      <w:r>
        <w:rPr>
          <w:noProof/>
        </w:rPr>
        <w:t>2.</w:t>
      </w:r>
      <w:r>
        <w:rPr>
          <w:noProof/>
        </w:rPr>
        <w:tab/>
        <w:t>Prezentul regulament nu împiedică achizitorii publici să supună produsele cu elemente digitale, menționate la alineatul (1), unor cerințe suplimentare în materie de securitate cibernetică pentru achiziționarea în domeniul cercetării și dezvoltării sau utilizarea produselor respective în scopuri specifice, inclusiv în cazul în care produsele respective sunt dezvoltate, obținute sau utilizate în scopuri de securitate națională sau apărare, cu condiția ca aceste cerințe să fie în concordanță cu obligațiile statelor membre prevăzute în dreptul Uniunii și să fie necesare și proporționale pentru realizarea scopurilor respective.</w:t>
      </w:r>
    </w:p>
    <w:p>
      <w:pPr>
        <w:pStyle w:val="ManualNumPar1"/>
        <w:rPr>
          <w:noProof/>
        </w:rPr>
      </w:pPr>
      <w:r>
        <w:rPr>
          <w:noProof/>
        </w:rPr>
        <w:t>3.</w:t>
      </w:r>
      <w:r>
        <w:rPr>
          <w:noProof/>
        </w:rPr>
        <w:tab/>
        <w:t>Fără a aduce atingere alineatului (1) și fără a aduce atingere Directivei (UE) 2022/2555 a Parlamentului European și a Consiliului</w:t>
      </w:r>
      <w:r>
        <w:rPr>
          <w:rStyle w:val="FootnoteReference"/>
          <w:noProof/>
        </w:rPr>
        <w:footnoteReference w:id="52"/>
      </w:r>
      <w:r>
        <w:rPr>
          <w:noProof/>
        </w:rPr>
        <w:t>, după caz, achizitorii publici pot specifica în documentele achiziției cerințe privind securitatea cibernetică pentru serviciile de cercetare și dezvoltare achiziționate și rezultatele preconizate ale acestora. În acest scop, ele pot include specificații, criterii de selecție, criterii de excludere, criterii de atribuire sau condiții de executare a contractelor. Aceste cerințe sunt legate de obiectul contractului de achiziții în domeniul cercetării și dezvoltării și respectă principiile transparenței, nediscriminării și proporționalității.</w:t>
      </w:r>
    </w:p>
    <w:p>
      <w:pPr>
        <w:pStyle w:val="ManualNumPar1"/>
        <w:rPr>
          <w:noProof/>
          <w:szCs w:val="24"/>
        </w:rPr>
      </w:pPr>
      <w:r>
        <w:rPr>
          <w:noProof/>
        </w:rPr>
        <w:t>4.</w:t>
      </w:r>
      <w:r>
        <w:rPr>
          <w:noProof/>
        </w:rPr>
        <w:tab/>
        <w:t>Achizitorii publici exclud, în orice moment pe parcursul unei proceduri de achiziții în domeniul cercetării și dezvoltării, un operator economic de la participarea la o procedură de achiziții în domeniul cercetării și dezvoltării în cazul în care operatorul a fost identificat ca furnizor cu grad ridicat de risc în ceea ce privește furnizarea de componente TIC sau de componente care includ componente TIC ce urmează să fie utilizate în active TIC esențiale.</w:t>
      </w:r>
    </w:p>
    <w:p>
      <w:pPr>
        <w:pStyle w:val="Text1"/>
        <w:rPr>
          <w:noProof/>
        </w:rPr>
      </w:pPr>
    </w:p>
    <w:p>
      <w:pPr>
        <w:keepNext/>
        <w:spacing w:after="360"/>
        <w:jc w:val="center"/>
        <w:rPr>
          <w:noProof/>
        </w:rPr>
      </w:pPr>
      <w:r>
        <w:rPr>
          <w:b/>
          <w:smallCaps/>
          <w:noProof/>
          <w:sz w:val="28"/>
        </w:rPr>
        <w:t>Secțiunea 3</w:t>
      </w:r>
      <w:r>
        <w:rPr>
          <w:noProof/>
        </w:rPr>
        <w:br/>
      </w:r>
      <w:r>
        <w:rPr>
          <w:b/>
          <w:smallCaps/>
          <w:noProof/>
          <w:sz w:val="28"/>
        </w:rPr>
        <w:t xml:space="preserve"> Achiziții comune de servicii de cercetare și dezvoltare</w:t>
      </w:r>
    </w:p>
    <w:p>
      <w:pPr>
        <w:pStyle w:val="Titrearticle"/>
        <w:rPr>
          <w:noProof/>
        </w:rPr>
      </w:pPr>
      <w:r>
        <w:rPr>
          <w:noProof/>
        </w:rPr>
        <w:t>Articolul 31</w:t>
      </w:r>
    </w:p>
    <w:p>
      <w:pPr>
        <w:pStyle w:val="NormalCentered"/>
        <w:ind w:firstLine="720"/>
        <w:rPr>
          <w:noProof/>
        </w:rPr>
      </w:pPr>
      <w:r>
        <w:rPr>
          <w:b/>
          <w:noProof/>
        </w:rPr>
        <w:t>Norme comune privind achizițiile comune în domeniul cercetării și dezvoltării</w:t>
      </w:r>
    </w:p>
    <w:p>
      <w:pPr>
        <w:pStyle w:val="ManualNumPar1"/>
        <w:rPr>
          <w:noProof/>
        </w:rPr>
      </w:pPr>
      <w:r>
        <w:rPr>
          <w:noProof/>
        </w:rPr>
        <w:t>1.</w:t>
      </w:r>
      <w:r>
        <w:rPr>
          <w:noProof/>
        </w:rPr>
        <w:tab/>
        <w:t xml:space="preserve">Achizitorii publici care efectuează achiziții publice comune în domeniul cercetării și dezvoltării respectă normele prevăzute în prezentul regulament. </w:t>
      </w:r>
    </w:p>
    <w:p>
      <w:pPr>
        <w:pStyle w:val="ManualNumPar1"/>
        <w:rPr>
          <w:noProof/>
        </w:rPr>
      </w:pPr>
      <w:r>
        <w:rPr>
          <w:noProof/>
        </w:rPr>
        <w:t>2.</w:t>
      </w:r>
      <w:r>
        <w:rPr>
          <w:noProof/>
        </w:rPr>
        <w:tab/>
        <w:t xml:space="preserve">Achizitorii publici pot organiza achiziții publice comune în domeniul cercetării și dezvoltării cu doi sau mai mulți achizitori publici din unul sau mai multe state membre. Achizitorii publici În cazul în care doi sau mai mulți achizitori publici din unul sau mai multe state membre doresc să efectueze o achiziție comună în domeniul cercetării și dezvoltării, aceștia încheie un acord de achiziție comună prin care se instituie un grup de achizitori și se desemnează achizitorul principal. Respectivul acord prevede cel puțin următoarele: </w:t>
      </w:r>
    </w:p>
    <w:p>
      <w:pPr>
        <w:pStyle w:val="Point1"/>
        <w:rPr>
          <w:noProof/>
        </w:rPr>
      </w:pPr>
      <w:r>
        <w:rPr>
          <w:noProof/>
        </w:rPr>
        <w:t>(a)</w:t>
      </w:r>
      <w:r>
        <w:rPr>
          <w:noProof/>
        </w:rPr>
        <w:tab/>
        <w:t>angajamentele financiare furnizate de fiecare achizitor public din grupul achizitorilor pentru achizițiile publice comune în domeniul cercetării și dezvoltării;</w:t>
      </w:r>
    </w:p>
    <w:p>
      <w:pPr>
        <w:pStyle w:val="Point1"/>
        <w:rPr>
          <w:noProof/>
        </w:rPr>
      </w:pPr>
      <w:r>
        <w:rPr>
          <w:noProof/>
        </w:rPr>
        <w:t>(b)</w:t>
      </w:r>
      <w:r>
        <w:rPr>
          <w:noProof/>
        </w:rPr>
        <w:tab/>
        <w:t xml:space="preserve">repartizarea rolurilor și responsabilităților între achizitorul principal și achizitorii publici care sunt membri ai grupului de achizitori în ceea ce privește procedura de achiziții în domeniul cercetării și dezvoltării, executarea contractului și interacțiunile postcontractuale cu foștii contractanți, astfel cum se menționează în capitolul 2 secțiunile 1 și 2; </w:t>
      </w:r>
    </w:p>
    <w:p>
      <w:pPr>
        <w:pStyle w:val="Point1"/>
        <w:rPr>
          <w:noProof/>
        </w:rPr>
      </w:pPr>
      <w:r>
        <w:rPr>
          <w:noProof/>
        </w:rPr>
        <w:t>(c)</w:t>
      </w:r>
      <w:r>
        <w:rPr>
          <w:noProof/>
        </w:rPr>
        <w:tab/>
        <w:t xml:space="preserve">dreptul Uniunii sau dreptul intern aplicabil în ceea ce privește soluționarea litigiilor și orice proceduri sau aprobări necesare pentru testarea prototipurilor sau a primelor produse, servicii ori lucrări dezvoltate în cursul achizițiilor publice în domeniul cercetării și dezvoltării și orice alte aspecte ale desfășurării achizițiilor publice comune în domeniul cercetării și dezvoltării care nu sunt reglementate de prezentul regulament; </w:t>
      </w:r>
    </w:p>
    <w:p>
      <w:pPr>
        <w:pStyle w:val="Point1"/>
        <w:rPr>
          <w:noProof/>
        </w:rPr>
      </w:pPr>
      <w:r>
        <w:rPr>
          <w:noProof/>
        </w:rPr>
        <w:t>(d)</w:t>
      </w:r>
      <w:r>
        <w:rPr>
          <w:noProof/>
        </w:rPr>
        <w:tab/>
        <w:t xml:space="preserve">mecanismul de repartizare și exploatare a rezultatelor achizițiilor comune în domeniul cercetării și dezvoltării. </w:t>
      </w:r>
    </w:p>
    <w:p>
      <w:pPr>
        <w:ind w:left="851"/>
        <w:rPr>
          <w:noProof/>
        </w:rPr>
      </w:pPr>
      <w:r>
        <w:rPr>
          <w:noProof/>
        </w:rPr>
        <w:t>În plus față de elementele enumerate la articolul 10, documentele achiziției pentru achizițiile comune în domeniul cercetării și dezvoltării includ informațiile menționate la primul paragraf literele (b), (c) și (d) de la prezentul alineat.</w:t>
      </w:r>
    </w:p>
    <w:p>
      <w:pPr>
        <w:pStyle w:val="ManualNumPar1"/>
        <w:rPr>
          <w:noProof/>
        </w:rPr>
      </w:pPr>
      <w:r>
        <w:rPr>
          <w:noProof/>
        </w:rPr>
        <w:t>3.</w:t>
      </w:r>
      <w:r>
        <w:rPr>
          <w:noProof/>
        </w:rPr>
        <w:tab/>
        <w:t xml:space="preserve">Membrii grupului de achizitori își asumă în comun angajamentele financiare pentru achiziția în domeniul cercetării și dezvoltării și desfășoară în comun consultarea pieței, elaborează documentele achiziției pentru nevoia lor comună în materie de achiziții în domeniul cercetării și dezvoltării și efectuează evaluarea ofertelor. </w:t>
      </w:r>
    </w:p>
    <w:p>
      <w:pPr>
        <w:pStyle w:val="ManualNumPar1"/>
        <w:rPr>
          <w:noProof/>
        </w:rPr>
      </w:pPr>
      <w:r>
        <w:rPr>
          <w:noProof/>
        </w:rPr>
        <w:t>4.</w:t>
      </w:r>
      <w:r>
        <w:rPr>
          <w:noProof/>
        </w:rPr>
        <w:tab/>
        <w:t xml:space="preserve">Achizitorul principal lansează procedura comună de achiziții în domeniul cercetării și dezvoltării și atribuie contractele de achiziții în domeniul cercetării și dezvoltării în numele și în contul tuturor achizitorilor publici care sunt membri ai grupului de achizitori. Achizitorii publici care efectuează achiziții comune în domeniul cercetării și dezvoltării pot face acest lucru în oricare dintre limbile oficiale ale Uniunii și pot permite ofertanților să depună oferte în oricare dintre limbile oficiale respective. </w:t>
      </w:r>
    </w:p>
    <w:p>
      <w:pPr>
        <w:pStyle w:val="ManualNumPar1"/>
        <w:rPr>
          <w:noProof/>
        </w:rPr>
      </w:pPr>
      <w:r>
        <w:rPr>
          <w:noProof/>
        </w:rPr>
        <w:t>5.</w:t>
      </w:r>
      <w:r>
        <w:rPr>
          <w:noProof/>
        </w:rPr>
        <w:tab/>
        <w:t xml:space="preserve">Achizitorii publici pot organiza achiziții comune în domeniul cercetării și dezvoltării prin intermediul organismelor centrale de achiziție din unul sau mai multe state membre. </w:t>
      </w:r>
    </w:p>
    <w:p>
      <w:pPr>
        <w:pStyle w:val="ManualNumPar1"/>
        <w:rPr>
          <w:noProof/>
        </w:rPr>
      </w:pPr>
      <w:r>
        <w:rPr>
          <w:noProof/>
        </w:rPr>
        <w:t>6.</w:t>
      </w:r>
      <w:r>
        <w:rPr>
          <w:noProof/>
        </w:rPr>
        <w:tab/>
        <w:t>În sensul prezentului regulament, organismele centrale de achiziție sunt orice achizitor public care desfășoară următoarele activități legate de achizițiile de cercetare și dezvoltare:</w:t>
      </w:r>
    </w:p>
    <w:p>
      <w:pPr>
        <w:pStyle w:val="Point1"/>
        <w:rPr>
          <w:noProof/>
        </w:rPr>
      </w:pPr>
      <w:r>
        <w:rPr>
          <w:noProof/>
        </w:rPr>
        <w:t>(a)</w:t>
      </w:r>
      <w:r>
        <w:rPr>
          <w:noProof/>
        </w:rPr>
        <w:tab/>
        <w:t>acționează în calitate de angrosist, prin achiziționarea și revânzarea serviciilor de cercetare și dezvoltare achiziționate pe piață sau a rezultatelor serviciilor de cercetare și dezvoltare respective;</w:t>
      </w:r>
    </w:p>
    <w:p>
      <w:pPr>
        <w:pStyle w:val="Point1"/>
        <w:rPr>
          <w:noProof/>
        </w:rPr>
      </w:pPr>
      <w:r>
        <w:rPr>
          <w:noProof/>
        </w:rPr>
        <w:t>(b)</w:t>
      </w:r>
      <w:r>
        <w:rPr>
          <w:noProof/>
        </w:rPr>
        <w:tab/>
        <w:t>acționează în calitate de intermediar, prin publicarea anunțurilor și atribuirea contractelor de achiziții în domeniul cercetării și dezvoltării în numele achizitorilor publici;</w:t>
      </w:r>
    </w:p>
    <w:p>
      <w:pPr>
        <w:pStyle w:val="Point1"/>
        <w:rPr>
          <w:noProof/>
        </w:rPr>
      </w:pPr>
      <w:r>
        <w:rPr>
          <w:noProof/>
        </w:rPr>
        <w:t>(c)</w:t>
      </w:r>
      <w:r>
        <w:rPr>
          <w:noProof/>
        </w:rPr>
        <w:tab/>
        <w:t xml:space="preserve">Organismele centrale de achiziție pot, de asemenea, pe lângă activitățile prevăzute mai sus, să desfășoare sau să participe la activități comune de achiziții în domeniul cercetării și dezvoltării sau să furnizeze achizitorilor publici servicii auxiliare de sprijinire a achizițiilor legate de cercetare și dezvoltare, inclusiv infrastructură, consiliere sau asistență tehnică, inclusiv pregătirea și gestionarea procedurilor de achiziții în domeniul cercetării și dezvoltării în numele și în contul achizitorului public în cauză. </w:t>
      </w:r>
    </w:p>
    <w:p>
      <w:pPr>
        <w:pStyle w:val="ManualNumPar1"/>
        <w:rPr>
          <w:noProof/>
        </w:rPr>
      </w:pPr>
      <w:r>
        <w:rPr>
          <w:noProof/>
        </w:rPr>
        <w:t>7.</w:t>
      </w:r>
      <w:r>
        <w:rPr>
          <w:noProof/>
        </w:rPr>
        <w:tab/>
        <w:t>Achizitorii publici indică în anunțurile menționate la articolul 4 alineatul (5) atunci când acționează în calitate de organism central de achiziție.</w:t>
      </w:r>
    </w:p>
    <w:p>
      <w:pPr>
        <w:pStyle w:val="Text1"/>
        <w:rPr>
          <w:noProof/>
        </w:rPr>
      </w:pPr>
      <w:r>
        <w:rPr>
          <w:noProof/>
        </w:rPr>
        <w:t xml:space="preserve">Orice achizitor public poate achiziționa servicii de cercetare și dezvoltare și poate obține rezultatele urmărite de la sau prin intermediul oricărui organism central de achiziții stabilit în Uniune care oferă activități de achiziții centralizate. Se consideră că un achizitor public își îndeplinește obligațiile care îi revin în temeiul prezentului regulament atunci când achiziționează servicii de cercetare și dezvoltare de la sau prin intermediul unui organism central de achiziții care, pentru această achiziție în domeniul cercetării și dezvoltării, era obligat să aplice prezentul regulament și l-a aplicat. Organismele centrale de achiziții care nu sunt ele însele achizitori publici desfășoară proceduri de achiziții în domeniul cercetării și dezvoltării în conformitate cu prezentul regulament. </w:t>
      </w:r>
    </w:p>
    <w:p>
      <w:pPr>
        <w:pStyle w:val="ManualNumPar1"/>
        <w:rPr>
          <w:noProof/>
        </w:rPr>
      </w:pPr>
      <w:r>
        <w:rPr>
          <w:noProof/>
        </w:rPr>
        <w:t>8.</w:t>
      </w:r>
      <w:r>
        <w:rPr>
          <w:noProof/>
        </w:rPr>
        <w:tab/>
        <w:t xml:space="preserve">Instituțiile, organele sau agențiile Uniunii pot desfășura achiziții în domeniul cercetării și dezvoltării, inclusiv achiziții publice înainte de comercializare, pentru ele însele, împreună cu alte entități ale Uniunii sau în numele acestora și împreună cu achizitorii publici din statele membre sau în numele acestora, în conformitate cu normele prevăzute în Regulamentul (UE, Euratom) 2024/2509 al Parlamentului European și al Consiliului. </w:t>
      </w:r>
    </w:p>
    <w:p>
      <w:pPr>
        <w:pStyle w:val="Text1"/>
        <w:rPr>
          <w:noProof/>
        </w:rPr>
      </w:pPr>
    </w:p>
    <w:p>
      <w:pPr>
        <w:pStyle w:val="ChapterTitle"/>
        <w:rPr>
          <w:noProof/>
        </w:rPr>
      </w:pPr>
      <w:r>
        <w:rPr>
          <w:noProof/>
        </w:rPr>
        <w:t>Capitolul 3</w:t>
      </w:r>
      <w:r>
        <w:rPr>
          <w:noProof/>
        </w:rPr>
        <w:br/>
        <w:t>COMERCIALIZAREA REZULTATELOR CERCETĂRII ȘI INOVĂRII</w:t>
      </w:r>
    </w:p>
    <w:p>
      <w:pPr>
        <w:pStyle w:val="Titrearticle"/>
        <w:rPr>
          <w:noProof/>
        </w:rPr>
      </w:pPr>
      <w:bookmarkStart w:id="37" w:name="_Hlk223012317"/>
      <w:r>
        <w:rPr>
          <w:noProof/>
        </w:rPr>
        <w:t>Articolul 32</w:t>
      </w:r>
    </w:p>
    <w:p>
      <w:pPr>
        <w:pStyle w:val="NormalCentered"/>
        <w:rPr>
          <w:b/>
          <w:noProof/>
        </w:rPr>
      </w:pPr>
      <w:r>
        <w:rPr>
          <w:b/>
          <w:noProof/>
        </w:rPr>
        <w:t xml:space="preserve">Centrul de competențe al Uniunii pentru finanțarea garantată prin drepturi de proprietate intelectuală </w:t>
      </w:r>
      <w:bookmarkEnd w:id="37"/>
      <w:r>
        <w:rPr>
          <w:b/>
          <w:noProof/>
        </w:rPr>
        <w:t>și comercializarea activelor de proprietate intelectuală</w:t>
      </w:r>
    </w:p>
    <w:p>
      <w:pPr>
        <w:pStyle w:val="ManualNumPar1"/>
        <w:rPr>
          <w:noProof/>
        </w:rPr>
      </w:pPr>
      <w:r>
        <w:rPr>
          <w:noProof/>
        </w:rPr>
        <w:t>1.</w:t>
      </w:r>
      <w:r>
        <w:rPr>
          <w:noProof/>
        </w:rPr>
        <w:tab/>
        <w:t xml:space="preserve">Oficiul Uniunii Europene pentru Proprietate Intelectuală (denumit în continuare „Oficiul”) instituie un Centru de competențe pentru a sprijini și a promova finanțarea garantată prin drepturi de proprietate intelectuală și comercializarea proprietății intelectuale, inclusiv a proprietății intelectuale rezultate din activitățile de cercetare și inovare și a drepturilor de exclusivitate în materie de reglementare pentru produsele farmaceutice (denumit în continuare „Centrul de competențe”). </w:t>
      </w:r>
    </w:p>
    <w:p>
      <w:pPr>
        <w:pStyle w:val="ManualNumPar1"/>
        <w:spacing w:after="0"/>
        <w:rPr>
          <w:noProof/>
          <w:kern w:val="2"/>
          <w:szCs w:val="24"/>
          <w14:ligatures w14:val="standardContextual"/>
        </w:rPr>
      </w:pPr>
      <w:r>
        <w:rPr>
          <w:noProof/>
        </w:rPr>
        <w:t>2.</w:t>
      </w:r>
      <w:r>
        <w:rPr>
          <w:noProof/>
        </w:rPr>
        <w:tab/>
        <w:t>Centrul de competențe sprijină, prin îndeplinirea atribuțiilor sale, următoarele entități:</w:t>
      </w:r>
    </w:p>
    <w:p>
      <w:pPr>
        <w:pStyle w:val="Point1"/>
        <w:rPr>
          <w:noProof/>
        </w:rPr>
      </w:pPr>
      <w:r>
        <w:rPr>
          <w:noProof/>
        </w:rPr>
        <w:t>(a)</w:t>
      </w:r>
      <w:r>
        <w:rPr>
          <w:noProof/>
        </w:rPr>
        <w:tab/>
        <w:t>cercetătorii stabiliți într-un stat membru;</w:t>
      </w:r>
    </w:p>
    <w:p>
      <w:pPr>
        <w:pStyle w:val="Point1"/>
        <w:rPr>
          <w:noProof/>
        </w:rPr>
      </w:pPr>
      <w:r>
        <w:rPr>
          <w:noProof/>
        </w:rPr>
        <w:t>(b)</w:t>
      </w:r>
      <w:r>
        <w:rPr>
          <w:noProof/>
        </w:rPr>
        <w:tab/>
        <w:t>întreprinderile inovatoare stabilite într-un stat membru, inclusiv start-upurile inovatoare, întreprinderile inovatoare în fază de extindere și întreprinderile de tip spin-off, a căror performanță în materie de inovare și competitivitate este determinată de deținerea sau de utilizarea și comercializarea drepturilor de proprietate intelectuală;</w:t>
      </w:r>
    </w:p>
    <w:p>
      <w:pPr>
        <w:pStyle w:val="Point1"/>
        <w:rPr>
          <w:noProof/>
        </w:rPr>
      </w:pPr>
      <w:r>
        <w:rPr>
          <w:noProof/>
        </w:rPr>
        <w:t>(c)</w:t>
      </w:r>
      <w:r>
        <w:rPr>
          <w:noProof/>
        </w:rPr>
        <w:tab/>
        <w:t>alte entități publice și private stabilite într-un stat membru care au un interes în comercializarea activelor de proprietate intelectuală;</w:t>
      </w:r>
    </w:p>
    <w:p>
      <w:pPr>
        <w:pStyle w:val="Point1"/>
        <w:rPr>
          <w:noProof/>
        </w:rPr>
      </w:pPr>
      <w:r>
        <w:rPr>
          <w:noProof/>
        </w:rPr>
        <w:t>(d)</w:t>
      </w:r>
      <w:r>
        <w:rPr>
          <w:noProof/>
        </w:rPr>
        <w:tab/>
        <w:t>entitățile a căror funcție este de a sprijini oricare dintre entitățile menționate la literele (a), (b) și (c).</w:t>
      </w:r>
    </w:p>
    <w:p>
      <w:pPr>
        <w:pStyle w:val="ManualNumPar1"/>
        <w:rPr>
          <w:noProof/>
          <w:szCs w:val="24"/>
        </w:rPr>
      </w:pPr>
      <w:r>
        <w:rPr>
          <w:noProof/>
        </w:rPr>
        <w:t>3.</w:t>
      </w:r>
      <w:r>
        <w:rPr>
          <w:noProof/>
        </w:rPr>
        <w:tab/>
        <w:t>Pentru a îmbunătăți accesul la finanțare al entităților menționate la alineatul (2), Oficiul, prin intermediul Centrului de competențe:</w:t>
      </w:r>
    </w:p>
    <w:p>
      <w:pPr>
        <w:pStyle w:val="Point1"/>
        <w:rPr>
          <w:noProof/>
        </w:rPr>
      </w:pPr>
      <w:r>
        <w:rPr>
          <w:noProof/>
        </w:rPr>
        <w:t>(a)</w:t>
      </w:r>
      <w:r>
        <w:rPr>
          <w:noProof/>
        </w:rPr>
        <w:tab/>
        <w:t>până la... [</w:t>
      </w:r>
      <w:r>
        <w:rPr>
          <w:i/>
          <w:noProof/>
        </w:rPr>
        <w:t>OP: a se introduce data – 4 ani de la intrarea în vigoare a prezentului regulament</w:t>
      </w:r>
      <w:r>
        <w:rPr>
          <w:noProof/>
        </w:rPr>
        <w:t xml:space="preserve">], elaborează un cadru voluntar al Uniunii pentru evaluarea și prezentarea activelor de proprietate intelectuală, bazat pe toate tipurile de drepturi de proprietate intelectuală și pe drepturile de exclusivitate în materie de reglementare pentru produsele farmaceutice și conceput pentru a facilita utilizarea acestuia în diferite sectoare și adoptarea acestuia de către actorii financiari, utilizând, după caz, portofelele europene pentru întreprinderi instituite în conformitate cu </w:t>
      </w:r>
      <w:r>
        <w:rPr>
          <w:i/>
          <w:noProof/>
          <w:highlight w:val="yellow"/>
        </w:rPr>
        <w:t>[Regulamentul XXX al Parlamentului European și al Consiliului privind instituirea portofelelor europene pentru întreprinderi]</w:t>
      </w:r>
      <w:r>
        <w:rPr>
          <w:noProof/>
        </w:rPr>
        <w:t xml:space="preserve"> sau mijloace electronice alternative care sunt interoperabile cu portofelele europene pentru întreprinderi, inclusiv prin: </w:t>
      </w:r>
    </w:p>
    <w:p>
      <w:pPr>
        <w:pStyle w:val="Point2"/>
        <w:rPr>
          <w:noProof/>
        </w:rPr>
      </w:pPr>
      <w:r>
        <w:rPr>
          <w:noProof/>
        </w:rPr>
        <w:t>(i)</w:t>
      </w:r>
      <w:r>
        <w:rPr>
          <w:noProof/>
        </w:rPr>
        <w:tab/>
        <w:t xml:space="preserve">instituirea și întreținerea proceselor și serviciilor digitale legate de prezentarea, examinarea și evaluarea activelor de proprietate intelectuală; </w:t>
      </w:r>
    </w:p>
    <w:p>
      <w:pPr>
        <w:pStyle w:val="Point2"/>
        <w:rPr>
          <w:noProof/>
        </w:rPr>
      </w:pPr>
      <w:r>
        <w:rPr>
          <w:noProof/>
        </w:rPr>
        <w:t>(ii)</w:t>
      </w:r>
      <w:r>
        <w:rPr>
          <w:noProof/>
        </w:rPr>
        <w:tab/>
        <w:t>identificarea și compilarea celor mai bune practici pentru a sprijini elaborarea cadrului voluntar de evaluare;</w:t>
      </w:r>
    </w:p>
    <w:p>
      <w:pPr>
        <w:pStyle w:val="Point2"/>
        <w:rPr>
          <w:noProof/>
        </w:rPr>
      </w:pPr>
      <w:r>
        <w:rPr>
          <w:noProof/>
        </w:rPr>
        <w:t>(iii)</w:t>
      </w:r>
      <w:r>
        <w:rPr>
          <w:noProof/>
        </w:rPr>
        <w:tab/>
        <w:t xml:space="preserve">instituirea, ca parte integrantă a cadrului, a unor mecanisme de prezentare voluntară a informațiilor care să permită întreprinderilor să prezinte informații privind activele lor de proprietate intelectuală într-un mod comparabil și structurat în scopuri de finanțare. </w:t>
      </w:r>
    </w:p>
    <w:p>
      <w:pPr>
        <w:pStyle w:val="Point1"/>
        <w:rPr>
          <w:noProof/>
        </w:rPr>
      </w:pPr>
      <w:r>
        <w:rPr>
          <w:noProof/>
        </w:rPr>
        <w:t>(b)</w:t>
      </w:r>
      <w:r>
        <w:rPr>
          <w:noProof/>
        </w:rPr>
        <w:tab/>
        <w:t xml:space="preserve">până la [OP: </w:t>
      </w:r>
      <w:r>
        <w:rPr>
          <w:i/>
          <w:noProof/>
          <w:highlight w:val="yellow"/>
        </w:rPr>
        <w:t>a se introduce data – 4 ani de la intrarea în vigoare a prezentului regulament</w:t>
      </w:r>
      <w:r>
        <w:rPr>
          <w:noProof/>
        </w:rPr>
        <w:t xml:space="preserve">], instituie și menține, în strânsă cooperare cu Comisia, o platformă digitală pentru stabilirea de contacte la nivelul Uniunii, utilizând, acolo unde este posibil, portofelele europene pentru întreprinderi sau mijloace electronice alternative care sunt interoperabile cu portofelele europene pentru întreprinderi, pentru a facilita, în mod voluntar, acordarea de licențe și transferul drepturilor de proprietate intelectuală protejate în Uniune. </w:t>
      </w:r>
    </w:p>
    <w:p>
      <w:pPr>
        <w:pStyle w:val="Point1"/>
        <w:rPr>
          <w:noProof/>
        </w:rPr>
      </w:pPr>
      <w:r>
        <w:rPr>
          <w:noProof/>
        </w:rPr>
        <w:t>(c)</w:t>
      </w:r>
      <w:r>
        <w:rPr>
          <w:noProof/>
        </w:rPr>
        <w:tab/>
        <w:t>facilitează dezvoltarea unei piețe secundare pentru a sprijini înstrăinarea activelor de proprietate intelectuală deținute de entitățile menționate la alineatul (2);</w:t>
      </w:r>
    </w:p>
    <w:p>
      <w:pPr>
        <w:pStyle w:val="Point1"/>
        <w:rPr>
          <w:noProof/>
        </w:rPr>
      </w:pPr>
      <w:r>
        <w:rPr>
          <w:noProof/>
        </w:rPr>
        <w:t>(d)</w:t>
      </w:r>
      <w:r>
        <w:rPr>
          <w:noProof/>
        </w:rPr>
        <w:tab/>
        <w:t xml:space="preserve">sprijină părțile interesate relevante din sectorul financiar public și privat, inclusiv instituțiile, organele, oficiile și agențiile Uniunii, precum și instituțiile financiare și băncile comerciale, în definirea și punerea în aplicare a noilor instrumente financiare publice și private garantate cu proprietate intelectuală, inclusiv furnizarea de dovezi solide privind nevoile pieței, analiza datelor rezultate din punerea în aplicare a unor astfel de instrumente financiare și furnizarea de servicii de consiliere tehnică legate de PI; </w:t>
      </w:r>
    </w:p>
    <w:p>
      <w:pPr>
        <w:pStyle w:val="Point1"/>
        <w:rPr>
          <w:noProof/>
        </w:rPr>
      </w:pPr>
      <w:r>
        <w:rPr>
          <w:noProof/>
        </w:rPr>
        <w:t>(e)</w:t>
      </w:r>
      <w:r>
        <w:rPr>
          <w:noProof/>
        </w:rPr>
        <w:tab/>
        <w:t xml:space="preserve">instituie și pune în aplicare programe de dezvoltare a competențelor în întregul ecosistem de inovare în ceea ce privește finanțarea garantată prin drepturi de proprietate intelectuală și comercializarea activelor de proprietate intelectuală; </w:t>
      </w:r>
    </w:p>
    <w:p>
      <w:pPr>
        <w:pStyle w:val="Point1"/>
        <w:rPr>
          <w:noProof/>
        </w:rPr>
      </w:pPr>
      <w:r>
        <w:rPr>
          <w:noProof/>
        </w:rPr>
        <w:t>(f)</w:t>
      </w:r>
      <w:r>
        <w:rPr>
          <w:noProof/>
        </w:rPr>
        <w:tab/>
        <w:t>sporește gradul de sensibilizare cu privire la drepturile de proprietate intelectuală ca motor al inovării, creșterii economice și competitivității Uniunii, precum și cu privire la finanțarea garantată prin drepturi de proprietate intelectuală;</w:t>
      </w:r>
    </w:p>
    <w:p>
      <w:pPr>
        <w:pStyle w:val="Point1"/>
        <w:rPr>
          <w:noProof/>
        </w:rPr>
      </w:pPr>
      <w:r>
        <w:rPr>
          <w:noProof/>
        </w:rPr>
        <w:t>(g)</w:t>
      </w:r>
      <w:r>
        <w:rPr>
          <w:noProof/>
        </w:rPr>
        <w:tab/>
        <w:t>sprijină dezvoltarea progresivă a unei baze de date fundamentate științific privind finanțarea garantată prin drepturi de proprietate intelectuală, inclusiv prin colectarea voluntară și analizarea datelor anonimizate sau a altor date fără caracter personal din tranzacțiile de finanțare garantată prin drepturi de proprietate intelectuală și, după caz, prin instituirea unor mecanisme menite să faciliteze disponibilitatea și utilizarea unor astfel de date inclusiv, acolo unde este posibil, prin intermediul portofelelor europene pentru întreprinderi sau al unor mijloace electronice alternative care sunt interoperabile cu portofelele europene pentru întreprinderi;</w:t>
      </w:r>
    </w:p>
    <w:p>
      <w:pPr>
        <w:pStyle w:val="Point1"/>
        <w:rPr>
          <w:noProof/>
        </w:rPr>
      </w:pPr>
      <w:r>
        <w:rPr>
          <w:noProof/>
        </w:rPr>
        <w:t>(h)</w:t>
      </w:r>
      <w:r>
        <w:rPr>
          <w:noProof/>
        </w:rPr>
        <w:tab/>
        <w:t>oferă sprijin persoanelor și entităților menționate la alineatul (2) în ceea ce privește valorificarea și comercializarea proprietății intelectuale rezultate din activități de cercetare și inovare finanțate din fonduri publice, inclusiv prin activități de sensibilizare și de consolidare a capacităților în domeniul gestionării proprietății intelectuale, oferind asistență pentru definirea strategiilor de gestionare și comercializare a proprietății intelectuale;</w:t>
      </w:r>
    </w:p>
    <w:p>
      <w:pPr>
        <w:pStyle w:val="Point1"/>
        <w:rPr>
          <w:noProof/>
        </w:rPr>
      </w:pPr>
      <w:r>
        <w:rPr>
          <w:noProof/>
        </w:rPr>
        <w:t>(i)</w:t>
      </w:r>
      <w:r>
        <w:rPr>
          <w:noProof/>
        </w:rPr>
        <w:tab/>
        <w:t>coordonează, la nivelul Uniunii, un serviciu de asistență care oferă entităților enumerate la alineatul (2) informații și servicii de sprijin legate de finanțarea garantată prin drepturi de proprietate intelectuală.</w:t>
      </w:r>
    </w:p>
    <w:p>
      <w:pPr>
        <w:pStyle w:val="Text1"/>
        <w:rPr>
          <w:noProof/>
        </w:rPr>
      </w:pPr>
      <w:r>
        <w:rPr>
          <w:noProof/>
        </w:rPr>
        <w:t>Comisia stabilește, prin intermediul unor acte de punere în aplicare, specificațiile tehnice necesare pentru punerea în aplicare uniformă a cadrului voluntar al Uniunii menționat la primul paragraf litera (a) de la prezentul alineat, inclusiv specificațiile privind conținutul, comparabilitatea și interoperabilitatea informațiilor prezentate. Respectivele acte de punere în aplicare se adoptă în conformitate cu procedura de examinare menționată la articolul 38 alineatul (2). În conformitate cu specificațiile tehnice stabilite în temeiul celui de al doilea paragraf, Oficiul elaborează, menține și, dacă este necesar, actualizează modelele și instrumentele operaționale aferente pentru punerea în aplicare a cadrului voluntar al Uniunii.</w:t>
      </w:r>
    </w:p>
    <w:p>
      <w:pPr>
        <w:ind w:left="851"/>
        <w:rPr>
          <w:noProof/>
          <w:color w:val="000000" w:themeColor="text1"/>
          <w:szCs w:val="24"/>
        </w:rPr>
      </w:pPr>
      <w:r>
        <w:rPr>
          <w:noProof/>
        </w:rPr>
        <w:t>Comisia stabilește, prin intermediul unor acte de punere în aplicare, standarde tehnice, cerințe de interoperabilitate și specificații operaționale comune pentru platforma digitală de stabilire de contacte menționată la primul paragraf litera (b) de la prezentul articol. Respectivele acte de punere în aplicare se adoptă în conformitate cu procedura de examinare menționată la articolul 38 alineatul (2).</w:t>
      </w:r>
    </w:p>
    <w:p>
      <w:pPr>
        <w:pStyle w:val="ManualNumPar1"/>
        <w:rPr>
          <w:noProof/>
          <w:color w:val="000000" w:themeColor="text1"/>
          <w:szCs w:val="24"/>
        </w:rPr>
      </w:pPr>
      <w:r>
        <w:rPr>
          <w:noProof/>
        </w:rPr>
        <w:t>4.</w:t>
      </w:r>
      <w:r>
        <w:rPr>
          <w:noProof/>
        </w:rPr>
        <w:tab/>
      </w:r>
      <w:r>
        <w:rPr>
          <w:noProof/>
          <w:color w:val="000000" w:themeColor="text1"/>
        </w:rPr>
        <w:t>Sub rezerva disponibilității unui excedent bugetar acumulat și a aprobării de către comitetul bugetar al Oficiului, Oficiul poate încheia acorduri de contribuție cu Comisia pentru punerea în aplicare a unor activități clar definite ale Uniunii care intră în domeniul de aplicare al sarcinilor încredințate Oficiului în temeiul prezentului regulament și care se referă la finanțarea garantată prin drepturi de proprietate intelectuală și la comercializarea activelor de proprietate intelectuală. Aceste acorduri de contribuție precizează responsabilitățile și contribuțiile financiare respective ale părților, activitățile și rezultatele care urmează să fie finanțate, costurile eligibile, modalitățile de punere în aplicare, obligațiile de raportare, măsurile de control intern, drepturile de audit și tratamentul oricăror sume neutilizate.</w:t>
      </w:r>
    </w:p>
    <w:p>
      <w:pPr>
        <w:pStyle w:val="ManualNumPar1"/>
        <w:spacing w:after="0"/>
        <w:rPr>
          <w:noProof/>
        </w:rPr>
      </w:pPr>
      <w:r>
        <w:rPr>
          <w:noProof/>
        </w:rPr>
        <w:t>5.</w:t>
      </w:r>
      <w:r>
        <w:rPr>
          <w:noProof/>
        </w:rPr>
        <w:tab/>
        <w:t xml:space="preserve">Regulamentul (UE) 2017/1001 se aplică îndeplinirii atribuțiilor încredințate Oficiului în temeiul prezentului articol. </w:t>
      </w:r>
      <w:r>
        <w:rPr>
          <w:noProof/>
          <w:color w:val="000000" w:themeColor="text1"/>
        </w:rPr>
        <w:t>Centrul de competențe face parte din Oficiu și nu are personalitate juridică separată, autonomie financiară sau competențe decizionale separate. Toate activitățile desfășurate prin intermediul Centrului de competențe fac în continuare obiectul cadrului de guvernanță, de programare, bugetar, contabil, de control intern și de raportare aplicabil Oficiului.</w:t>
      </w:r>
    </w:p>
    <w:p>
      <w:pPr>
        <w:pStyle w:val="ManualNumPar1"/>
        <w:rPr>
          <w:noProof/>
        </w:rPr>
      </w:pPr>
      <w:r>
        <w:rPr>
          <w:noProof/>
        </w:rPr>
        <w:t>6.</w:t>
      </w:r>
      <w:r>
        <w:rPr>
          <w:noProof/>
        </w:rPr>
        <w:tab/>
        <w:t xml:space="preserve">Costurile de instituire a Centrului de competențe și costurile de funcționare generate de atribuțiile încredințate Oficiului prin prezentul regulament sunt acoperite din bugetul operațional al acestuia. Costurile de înființare pot include cel puțin costurile aferente dezvoltării sistemelor informatice de asistență și de crearea infrastructurii administrative corespunzătoare, precum și costurile aferente pregătirii sau instituirii, pentru o perioadă limitată, a unor noi inițiative. Comitetul bugetar al Oficiului poate autoriza utilizarea excedentului bugetar acumulat al Oficiului pentru acoperirea costurilor de înființare necesare, clar definite, nerecurente și limitate în timp. </w:t>
      </w:r>
    </w:p>
    <w:p>
      <w:pPr>
        <w:pStyle w:val="ManualNumPar1"/>
        <w:rPr>
          <w:noProof/>
        </w:rPr>
      </w:pPr>
      <w:r>
        <w:rPr>
          <w:noProof/>
        </w:rPr>
        <w:t>7.</w:t>
      </w:r>
      <w:r>
        <w:rPr>
          <w:noProof/>
        </w:rPr>
        <w:tab/>
        <w:t>Directorul executiv al Oficiului poate introduce tarife pentru serviciile specifice menționate în prezentul articol furnizate entităților menționate la alineatul (2) din prezentul articol, în conformitate cu articolul 178 din Regulamentul (UE) 2017/1001. Aceste tarife trebuie să fie transparente, nediscriminatorii și limitate la costul serviciului respectiv.</w:t>
      </w:r>
    </w:p>
    <w:p>
      <w:pPr>
        <w:pStyle w:val="Text1"/>
        <w:rPr>
          <w:noProof/>
        </w:rPr>
      </w:pPr>
      <w:r>
        <w:rPr>
          <w:noProof/>
        </w:rPr>
        <w:t xml:space="preserve">Pentru accesul la cadrul voluntar de evaluare elaborat în conformitate cu alineatul (3) primul paragraf litera (a), accesul la platforma digitală pentru stabilirea de contacte dezvoltată în conformitate cu alineatul (3) primul paragraf litera (b), serviciile de asistență menționate la alineatul (3) primul paragraf litera (d) furnizate părților interesate din sectorul public, inclusiv instituțiilor, organelor, oficiilor și agențiilor Uniunii, și accesul la serviciul de asistență la nivelul Uniunii menționat la alineatul (3) primul paragraf litera (i), nu se percep taxe sau tarife. </w:t>
      </w:r>
    </w:p>
    <w:p>
      <w:pPr>
        <w:jc w:val="center"/>
        <w:rPr>
          <w:b/>
          <w:bCs/>
          <w:noProof/>
          <w:color w:val="000000"/>
        </w:rPr>
      </w:pPr>
    </w:p>
    <w:p>
      <w:pPr>
        <w:jc w:val="center"/>
        <w:rPr>
          <w:i/>
          <w:iCs/>
          <w:noProof/>
          <w:color w:val="000000"/>
        </w:rPr>
      </w:pPr>
      <w:r>
        <w:rPr>
          <w:i/>
          <w:noProof/>
          <w:color w:val="000000"/>
        </w:rPr>
        <w:t>Articolul 33</w:t>
      </w:r>
    </w:p>
    <w:p>
      <w:pPr>
        <w:jc w:val="center"/>
        <w:rPr>
          <w:b/>
          <w:bCs/>
          <w:noProof/>
          <w:color w:val="000000"/>
        </w:rPr>
      </w:pPr>
      <w:r>
        <w:rPr>
          <w:b/>
          <w:noProof/>
          <w:color w:val="000000"/>
        </w:rPr>
        <w:t>Colectarea datelor</w:t>
      </w:r>
    </w:p>
    <w:p>
      <w:pPr>
        <w:pStyle w:val="ManualNumPar1"/>
        <w:rPr>
          <w:noProof/>
        </w:rPr>
      </w:pPr>
      <w:r>
        <w:rPr>
          <w:noProof/>
        </w:rPr>
        <w:t>1.</w:t>
      </w:r>
      <w:r>
        <w:rPr>
          <w:noProof/>
        </w:rPr>
        <w:tab/>
        <w:t>Pentru a sprijini îndeplinirea atribuțiilor încredințate Oficiului în temeiul articolului 32 și, în special, a celor legate de constituirea unei baze de date fundamentate științific, de analiza datelor și de sprijinirea îmbunătățirii accesului la finanțare pentru entitățile menționate la articolul 32 alineatul (2), Oficiul colectează și analizează date anonimizate sau alte date fără caracter personal, furnizate în mod voluntar, referitoare la tranzacțiile în cadrul cărora drepturile de proprietate intelectuală sunt utilizate ca garanție pentru obținerea de credite sau încheierea de asigurări ori ca aport în natură în cadrul unor scenarii privind investițiile de capital, fără a aduce atingere normelor aplicabile privind informațiile clasificate.</w:t>
      </w:r>
    </w:p>
    <w:p>
      <w:pPr>
        <w:pStyle w:val="ManualNumPar1"/>
        <w:rPr>
          <w:noProof/>
        </w:rPr>
      </w:pPr>
      <w:r>
        <w:rPr>
          <w:noProof/>
        </w:rPr>
        <w:t>2.</w:t>
      </w:r>
      <w:r>
        <w:rPr>
          <w:noProof/>
        </w:rPr>
        <w:tab/>
        <w:t>La colectarea și analizarea datelor în conformitate cu prezentul articol, Oficiul cooperează, în conformitate cu dreptul Uniunii, cu instituțiile, organele și agențiile Uniunii, cu autoritățile publice competente din statele membre, cu oficiile naționale și regionale pentru proprietate intelectuală și cu părțile interesate relevante, publice și private, din domeniul financiar și al asigurărilor, pentru a facilita disponibilitatea, comparabilitatea și reutilizarea datelor existente, precum și pentru a analiza, pe baza surselor de date și a practicilor existente, posibile abordări pentru îmbunătățirea transparenței și a interoperabilității la nivelul Uniunii.</w:t>
      </w:r>
    </w:p>
    <w:p>
      <w:pPr>
        <w:pStyle w:val="ManualNumPar1"/>
        <w:rPr>
          <w:noProof/>
        </w:rPr>
      </w:pPr>
      <w:r>
        <w:rPr>
          <w:noProof/>
        </w:rPr>
        <w:t>3.</w:t>
      </w:r>
      <w:r>
        <w:rPr>
          <w:noProof/>
        </w:rPr>
        <w:tab/>
        <w:t xml:space="preserve">Datele colectate și analizate de Oficiu în conformitate cu prezentul articol pot include, atunci când sunt disponibile și adecvate, informații provenite din registrele de proprietate intelectuală, din registrele comerțului, din registrele de garanții sau de alte drepturi reale asupra proprietății intelectuale și din surse similare, precum și alte informații relevante puse la dispoziție de autoritățile publice sau de actorii din sectorul privat, inclusiv informații privind modul în care a fost evaluată proprietatea intelectuală utilizată ca garanție reală pentru obținerea de credite sau încheierea de asigurări ori ca aport în natură în cadrul unor scenarii privind investițiile de capital, privind dimensiunea și caracteristicile tranzacției corespunzătoare, privind tipul de drept de proprietate intelectuală în cauză și privind indicatorii relevanți, cum ar fi evaluarea capitalurilor proprii, constituirea garanțiilor sau raporturile între valoarea creditului acordat și cea a garanției aferente creditului. </w:t>
      </w:r>
    </w:p>
    <w:p>
      <w:pPr>
        <w:pStyle w:val="ManualNumPar1"/>
        <w:rPr>
          <w:noProof/>
        </w:rPr>
      </w:pPr>
      <w:r>
        <w:rPr>
          <w:noProof/>
        </w:rPr>
        <w:t>4.</w:t>
      </w:r>
      <w:r>
        <w:rPr>
          <w:noProof/>
        </w:rPr>
        <w:tab/>
        <w:t>Oficiul, în cooperare cu părțile interesate în cauză, promovează elaborarea de standarde și practici comune referitoare la calitatea datelor, formate și condiții de acces, inclusiv modalități de acces diferențiate și proporționale, și oferă orientări și măsuri de sprijin menite să permită întreprinderilor inovatoare, start-upurilor inovatoare, întreprinderilor inovatoare în fază de extindere și IMM-urilor să beneficieze de o bază de date fundamentate științific îmbunătățită și de rezultate analitice.</w:t>
      </w:r>
    </w:p>
    <w:p>
      <w:pPr>
        <w:pStyle w:val="ManualNumPar1"/>
        <w:rPr>
          <w:noProof/>
        </w:rPr>
      </w:pPr>
      <w:r>
        <w:rPr>
          <w:noProof/>
        </w:rPr>
        <w:t>5.</w:t>
      </w:r>
      <w:r>
        <w:rPr>
          <w:noProof/>
        </w:rPr>
        <w:tab/>
        <w:t xml:space="preserve">În cazul în care acest lucru este justificat de experiența dobândită prin activitățile menționate la prezentul articol, Oficiul poate avea în vedere, în cooperare cu părțile interesate în cauză, dezvoltarea unor instrumente digitale sau a unor sisteme de date structurate pentru a sprijini în continuare îndeplinirea atribuțiilor Centrului de competențe prevăzute la articolul 32, inclusiv prin analizarea fezabilității unui registru la nivelul Uniunii al garanțiilor constituite asupra activelor de proprietate intelectuală. </w:t>
      </w:r>
    </w:p>
    <w:p>
      <w:pPr>
        <w:pStyle w:val="ManualNumPar1"/>
        <w:rPr>
          <w:noProof/>
        </w:rPr>
      </w:pPr>
      <w:r>
        <w:rPr>
          <w:noProof/>
        </w:rPr>
        <w:t>6.</w:t>
      </w:r>
      <w:r>
        <w:rPr>
          <w:noProof/>
        </w:rPr>
        <w:tab/>
        <w:t>Oficiul instituie măsuri de orientare și de sprijin pentru a se asigura că întreprinderile inovatoare, start-upurile inovatoare, întreprinderile inovatoare în fază de extindere și IMM-urile pot beneficia în mod eficace de datele colectate în conformitate cu prezentul articol.</w:t>
      </w:r>
    </w:p>
    <w:p>
      <w:pPr>
        <w:pStyle w:val="Text1"/>
        <w:rPr>
          <w:noProof/>
        </w:rPr>
      </w:pPr>
    </w:p>
    <w:p>
      <w:pPr>
        <w:jc w:val="center"/>
        <w:rPr>
          <w:i/>
          <w:iCs/>
          <w:noProof/>
          <w:color w:val="000000"/>
        </w:rPr>
      </w:pPr>
      <w:r>
        <w:rPr>
          <w:i/>
          <w:noProof/>
          <w:color w:val="000000"/>
        </w:rPr>
        <w:t>Articolul 34</w:t>
      </w:r>
    </w:p>
    <w:p>
      <w:pPr>
        <w:jc w:val="center"/>
        <w:rPr>
          <w:b/>
          <w:bCs/>
          <w:noProof/>
          <w:color w:val="000000"/>
        </w:rPr>
      </w:pPr>
      <w:r>
        <w:rPr>
          <w:b/>
          <w:noProof/>
          <w:color w:val="000000"/>
        </w:rPr>
        <w:t>Evaluatori din domeniul proprietății intelectuale</w:t>
      </w:r>
    </w:p>
    <w:p>
      <w:pPr>
        <w:pStyle w:val="ManualNumPar1"/>
        <w:rPr>
          <w:noProof/>
        </w:rPr>
      </w:pPr>
      <w:r>
        <w:rPr>
          <w:noProof/>
        </w:rPr>
        <w:t>1.</w:t>
      </w:r>
      <w:r>
        <w:rPr>
          <w:noProof/>
        </w:rPr>
        <w:tab/>
        <w:t>Persoanele și entitățile menționate la articolul 32 alineatul (2) și entitățile publice și private relevante din domeniul finanțelor și al asigurărilor pot solicita o evaluare a valorii drepturilor de proprietate intelectuală în temeiul cadrului voluntar al Uniunii, în conformitate cu articolul 32 alineatul (3) primul paragraf litera (a). O astfel de evaluare poate fi efectuată de un evaluator din domeniul proprietății intelectuale certificat în conformitate cu articolul 35.</w:t>
      </w:r>
    </w:p>
    <w:p>
      <w:pPr>
        <w:pStyle w:val="ManualNumPar1"/>
        <w:rPr>
          <w:noProof/>
        </w:rPr>
      </w:pPr>
      <w:r>
        <w:rPr>
          <w:noProof/>
        </w:rPr>
        <w:t>2.</w:t>
      </w:r>
      <w:r>
        <w:rPr>
          <w:noProof/>
        </w:rPr>
        <w:tab/>
        <w:t>În cazul în care evaluarea este comandată în legătură cu o operațiune de finanțare, informațiile necesare pentru evaluare sunt furnizate în conformitate cu acordurile convenite între părțile în cauză și sub rezerva normelor aplicabile privind confidențialitatea și protecția secretelor comerciale.</w:t>
      </w:r>
    </w:p>
    <w:p>
      <w:pPr>
        <w:pStyle w:val="ManualNumPar1"/>
        <w:spacing w:before="100" w:beforeAutospacing="1" w:after="100" w:afterAutospacing="1"/>
        <w:rPr>
          <w:rFonts w:eastAsia="Times New Roman"/>
          <w:noProof/>
          <w:szCs w:val="24"/>
        </w:rPr>
      </w:pPr>
      <w:r>
        <w:rPr>
          <w:noProof/>
        </w:rPr>
        <w:t>3.</w:t>
      </w:r>
      <w:r>
        <w:rPr>
          <w:noProof/>
        </w:rPr>
        <w:tab/>
        <w:t xml:space="preserve">Atunci când efectuează o evaluare, evaluatorul din domeniul proprietății intelectuale acționează independent și evită orice conflict de interese cu persoanele sau entitățile vizate de evaluare. </w:t>
      </w:r>
    </w:p>
    <w:p>
      <w:pPr>
        <w:pStyle w:val="ManualNumPar1"/>
        <w:rPr>
          <w:noProof/>
        </w:rPr>
      </w:pPr>
      <w:r>
        <w:rPr>
          <w:noProof/>
        </w:rPr>
        <w:t>4.</w:t>
      </w:r>
      <w:r>
        <w:rPr>
          <w:noProof/>
        </w:rPr>
        <w:tab/>
        <w:t>Taxele și alte costuri legate de o evaluare sunt suportate de persoana sau entitatea care a comandat evaluarea, cu excepția cazului în care părțile au convenit altfel. Acestea sunt transparente, rezonabile și proporționale cu natura, domeniul de aplicare și complexitatea evaluării.</w:t>
      </w:r>
    </w:p>
    <w:p>
      <w:pPr>
        <w:rPr>
          <w:noProof/>
        </w:rPr>
      </w:pPr>
    </w:p>
    <w:p>
      <w:pPr>
        <w:jc w:val="center"/>
        <w:rPr>
          <w:i/>
          <w:iCs/>
          <w:noProof/>
        </w:rPr>
      </w:pPr>
      <w:r>
        <w:rPr>
          <w:i/>
          <w:noProof/>
        </w:rPr>
        <w:t>Articolul 35</w:t>
      </w:r>
    </w:p>
    <w:p>
      <w:pPr>
        <w:jc w:val="center"/>
        <w:rPr>
          <w:b/>
          <w:bCs/>
          <w:noProof/>
        </w:rPr>
      </w:pPr>
      <w:r>
        <w:rPr>
          <w:b/>
          <w:noProof/>
        </w:rPr>
        <w:t>Certificarea evaluatorilor din domeniul proprietății intelectuale</w:t>
      </w:r>
    </w:p>
    <w:p>
      <w:pPr>
        <w:pStyle w:val="ManualNumPar1"/>
        <w:rPr>
          <w:noProof/>
        </w:rPr>
      </w:pPr>
      <w:r>
        <w:rPr>
          <w:noProof/>
        </w:rPr>
        <w:t>1.</w:t>
      </w:r>
      <w:r>
        <w:rPr>
          <w:noProof/>
        </w:rPr>
        <w:tab/>
        <w:t>Oficiul instituie și administrează un sistem de certificare al Uniunii pentru evaluatorii din domeniul proprietății intelectuale. Certificarea atestă că un evaluator a dobândit cunoștințele și competența profesională necesare pentru a efectua evaluări în temeiul cadrului voluntar al Uniunii menționat la articolul 32 alineatul (3) primul paragraf litera (a).</w:t>
      </w:r>
    </w:p>
    <w:p>
      <w:pPr>
        <w:pStyle w:val="ManualNumPar1"/>
        <w:rPr>
          <w:noProof/>
        </w:rPr>
      </w:pPr>
      <w:r>
        <w:rPr>
          <w:noProof/>
        </w:rPr>
        <w:t>2.</w:t>
      </w:r>
      <w:r>
        <w:rPr>
          <w:noProof/>
        </w:rPr>
        <w:tab/>
        <w:t xml:space="preserve">Certificarea în temeiul prezentului articol este voluntară și atestă competența în aplicarea cadrului de evaluare al Uniunii. Aceasta nu constituie o licență profesională și nu conferă dreptul de a exercita o profesie reglementată și nici nu constituie o condiție prealabilă pentru efectuarea evaluărilor din domeniul proprietății intelectuale în temeiul dreptului Uniunii sau al dreptului intern. Certificarea nu aduce atingere normelor naționale care reglementează profesiile reglementate, calificările profesionale și furnizarea de servicii de evaluare. </w:t>
      </w:r>
    </w:p>
    <w:p>
      <w:pPr>
        <w:pStyle w:val="ManualNumPar1"/>
        <w:tabs>
          <w:tab w:val="num" w:pos="1418"/>
        </w:tabs>
        <w:ind w:left="851" w:hanging="851"/>
        <w:rPr>
          <w:noProof/>
        </w:rPr>
      </w:pPr>
      <w:r>
        <w:rPr>
          <w:noProof/>
        </w:rPr>
        <w:t>3.</w:t>
      </w:r>
      <w:r>
        <w:rPr>
          <w:noProof/>
        </w:rPr>
        <w:tab/>
        <w:t>Certificarea de către Oficiu nu conferă Oficiului responsabilitatea pentru evaluările individuale efectuate de un evaluator certificat și nu conferă acestor evaluări efecte juridice obligatorii sau prezumtive.</w:t>
      </w:r>
    </w:p>
    <w:p>
      <w:pPr>
        <w:pStyle w:val="ManualNumPar1"/>
        <w:rPr>
          <w:noProof/>
        </w:rPr>
      </w:pPr>
      <w:r>
        <w:rPr>
          <w:noProof/>
        </w:rPr>
        <w:t>4.</w:t>
      </w:r>
      <w:r>
        <w:rPr>
          <w:noProof/>
        </w:rPr>
        <w:tab/>
        <w:t>Pentru a fi eligibil pentru certificare, evaluatorul candidat:</w:t>
      </w:r>
    </w:p>
    <w:p>
      <w:pPr>
        <w:pStyle w:val="Point1"/>
        <w:rPr>
          <w:noProof/>
        </w:rPr>
      </w:pPr>
      <w:r>
        <w:rPr>
          <w:noProof/>
        </w:rPr>
        <w:t>(a)</w:t>
      </w:r>
      <w:r>
        <w:rPr>
          <w:noProof/>
        </w:rPr>
        <w:tab/>
        <w:t>deține o pregătire educațională sau profesională corespunzătoare și o experiență profesională relevantă, precum și competența tehnică necesară pentru evaluarea activelor de proprietate intelectuală;</w:t>
      </w:r>
    </w:p>
    <w:p>
      <w:pPr>
        <w:pStyle w:val="Point1"/>
        <w:rPr>
          <w:noProof/>
        </w:rPr>
      </w:pPr>
      <w:r>
        <w:rPr>
          <w:noProof/>
        </w:rPr>
        <w:t>(b)</w:t>
      </w:r>
      <w:r>
        <w:rPr>
          <w:noProof/>
        </w:rPr>
        <w:tab/>
        <w:t>finalizează cu succes o formare specializată privind aplicarea cadrului voluntar al Uniunii menționat la articolul 32 alineatul (3) primul paragraf litera (a) și o evaluare care demonstrează cunoștințe suficiente și capacitatea practică de a aplica respectivul cadru;</w:t>
      </w:r>
    </w:p>
    <w:p>
      <w:pPr>
        <w:pStyle w:val="Point1"/>
        <w:rPr>
          <w:noProof/>
        </w:rPr>
      </w:pPr>
      <w:r>
        <w:rPr>
          <w:noProof/>
        </w:rPr>
        <w:t>(c)</w:t>
      </w:r>
      <w:r>
        <w:rPr>
          <w:noProof/>
        </w:rPr>
        <w:tab/>
        <w:t>demonstrează obiectivitate, integritate și respectarea standardelor profesionale sau a codurilor de conduită relevante.</w:t>
      </w:r>
    </w:p>
    <w:p>
      <w:pPr>
        <w:pStyle w:val="Text1"/>
        <w:rPr>
          <w:noProof/>
        </w:rPr>
      </w:pPr>
      <w:r>
        <w:rPr>
          <w:noProof/>
        </w:rPr>
        <w:t xml:space="preserve">Formarea și evaluarea menționate la primul paragraf literele (b) și (c) sunt organizate de Oficiu. Oficiul poate elabora și furniza această formare și această evaluare în cooperare cu oficiile naționale din domeniul proprietății intelectuale și cu organizațiile profesionale europene sau internaționale și organismele de evaluare relevante. </w:t>
      </w:r>
    </w:p>
    <w:p>
      <w:pPr>
        <w:pStyle w:val="ManualNumPar1"/>
        <w:rPr>
          <w:noProof/>
        </w:rPr>
      </w:pPr>
      <w:r>
        <w:rPr>
          <w:noProof/>
        </w:rPr>
        <w:t>5.</w:t>
      </w:r>
      <w:r>
        <w:rPr>
          <w:noProof/>
        </w:rPr>
        <w:tab/>
        <w:t xml:space="preserve">Comisia stabilește, prin acte de punere în aplicare, următoarele condiții detaliate pentru punerea în aplicare a sistemului de certificare instituit prin prezentul articol: </w:t>
      </w:r>
    </w:p>
    <w:p>
      <w:pPr>
        <w:pStyle w:val="Point1"/>
        <w:rPr>
          <w:noProof/>
        </w:rPr>
      </w:pPr>
      <w:r>
        <w:rPr>
          <w:noProof/>
        </w:rPr>
        <w:t>(a)</w:t>
      </w:r>
      <w:r>
        <w:rPr>
          <w:noProof/>
        </w:rPr>
        <w:tab/>
        <w:t>pregătirea educațională sau profesională minimă și experiența profesională necesare pentru admiterea în sistemul de certificare, precum și dovezile care trebuie prezentate în acest scop;</w:t>
      </w:r>
    </w:p>
    <w:p>
      <w:pPr>
        <w:pStyle w:val="Point1"/>
        <w:rPr>
          <w:noProof/>
        </w:rPr>
      </w:pPr>
      <w:r>
        <w:rPr>
          <w:noProof/>
        </w:rPr>
        <w:t>(b)</w:t>
      </w:r>
      <w:r>
        <w:rPr>
          <w:noProof/>
        </w:rPr>
        <w:tab/>
        <w:t>conținutul minim, rezultatele învățării și componentele practice ale formării specializate menționate la alineatul (4) primul paragraf litera (b), inclusiv orice cerințe privind participarea;</w:t>
      </w:r>
    </w:p>
    <w:p>
      <w:pPr>
        <w:pStyle w:val="Point1"/>
        <w:rPr>
          <w:noProof/>
        </w:rPr>
      </w:pPr>
      <w:r>
        <w:rPr>
          <w:noProof/>
        </w:rPr>
        <w:t>(c)</w:t>
      </w:r>
      <w:r>
        <w:rPr>
          <w:noProof/>
        </w:rPr>
        <w:tab/>
        <w:t>forma, conținutul, metodologia de evaluare și cerințele minime pentru promovarea evaluării menționate la alineatul (4) primul paragraf litera (c);</w:t>
      </w:r>
    </w:p>
    <w:p>
      <w:pPr>
        <w:pStyle w:val="Point1"/>
        <w:rPr>
          <w:noProof/>
        </w:rPr>
      </w:pPr>
      <w:r>
        <w:rPr>
          <w:noProof/>
        </w:rPr>
        <w:t>(d)</w:t>
      </w:r>
      <w:r>
        <w:rPr>
          <w:noProof/>
        </w:rPr>
        <w:tab/>
        <w:t>procedura de depunere a cererii, inclusiv documentele și dovezile care trebuie prezentate, precum și modalitățile de verificare a respectării condițiilor prevăzute la alineatul (4);</w:t>
      </w:r>
    </w:p>
    <w:p>
      <w:pPr>
        <w:pStyle w:val="Point1"/>
        <w:rPr>
          <w:noProof/>
        </w:rPr>
      </w:pPr>
      <w:r>
        <w:rPr>
          <w:noProof/>
        </w:rPr>
        <w:t>(e)</w:t>
      </w:r>
      <w:r>
        <w:rPr>
          <w:noProof/>
        </w:rPr>
        <w:tab/>
        <w:t>perioada de valabilitate a certificării și condițiile și procedura pentru reînnoirea acesteia, inclusiv cerințele privind dezvoltarea profesională continuă;</w:t>
      </w:r>
    </w:p>
    <w:p>
      <w:pPr>
        <w:pStyle w:val="Point1"/>
        <w:rPr>
          <w:noProof/>
        </w:rPr>
      </w:pPr>
      <w:r>
        <w:rPr>
          <w:noProof/>
        </w:rPr>
        <w:t>(f)</w:t>
      </w:r>
      <w:r>
        <w:rPr>
          <w:noProof/>
        </w:rPr>
        <w:tab/>
        <w:t>motivele și procedura pentru suspendarea și retragerea certificării, inclusiv garanțiile procedurale adecvate și dreptul persoanei în cauză de a fi ascultată;</w:t>
      </w:r>
    </w:p>
    <w:p>
      <w:pPr>
        <w:pStyle w:val="Point1"/>
        <w:rPr>
          <w:noProof/>
        </w:rPr>
      </w:pPr>
      <w:r>
        <w:rPr>
          <w:noProof/>
        </w:rPr>
        <w:t>(g)</w:t>
      </w:r>
      <w:r>
        <w:rPr>
          <w:noProof/>
        </w:rPr>
        <w:tab/>
        <w:t>condițiile care reglementează utilizarea, prezentarea și comunicarea certificării Uniunii și a statutului de persoană certificată, inclusiv normele menite să prevină orice reprezentare înșelătoare cu privire la domeniul de aplicare sau efectele juridice ale certificării; și</w:t>
      </w:r>
    </w:p>
    <w:p>
      <w:pPr>
        <w:pStyle w:val="Point1"/>
        <w:rPr>
          <w:noProof/>
        </w:rPr>
      </w:pPr>
      <w:r>
        <w:rPr>
          <w:noProof/>
        </w:rPr>
        <w:t>(h)</w:t>
      </w:r>
      <w:r>
        <w:rPr>
          <w:noProof/>
        </w:rPr>
        <w:tab/>
        <w:t>informațiile referitoare la evaluatorii certificați care trebuie incluse în baza de date menționată la alineatul (7) de la prezentul articol.</w:t>
      </w:r>
    </w:p>
    <w:p>
      <w:pPr>
        <w:rPr>
          <w:noProof/>
        </w:rPr>
      </w:pPr>
      <w:r>
        <w:rPr>
          <w:noProof/>
        </w:rPr>
        <w:t xml:space="preserve">Respectivele acte de punere în aplicare se adoptă în conformitate cu procedura de examinare menționată la articolul 38 alineatul (2). </w:t>
      </w:r>
    </w:p>
    <w:p>
      <w:pPr>
        <w:pStyle w:val="ManualNumPar1"/>
        <w:rPr>
          <w:noProof/>
        </w:rPr>
      </w:pPr>
      <w:r>
        <w:rPr>
          <w:noProof/>
        </w:rPr>
        <w:t>6.</w:t>
      </w:r>
      <w:r>
        <w:rPr>
          <w:noProof/>
        </w:rPr>
        <w:tab/>
        <w:t>Oficiul, prin intermediul Centrului de competențe, acordă, reînnoiește, suspendă sau retrage certificarea în conformitate cu prezentul articol.</w:t>
      </w:r>
    </w:p>
    <w:p>
      <w:pPr>
        <w:pStyle w:val="ManualNumPar1"/>
        <w:rPr>
          <w:noProof/>
        </w:rPr>
      </w:pPr>
      <w:r>
        <w:rPr>
          <w:noProof/>
        </w:rPr>
        <w:t>7.</w:t>
      </w:r>
      <w:r>
        <w:rPr>
          <w:noProof/>
        </w:rPr>
        <w:tab/>
        <w:t>Oficiul, prin intermediul Centrului de competențe, instituie și menține o bază de date a Uniunii, accesibilă publicului, a evaluatorilor din domeniul proprietății intelectuale certificați în conformitate cu prezentul articol.</w:t>
      </w:r>
    </w:p>
    <w:p>
      <w:pPr>
        <w:pStyle w:val="ManualNumPar1"/>
        <w:rPr>
          <w:noProof/>
        </w:rPr>
      </w:pPr>
      <w:r>
        <w:rPr>
          <w:noProof/>
        </w:rPr>
        <w:t>8.</w:t>
      </w:r>
      <w:r>
        <w:rPr>
          <w:noProof/>
        </w:rPr>
        <w:tab/>
        <w:t>Directorul executiv poate introduce tarife pentru serviciile de certificare, evaluare și reînnoire furnizate în temeiul prezentului articol, în conformitate cu articolul 178 din Regulamentul (UE) 2017/1001. Aceste tarife sunt transparente, nediscriminatorii și nu depășesc costul serviciilor specifice în cauză.</w:t>
      </w:r>
    </w:p>
    <w:p>
      <w:pPr>
        <w:pStyle w:val="Text1"/>
        <w:rPr>
          <w:noProof/>
        </w:rPr>
      </w:pPr>
    </w:p>
    <w:p>
      <w:pPr>
        <w:jc w:val="center"/>
        <w:rPr>
          <w:i/>
          <w:iCs/>
          <w:noProof/>
          <w:color w:val="000000"/>
        </w:rPr>
      </w:pPr>
      <w:r>
        <w:rPr>
          <w:i/>
          <w:noProof/>
          <w:color w:val="000000"/>
        </w:rPr>
        <w:t>Articolul 36</w:t>
      </w:r>
    </w:p>
    <w:p>
      <w:pPr>
        <w:jc w:val="center"/>
        <w:rPr>
          <w:b/>
          <w:bCs/>
          <w:noProof/>
          <w:color w:val="000000"/>
        </w:rPr>
      </w:pPr>
      <w:r>
        <w:rPr>
          <w:b/>
          <w:noProof/>
          <w:color w:val="000000"/>
        </w:rPr>
        <w:t>Programarea și raportarea</w:t>
      </w:r>
    </w:p>
    <w:p>
      <w:pPr>
        <w:pStyle w:val="ManualNumPar1"/>
        <w:rPr>
          <w:noProof/>
        </w:rPr>
      </w:pPr>
      <w:r>
        <w:rPr>
          <w:noProof/>
        </w:rPr>
        <w:t>1.</w:t>
      </w:r>
      <w:r>
        <w:rPr>
          <w:noProof/>
        </w:rPr>
        <w:tab/>
        <w:t>Oficiul include activitățile necesare pentru îndeplinirea atribuțiilor încredințate Oficiului în conformitate cu prezentul regulament într-o secțiune separată a programului strategic multianual și a programului anual de lucru al Oficiului menționate la articolul 153 alineatul (1) literele (a) și (b) din Regulamentul (UE) 2017/1001.</w:t>
      </w:r>
    </w:p>
    <w:p>
      <w:pPr>
        <w:pStyle w:val="ManualNumPar1"/>
        <w:rPr>
          <w:noProof/>
        </w:rPr>
      </w:pPr>
      <w:r>
        <w:rPr>
          <w:noProof/>
        </w:rPr>
        <w:t>2.</w:t>
      </w:r>
      <w:r>
        <w:rPr>
          <w:noProof/>
        </w:rPr>
        <w:tab/>
        <w:t>Secțiunea separată menționată la alineatul (1) de la prezentul articol stabilește obiectivele, activitățile, rezultatele preconizate, indicatorii de performanță și resursele umane și financiare estimate aferente atribuțiilor respective, ținând seama de politicile și prioritățile relevante ale Uniunii. Elaborarea, adoptarea, punerea în aplicare și modificarea programului strategic multianual și a programului anual de lucru sunt reglementate de Regulamentul (UE) 2017/1001.</w:t>
      </w:r>
    </w:p>
    <w:p>
      <w:pPr>
        <w:pStyle w:val="ManualNumPar1"/>
        <w:rPr>
          <w:noProof/>
        </w:rPr>
      </w:pPr>
      <w:r>
        <w:rPr>
          <w:noProof/>
        </w:rPr>
        <w:t>3.</w:t>
      </w:r>
      <w:r>
        <w:rPr>
          <w:noProof/>
        </w:rPr>
        <w:tab/>
        <w:t>Oficiul include în raportul anual privind activitățile Oficiului menționat la articolul 153 alineatul (1) litera (c) din Regulamentul (UE) 2017/1001 o secțiune distinctă privind atribuțiile încredințate Oficiului în temeiul prezentului articol. Această secțiune distinctă conține toate elementele următoare:</w:t>
      </w:r>
    </w:p>
    <w:p>
      <w:pPr>
        <w:pStyle w:val="Point1"/>
        <w:ind w:left="1276" w:hanging="425"/>
        <w:rPr>
          <w:noProof/>
        </w:rPr>
      </w:pPr>
      <w:r>
        <w:rPr>
          <w:noProof/>
        </w:rPr>
        <w:t>(a)</w:t>
      </w:r>
      <w:r>
        <w:rPr>
          <w:noProof/>
        </w:rPr>
        <w:tab/>
        <w:t>o trecere în revistă a principalelor activități desfășurate în cursul anului anterior;</w:t>
      </w:r>
    </w:p>
    <w:p>
      <w:pPr>
        <w:pStyle w:val="ManualNumPar4"/>
        <w:ind w:left="1276" w:hanging="425"/>
        <w:rPr>
          <w:noProof/>
        </w:rPr>
      </w:pPr>
      <w:r>
        <w:rPr>
          <w:noProof/>
        </w:rPr>
        <w:t>(b)</w:t>
      </w:r>
      <w:r>
        <w:rPr>
          <w:noProof/>
        </w:rPr>
        <w:tab/>
        <w:t>rezultatele obținute în raport cu obiectivele și indicatorii de performanță stabiliți în programul anual de lucru;</w:t>
      </w:r>
    </w:p>
    <w:p>
      <w:pPr>
        <w:pStyle w:val="ManualNumPar4"/>
        <w:ind w:left="1276" w:hanging="425"/>
        <w:rPr>
          <w:noProof/>
        </w:rPr>
      </w:pPr>
      <w:r>
        <w:rPr>
          <w:noProof/>
        </w:rPr>
        <w:t>(c)</w:t>
      </w:r>
      <w:r>
        <w:rPr>
          <w:noProof/>
        </w:rPr>
        <w:tab/>
        <w:t xml:space="preserve">o evaluare globală a îndeplinirii acestor atribuții, inclusiv a resurselor financiare și de personal utilizate, a oricăror venituri obținute din perceperea unor tarife și a oricărui efect semnificativ asupra îndeplinirii celorlalte atribuții statutare ale Oficiului; </w:t>
      </w:r>
    </w:p>
    <w:p>
      <w:pPr>
        <w:pStyle w:val="ManualNumPar4"/>
        <w:ind w:left="1276" w:hanging="425"/>
        <w:rPr>
          <w:noProof/>
        </w:rPr>
      </w:pPr>
      <w:r>
        <w:rPr>
          <w:noProof/>
        </w:rPr>
        <w:t>(d)</w:t>
      </w:r>
      <w:r>
        <w:rPr>
          <w:noProof/>
        </w:rPr>
        <w:tab/>
        <w:t>o prezentare generală a activităților planificate pentru anii următori.</w:t>
      </w:r>
    </w:p>
    <w:p>
      <w:pPr>
        <w:pStyle w:val="Text1"/>
        <w:rPr>
          <w:noProof/>
        </w:rPr>
      </w:pPr>
    </w:p>
    <w:p>
      <w:pPr>
        <w:jc w:val="center"/>
        <w:rPr>
          <w:i/>
          <w:iCs/>
          <w:noProof/>
          <w:color w:val="000000"/>
        </w:rPr>
      </w:pPr>
      <w:r>
        <w:rPr>
          <w:i/>
          <w:noProof/>
          <w:color w:val="000000"/>
        </w:rPr>
        <w:t>Articolul 37</w:t>
      </w:r>
    </w:p>
    <w:p>
      <w:pPr>
        <w:jc w:val="center"/>
        <w:rPr>
          <w:b/>
          <w:bCs/>
          <w:noProof/>
          <w:color w:val="000000"/>
        </w:rPr>
      </w:pPr>
      <w:r>
        <w:rPr>
          <w:b/>
          <w:noProof/>
          <w:color w:val="000000"/>
        </w:rPr>
        <w:t>Modificarea Regulamentului (UE) 2017/1001</w:t>
      </w:r>
    </w:p>
    <w:p>
      <w:pPr>
        <w:rPr>
          <w:noProof/>
        </w:rPr>
      </w:pPr>
      <w:r>
        <w:rPr>
          <w:noProof/>
        </w:rPr>
        <w:t xml:space="preserve">La articolul 151 alineatul (1) din Regulamentul (UE) 2017/1001 se adaugă următoarea literă (f): </w:t>
      </w:r>
    </w:p>
    <w:p>
      <w:pPr>
        <w:rPr>
          <w:noProof/>
        </w:rPr>
      </w:pPr>
      <w:r>
        <w:rPr>
          <w:noProof/>
        </w:rPr>
        <w:t>„(f) atribuțiile care i-au fost încredințate în temeiul Regulamentului (UE) 202X/XXXX al Parlamentului European și al Consiliului. *</w:t>
      </w:r>
      <w:r>
        <w:rPr>
          <w:rStyle w:val="FootnoteReference"/>
          <w:noProof/>
        </w:rPr>
        <w:footnoteReference w:customMarkFollows="1" w:id="53"/>
        <w:t>+</w:t>
      </w:r>
      <w:r>
        <w:rPr>
          <w:noProof/>
        </w:rPr>
        <w:t>”</w:t>
      </w:r>
    </w:p>
    <w:p>
      <w:pPr>
        <w:rPr>
          <w:noProof/>
        </w:rPr>
      </w:pPr>
      <w:r>
        <w:rPr>
          <w:noProof/>
        </w:rPr>
        <w:t xml:space="preserve">_________________________ </w:t>
      </w:r>
    </w:p>
    <w:p>
      <w:pPr>
        <w:rPr>
          <w:noProof/>
        </w:rPr>
      </w:pPr>
      <w:r>
        <w:rPr>
          <w:noProof/>
        </w:rPr>
        <w:t>* Regulamentul (UE) 202X/XXXX al Parlamentului European și al Consiliului (JO..., ELI...).”.</w:t>
      </w:r>
    </w:p>
    <w:p>
      <w:pPr>
        <w:rPr>
          <w:noProof/>
        </w:rPr>
      </w:pPr>
    </w:p>
    <w:p>
      <w:pPr>
        <w:pStyle w:val="Text1"/>
        <w:rPr>
          <w:noProof/>
        </w:rPr>
      </w:pPr>
    </w:p>
    <w:p>
      <w:pPr>
        <w:pStyle w:val="ChapterTitle"/>
        <w:rPr>
          <w:noProof/>
        </w:rPr>
      </w:pPr>
      <w:r>
        <w:rPr>
          <w:noProof/>
        </w:rPr>
        <w:t>Capitolul 4</w:t>
      </w:r>
      <w:r>
        <w:rPr>
          <w:noProof/>
        </w:rPr>
        <w:br/>
        <w:t>DISPOZIȚII FINALE</w:t>
      </w:r>
    </w:p>
    <w:p>
      <w:pPr>
        <w:pStyle w:val="Titrearticle"/>
        <w:rPr>
          <w:noProof/>
        </w:rPr>
      </w:pPr>
      <w:r>
        <w:rPr>
          <w:noProof/>
        </w:rPr>
        <w:t>Articolul 38</w:t>
      </w:r>
    </w:p>
    <w:p>
      <w:pPr>
        <w:pStyle w:val="NormalCentered"/>
        <w:rPr>
          <w:noProof/>
        </w:rPr>
      </w:pPr>
      <w:r>
        <w:rPr>
          <w:b/>
          <w:noProof/>
        </w:rPr>
        <w:t>Procedura comitetului</w:t>
      </w:r>
    </w:p>
    <w:p>
      <w:pPr>
        <w:pStyle w:val="ManualNumPar1"/>
        <w:rPr>
          <w:noProof/>
        </w:rPr>
      </w:pPr>
      <w:r>
        <w:rPr>
          <w:noProof/>
        </w:rPr>
        <w:t>1.</w:t>
      </w:r>
      <w:r>
        <w:rPr>
          <w:noProof/>
        </w:rPr>
        <w:tab/>
        <w:t>Comisia este asistată de Comitetul privind normele de punere în aplicare instituit prin Regulamentul (UE) 2017/1001. Respectivul comitet reprezintă un comitet în înțelesul Regulamentului (UE) nr. 182/2011.</w:t>
      </w:r>
    </w:p>
    <w:p>
      <w:pPr>
        <w:pStyle w:val="ManualNumPar1"/>
        <w:rPr>
          <w:noProof/>
        </w:rPr>
      </w:pPr>
      <w:r>
        <w:rPr>
          <w:noProof/>
        </w:rPr>
        <w:t>2.</w:t>
      </w:r>
      <w:r>
        <w:rPr>
          <w:noProof/>
        </w:rPr>
        <w:tab/>
      </w:r>
      <w:bookmarkStart w:id="38" w:name="ecjnQh6RgpeTvSZj1"/>
      <w:bookmarkStart w:id="39" w:name="ecySkbsjGqwH2gTd7"/>
      <w:bookmarkEnd w:id="38"/>
      <w:bookmarkEnd w:id="39"/>
      <w:r>
        <w:rPr>
          <w:noProof/>
        </w:rPr>
        <w:t xml:space="preserve">În cazul în care se face trimitere la prezentul alineat, se aplică articolul 5 din Regulamentul (UE) nr. 182/2011. </w:t>
      </w:r>
    </w:p>
    <w:p>
      <w:pPr>
        <w:pStyle w:val="Titrearticle"/>
        <w:rPr>
          <w:noProof/>
        </w:rPr>
      </w:pPr>
      <w:r>
        <w:rPr>
          <w:noProof/>
        </w:rPr>
        <w:t>Articolul 39</w:t>
      </w:r>
    </w:p>
    <w:p>
      <w:pPr>
        <w:pStyle w:val="NormalCentered"/>
        <w:rPr>
          <w:b/>
          <w:noProof/>
        </w:rPr>
      </w:pPr>
      <w:r>
        <w:rPr>
          <w:b/>
          <w:noProof/>
        </w:rPr>
        <w:t>Exercitarea delegării</w:t>
      </w:r>
    </w:p>
    <w:p>
      <w:pPr>
        <w:pStyle w:val="ManualNumPar1"/>
        <w:rPr>
          <w:noProof/>
        </w:rPr>
      </w:pPr>
      <w:r>
        <w:rPr>
          <w:noProof/>
        </w:rPr>
        <w:t>1.</w:t>
      </w:r>
      <w:r>
        <w:rPr>
          <w:noProof/>
        </w:rPr>
        <w:tab/>
        <w:t>Competența de a adopta acte delegate este conferită Comisiei în condițiile prevăzute la prezentul articol.</w:t>
      </w:r>
    </w:p>
    <w:p>
      <w:pPr>
        <w:pStyle w:val="ManualNumPar1"/>
        <w:rPr>
          <w:noProof/>
        </w:rPr>
      </w:pPr>
      <w:r>
        <w:rPr>
          <w:noProof/>
        </w:rPr>
        <w:t>2.</w:t>
      </w:r>
      <w:r>
        <w:rPr>
          <w:noProof/>
        </w:rPr>
        <w:tab/>
        <w:t>Competența de a adopta acte delegate menționată la articolul 11 alineatul (2), la articolul 19 alineatul (10), la articolul 22 alineatul (5), la articolul 24 alineatul (12), la articolul 28 alineatul (5) și la articolul 31 alineatul (8) se conferă Comisiei pe o perioadă de cinci ani de la intrarea în vigoare a prezentului regulament.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pPr>
        <w:pStyle w:val="ManualNumPar1"/>
        <w:rPr>
          <w:noProof/>
        </w:rPr>
      </w:pPr>
      <w:r>
        <w:rPr>
          <w:noProof/>
        </w:rPr>
        <w:t>3.</w:t>
      </w:r>
      <w:r>
        <w:rPr>
          <w:noProof/>
        </w:rPr>
        <w:tab/>
        <w:t xml:space="preserve">Delegarea de competențe menționată la articolul 7 alineatul (2), articolul 19 alineatul (11), articolul 22 alineatul (5), articolul 24 alineatul (12), articolul 28 alineatul (5) și la articolul 31 alineatul (8) poate fi revocată în orice moment de Parlamentul European sau de Consiliu. O decizie de revocare pune capăt delegării de competențe specificate în decizia respectivă. Decizia produce efecte din ziua următoare datei publicării acesteia în </w:t>
      </w:r>
      <w:r>
        <w:rPr>
          <w:i/>
          <w:noProof/>
        </w:rPr>
        <w:t>Jurnalul Oficial al Uniunii Europene</w:t>
      </w:r>
      <w:r>
        <w:rPr>
          <w:noProof/>
        </w:rPr>
        <w:t xml:space="preserve"> sau de la o dată ulterioară menționată în decizie. Decizia nu aduce atingere actelor delegate care sunt deja în vigoare.</w:t>
      </w:r>
    </w:p>
    <w:p>
      <w:pPr>
        <w:pStyle w:val="ManualNumPar1"/>
        <w:rPr>
          <w:noProof/>
        </w:rPr>
      </w:pPr>
      <w:r>
        <w:rPr>
          <w:noProof/>
        </w:rPr>
        <w:t>4.</w:t>
      </w:r>
      <w:r>
        <w:rPr>
          <w:noProof/>
        </w:rPr>
        <w:tab/>
        <w:t>Înainte de adoptarea unui act delegat, Comisia consultă experții desemnați de fiecare stat membru în conformitate cu principiile prevăzute în Acordul interinstituțional din 13 aprilie 2016 privind o mai bună legiferare.</w:t>
      </w:r>
    </w:p>
    <w:p>
      <w:pPr>
        <w:pStyle w:val="ManualNumPar1"/>
        <w:rPr>
          <w:noProof/>
        </w:rPr>
      </w:pPr>
      <w:r>
        <w:rPr>
          <w:noProof/>
        </w:rPr>
        <w:t>5.</w:t>
      </w:r>
      <w:r>
        <w:rPr>
          <w:noProof/>
        </w:rPr>
        <w:tab/>
        <w:t>De îndată ce adoptă un act delegat, Comisia îl notifică simultan Parlamentului European și Consiliului.</w:t>
      </w:r>
    </w:p>
    <w:p>
      <w:pPr>
        <w:pStyle w:val="ManualNumPar1"/>
        <w:rPr>
          <w:noProof/>
        </w:rPr>
      </w:pPr>
      <w:r>
        <w:rPr>
          <w:noProof/>
        </w:rPr>
        <w:t>6.</w:t>
      </w:r>
      <w:r>
        <w:rPr>
          <w:noProof/>
        </w:rPr>
        <w:tab/>
        <w:t>Un act delegat adoptat în temeiul articolului 11 alineatul (2), al articolului 19 alineatul (10), al articolului 22 alineatul (5), al articolului 24 alineatul (12), al articolului 28 alineatul (5) și al articolului 31 alineatul (8) intră în vigoare numai în cazul în care nici Parlamentul European și nici Consiliul nu au formulat obiecții în termen de două luni de la notificarea acestuia 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p>
    <w:p>
      <w:pPr>
        <w:pStyle w:val="Titrearticle"/>
        <w:rPr>
          <w:noProof/>
        </w:rPr>
      </w:pPr>
      <w:r>
        <w:rPr>
          <w:noProof/>
        </w:rPr>
        <w:t>Articolul 40</w:t>
      </w:r>
    </w:p>
    <w:p>
      <w:pPr>
        <w:pStyle w:val="NormalCentered"/>
        <w:rPr>
          <w:noProof/>
        </w:rPr>
      </w:pPr>
      <w:r>
        <w:rPr>
          <w:b/>
          <w:noProof/>
        </w:rPr>
        <w:t>Evaluarea</w:t>
      </w:r>
    </w:p>
    <w:p>
      <w:pPr>
        <w:rPr>
          <w:noProof/>
        </w:rPr>
      </w:pPr>
      <w:r>
        <w:rPr>
          <w:noProof/>
        </w:rPr>
        <w:t>Până la [</w:t>
      </w:r>
      <w:r>
        <w:rPr>
          <w:i/>
          <w:noProof/>
        </w:rPr>
        <w:t>OP: a se introduce data – patru ani de la data intrării în vigoare a prezentului regulament</w:t>
      </w:r>
      <w:r>
        <w:rPr>
          <w:noProof/>
        </w:rPr>
        <w:t>] și, ulterior, o dată la cinci ani, Comisia realizează o evaluare a prezentului regulament în raport cu obiectivele pe care le urmărește, în special în ceea ce privește consolidarea rolului achizițiilor publice ca motor al inovării și îmbunătățirea evaluării, a comercializării și a utilizării proprietății intelectuale, și prezintă un raport cu privire la acesta Parlamentului European, Consiliului și Comitetului Economic și Social European. Această evaluare este însoțită, după caz, de o propunere de modificare sau de abrogare a prezentului regulament.</w:t>
      </w:r>
    </w:p>
    <w:p>
      <w:pPr>
        <w:pStyle w:val="Titrearticle"/>
        <w:rPr>
          <w:noProof/>
        </w:rPr>
      </w:pPr>
      <w:r>
        <w:rPr>
          <w:noProof/>
        </w:rPr>
        <w:t>Articolul 41</w:t>
      </w:r>
    </w:p>
    <w:p>
      <w:pPr>
        <w:pStyle w:val="NormalCentered"/>
        <w:keepNext/>
        <w:rPr>
          <w:noProof/>
        </w:rPr>
      </w:pPr>
      <w:r>
        <w:rPr>
          <w:b/>
          <w:noProof/>
        </w:rPr>
        <w:t>Intrarea în vigoare</w:t>
      </w:r>
    </w:p>
    <w:p>
      <w:pPr>
        <w:pStyle w:val="Applicationdirecte"/>
        <w:rPr>
          <w:noProof/>
        </w:rPr>
      </w:pPr>
      <w:r>
        <w:rPr>
          <w:noProof/>
        </w:rPr>
        <w:t xml:space="preserve">Prezentul regulament intră în vigoare în a douăzecea zi de la data publicării în </w:t>
      </w:r>
      <w:r>
        <w:rPr>
          <w:i/>
          <w:noProof/>
        </w:rPr>
        <w:t>Jurnalul Oficial al Uniunii Europene</w:t>
      </w:r>
      <w:r>
        <w:rPr>
          <w:noProof/>
        </w:rPr>
        <w:t>.</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keepNext/>
        <w:rPr>
          <w:noProof/>
        </w:rPr>
      </w:pPr>
      <w:r>
        <w:rPr>
          <w:noProof/>
        </w:rPr>
        <w:t>Președinta</w:t>
      </w:r>
      <w:r>
        <w:rPr>
          <w:noProof/>
        </w:rPr>
        <w:tab/>
        <w:t>Președinta</w:t>
      </w:r>
    </w:p>
    <w:p>
      <w:pPr>
        <w:pStyle w:val="Personnequisigne"/>
        <w:rPr>
          <w:noProof/>
        </w:rPr>
      </w:pPr>
      <w:r>
        <w:rPr>
          <w:noProof/>
        </w:rPr>
        <w:t>[...]</w:t>
      </w:r>
      <w:r>
        <w:rPr>
          <w:noProof/>
        </w:rPr>
        <w:tab/>
        <w:t>[...]</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pPr>
        <w:pStyle w:val="Fichefinanciretitre"/>
        <w:keepNext/>
        <w:rPr>
          <w:noProof/>
        </w:rPr>
      </w:pPr>
      <w:r>
        <w:rPr>
          <w:noProof/>
        </w:rPr>
        <w:t xml:space="preserve">FIȘĂ FINANCIARĂ LEGISLATIVĂ ȘI DIGITALĂ </w:t>
      </w:r>
    </w:p>
    <w:sdt>
      <w:sdtPr>
        <w:rPr>
          <w:b w:val="0"/>
          <w:noProof/>
          <w:sz w:val="24"/>
          <w:szCs w:val="24"/>
        </w:rPr>
        <w:id w:val="1439872197"/>
        <w:docPartObj>
          <w:docPartGallery w:val="Table of Contents"/>
          <w:docPartUnique/>
        </w:docPartObj>
      </w:sdtPr>
      <w:sdtContent>
        <w:p>
          <w:pPr>
            <w:pStyle w:val="TOCHeading"/>
            <w:rPr>
              <w:noProof/>
            </w:rPr>
          </w:pPr>
          <w:r>
            <w:rPr>
              <w:noProof/>
            </w:rPr>
            <w:t>Cuprins</w:t>
          </w:r>
        </w:p>
        <w:p>
          <w:pPr>
            <w:pStyle w:val="TOC1"/>
            <w:rPr>
              <w:rFonts w:asciiTheme="minorHAnsi" w:eastAsiaTheme="minorEastAsia" w:hAnsiTheme="minorHAnsi" w:cstheme="minorBidi"/>
              <w:noProof/>
              <w:kern w:val="2"/>
              <w:szCs w:val="24"/>
              <w14:ligatures w14:val="standardContextual"/>
            </w:rPr>
          </w:pPr>
          <w:r>
            <w:rPr>
              <w:noProof/>
            </w:rPr>
            <w:fldChar w:fldCharType="begin" w:fldLock="1"/>
          </w:r>
          <w:r>
            <w:rPr>
              <w:noProof/>
            </w:rPr>
            <w:instrText xml:space="preserve"> TOC \o "1-3" \h \z \u </w:instrText>
          </w:r>
          <w:r>
            <w:rPr>
              <w:noProof/>
            </w:rPr>
            <w:fldChar w:fldCharType="separate"/>
          </w:r>
          <w:hyperlink w:anchor="_Toc239673816" w:history="1">
            <w:r>
              <w:rPr>
                <w:rStyle w:val="Hyperlink"/>
                <w:noProof/>
              </w:rPr>
              <w:t>1.</w:t>
            </w:r>
            <w:r>
              <w:rPr>
                <w:rFonts w:asciiTheme="minorHAnsi" w:eastAsiaTheme="minorEastAsia" w:hAnsiTheme="minorHAnsi" w:cstheme="minorBidi"/>
                <w:noProof/>
              </w:rPr>
              <w:tab/>
            </w:r>
            <w:r>
              <w:rPr>
                <w:noProof/>
              </w:rPr>
              <w:t>CONTEXTUL PROPUNERII</w:t>
            </w:r>
            <w:r>
              <w:rPr>
                <w:noProof/>
                <w:webHidden/>
              </w:rPr>
              <w:tab/>
            </w:r>
            <w:r>
              <w:rPr>
                <w:noProof/>
                <w:webHidden/>
              </w:rPr>
              <w:fldChar w:fldCharType="begin" w:fldLock="1"/>
            </w:r>
            <w:r>
              <w:rPr>
                <w:noProof/>
                <w:webHidden/>
              </w:rPr>
              <w:instrText xml:space="preserve"> PAGEREF _Toc239673816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Theme="minorHAnsi" w:eastAsiaTheme="minorEastAsia" w:hAnsiTheme="minorHAnsi" w:cstheme="minorBidi"/>
              <w:noProof/>
            </w:rPr>
          </w:pPr>
          <w:hyperlink w:anchor="_Toc239673817" w:history="1">
            <w:r>
              <w:rPr>
                <w:rStyle w:val="Hyperlink"/>
                <w:noProof/>
              </w:rPr>
              <w:t>1.1.</w:t>
            </w:r>
            <w:r>
              <w:rPr>
                <w:rFonts w:asciiTheme="minorHAnsi" w:eastAsiaTheme="minorEastAsia" w:hAnsiTheme="minorHAnsi" w:cstheme="minorBidi"/>
                <w:noProof/>
              </w:rPr>
              <w:tab/>
            </w:r>
            <w:r>
              <w:rPr>
                <w:noProof/>
              </w:rPr>
              <w:t>Motivele și obiectivele propunerii</w:t>
            </w:r>
            <w:r>
              <w:rPr>
                <w:noProof/>
                <w:webHidden/>
              </w:rPr>
              <w:tab/>
            </w:r>
            <w:r>
              <w:rPr>
                <w:noProof/>
                <w:webHidden/>
              </w:rPr>
              <w:fldChar w:fldCharType="begin" w:fldLock="1"/>
            </w:r>
            <w:r>
              <w:rPr>
                <w:noProof/>
                <w:webHidden/>
              </w:rPr>
              <w:instrText xml:space="preserve"> PAGEREF _Toc239673817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Theme="minorHAnsi" w:eastAsiaTheme="minorEastAsia" w:hAnsiTheme="minorHAnsi" w:cstheme="minorBidi"/>
              <w:noProof/>
            </w:rPr>
          </w:pPr>
          <w:hyperlink w:anchor="_Toc239673818" w:history="1">
            <w:r>
              <w:rPr>
                <w:rStyle w:val="Hyperlink"/>
                <w:noProof/>
              </w:rPr>
              <w:t>1.2.</w:t>
            </w:r>
            <w:r>
              <w:rPr>
                <w:rFonts w:asciiTheme="minorHAnsi" w:eastAsiaTheme="minorEastAsia" w:hAnsiTheme="minorHAnsi" w:cstheme="minorBidi"/>
                <w:noProof/>
              </w:rPr>
              <w:tab/>
            </w:r>
            <w:r>
              <w:rPr>
                <w:noProof/>
              </w:rPr>
              <w:t>Coerența cu dispozițiile de politică deja existente în domeniul de politică vizat</w:t>
            </w:r>
            <w:r>
              <w:rPr>
                <w:noProof/>
                <w:webHidden/>
              </w:rPr>
              <w:tab/>
            </w:r>
            <w:r>
              <w:rPr>
                <w:noProof/>
                <w:webHidden/>
              </w:rPr>
              <w:fldChar w:fldCharType="begin" w:fldLock="1"/>
            </w:r>
            <w:r>
              <w:rPr>
                <w:noProof/>
                <w:webHidden/>
              </w:rPr>
              <w:instrText xml:space="preserve"> PAGEREF _Toc239673818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rPr>
          </w:pPr>
          <w:hyperlink w:anchor="_Toc239673819" w:history="1">
            <w:r>
              <w:rPr>
                <w:rStyle w:val="Hyperlink"/>
                <w:noProof/>
              </w:rPr>
              <w:t>1.3.</w:t>
            </w:r>
            <w:r>
              <w:rPr>
                <w:rFonts w:asciiTheme="minorHAnsi" w:eastAsiaTheme="minorEastAsia" w:hAnsiTheme="minorHAnsi" w:cstheme="minorBidi"/>
                <w:noProof/>
              </w:rPr>
              <w:tab/>
            </w:r>
            <w:r>
              <w:rPr>
                <w:noProof/>
              </w:rPr>
              <w:t>Coerența cu alte politici ale Uniunii</w:t>
            </w:r>
            <w:r>
              <w:rPr>
                <w:noProof/>
                <w:webHidden/>
              </w:rPr>
              <w:tab/>
            </w:r>
            <w:r>
              <w:rPr>
                <w:noProof/>
                <w:webHidden/>
              </w:rPr>
              <w:fldChar w:fldCharType="begin" w:fldLock="1"/>
            </w:r>
            <w:r>
              <w:rPr>
                <w:noProof/>
                <w:webHidden/>
              </w:rPr>
              <w:instrText xml:space="preserve"> PAGEREF _Toc239673819 \h </w:instrText>
            </w:r>
            <w:r>
              <w:rPr>
                <w:noProof/>
                <w:webHidden/>
              </w:rPr>
            </w:r>
            <w:r>
              <w:rPr>
                <w:noProof/>
                <w:webHidden/>
              </w:rPr>
              <w:fldChar w:fldCharType="separate"/>
            </w:r>
            <w:r>
              <w:rPr>
                <w:noProof/>
                <w:webHidden/>
              </w:rPr>
              <w:t>5</w:t>
            </w:r>
            <w:r>
              <w:rPr>
                <w:noProof/>
                <w:webHidden/>
              </w:rPr>
              <w:fldChar w:fldCharType="end"/>
            </w:r>
          </w:hyperlink>
        </w:p>
        <w:p>
          <w:pPr>
            <w:pStyle w:val="TOC1"/>
            <w:rPr>
              <w:rFonts w:asciiTheme="minorHAnsi" w:eastAsiaTheme="minorEastAsia" w:hAnsiTheme="minorHAnsi" w:cstheme="minorBidi"/>
              <w:noProof/>
            </w:rPr>
          </w:pPr>
          <w:hyperlink w:anchor="_Toc239673820" w:history="1">
            <w:r>
              <w:rPr>
                <w:rStyle w:val="Hyperlink"/>
                <w:noProof/>
              </w:rPr>
              <w:t>2.</w:t>
            </w:r>
            <w:r>
              <w:rPr>
                <w:rFonts w:asciiTheme="minorHAnsi" w:eastAsiaTheme="minorEastAsia" w:hAnsiTheme="minorHAnsi" w:cstheme="minorBidi"/>
                <w:noProof/>
              </w:rPr>
              <w:tab/>
            </w:r>
            <w:r>
              <w:rPr>
                <w:noProof/>
              </w:rPr>
              <w:t>TEMEI JURIDIC, SUBSIDIARITATE ȘI PROPORȚIONALITATE</w:t>
            </w:r>
            <w:r>
              <w:rPr>
                <w:noProof/>
                <w:webHidden/>
              </w:rPr>
              <w:tab/>
            </w:r>
            <w:r>
              <w:rPr>
                <w:noProof/>
                <w:webHidden/>
              </w:rPr>
              <w:fldChar w:fldCharType="begin" w:fldLock="1"/>
            </w:r>
            <w:r>
              <w:rPr>
                <w:noProof/>
                <w:webHidden/>
              </w:rPr>
              <w:instrText xml:space="preserve"> PAGEREF _Toc239673820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rPr>
          </w:pPr>
          <w:hyperlink w:anchor="_Toc239673821" w:history="1">
            <w:r>
              <w:rPr>
                <w:rStyle w:val="Hyperlink"/>
                <w:noProof/>
              </w:rPr>
              <w:t>2.1.</w:t>
            </w:r>
            <w:r>
              <w:rPr>
                <w:rFonts w:asciiTheme="minorHAnsi" w:eastAsiaTheme="minorEastAsia" w:hAnsiTheme="minorHAnsi" w:cstheme="minorBidi"/>
                <w:noProof/>
              </w:rPr>
              <w:tab/>
            </w:r>
            <w:r>
              <w:rPr>
                <w:rStyle w:val="Hyperlink"/>
                <w:noProof/>
              </w:rPr>
              <w:t>Temeiul juridic</w:t>
            </w:r>
            <w:r>
              <w:rPr>
                <w:noProof/>
                <w:webHidden/>
              </w:rPr>
              <w:tab/>
            </w:r>
            <w:r>
              <w:rPr>
                <w:noProof/>
                <w:webHidden/>
              </w:rPr>
              <w:fldChar w:fldCharType="begin" w:fldLock="1"/>
            </w:r>
            <w:r>
              <w:rPr>
                <w:noProof/>
                <w:webHidden/>
              </w:rPr>
              <w:instrText xml:space="preserve"> PAGEREF _Toc239673821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rPr>
          </w:pPr>
          <w:hyperlink w:anchor="_Toc239673822" w:history="1">
            <w:r>
              <w:rPr>
                <w:rStyle w:val="Hyperlink"/>
                <w:noProof/>
              </w:rPr>
              <w:t>2.2.</w:t>
            </w:r>
            <w:r>
              <w:rPr>
                <w:rFonts w:asciiTheme="minorHAnsi" w:eastAsiaTheme="minorEastAsia" w:hAnsiTheme="minorHAnsi" w:cstheme="minorBidi"/>
                <w:noProof/>
              </w:rPr>
              <w:tab/>
            </w:r>
            <w:r>
              <w:rPr>
                <w:noProof/>
              </w:rPr>
              <w:t>Subsidiaritatea (în cazul competențelor neexclusive)</w:t>
            </w:r>
            <w:r>
              <w:rPr>
                <w:noProof/>
                <w:webHidden/>
              </w:rPr>
              <w:tab/>
            </w:r>
            <w:r>
              <w:rPr>
                <w:noProof/>
                <w:webHidden/>
              </w:rPr>
              <w:fldChar w:fldCharType="begin" w:fldLock="1"/>
            </w:r>
            <w:r>
              <w:rPr>
                <w:noProof/>
                <w:webHidden/>
              </w:rPr>
              <w:instrText xml:space="preserve"> PAGEREF _Toc239673822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rPr>
          </w:pPr>
          <w:hyperlink w:anchor="_Toc239673823" w:history="1">
            <w:r>
              <w:rPr>
                <w:rStyle w:val="Hyperlink"/>
                <w:noProof/>
              </w:rPr>
              <w:t>2.3.</w:t>
            </w:r>
            <w:r>
              <w:rPr>
                <w:rFonts w:asciiTheme="minorHAnsi" w:eastAsiaTheme="minorEastAsia" w:hAnsiTheme="minorHAnsi" w:cstheme="minorBidi"/>
                <w:noProof/>
              </w:rPr>
              <w:tab/>
            </w:r>
            <w:r>
              <w:rPr>
                <w:rStyle w:val="Hyperlink"/>
                <w:noProof/>
              </w:rPr>
              <w:t>Proporționalitate</w:t>
            </w:r>
            <w:r>
              <w:rPr>
                <w:noProof/>
                <w:webHidden/>
              </w:rPr>
              <w:tab/>
            </w:r>
            <w:r>
              <w:rPr>
                <w:noProof/>
                <w:webHidden/>
              </w:rPr>
              <w:fldChar w:fldCharType="begin" w:fldLock="1"/>
            </w:r>
            <w:r>
              <w:rPr>
                <w:noProof/>
                <w:webHidden/>
              </w:rPr>
              <w:instrText xml:space="preserve"> PAGEREF _Toc239673823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rPr>
          </w:pPr>
          <w:hyperlink w:anchor="_Toc239673824" w:history="1">
            <w:r>
              <w:rPr>
                <w:rStyle w:val="Hyperlink"/>
                <w:noProof/>
              </w:rPr>
              <w:t>2.4.</w:t>
            </w:r>
            <w:r>
              <w:rPr>
                <w:rFonts w:asciiTheme="minorHAnsi" w:eastAsiaTheme="minorEastAsia" w:hAnsiTheme="minorHAnsi" w:cstheme="minorBidi"/>
                <w:noProof/>
              </w:rPr>
              <w:tab/>
            </w:r>
            <w:r>
              <w:rPr>
                <w:rStyle w:val="Hyperlink"/>
                <w:noProof/>
              </w:rPr>
              <w:t>Alegerea instrumentului</w:t>
            </w:r>
            <w:r>
              <w:rPr>
                <w:noProof/>
                <w:webHidden/>
              </w:rPr>
              <w:tab/>
            </w:r>
            <w:r>
              <w:rPr>
                <w:noProof/>
                <w:webHidden/>
              </w:rPr>
              <w:fldChar w:fldCharType="begin" w:fldLock="1"/>
            </w:r>
            <w:r>
              <w:rPr>
                <w:noProof/>
                <w:webHidden/>
              </w:rPr>
              <w:instrText xml:space="preserve"> PAGEREF _Toc239673824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rPr>
          </w:pPr>
          <w:hyperlink w:anchor="_Toc239673825" w:history="1">
            <w:r>
              <w:rPr>
                <w:rStyle w:val="Hyperlink"/>
                <w:noProof/>
              </w:rPr>
              <w:t>3.</w:t>
            </w:r>
            <w:r>
              <w:rPr>
                <w:rFonts w:asciiTheme="minorHAnsi" w:eastAsiaTheme="minorEastAsia" w:hAnsiTheme="minorHAnsi" w:cstheme="minorBidi"/>
                <w:noProof/>
              </w:rPr>
              <w:tab/>
            </w:r>
            <w:r>
              <w:rPr>
                <w:noProof/>
              </w:rPr>
              <w:t>REZULTATELE EVALUĂRILOR EX POST, ALE CONSULTĂRILOR CU PĂRȚILE INTERESATE ȘI ALE EVALUĂRILOR IMPACTULUI</w:t>
            </w:r>
            <w:r>
              <w:rPr>
                <w:noProof/>
                <w:webHidden/>
              </w:rPr>
              <w:tab/>
            </w:r>
            <w:r>
              <w:rPr>
                <w:noProof/>
                <w:webHidden/>
              </w:rPr>
              <w:fldChar w:fldCharType="begin" w:fldLock="1"/>
            </w:r>
            <w:r>
              <w:rPr>
                <w:noProof/>
                <w:webHidden/>
              </w:rPr>
              <w:instrText xml:space="preserve"> PAGEREF _Toc239673825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rPr>
          </w:pPr>
          <w:hyperlink w:anchor="_Toc239673826" w:history="1">
            <w:r>
              <w:rPr>
                <w:rStyle w:val="Hyperlink"/>
                <w:noProof/>
              </w:rPr>
              <w:t>3.1.</w:t>
            </w:r>
            <w:r>
              <w:rPr>
                <w:rFonts w:asciiTheme="minorHAnsi" w:eastAsiaTheme="minorEastAsia" w:hAnsiTheme="minorHAnsi" w:cstheme="minorBidi"/>
                <w:noProof/>
              </w:rPr>
              <w:tab/>
            </w:r>
            <w:r>
              <w:rPr>
                <w:noProof/>
              </w:rPr>
              <w:t>Consultarea cu părțile interesate</w:t>
            </w:r>
            <w:r>
              <w:rPr>
                <w:noProof/>
                <w:webHidden/>
              </w:rPr>
              <w:tab/>
            </w:r>
            <w:r>
              <w:rPr>
                <w:noProof/>
                <w:webHidden/>
              </w:rPr>
              <w:fldChar w:fldCharType="begin" w:fldLock="1"/>
            </w:r>
            <w:r>
              <w:rPr>
                <w:noProof/>
                <w:webHidden/>
              </w:rPr>
              <w:instrText xml:space="preserve"> PAGEREF _Toc239673826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rPr>
          </w:pPr>
          <w:hyperlink w:anchor="_Toc239673827" w:history="1">
            <w:r>
              <w:rPr>
                <w:rStyle w:val="Hyperlink"/>
                <w:noProof/>
              </w:rPr>
              <w:t>3.2.</w:t>
            </w:r>
            <w:r>
              <w:rPr>
                <w:rFonts w:asciiTheme="minorHAnsi" w:eastAsiaTheme="minorEastAsia" w:hAnsiTheme="minorHAnsi" w:cstheme="minorBidi"/>
                <w:noProof/>
              </w:rPr>
              <w:tab/>
            </w:r>
            <w:r>
              <w:rPr>
                <w:noProof/>
              </w:rPr>
              <w:t>Obținerea și utilizarea cunoștințelor de specialitate</w:t>
            </w:r>
            <w:r>
              <w:rPr>
                <w:noProof/>
                <w:webHidden/>
              </w:rPr>
              <w:tab/>
            </w:r>
            <w:r>
              <w:rPr>
                <w:noProof/>
                <w:webHidden/>
              </w:rPr>
              <w:fldChar w:fldCharType="begin" w:fldLock="1"/>
            </w:r>
            <w:r>
              <w:rPr>
                <w:noProof/>
                <w:webHidden/>
              </w:rPr>
              <w:instrText xml:space="preserve"> PAGEREF _Toc239673827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rPr>
          </w:pPr>
          <w:hyperlink w:anchor="_Toc239673828" w:history="1">
            <w:r>
              <w:rPr>
                <w:rStyle w:val="Hyperlink"/>
                <w:noProof/>
              </w:rPr>
              <w:t>3.3.</w:t>
            </w:r>
            <w:r>
              <w:rPr>
                <w:rFonts w:asciiTheme="minorHAnsi" w:eastAsiaTheme="minorEastAsia" w:hAnsiTheme="minorHAnsi" w:cstheme="minorBidi"/>
                <w:noProof/>
              </w:rPr>
              <w:tab/>
            </w:r>
            <w:r>
              <w:rPr>
                <w:rStyle w:val="Hyperlink"/>
                <w:noProof/>
              </w:rPr>
              <w:t>Evaluarea impactului</w:t>
            </w:r>
            <w:r>
              <w:rPr>
                <w:noProof/>
                <w:webHidden/>
              </w:rPr>
              <w:tab/>
            </w:r>
            <w:r>
              <w:rPr>
                <w:noProof/>
                <w:webHidden/>
              </w:rPr>
              <w:fldChar w:fldCharType="begin" w:fldLock="1"/>
            </w:r>
            <w:r>
              <w:rPr>
                <w:noProof/>
                <w:webHidden/>
              </w:rPr>
              <w:instrText xml:space="preserve"> PAGEREF _Toc239673828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rPr>
          </w:pPr>
          <w:hyperlink w:anchor="_Toc239673829" w:history="1">
            <w:r>
              <w:rPr>
                <w:rStyle w:val="Hyperlink"/>
                <w:noProof/>
              </w:rPr>
              <w:t>3.4.</w:t>
            </w:r>
            <w:r>
              <w:rPr>
                <w:rFonts w:asciiTheme="minorHAnsi" w:eastAsiaTheme="minorEastAsia" w:hAnsiTheme="minorHAnsi" w:cstheme="minorBidi"/>
                <w:noProof/>
              </w:rPr>
              <w:tab/>
            </w:r>
            <w:r>
              <w:rPr>
                <w:noProof/>
              </w:rPr>
              <w:t>Adecvarea reglementărilor și simplificarea</w:t>
            </w:r>
            <w:r>
              <w:rPr>
                <w:noProof/>
                <w:webHidden/>
              </w:rPr>
              <w:tab/>
            </w:r>
            <w:r>
              <w:rPr>
                <w:noProof/>
                <w:webHidden/>
              </w:rPr>
              <w:fldChar w:fldCharType="begin" w:fldLock="1"/>
            </w:r>
            <w:r>
              <w:rPr>
                <w:noProof/>
                <w:webHidden/>
              </w:rPr>
              <w:instrText xml:space="preserve"> PAGEREF _Toc239673829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rPr>
          </w:pPr>
          <w:hyperlink w:anchor="_Toc239673830" w:history="1">
            <w:r>
              <w:rPr>
                <w:rStyle w:val="Hyperlink"/>
                <w:noProof/>
              </w:rPr>
              <w:t>4.</w:t>
            </w:r>
            <w:r>
              <w:rPr>
                <w:rFonts w:asciiTheme="minorHAnsi" w:eastAsiaTheme="minorEastAsia" w:hAnsiTheme="minorHAnsi" w:cstheme="minorBidi"/>
                <w:noProof/>
              </w:rPr>
              <w:tab/>
            </w:r>
            <w:r>
              <w:rPr>
                <w:rStyle w:val="Hyperlink"/>
                <w:noProof/>
              </w:rPr>
              <w:t>Drepturile fundamentale</w:t>
            </w:r>
            <w:r>
              <w:rPr>
                <w:noProof/>
                <w:webHidden/>
              </w:rPr>
              <w:tab/>
            </w:r>
            <w:r>
              <w:rPr>
                <w:noProof/>
                <w:webHidden/>
              </w:rPr>
              <w:fldChar w:fldCharType="begin" w:fldLock="1"/>
            </w:r>
            <w:r>
              <w:rPr>
                <w:noProof/>
                <w:webHidden/>
              </w:rPr>
              <w:instrText xml:space="preserve"> PAGEREF _Toc239673830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rPr>
          </w:pPr>
          <w:hyperlink w:anchor="_Toc239673831" w:history="1">
            <w:r>
              <w:rPr>
                <w:rStyle w:val="Hyperlink"/>
                <w:noProof/>
              </w:rPr>
              <w:t>5.</w:t>
            </w:r>
            <w:r>
              <w:rPr>
                <w:rFonts w:asciiTheme="minorHAnsi" w:eastAsiaTheme="minorEastAsia" w:hAnsiTheme="minorHAnsi" w:cstheme="minorBidi"/>
                <w:noProof/>
              </w:rPr>
              <w:tab/>
            </w:r>
            <w:r>
              <w:rPr>
                <w:rStyle w:val="Hyperlink"/>
                <w:noProof/>
              </w:rPr>
              <w:t>IMPLICAȚII BUGETARE</w:t>
            </w:r>
            <w:r>
              <w:rPr>
                <w:noProof/>
                <w:webHidden/>
              </w:rPr>
              <w:tab/>
            </w:r>
            <w:r>
              <w:rPr>
                <w:noProof/>
                <w:webHidden/>
              </w:rPr>
              <w:fldChar w:fldCharType="begin" w:fldLock="1"/>
            </w:r>
            <w:r>
              <w:rPr>
                <w:noProof/>
                <w:webHidden/>
              </w:rPr>
              <w:instrText xml:space="preserve"> PAGEREF _Toc239673831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rPr>
          </w:pPr>
          <w:hyperlink w:anchor="_Toc239673832" w:history="1">
            <w:r>
              <w:rPr>
                <w:rStyle w:val="Hyperlink"/>
                <w:noProof/>
              </w:rPr>
              <w:t>6.</w:t>
            </w:r>
            <w:r>
              <w:rPr>
                <w:rFonts w:asciiTheme="minorHAnsi" w:eastAsiaTheme="minorEastAsia" w:hAnsiTheme="minorHAnsi" w:cstheme="minorBidi"/>
                <w:noProof/>
              </w:rPr>
              <w:tab/>
            </w:r>
            <w:r>
              <w:rPr>
                <w:rStyle w:val="Hyperlink"/>
                <w:noProof/>
              </w:rPr>
              <w:t>ALTE ELEMENTE</w:t>
            </w:r>
            <w:r>
              <w:rPr>
                <w:noProof/>
                <w:webHidden/>
              </w:rPr>
              <w:tab/>
            </w:r>
            <w:r>
              <w:rPr>
                <w:noProof/>
                <w:webHidden/>
              </w:rPr>
              <w:fldChar w:fldCharType="begin" w:fldLock="1"/>
            </w:r>
            <w:r>
              <w:rPr>
                <w:noProof/>
                <w:webHidden/>
              </w:rPr>
              <w:instrText xml:space="preserve"> PAGEREF _Toc239673832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rPr>
          </w:pPr>
          <w:hyperlink w:anchor="_Toc239673833" w:history="1">
            <w:r>
              <w:rPr>
                <w:rStyle w:val="Hyperlink"/>
                <w:noProof/>
              </w:rPr>
              <w:t>•</w:t>
            </w:r>
            <w:r>
              <w:rPr>
                <w:rFonts w:asciiTheme="minorHAnsi" w:eastAsiaTheme="minorEastAsia" w:hAnsiTheme="minorHAnsi" w:cstheme="minorBidi"/>
                <w:noProof/>
              </w:rPr>
              <w:tab/>
            </w:r>
            <w:r>
              <w:rPr>
                <w:noProof/>
              </w:rPr>
              <w:t>Planuri de punere în aplicare și modalități de monitorizare, evaluare și raportare</w:t>
            </w:r>
            <w:r>
              <w:rPr>
                <w:noProof/>
                <w:webHidden/>
              </w:rPr>
              <w:tab/>
            </w:r>
            <w:r>
              <w:rPr>
                <w:noProof/>
                <w:webHidden/>
              </w:rPr>
              <w:fldChar w:fldCharType="begin" w:fldLock="1"/>
            </w:r>
            <w:r>
              <w:rPr>
                <w:noProof/>
                <w:webHidden/>
              </w:rPr>
              <w:instrText xml:space="preserve"> PAGEREF _Toc239673833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rPr>
          </w:pPr>
          <w:hyperlink w:anchor="_Toc239673834" w:history="1">
            <w:r>
              <w:rPr>
                <w:rStyle w:val="Hyperlink"/>
                <w:noProof/>
              </w:rPr>
              <w:t>•</w:t>
            </w:r>
            <w:r>
              <w:rPr>
                <w:rFonts w:asciiTheme="minorHAnsi" w:eastAsiaTheme="minorEastAsia" w:hAnsiTheme="minorHAnsi" w:cstheme="minorBidi"/>
                <w:noProof/>
              </w:rPr>
              <w:tab/>
            </w:r>
            <w:r>
              <w:rPr>
                <w:noProof/>
              </w:rPr>
              <w:t>Explicarea detaliată a dispozițiilor specifice ale propunerii</w:t>
            </w:r>
            <w:r>
              <w:rPr>
                <w:noProof/>
                <w:webHidden/>
              </w:rPr>
              <w:tab/>
            </w:r>
            <w:r>
              <w:rPr>
                <w:noProof/>
                <w:webHidden/>
              </w:rPr>
              <w:fldChar w:fldCharType="begin" w:fldLock="1"/>
            </w:r>
            <w:r>
              <w:rPr>
                <w:noProof/>
                <w:webHidden/>
              </w:rPr>
              <w:instrText xml:space="preserve"> PAGEREF _Toc239673834 \h </w:instrText>
            </w:r>
            <w:r>
              <w:rPr>
                <w:noProof/>
                <w:webHidden/>
              </w:rPr>
            </w:r>
            <w:r>
              <w:rPr>
                <w:noProof/>
                <w:webHidden/>
              </w:rPr>
              <w:fldChar w:fldCharType="separate"/>
            </w:r>
            <w:r>
              <w:rPr>
                <w:noProof/>
                <w:webHidden/>
              </w:rPr>
              <w:t>15</w:t>
            </w:r>
            <w:r>
              <w:rPr>
                <w:noProof/>
                <w:webHidden/>
              </w:rPr>
              <w:fldChar w:fldCharType="end"/>
            </w:r>
          </w:hyperlink>
        </w:p>
        <w:p>
          <w:pPr>
            <w:pStyle w:val="TOC1"/>
            <w:rPr>
              <w:rFonts w:asciiTheme="minorHAnsi" w:eastAsiaTheme="minorEastAsia" w:hAnsiTheme="minorHAnsi" w:cstheme="minorBidi"/>
              <w:noProof/>
            </w:rPr>
          </w:pPr>
          <w:hyperlink w:anchor="_Toc239673835" w:history="1">
            <w:r>
              <w:rPr>
                <w:rStyle w:val="Hyperlink"/>
                <w:noProof/>
              </w:rPr>
              <w:t>1.</w:t>
            </w:r>
            <w:r>
              <w:rPr>
                <w:rFonts w:asciiTheme="minorHAnsi" w:eastAsiaTheme="minorEastAsia" w:hAnsiTheme="minorHAnsi" w:cstheme="minorBidi"/>
                <w:noProof/>
              </w:rPr>
              <w:tab/>
            </w:r>
            <w:r>
              <w:rPr>
                <w:noProof/>
              </w:rPr>
              <w:t>CADRUL PROPUNERII/INIȚIATIVEI</w:t>
            </w:r>
            <w:r>
              <w:rPr>
                <w:noProof/>
                <w:webHidden/>
              </w:rPr>
              <w:tab/>
            </w:r>
            <w:r>
              <w:rPr>
                <w:noProof/>
                <w:webHidden/>
              </w:rPr>
              <w:fldChar w:fldCharType="begin" w:fldLock="1"/>
            </w:r>
            <w:r>
              <w:rPr>
                <w:noProof/>
                <w:webHidden/>
              </w:rPr>
              <w:instrText xml:space="preserve"> PAGEREF _Toc239673835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rPr>
          </w:pPr>
          <w:hyperlink w:anchor="_Toc239673836" w:history="1">
            <w:r>
              <w:rPr>
                <w:rStyle w:val="Hyperlink"/>
                <w:noProof/>
              </w:rPr>
              <w:t>1.1.</w:t>
            </w:r>
            <w:r>
              <w:rPr>
                <w:rFonts w:asciiTheme="minorHAnsi" w:eastAsiaTheme="minorEastAsia" w:hAnsiTheme="minorHAnsi" w:cstheme="minorBidi"/>
                <w:noProof/>
              </w:rPr>
              <w:tab/>
            </w:r>
            <w:r>
              <w:rPr>
                <w:noProof/>
              </w:rPr>
              <w:t>Titlul propunerii/inițiativei</w:t>
            </w:r>
            <w:r>
              <w:rPr>
                <w:noProof/>
                <w:webHidden/>
              </w:rPr>
              <w:tab/>
            </w:r>
            <w:r>
              <w:rPr>
                <w:noProof/>
                <w:webHidden/>
              </w:rPr>
              <w:fldChar w:fldCharType="begin" w:fldLock="1"/>
            </w:r>
            <w:r>
              <w:rPr>
                <w:noProof/>
                <w:webHidden/>
              </w:rPr>
              <w:instrText xml:space="preserve"> PAGEREF _Toc239673836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rPr>
          </w:pPr>
          <w:hyperlink w:anchor="_Toc239673837" w:history="1">
            <w:r>
              <w:rPr>
                <w:rStyle w:val="Hyperlink"/>
                <w:noProof/>
              </w:rPr>
              <w:t>1.2.</w:t>
            </w:r>
            <w:r>
              <w:rPr>
                <w:rFonts w:asciiTheme="minorHAnsi" w:eastAsiaTheme="minorEastAsia" w:hAnsiTheme="minorHAnsi" w:cstheme="minorBidi"/>
                <w:noProof/>
              </w:rPr>
              <w:tab/>
            </w:r>
            <w:r>
              <w:rPr>
                <w:noProof/>
              </w:rPr>
              <w:t>Domeniul (domeniile) de politică vizat(e)</w:t>
            </w:r>
            <w:r>
              <w:rPr>
                <w:noProof/>
                <w:webHidden/>
              </w:rPr>
              <w:tab/>
            </w:r>
            <w:r>
              <w:rPr>
                <w:noProof/>
                <w:webHidden/>
              </w:rPr>
              <w:fldChar w:fldCharType="begin" w:fldLock="1"/>
            </w:r>
            <w:r>
              <w:rPr>
                <w:noProof/>
                <w:webHidden/>
              </w:rPr>
              <w:instrText xml:space="preserve"> PAGEREF _Toc239673837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rPr>
          </w:pPr>
          <w:hyperlink w:anchor="_Toc239673838" w:history="1">
            <w:r>
              <w:rPr>
                <w:rStyle w:val="Hyperlink"/>
                <w:noProof/>
              </w:rPr>
              <w:t>1.3.</w:t>
            </w:r>
            <w:r>
              <w:rPr>
                <w:rFonts w:asciiTheme="minorHAnsi" w:eastAsiaTheme="minorEastAsia" w:hAnsiTheme="minorHAnsi" w:cstheme="minorBidi"/>
                <w:noProof/>
              </w:rPr>
              <w:tab/>
            </w:r>
            <w:r>
              <w:rPr>
                <w:rStyle w:val="Hyperlink"/>
                <w:noProof/>
              </w:rPr>
              <w:t>Obiectiv(e)</w:t>
            </w:r>
            <w:r>
              <w:rPr>
                <w:noProof/>
                <w:webHidden/>
              </w:rPr>
              <w:tab/>
            </w:r>
            <w:r>
              <w:rPr>
                <w:noProof/>
                <w:webHidden/>
              </w:rPr>
              <w:fldChar w:fldCharType="begin" w:fldLock="1"/>
            </w:r>
            <w:r>
              <w:rPr>
                <w:noProof/>
                <w:webHidden/>
              </w:rPr>
              <w:instrText xml:space="preserve"> PAGEREF _Toc239673838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rPr>
          </w:pPr>
          <w:hyperlink w:anchor="_Toc239673839" w:history="1">
            <w:r>
              <w:rPr>
                <w:rStyle w:val="Hyperlink"/>
                <w:noProof/>
              </w:rPr>
              <w:t>1.3.1.</w:t>
            </w:r>
            <w:r>
              <w:rPr>
                <w:rFonts w:asciiTheme="minorHAnsi" w:eastAsiaTheme="minorEastAsia" w:hAnsiTheme="minorHAnsi" w:cstheme="minorBidi"/>
                <w:noProof/>
              </w:rPr>
              <w:tab/>
            </w:r>
            <w:r>
              <w:rPr>
                <w:noProof/>
              </w:rPr>
              <w:t>Obiectiv(e) general(e)</w:t>
            </w:r>
            <w:r>
              <w:rPr>
                <w:noProof/>
                <w:webHidden/>
              </w:rPr>
              <w:tab/>
            </w:r>
            <w:r>
              <w:rPr>
                <w:noProof/>
                <w:webHidden/>
              </w:rPr>
              <w:fldChar w:fldCharType="begin" w:fldLock="1"/>
            </w:r>
            <w:r>
              <w:rPr>
                <w:noProof/>
                <w:webHidden/>
              </w:rPr>
              <w:instrText xml:space="preserve"> PAGEREF _Toc239673839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rPr>
          </w:pPr>
          <w:hyperlink w:anchor="_Toc239673840" w:history="1">
            <w:r>
              <w:rPr>
                <w:rStyle w:val="Hyperlink"/>
                <w:noProof/>
              </w:rPr>
              <w:t>1.3.2.</w:t>
            </w:r>
            <w:r>
              <w:rPr>
                <w:rFonts w:asciiTheme="minorHAnsi" w:eastAsiaTheme="minorEastAsia" w:hAnsiTheme="minorHAnsi" w:cstheme="minorBidi"/>
                <w:noProof/>
              </w:rPr>
              <w:tab/>
            </w:r>
            <w:r>
              <w:rPr>
                <w:noProof/>
              </w:rPr>
              <w:t>Obiectiv(e) specific(e)</w:t>
            </w:r>
            <w:r>
              <w:rPr>
                <w:noProof/>
                <w:webHidden/>
              </w:rPr>
              <w:tab/>
            </w:r>
            <w:r>
              <w:rPr>
                <w:noProof/>
                <w:webHidden/>
              </w:rPr>
              <w:fldChar w:fldCharType="begin" w:fldLock="1"/>
            </w:r>
            <w:r>
              <w:rPr>
                <w:noProof/>
                <w:webHidden/>
              </w:rPr>
              <w:instrText xml:space="preserve"> PAGEREF _Toc239673840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rPr>
          </w:pPr>
          <w:hyperlink w:anchor="_Toc239673841" w:history="1">
            <w:r>
              <w:rPr>
                <w:rStyle w:val="Hyperlink"/>
                <w:noProof/>
              </w:rPr>
              <w:t>1.3.3.</w:t>
            </w:r>
            <w:r>
              <w:rPr>
                <w:rFonts w:asciiTheme="minorHAnsi" w:eastAsiaTheme="minorEastAsia" w:hAnsiTheme="minorHAnsi" w:cstheme="minorBidi"/>
                <w:noProof/>
              </w:rPr>
              <w:tab/>
            </w:r>
            <w:r>
              <w:rPr>
                <w:noProof/>
              </w:rPr>
              <w:t>Rezultatul (rezultatele) și impactul preconizate</w:t>
            </w:r>
            <w:r>
              <w:rPr>
                <w:noProof/>
                <w:webHidden/>
              </w:rPr>
              <w:tab/>
            </w:r>
            <w:r>
              <w:rPr>
                <w:noProof/>
                <w:webHidden/>
              </w:rPr>
              <w:fldChar w:fldCharType="begin" w:fldLock="1"/>
            </w:r>
            <w:r>
              <w:rPr>
                <w:noProof/>
                <w:webHidden/>
              </w:rPr>
              <w:instrText xml:space="preserve"> PAGEREF _Toc239673841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rPr>
          </w:pPr>
          <w:hyperlink w:anchor="_Toc239673842" w:history="1">
            <w:r>
              <w:rPr>
                <w:rStyle w:val="Hyperlink"/>
                <w:noProof/>
              </w:rPr>
              <w:t>1.3.4.</w:t>
            </w:r>
            <w:r>
              <w:rPr>
                <w:rFonts w:asciiTheme="minorHAnsi" w:eastAsiaTheme="minorEastAsia" w:hAnsiTheme="minorHAnsi" w:cstheme="minorBidi"/>
                <w:noProof/>
              </w:rPr>
              <w:tab/>
            </w:r>
            <w:r>
              <w:rPr>
                <w:rStyle w:val="Hyperlink"/>
                <w:noProof/>
              </w:rPr>
              <w:t>Indicatori de performanță</w:t>
            </w:r>
            <w:r>
              <w:rPr>
                <w:noProof/>
                <w:webHidden/>
              </w:rPr>
              <w:tab/>
            </w:r>
            <w:r>
              <w:rPr>
                <w:noProof/>
                <w:webHidden/>
              </w:rPr>
              <w:fldChar w:fldCharType="begin" w:fldLock="1"/>
            </w:r>
            <w:r>
              <w:rPr>
                <w:noProof/>
                <w:webHidden/>
              </w:rPr>
              <w:instrText xml:space="preserve"> PAGEREF _Toc239673842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rPr>
          </w:pPr>
          <w:hyperlink w:anchor="_Toc239673843" w:history="1">
            <w:r>
              <w:rPr>
                <w:rStyle w:val="Hyperlink"/>
                <w:noProof/>
              </w:rPr>
              <w:t>1.4.</w:t>
            </w:r>
            <w:r>
              <w:rPr>
                <w:rFonts w:asciiTheme="minorHAnsi" w:eastAsiaTheme="minorEastAsia" w:hAnsiTheme="minorHAnsi" w:cstheme="minorBidi"/>
                <w:noProof/>
              </w:rPr>
              <w:tab/>
            </w:r>
            <w:r>
              <w:rPr>
                <w:noProof/>
              </w:rPr>
              <w:t>Obiectul propunerii/inițiativei</w:t>
            </w:r>
            <w:r>
              <w:rPr>
                <w:noProof/>
                <w:webHidden/>
              </w:rPr>
              <w:tab/>
            </w:r>
            <w:r>
              <w:rPr>
                <w:noProof/>
                <w:webHidden/>
              </w:rPr>
              <w:fldChar w:fldCharType="begin" w:fldLock="1"/>
            </w:r>
            <w:r>
              <w:rPr>
                <w:noProof/>
                <w:webHidden/>
              </w:rPr>
              <w:instrText xml:space="preserve"> PAGEREF _Toc239673843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rPr>
          </w:pPr>
          <w:hyperlink w:anchor="_Toc239673844" w:history="1">
            <w:r>
              <w:rPr>
                <w:rStyle w:val="Hyperlink"/>
                <w:noProof/>
              </w:rPr>
              <w:t>1.5.</w:t>
            </w:r>
            <w:r>
              <w:rPr>
                <w:rFonts w:asciiTheme="minorHAnsi" w:eastAsiaTheme="minorEastAsia" w:hAnsiTheme="minorHAnsi" w:cstheme="minorBidi"/>
                <w:noProof/>
              </w:rPr>
              <w:tab/>
            </w:r>
            <w:r>
              <w:rPr>
                <w:noProof/>
              </w:rPr>
              <w:t>Motivele propunerii/inițiativei</w:t>
            </w:r>
            <w:r>
              <w:rPr>
                <w:noProof/>
                <w:webHidden/>
              </w:rPr>
              <w:tab/>
            </w:r>
            <w:r>
              <w:rPr>
                <w:noProof/>
                <w:webHidden/>
              </w:rPr>
              <w:fldChar w:fldCharType="begin" w:fldLock="1"/>
            </w:r>
            <w:r>
              <w:rPr>
                <w:noProof/>
                <w:webHidden/>
              </w:rPr>
              <w:instrText xml:space="preserve"> PAGEREF _Toc239673844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rPr>
          </w:pPr>
          <w:hyperlink w:anchor="_Toc239673845" w:history="1">
            <w:r>
              <w:rPr>
                <w:rStyle w:val="Hyperlink"/>
                <w:noProof/>
              </w:rPr>
              <w:t>1.5.1.</w:t>
            </w:r>
            <w:r>
              <w:rPr>
                <w:rFonts w:asciiTheme="minorHAnsi" w:eastAsiaTheme="minorEastAsia" w:hAnsiTheme="minorHAnsi" w:cstheme="minorBidi"/>
                <w:noProof/>
              </w:rPr>
              <w:tab/>
            </w:r>
            <w:r>
              <w:rPr>
                <w:noProof/>
              </w:rPr>
              <w:t>Cerința (cerințele) care trebuie îndeplinită (îndeplinite) pe termen scurt sau lung, inclusiv un calendar detaliat pentru punerea în aplicare a inițiativei</w:t>
            </w:r>
            <w:r>
              <w:rPr>
                <w:noProof/>
                <w:webHidden/>
              </w:rPr>
              <w:tab/>
            </w:r>
            <w:r>
              <w:rPr>
                <w:noProof/>
                <w:webHidden/>
              </w:rPr>
              <w:fldChar w:fldCharType="begin" w:fldLock="1"/>
            </w:r>
            <w:r>
              <w:rPr>
                <w:noProof/>
                <w:webHidden/>
              </w:rPr>
              <w:instrText xml:space="preserve"> PAGEREF _Toc239673845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rPr>
          </w:pPr>
          <w:hyperlink w:anchor="_Toc239673846" w:history="1">
            <w:r>
              <w:rPr>
                <w:rStyle w:val="Hyperlink"/>
                <w:noProof/>
              </w:rPr>
              <w:t>1.5.2.</w:t>
            </w:r>
            <w:r>
              <w:rPr>
                <w:rFonts w:asciiTheme="minorHAnsi" w:eastAsiaTheme="minorEastAsia" w:hAnsiTheme="minorHAnsi" w:cstheme="minorBidi"/>
                <w:noProof/>
              </w:rPr>
              <w:tab/>
            </w:r>
            <w:r>
              <w:rPr>
                <w:noProof/>
              </w:rPr>
              <w:t>Valoarea adăugată a intervenției UE (aceasta poate rezulta din diferiți factori, de exemplu mai buna coordonare, securitatea juridică, o mai mare eficacitate sau complementaritate).</w:t>
            </w:r>
            <w:r>
              <w:rPr>
                <w:noProof/>
                <w:webHidden/>
              </w:rPr>
              <w:tab/>
            </w:r>
            <w:r>
              <w:rPr>
                <w:noProof/>
                <w:webHidden/>
              </w:rPr>
              <w:fldChar w:fldCharType="begin" w:fldLock="1"/>
            </w:r>
            <w:r>
              <w:rPr>
                <w:noProof/>
                <w:webHidden/>
              </w:rPr>
              <w:instrText xml:space="preserve"> PAGEREF _Toc239673846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rPr>
          </w:pPr>
          <w:hyperlink w:anchor="_Toc239673847" w:history="1">
            <w:r>
              <w:rPr>
                <w:rStyle w:val="Hyperlink"/>
                <w:noProof/>
              </w:rPr>
              <w:t>1.5.3.</w:t>
            </w:r>
            <w:r>
              <w:rPr>
                <w:rFonts w:asciiTheme="minorHAnsi" w:eastAsiaTheme="minorEastAsia" w:hAnsiTheme="minorHAnsi" w:cstheme="minorBidi"/>
                <w:noProof/>
              </w:rPr>
              <w:tab/>
            </w:r>
            <w:r>
              <w:rPr>
                <w:noProof/>
              </w:rPr>
              <w:t>Învățăminte desprinse din experiențele anterioare similare</w:t>
            </w:r>
            <w:r>
              <w:rPr>
                <w:noProof/>
                <w:webHidden/>
              </w:rPr>
              <w:tab/>
            </w:r>
            <w:r>
              <w:rPr>
                <w:noProof/>
                <w:webHidden/>
              </w:rPr>
              <w:fldChar w:fldCharType="begin" w:fldLock="1"/>
            </w:r>
            <w:r>
              <w:rPr>
                <w:noProof/>
                <w:webHidden/>
              </w:rPr>
              <w:instrText xml:space="preserve"> PAGEREF _Toc239673847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rPr>
          </w:pPr>
          <w:hyperlink w:anchor="_Toc239673848" w:history="1">
            <w:r>
              <w:rPr>
                <w:rStyle w:val="Hyperlink"/>
                <w:noProof/>
              </w:rPr>
              <w:t>1.5.4.</w:t>
            </w:r>
            <w:r>
              <w:rPr>
                <w:rFonts w:asciiTheme="minorHAnsi" w:eastAsiaTheme="minorEastAsia" w:hAnsiTheme="minorHAnsi" w:cstheme="minorBidi"/>
                <w:noProof/>
              </w:rPr>
              <w:tab/>
            </w:r>
            <w:r>
              <w:rPr>
                <w:noProof/>
              </w:rPr>
              <w:t>Compatibilitatea cu cadrul financiar multianual și posibilele sinergii cu alte instrumente corespunzătoare</w:t>
            </w:r>
            <w:r>
              <w:rPr>
                <w:noProof/>
                <w:webHidden/>
              </w:rPr>
              <w:tab/>
            </w:r>
            <w:r>
              <w:rPr>
                <w:noProof/>
                <w:webHidden/>
              </w:rPr>
              <w:fldChar w:fldCharType="begin" w:fldLock="1"/>
            </w:r>
            <w:r>
              <w:rPr>
                <w:noProof/>
                <w:webHidden/>
              </w:rPr>
              <w:instrText xml:space="preserve"> PAGEREF _Toc239673848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rPr>
          </w:pPr>
          <w:hyperlink w:anchor="_Toc239673849" w:history="1">
            <w:r>
              <w:rPr>
                <w:rStyle w:val="Hyperlink"/>
                <w:noProof/>
              </w:rPr>
              <w:t>1.5.5.</w:t>
            </w:r>
            <w:r>
              <w:rPr>
                <w:rFonts w:asciiTheme="minorHAnsi" w:eastAsiaTheme="minorEastAsia" w:hAnsiTheme="minorHAnsi" w:cstheme="minorBidi"/>
                <w:noProof/>
              </w:rPr>
              <w:tab/>
            </w:r>
            <w:r>
              <w:rPr>
                <w:noProof/>
              </w:rPr>
              <w:t>Evaluarea diferitelor opțiuni de finanțare disponibile, inclusiv a posibilităților de realocare a creditelor</w:t>
            </w:r>
            <w:r>
              <w:rPr>
                <w:noProof/>
                <w:webHidden/>
              </w:rPr>
              <w:tab/>
            </w:r>
            <w:r>
              <w:rPr>
                <w:noProof/>
                <w:webHidden/>
              </w:rPr>
              <w:fldChar w:fldCharType="begin" w:fldLock="1"/>
            </w:r>
            <w:r>
              <w:rPr>
                <w:noProof/>
                <w:webHidden/>
              </w:rPr>
              <w:instrText xml:space="preserve"> PAGEREF _Toc239673849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rPr>
          </w:pPr>
          <w:hyperlink w:anchor="_Toc239673850" w:history="1">
            <w:r>
              <w:rPr>
                <w:rStyle w:val="Hyperlink"/>
                <w:noProof/>
              </w:rPr>
              <w:t>1.6.</w:t>
            </w:r>
            <w:r>
              <w:rPr>
                <w:rFonts w:asciiTheme="minorHAnsi" w:eastAsiaTheme="minorEastAsia" w:hAnsiTheme="minorHAnsi" w:cstheme="minorBidi"/>
                <w:noProof/>
              </w:rPr>
              <w:tab/>
            </w:r>
            <w:r>
              <w:rPr>
                <w:noProof/>
              </w:rPr>
              <w:t>Durata propunerii/inițiativei și a impactului său financiar</w:t>
            </w:r>
            <w:r>
              <w:rPr>
                <w:noProof/>
                <w:webHidden/>
              </w:rPr>
              <w:tab/>
            </w:r>
            <w:r>
              <w:rPr>
                <w:noProof/>
                <w:webHidden/>
              </w:rPr>
              <w:fldChar w:fldCharType="begin" w:fldLock="1"/>
            </w:r>
            <w:r>
              <w:rPr>
                <w:noProof/>
                <w:webHidden/>
              </w:rPr>
              <w:instrText xml:space="preserve"> PAGEREF _Toc239673850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rPr>
          </w:pPr>
          <w:hyperlink w:anchor="_Toc239673851" w:history="1">
            <w:r>
              <w:rPr>
                <w:rStyle w:val="Hyperlink"/>
                <w:noProof/>
              </w:rPr>
              <w:t>1.7.</w:t>
            </w:r>
            <w:r>
              <w:rPr>
                <w:rFonts w:asciiTheme="minorHAnsi" w:eastAsiaTheme="minorEastAsia" w:hAnsiTheme="minorHAnsi" w:cstheme="minorBidi"/>
                <w:noProof/>
              </w:rPr>
              <w:tab/>
            </w:r>
            <w:r>
              <w:rPr>
                <w:noProof/>
              </w:rPr>
              <w:t>Metoda (metodele) de execuție a bugetului planificată (planificate)</w:t>
            </w:r>
            <w:r>
              <w:rPr>
                <w:noProof/>
                <w:webHidden/>
              </w:rPr>
              <w:tab/>
            </w:r>
            <w:r>
              <w:rPr>
                <w:noProof/>
                <w:webHidden/>
              </w:rPr>
              <w:fldChar w:fldCharType="begin" w:fldLock="1"/>
            </w:r>
            <w:r>
              <w:rPr>
                <w:noProof/>
                <w:webHidden/>
              </w:rPr>
              <w:instrText xml:space="preserve"> PAGEREF _Toc239673851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rPr>
          </w:pPr>
          <w:hyperlink w:anchor="_Toc239673852" w:history="1">
            <w:r>
              <w:rPr>
                <w:rStyle w:val="Hyperlink"/>
                <w:noProof/>
              </w:rPr>
              <w:t>2.</w:t>
            </w:r>
            <w:r>
              <w:rPr>
                <w:rFonts w:asciiTheme="minorHAnsi" w:eastAsiaTheme="minorEastAsia" w:hAnsiTheme="minorHAnsi" w:cstheme="minorBidi"/>
                <w:noProof/>
              </w:rPr>
              <w:tab/>
            </w:r>
            <w:r>
              <w:rPr>
                <w:noProof/>
              </w:rPr>
              <w:t>MĂSURI DE GESTIUNE</w:t>
            </w:r>
            <w:r>
              <w:rPr>
                <w:noProof/>
                <w:webHidden/>
              </w:rPr>
              <w:tab/>
            </w:r>
            <w:r>
              <w:rPr>
                <w:noProof/>
                <w:webHidden/>
              </w:rPr>
              <w:fldChar w:fldCharType="begin" w:fldLock="1"/>
            </w:r>
            <w:r>
              <w:rPr>
                <w:noProof/>
                <w:webHidden/>
              </w:rPr>
              <w:instrText xml:space="preserve"> PAGEREF _Toc239673852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rPr>
          </w:pPr>
          <w:hyperlink w:anchor="_Toc239673853" w:history="1">
            <w:r>
              <w:rPr>
                <w:rStyle w:val="Hyperlink"/>
                <w:noProof/>
              </w:rPr>
              <w:t>2.1.</w:t>
            </w:r>
            <w:r>
              <w:rPr>
                <w:rFonts w:asciiTheme="minorHAnsi" w:eastAsiaTheme="minorEastAsia" w:hAnsiTheme="minorHAnsi" w:cstheme="minorBidi"/>
                <w:noProof/>
              </w:rPr>
              <w:tab/>
            </w:r>
            <w:r>
              <w:rPr>
                <w:noProof/>
              </w:rPr>
              <w:t>Dispoziții în materie de monitorizare și de raportare</w:t>
            </w:r>
            <w:r>
              <w:rPr>
                <w:noProof/>
                <w:webHidden/>
              </w:rPr>
              <w:tab/>
            </w:r>
            <w:r>
              <w:rPr>
                <w:noProof/>
                <w:webHidden/>
              </w:rPr>
              <w:fldChar w:fldCharType="begin" w:fldLock="1"/>
            </w:r>
            <w:r>
              <w:rPr>
                <w:noProof/>
                <w:webHidden/>
              </w:rPr>
              <w:instrText xml:space="preserve"> PAGEREF _Toc239673853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rPr>
          </w:pPr>
          <w:hyperlink w:anchor="_Toc239673854" w:history="1">
            <w:r>
              <w:rPr>
                <w:rStyle w:val="Hyperlink"/>
                <w:noProof/>
              </w:rPr>
              <w:t>2.2.</w:t>
            </w:r>
            <w:r>
              <w:rPr>
                <w:rFonts w:asciiTheme="minorHAnsi" w:eastAsiaTheme="minorEastAsia" w:hAnsiTheme="minorHAnsi" w:cstheme="minorBidi"/>
                <w:noProof/>
              </w:rPr>
              <w:tab/>
            </w:r>
            <w:r>
              <w:rPr>
                <w:noProof/>
              </w:rPr>
              <w:t>Sistemul (sistemele) de gestiune și de control</w:t>
            </w:r>
            <w:r>
              <w:rPr>
                <w:noProof/>
                <w:webHidden/>
              </w:rPr>
              <w:tab/>
            </w:r>
            <w:r>
              <w:rPr>
                <w:noProof/>
                <w:webHidden/>
              </w:rPr>
              <w:fldChar w:fldCharType="begin" w:fldLock="1"/>
            </w:r>
            <w:r>
              <w:rPr>
                <w:noProof/>
                <w:webHidden/>
              </w:rPr>
              <w:instrText xml:space="preserve"> PAGEREF _Toc239673854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rPr>
          </w:pPr>
          <w:hyperlink w:anchor="_Toc239673855" w:history="1">
            <w:r>
              <w:rPr>
                <w:rStyle w:val="Hyperlink"/>
                <w:noProof/>
              </w:rPr>
              <w:t>2.2.1.</w:t>
            </w:r>
            <w:r>
              <w:rPr>
                <w:rFonts w:asciiTheme="minorHAnsi" w:eastAsiaTheme="minorEastAsia" w:hAnsiTheme="minorHAnsi" w:cstheme="minorBidi"/>
                <w:noProof/>
              </w:rPr>
              <w:tab/>
            </w:r>
            <w:r>
              <w:rPr>
                <w:noProof/>
              </w:rPr>
              <w:t>Justificarea metodei (metodelor) de execuție bugetară, a mecanismului (mecanismelor) de punere în aplicare a finanțării, a modalităților de plată și a strategiei de control propuse</w:t>
            </w:r>
            <w:r>
              <w:rPr>
                <w:noProof/>
                <w:webHidden/>
              </w:rPr>
              <w:tab/>
            </w:r>
            <w:r>
              <w:rPr>
                <w:noProof/>
                <w:webHidden/>
              </w:rPr>
              <w:fldChar w:fldCharType="begin" w:fldLock="1"/>
            </w:r>
            <w:r>
              <w:rPr>
                <w:noProof/>
                <w:webHidden/>
              </w:rPr>
              <w:instrText xml:space="preserve"> PAGEREF _Toc239673855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rPr>
          </w:pPr>
          <w:hyperlink w:anchor="_Toc239673856" w:history="1">
            <w:r>
              <w:rPr>
                <w:rStyle w:val="Hyperlink"/>
                <w:noProof/>
              </w:rPr>
              <w:t>2.2.2.</w:t>
            </w:r>
            <w:r>
              <w:rPr>
                <w:rFonts w:asciiTheme="minorHAnsi" w:eastAsiaTheme="minorEastAsia" w:hAnsiTheme="minorHAnsi" w:cstheme="minorBidi"/>
                <w:noProof/>
              </w:rPr>
              <w:tab/>
            </w:r>
            <w:r>
              <w:rPr>
                <w:noProof/>
              </w:rPr>
              <w:t>Informații privind riscurile identificate și sistemul (sistemele) de control intern instituit(e) pentru atenuarea lor</w:t>
            </w:r>
            <w:r>
              <w:rPr>
                <w:noProof/>
                <w:webHidden/>
              </w:rPr>
              <w:tab/>
            </w:r>
            <w:r>
              <w:rPr>
                <w:noProof/>
                <w:webHidden/>
              </w:rPr>
              <w:fldChar w:fldCharType="begin" w:fldLock="1"/>
            </w:r>
            <w:r>
              <w:rPr>
                <w:noProof/>
                <w:webHidden/>
              </w:rPr>
              <w:instrText xml:space="preserve"> PAGEREF _Toc239673856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rPr>
          </w:pPr>
          <w:hyperlink w:anchor="_Toc239673857" w:history="1">
            <w:r>
              <w:rPr>
                <w:rStyle w:val="Hyperlink"/>
                <w:noProof/>
              </w:rPr>
              <w:t>2.2.3.</w:t>
            </w:r>
            <w:r>
              <w:rPr>
                <w:rFonts w:asciiTheme="minorHAnsi" w:eastAsiaTheme="minorEastAsia" w:hAnsiTheme="minorHAnsi" w:cstheme="minorBidi"/>
                <w:noProof/>
              </w:rPr>
              <w:tab/>
            </w:r>
            <w:r>
              <w:rPr>
                <w:noProof/>
              </w:rPr>
              <w:t>Estimarea și justificarea raportului cost-eficacitate al controalelor (raportul dintre costurile controalelor și valoarea fondurilor aferente gestionate) și evaluarea nivelurilor preconizate ale riscurilor de eroare (la plată și la închidere)</w:t>
            </w:r>
            <w:r>
              <w:rPr>
                <w:noProof/>
                <w:webHidden/>
              </w:rPr>
              <w:tab/>
            </w:r>
            <w:r>
              <w:rPr>
                <w:noProof/>
                <w:webHidden/>
              </w:rPr>
              <w:fldChar w:fldCharType="begin" w:fldLock="1"/>
            </w:r>
            <w:r>
              <w:rPr>
                <w:noProof/>
                <w:webHidden/>
              </w:rPr>
              <w:instrText xml:space="preserve"> PAGEREF _Toc239673857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rPr>
          </w:pPr>
          <w:hyperlink w:anchor="_Toc239673858" w:history="1">
            <w:r>
              <w:rPr>
                <w:rStyle w:val="Hyperlink"/>
                <w:noProof/>
              </w:rPr>
              <w:t>2.3.</w:t>
            </w:r>
            <w:r>
              <w:rPr>
                <w:rFonts w:asciiTheme="minorHAnsi" w:eastAsiaTheme="minorEastAsia" w:hAnsiTheme="minorHAnsi" w:cstheme="minorBidi"/>
                <w:noProof/>
              </w:rPr>
              <w:tab/>
            </w:r>
            <w:r>
              <w:rPr>
                <w:noProof/>
              </w:rPr>
              <w:t>Măsuri de prevenire a fraudelor și a neregulilor</w:t>
            </w:r>
            <w:r>
              <w:rPr>
                <w:noProof/>
                <w:webHidden/>
              </w:rPr>
              <w:tab/>
            </w:r>
            <w:r>
              <w:rPr>
                <w:noProof/>
                <w:webHidden/>
              </w:rPr>
              <w:fldChar w:fldCharType="begin" w:fldLock="1"/>
            </w:r>
            <w:r>
              <w:rPr>
                <w:noProof/>
                <w:webHidden/>
              </w:rPr>
              <w:instrText xml:space="preserve"> PAGEREF _Toc239673858 \h </w:instrText>
            </w:r>
            <w:r>
              <w:rPr>
                <w:noProof/>
                <w:webHidden/>
              </w:rPr>
            </w:r>
            <w:r>
              <w:rPr>
                <w:noProof/>
                <w:webHidden/>
              </w:rPr>
              <w:fldChar w:fldCharType="separate"/>
            </w:r>
            <w:r>
              <w:rPr>
                <w:noProof/>
                <w:webHidden/>
              </w:rPr>
              <w:t>11</w:t>
            </w:r>
            <w:r>
              <w:rPr>
                <w:noProof/>
                <w:webHidden/>
              </w:rPr>
              <w:fldChar w:fldCharType="end"/>
            </w:r>
          </w:hyperlink>
        </w:p>
        <w:p>
          <w:pPr>
            <w:pStyle w:val="TOC1"/>
            <w:rPr>
              <w:rFonts w:asciiTheme="minorHAnsi" w:eastAsiaTheme="minorEastAsia" w:hAnsiTheme="minorHAnsi" w:cstheme="minorBidi"/>
              <w:noProof/>
            </w:rPr>
          </w:pPr>
          <w:hyperlink w:anchor="_Toc239673859" w:history="1">
            <w:r>
              <w:rPr>
                <w:rStyle w:val="Hyperlink"/>
                <w:noProof/>
              </w:rPr>
              <w:t>3.</w:t>
            </w:r>
            <w:r>
              <w:rPr>
                <w:rFonts w:asciiTheme="minorHAnsi" w:eastAsiaTheme="minorEastAsia" w:hAnsiTheme="minorHAnsi" w:cstheme="minorBidi"/>
                <w:noProof/>
              </w:rPr>
              <w:tab/>
            </w:r>
            <w:r>
              <w:rPr>
                <w:noProof/>
              </w:rPr>
              <w:t>IMPACTUL FINANCIAR ESTIMAT AL PROPUNERII/INIȚIATIVEI</w:t>
            </w:r>
            <w:r>
              <w:rPr>
                <w:noProof/>
                <w:webHidden/>
              </w:rPr>
              <w:tab/>
            </w:r>
            <w:r>
              <w:rPr>
                <w:noProof/>
                <w:webHidden/>
              </w:rPr>
              <w:fldChar w:fldCharType="begin" w:fldLock="1"/>
            </w:r>
            <w:r>
              <w:rPr>
                <w:noProof/>
                <w:webHidden/>
              </w:rPr>
              <w:instrText xml:space="preserve"> PAGEREF _Toc239673859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rPr>
          </w:pPr>
          <w:hyperlink w:anchor="_Toc239673860" w:history="1">
            <w:r>
              <w:rPr>
                <w:rStyle w:val="Hyperlink"/>
                <w:noProof/>
              </w:rPr>
              <w:t>3.1.</w:t>
            </w:r>
            <w:r>
              <w:rPr>
                <w:rFonts w:asciiTheme="minorHAnsi" w:eastAsiaTheme="minorEastAsia" w:hAnsiTheme="minorHAnsi" w:cstheme="minorBidi"/>
                <w:noProof/>
              </w:rPr>
              <w:tab/>
            </w:r>
            <w:r>
              <w:rPr>
                <w:noProof/>
              </w:rPr>
              <w:t>Rubrica (rubricile) din cadrul financiar multianual și linia (liniile) bugetară (bugetare) de cheltuieli afectată (afectate)</w:t>
            </w:r>
            <w:r>
              <w:rPr>
                <w:noProof/>
                <w:webHidden/>
              </w:rPr>
              <w:tab/>
            </w:r>
            <w:r>
              <w:rPr>
                <w:noProof/>
                <w:webHidden/>
              </w:rPr>
              <w:fldChar w:fldCharType="begin" w:fldLock="1"/>
            </w:r>
            <w:r>
              <w:rPr>
                <w:noProof/>
                <w:webHidden/>
              </w:rPr>
              <w:instrText xml:space="preserve"> PAGEREF _Toc239673860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rPr>
          </w:pPr>
          <w:hyperlink w:anchor="_Toc239673861" w:history="1">
            <w:r>
              <w:rPr>
                <w:rStyle w:val="Hyperlink"/>
                <w:noProof/>
              </w:rPr>
              <w:t>3.2.</w:t>
            </w:r>
            <w:r>
              <w:rPr>
                <w:rFonts w:asciiTheme="minorHAnsi" w:eastAsiaTheme="minorEastAsia" w:hAnsiTheme="minorHAnsi" w:cstheme="minorBidi"/>
                <w:noProof/>
              </w:rPr>
              <w:tab/>
            </w:r>
            <w:r>
              <w:rPr>
                <w:noProof/>
              </w:rPr>
              <w:t>Impactul financiar estimat al propunerii asupra creditelor</w:t>
            </w:r>
            <w:r>
              <w:rPr>
                <w:noProof/>
                <w:webHidden/>
              </w:rPr>
              <w:tab/>
            </w:r>
            <w:r>
              <w:rPr>
                <w:noProof/>
                <w:webHidden/>
              </w:rPr>
              <w:fldChar w:fldCharType="begin" w:fldLock="1"/>
            </w:r>
            <w:r>
              <w:rPr>
                <w:noProof/>
                <w:webHidden/>
              </w:rPr>
              <w:instrText xml:space="preserve"> PAGEREF _Toc239673861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rPr>
          </w:pPr>
          <w:hyperlink w:anchor="_Toc239673862" w:history="1">
            <w:r>
              <w:rPr>
                <w:rStyle w:val="Hyperlink"/>
                <w:noProof/>
              </w:rPr>
              <w:t>3.2.1.</w:t>
            </w:r>
            <w:r>
              <w:rPr>
                <w:rFonts w:asciiTheme="minorHAnsi" w:eastAsiaTheme="minorEastAsia" w:hAnsiTheme="minorHAnsi" w:cstheme="minorBidi"/>
                <w:noProof/>
              </w:rPr>
              <w:tab/>
            </w:r>
            <w:r>
              <w:rPr>
                <w:noProof/>
              </w:rPr>
              <w:t>Sinteza impactului estimat asupra creditelor operaționale</w:t>
            </w:r>
            <w:r>
              <w:rPr>
                <w:noProof/>
                <w:webHidden/>
              </w:rPr>
              <w:tab/>
            </w:r>
            <w:r>
              <w:rPr>
                <w:noProof/>
                <w:webHidden/>
              </w:rPr>
              <w:fldChar w:fldCharType="begin" w:fldLock="1"/>
            </w:r>
            <w:r>
              <w:rPr>
                <w:noProof/>
                <w:webHidden/>
              </w:rPr>
              <w:instrText xml:space="preserve"> PAGEREF _Toc239673862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rPr>
          </w:pPr>
          <w:hyperlink w:anchor="_Toc239673863" w:history="1">
            <w:r>
              <w:rPr>
                <w:rStyle w:val="Hyperlink"/>
                <w:noProof/>
              </w:rPr>
              <w:t>3.2.1.1.</w:t>
            </w:r>
            <w:r>
              <w:rPr>
                <w:rFonts w:asciiTheme="minorHAnsi" w:eastAsiaTheme="minorEastAsia" w:hAnsiTheme="minorHAnsi" w:cstheme="minorBidi"/>
                <w:noProof/>
              </w:rPr>
              <w:tab/>
            </w:r>
            <w:r>
              <w:rPr>
                <w:noProof/>
              </w:rPr>
              <w:t>Credite din bugetul votat</w:t>
            </w:r>
            <w:r>
              <w:rPr>
                <w:noProof/>
                <w:webHidden/>
              </w:rPr>
              <w:tab/>
            </w:r>
            <w:r>
              <w:rPr>
                <w:noProof/>
                <w:webHidden/>
              </w:rPr>
              <w:fldChar w:fldCharType="begin" w:fldLock="1"/>
            </w:r>
            <w:r>
              <w:rPr>
                <w:noProof/>
                <w:webHidden/>
              </w:rPr>
              <w:instrText xml:space="preserve"> PAGEREF _Toc239673863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rPr>
          </w:pPr>
          <w:hyperlink w:anchor="_Toc239673864" w:history="1">
            <w:r>
              <w:rPr>
                <w:rStyle w:val="Hyperlink"/>
                <w:noProof/>
              </w:rPr>
              <w:t>3.2.3.</w:t>
            </w:r>
            <w:r>
              <w:rPr>
                <w:rFonts w:asciiTheme="minorHAnsi" w:eastAsiaTheme="minorEastAsia" w:hAnsiTheme="minorHAnsi" w:cstheme="minorBidi"/>
                <w:noProof/>
              </w:rPr>
              <w:tab/>
            </w:r>
            <w:r>
              <w:rPr>
                <w:noProof/>
              </w:rPr>
              <w:t>Sinteza impactului estimat asupra creditelor administrative</w:t>
            </w:r>
            <w:r>
              <w:rPr>
                <w:noProof/>
                <w:webHidden/>
              </w:rPr>
              <w:tab/>
            </w:r>
            <w:r>
              <w:rPr>
                <w:noProof/>
                <w:webHidden/>
              </w:rPr>
              <w:fldChar w:fldCharType="begin" w:fldLock="1"/>
            </w:r>
            <w:r>
              <w:rPr>
                <w:noProof/>
                <w:webHidden/>
              </w:rPr>
              <w:instrText xml:space="preserve"> PAGEREF _Toc239673864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rPr>
          </w:pPr>
          <w:hyperlink w:anchor="_Toc239673865" w:history="1">
            <w:r>
              <w:rPr>
                <w:rStyle w:val="Hyperlink"/>
                <w:noProof/>
              </w:rPr>
              <w:t xml:space="preserve">3.2.3.1. </w:t>
            </w:r>
            <w:r>
              <w:rPr>
                <w:noProof/>
              </w:rPr>
              <w:t>Credite din bugetul votat</w:t>
            </w:r>
            <w:r>
              <w:rPr>
                <w:noProof/>
                <w:webHidden/>
              </w:rPr>
              <w:tab/>
            </w:r>
            <w:r>
              <w:rPr>
                <w:noProof/>
                <w:webHidden/>
              </w:rPr>
              <w:fldChar w:fldCharType="begin" w:fldLock="1"/>
            </w:r>
            <w:r>
              <w:rPr>
                <w:noProof/>
                <w:webHidden/>
              </w:rPr>
              <w:instrText xml:space="preserve"> PAGEREF _Toc239673865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rPr>
          </w:pPr>
          <w:hyperlink w:anchor="_Toc239673866" w:history="1">
            <w:r>
              <w:rPr>
                <w:rStyle w:val="Hyperlink"/>
                <w:noProof/>
              </w:rPr>
              <w:t>3.2.4.</w:t>
            </w:r>
            <w:r>
              <w:rPr>
                <w:rFonts w:asciiTheme="minorHAnsi" w:eastAsiaTheme="minorEastAsia" w:hAnsiTheme="minorHAnsi" w:cstheme="minorBidi"/>
                <w:noProof/>
              </w:rPr>
              <w:tab/>
            </w:r>
            <w:r>
              <w:rPr>
                <w:noProof/>
              </w:rPr>
              <w:t>Necesarul de resurse umane estimat</w:t>
            </w:r>
            <w:r>
              <w:rPr>
                <w:noProof/>
                <w:webHidden/>
              </w:rPr>
              <w:tab/>
            </w:r>
            <w:r>
              <w:rPr>
                <w:noProof/>
                <w:webHidden/>
              </w:rPr>
              <w:fldChar w:fldCharType="begin" w:fldLock="1"/>
            </w:r>
            <w:r>
              <w:rPr>
                <w:noProof/>
                <w:webHidden/>
              </w:rPr>
              <w:instrText xml:space="preserve"> PAGEREF _Toc239673866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rPr>
          </w:pPr>
          <w:hyperlink w:anchor="_Toc239673867" w:history="1">
            <w:r>
              <w:rPr>
                <w:rStyle w:val="Hyperlink"/>
                <w:noProof/>
              </w:rPr>
              <w:t>3.2.4.1.</w:t>
            </w:r>
            <w:r>
              <w:rPr>
                <w:rFonts w:asciiTheme="minorHAnsi" w:eastAsiaTheme="minorEastAsia" w:hAnsiTheme="minorHAnsi" w:cstheme="minorBidi"/>
                <w:noProof/>
              </w:rPr>
              <w:tab/>
            </w:r>
            <w:r>
              <w:rPr>
                <w:noProof/>
              </w:rPr>
              <w:t>Finanțare din bugetul votat</w:t>
            </w:r>
            <w:r>
              <w:rPr>
                <w:noProof/>
                <w:webHidden/>
              </w:rPr>
              <w:tab/>
            </w:r>
            <w:r>
              <w:rPr>
                <w:noProof/>
                <w:webHidden/>
              </w:rPr>
              <w:fldChar w:fldCharType="begin" w:fldLock="1"/>
            </w:r>
            <w:r>
              <w:rPr>
                <w:noProof/>
                <w:webHidden/>
              </w:rPr>
              <w:instrText xml:space="preserve"> PAGEREF _Toc239673867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rPr>
          </w:pPr>
          <w:hyperlink w:anchor="_Toc239673868" w:history="1">
            <w:r>
              <w:rPr>
                <w:rStyle w:val="Hyperlink"/>
                <w:noProof/>
              </w:rPr>
              <w:t>3.2.5.</w:t>
            </w:r>
            <w:r>
              <w:rPr>
                <w:rFonts w:asciiTheme="minorHAnsi" w:eastAsiaTheme="minorEastAsia" w:hAnsiTheme="minorHAnsi" w:cstheme="minorBidi"/>
                <w:noProof/>
              </w:rPr>
              <w:tab/>
            </w:r>
            <w:r>
              <w:rPr>
                <w:noProof/>
              </w:rPr>
              <w:t>Prezentare generală a impactului estimat asupra investițiilor legate de tehnologia digitală</w:t>
            </w:r>
            <w:r>
              <w:rPr>
                <w:noProof/>
                <w:webHidden/>
              </w:rPr>
              <w:tab/>
            </w:r>
            <w:r>
              <w:rPr>
                <w:noProof/>
                <w:webHidden/>
              </w:rPr>
              <w:fldChar w:fldCharType="begin" w:fldLock="1"/>
            </w:r>
            <w:r>
              <w:rPr>
                <w:noProof/>
                <w:webHidden/>
              </w:rPr>
              <w:instrText xml:space="preserve"> PAGEREF _Toc239673868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rPr>
          </w:pPr>
          <w:hyperlink w:anchor="_Toc239673869" w:history="1">
            <w:r>
              <w:rPr>
                <w:rStyle w:val="Hyperlink"/>
                <w:noProof/>
              </w:rPr>
              <w:t>3.2.6.</w:t>
            </w:r>
            <w:r>
              <w:rPr>
                <w:rFonts w:asciiTheme="minorHAnsi" w:eastAsiaTheme="minorEastAsia" w:hAnsiTheme="minorHAnsi" w:cstheme="minorBidi"/>
                <w:noProof/>
              </w:rPr>
              <w:tab/>
            </w:r>
            <w:r>
              <w:rPr>
                <w:noProof/>
              </w:rPr>
              <w:t>Compatibilitatea cu cadrul financiar multianual actual</w:t>
            </w:r>
            <w:r>
              <w:rPr>
                <w:noProof/>
                <w:webHidden/>
              </w:rPr>
              <w:tab/>
            </w:r>
            <w:r>
              <w:rPr>
                <w:noProof/>
                <w:webHidden/>
              </w:rPr>
              <w:fldChar w:fldCharType="begin" w:fldLock="1"/>
            </w:r>
            <w:r>
              <w:rPr>
                <w:noProof/>
                <w:webHidden/>
              </w:rPr>
              <w:instrText xml:space="preserve"> PAGEREF _Toc239673869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rPr>
          </w:pPr>
          <w:hyperlink w:anchor="_Toc239673870" w:history="1">
            <w:r>
              <w:rPr>
                <w:rStyle w:val="Hyperlink"/>
                <w:noProof/>
              </w:rPr>
              <w:t>3.2.7.</w:t>
            </w:r>
            <w:r>
              <w:rPr>
                <w:rFonts w:asciiTheme="minorHAnsi" w:eastAsiaTheme="minorEastAsia" w:hAnsiTheme="minorHAnsi" w:cstheme="minorBidi"/>
                <w:noProof/>
              </w:rPr>
              <w:tab/>
            </w:r>
            <w:r>
              <w:rPr>
                <w:noProof/>
              </w:rPr>
              <w:t>Contribuțiile terților</w:t>
            </w:r>
            <w:r>
              <w:rPr>
                <w:noProof/>
                <w:webHidden/>
              </w:rPr>
              <w:tab/>
            </w:r>
            <w:r>
              <w:rPr>
                <w:noProof/>
                <w:webHidden/>
              </w:rPr>
              <w:fldChar w:fldCharType="begin" w:fldLock="1"/>
            </w:r>
            <w:r>
              <w:rPr>
                <w:noProof/>
                <w:webHidden/>
              </w:rPr>
              <w:instrText xml:space="preserve"> PAGEREF _Toc239673870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rPr>
          </w:pPr>
          <w:hyperlink w:anchor="_Toc239673871" w:history="1">
            <w:r>
              <w:rPr>
                <w:rStyle w:val="Hyperlink"/>
                <w:i/>
                <w:noProof/>
              </w:rPr>
              <w:t>3.2.8.</w:t>
            </w:r>
            <w:r>
              <w:rPr>
                <w:rFonts w:asciiTheme="minorHAnsi" w:eastAsiaTheme="minorEastAsia" w:hAnsiTheme="minorHAnsi" w:cstheme="minorBidi"/>
                <w:noProof/>
              </w:rPr>
              <w:tab/>
            </w:r>
            <w:r>
              <w:rPr>
                <w:i/>
                <w:noProof/>
              </w:rPr>
              <w:t>Estimarea resurselor umane și utilizarea creditelor necesare în cadrul unei agenții descentralizate</w:t>
            </w:r>
            <w:r>
              <w:rPr>
                <w:noProof/>
                <w:webHidden/>
              </w:rPr>
              <w:tab/>
            </w:r>
            <w:r>
              <w:rPr>
                <w:noProof/>
                <w:webHidden/>
              </w:rPr>
              <w:fldChar w:fldCharType="begin" w:fldLock="1"/>
            </w:r>
            <w:r>
              <w:rPr>
                <w:noProof/>
                <w:webHidden/>
              </w:rPr>
              <w:instrText xml:space="preserve"> PAGEREF _Toc239673871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rPr>
          </w:pPr>
          <w:hyperlink w:anchor="_Toc239673872" w:history="1">
            <w:r>
              <w:rPr>
                <w:rStyle w:val="Hyperlink"/>
                <w:noProof/>
              </w:rPr>
              <w:t>3.3.</w:t>
            </w:r>
            <w:r>
              <w:rPr>
                <w:rFonts w:asciiTheme="minorHAnsi" w:eastAsiaTheme="minorEastAsia" w:hAnsiTheme="minorHAnsi" w:cstheme="minorBidi"/>
                <w:noProof/>
              </w:rPr>
              <w:tab/>
            </w:r>
            <w:r>
              <w:rPr>
                <w:noProof/>
              </w:rPr>
              <w:t>Impactul estimat asupra veniturilor</w:t>
            </w:r>
            <w:r>
              <w:rPr>
                <w:noProof/>
                <w:webHidden/>
              </w:rPr>
              <w:tab/>
            </w:r>
            <w:r>
              <w:rPr>
                <w:noProof/>
                <w:webHidden/>
              </w:rPr>
              <w:fldChar w:fldCharType="begin" w:fldLock="1"/>
            </w:r>
            <w:r>
              <w:rPr>
                <w:noProof/>
                <w:webHidden/>
              </w:rPr>
              <w:instrText xml:space="preserve"> PAGEREF _Toc239673872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noProof/>
            </w:rPr>
          </w:pPr>
          <w:hyperlink w:anchor="_Toc239673873" w:history="1">
            <w:r>
              <w:rPr>
                <w:rStyle w:val="Hyperlink"/>
                <w:noProof/>
              </w:rPr>
              <w:t>4.</w:t>
            </w:r>
            <w:r>
              <w:rPr>
                <w:rFonts w:asciiTheme="minorHAnsi" w:eastAsiaTheme="minorEastAsia" w:hAnsiTheme="minorHAnsi" w:cstheme="minorBidi"/>
                <w:noProof/>
              </w:rPr>
              <w:tab/>
            </w:r>
            <w:r>
              <w:rPr>
                <w:caps/>
                <w:noProof/>
              </w:rPr>
              <w:t>Dimensiunile digitale</w:t>
            </w:r>
            <w:r>
              <w:rPr>
                <w:noProof/>
                <w:webHidden/>
              </w:rPr>
              <w:tab/>
            </w:r>
            <w:r>
              <w:rPr>
                <w:noProof/>
                <w:webHidden/>
              </w:rPr>
              <w:fldChar w:fldCharType="begin" w:fldLock="1"/>
            </w:r>
            <w:r>
              <w:rPr>
                <w:noProof/>
                <w:webHidden/>
              </w:rPr>
              <w:instrText xml:space="preserve"> PAGEREF _Toc239673873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rPr>
          </w:pPr>
          <w:hyperlink w:anchor="_Toc239673874" w:history="1">
            <w:r>
              <w:rPr>
                <w:rStyle w:val="Hyperlink"/>
                <w:noProof/>
              </w:rPr>
              <w:t>4.1.</w:t>
            </w:r>
            <w:r>
              <w:rPr>
                <w:rFonts w:asciiTheme="minorHAnsi" w:eastAsiaTheme="minorEastAsia" w:hAnsiTheme="minorHAnsi" w:cstheme="minorBidi"/>
                <w:noProof/>
              </w:rPr>
              <w:tab/>
            </w:r>
            <w:r>
              <w:rPr>
                <w:noProof/>
              </w:rPr>
              <w:t>Cerințe cu relevanță digitală</w:t>
            </w:r>
            <w:r>
              <w:rPr>
                <w:noProof/>
                <w:webHidden/>
              </w:rPr>
              <w:tab/>
            </w:r>
            <w:r>
              <w:rPr>
                <w:noProof/>
                <w:webHidden/>
              </w:rPr>
              <w:fldChar w:fldCharType="begin" w:fldLock="1"/>
            </w:r>
            <w:r>
              <w:rPr>
                <w:noProof/>
                <w:webHidden/>
              </w:rPr>
              <w:instrText xml:space="preserve"> PAGEREF _Toc239673874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rPr>
          </w:pPr>
          <w:hyperlink w:anchor="_Toc239673875" w:history="1">
            <w:r>
              <w:rPr>
                <w:rStyle w:val="Hyperlink"/>
                <w:noProof/>
              </w:rPr>
              <w:t>4.2.</w:t>
            </w:r>
            <w:r>
              <w:rPr>
                <w:rFonts w:asciiTheme="minorHAnsi" w:eastAsiaTheme="minorEastAsia" w:hAnsiTheme="minorHAnsi" w:cstheme="minorBidi"/>
                <w:noProof/>
              </w:rPr>
              <w:tab/>
            </w:r>
            <w:r>
              <w:rPr>
                <w:rStyle w:val="Hyperlink"/>
                <w:noProof/>
              </w:rPr>
              <w:t>Date</w:t>
            </w:r>
            <w:r>
              <w:rPr>
                <w:noProof/>
                <w:webHidden/>
              </w:rPr>
              <w:tab/>
            </w:r>
            <w:r>
              <w:rPr>
                <w:noProof/>
                <w:webHidden/>
              </w:rPr>
              <w:fldChar w:fldCharType="begin" w:fldLock="1"/>
            </w:r>
            <w:r>
              <w:rPr>
                <w:noProof/>
                <w:webHidden/>
              </w:rPr>
              <w:instrText xml:space="preserve"> PAGEREF _Toc239673875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rPr>
          </w:pPr>
          <w:hyperlink w:anchor="_Toc239673876" w:history="1">
            <w:r>
              <w:rPr>
                <w:rStyle w:val="Hyperlink"/>
                <w:noProof/>
              </w:rPr>
              <w:t>4.3.</w:t>
            </w:r>
            <w:r>
              <w:rPr>
                <w:rFonts w:asciiTheme="minorHAnsi" w:eastAsiaTheme="minorEastAsia" w:hAnsiTheme="minorHAnsi" w:cstheme="minorBidi"/>
                <w:noProof/>
              </w:rPr>
              <w:tab/>
            </w:r>
            <w:r>
              <w:rPr>
                <w:rStyle w:val="Hyperlink"/>
                <w:noProof/>
              </w:rPr>
              <w:t>Soluții digitale</w:t>
            </w:r>
            <w:r>
              <w:rPr>
                <w:noProof/>
                <w:webHidden/>
              </w:rPr>
              <w:tab/>
            </w:r>
            <w:r>
              <w:rPr>
                <w:noProof/>
                <w:webHidden/>
              </w:rPr>
              <w:fldChar w:fldCharType="begin" w:fldLock="1"/>
            </w:r>
            <w:r>
              <w:rPr>
                <w:noProof/>
                <w:webHidden/>
              </w:rPr>
              <w:instrText xml:space="preserve"> PAGEREF _Toc239673876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rPr>
          </w:pPr>
          <w:hyperlink w:anchor="_Toc239673877" w:history="1">
            <w:r>
              <w:rPr>
                <w:rStyle w:val="Hyperlink"/>
                <w:i/>
                <w:noProof/>
              </w:rPr>
              <w:t>4.4.</w:t>
            </w:r>
            <w:r>
              <w:rPr>
                <w:rFonts w:asciiTheme="minorHAnsi" w:eastAsiaTheme="minorEastAsia" w:hAnsiTheme="minorHAnsi" w:cstheme="minorBidi"/>
                <w:noProof/>
              </w:rPr>
              <w:tab/>
            </w:r>
            <w:r>
              <w:rPr>
                <w:rStyle w:val="Emphasis"/>
                <w:noProof/>
              </w:rPr>
              <w:t>Evaluarea interoperabilității</w:t>
            </w:r>
            <w:r>
              <w:rPr>
                <w:noProof/>
                <w:webHidden/>
              </w:rPr>
              <w:tab/>
            </w:r>
            <w:r>
              <w:rPr>
                <w:noProof/>
                <w:webHidden/>
              </w:rPr>
              <w:fldChar w:fldCharType="begin" w:fldLock="1"/>
            </w:r>
            <w:r>
              <w:rPr>
                <w:noProof/>
                <w:webHidden/>
              </w:rPr>
              <w:instrText xml:space="preserve"> PAGEREF _Toc239673877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rPr>
          </w:pPr>
          <w:hyperlink w:anchor="_Toc239673878" w:history="1">
            <w:r>
              <w:rPr>
                <w:rStyle w:val="Hyperlink"/>
                <w:noProof/>
              </w:rPr>
              <w:t>4.5.</w:t>
            </w:r>
            <w:r>
              <w:rPr>
                <w:rFonts w:asciiTheme="minorHAnsi" w:eastAsiaTheme="minorEastAsia" w:hAnsiTheme="minorHAnsi" w:cstheme="minorBidi"/>
                <w:noProof/>
              </w:rPr>
              <w:tab/>
            </w:r>
            <w:r>
              <w:rPr>
                <w:noProof/>
              </w:rPr>
              <w:t>Măsuri de sprijinire a implementării digitale</w:t>
            </w:r>
            <w:r>
              <w:rPr>
                <w:noProof/>
                <w:webHidden/>
              </w:rPr>
              <w:tab/>
            </w:r>
            <w:r>
              <w:rPr>
                <w:noProof/>
                <w:webHidden/>
              </w:rPr>
              <w:fldChar w:fldCharType="begin" w:fldLock="1"/>
            </w:r>
            <w:r>
              <w:rPr>
                <w:noProof/>
                <w:webHidden/>
              </w:rPr>
              <w:instrText xml:space="preserve"> PAGEREF _Toc239673878 \h </w:instrText>
            </w:r>
            <w:r>
              <w:rPr>
                <w:noProof/>
                <w:webHidden/>
              </w:rPr>
            </w:r>
            <w:r>
              <w:rPr>
                <w:noProof/>
                <w:webHidden/>
              </w:rPr>
              <w:fldChar w:fldCharType="separate"/>
            </w:r>
            <w:r>
              <w:rPr>
                <w:noProof/>
                <w:webHidden/>
              </w:rPr>
              <w:t>25</w:t>
            </w:r>
            <w:r>
              <w:rPr>
                <w:noProof/>
                <w:webHidden/>
              </w:rPr>
              <w:fldChar w:fldCharType="end"/>
            </w:r>
          </w:hyperlink>
        </w:p>
        <w:p>
          <w:pPr>
            <w:rPr>
              <w:noProof/>
            </w:rPr>
          </w:pPr>
          <w:r>
            <w:rPr>
              <w:b/>
              <w:noProof/>
            </w:rPr>
            <w:fldChar w:fldCharType="end"/>
          </w:r>
        </w:p>
      </w:sdtContent>
    </w:sdt>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40" w:name="_Toc239673835"/>
      <w:r>
        <w:rPr>
          <w:noProof/>
        </w:rPr>
        <w:t>1.</w:t>
      </w:r>
      <w:r>
        <w:rPr>
          <w:noProof/>
        </w:rPr>
        <w:tab/>
        <w:t>CADRUL PROPUNERII/INIȚIATIVEI</w:t>
      </w:r>
      <w:bookmarkEnd w:id="40"/>
      <w:r>
        <w:rPr>
          <w:noProof/>
        </w:rPr>
        <w:t xml:space="preserve"> </w:t>
      </w:r>
    </w:p>
    <w:p>
      <w:pPr>
        <w:pStyle w:val="ManualHeading2"/>
        <w:rPr>
          <w:noProof/>
        </w:rPr>
      </w:pPr>
      <w:bookmarkStart w:id="41" w:name="_Toc239673836"/>
      <w:r>
        <w:rPr>
          <w:noProof/>
        </w:rPr>
        <w:t>1.1.</w:t>
      </w:r>
      <w:r>
        <w:rPr>
          <w:noProof/>
        </w:rPr>
        <w:tab/>
        <w:t>Titlul propunerii/inițiativei</w:t>
      </w:r>
      <w:bookmarkEnd w:id="41"/>
    </w:p>
    <w:p>
      <w:pPr>
        <w:pStyle w:val="Text1"/>
        <w:pBdr>
          <w:top w:val="single" w:sz="4" w:space="1" w:color="auto"/>
          <w:left w:val="single" w:sz="4" w:space="4" w:color="auto"/>
          <w:bottom w:val="single" w:sz="4" w:space="1" w:color="auto"/>
          <w:right w:val="single" w:sz="4" w:space="4" w:color="auto"/>
        </w:pBdr>
        <w:rPr>
          <w:noProof/>
        </w:rPr>
      </w:pPr>
      <w:r>
        <w:rPr>
          <w:noProof/>
        </w:rPr>
        <w:t>REGULAMENT AL PARLAMENTULUI EUROPEAN ȘI AL CONSILIULUI de stabilire a unui cadru de măsuri pentru consolidarea ecosistemului de inovare al Europei (Actul european privind inovarea)</w:t>
      </w:r>
    </w:p>
    <w:p>
      <w:pPr>
        <w:pStyle w:val="ManualHeading2"/>
        <w:rPr>
          <w:i/>
          <w:noProof/>
        </w:rPr>
      </w:pPr>
      <w:bookmarkStart w:id="42" w:name="_Toc239673837"/>
      <w:r>
        <w:rPr>
          <w:noProof/>
        </w:rPr>
        <w:t>1.2.</w:t>
      </w:r>
      <w:r>
        <w:rPr>
          <w:noProof/>
        </w:rPr>
        <w:tab/>
        <w:t>Domeniul (domeniile) de politică vizat(e)</w:t>
      </w:r>
      <w:bookmarkEnd w:id="42"/>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Piața unică, competitivitate, cercetare și inovare</w:t>
      </w:r>
    </w:p>
    <w:p>
      <w:pPr>
        <w:pStyle w:val="ManualHeading2"/>
        <w:rPr>
          <w:noProof/>
        </w:rPr>
      </w:pPr>
      <w:bookmarkStart w:id="43" w:name="_Toc239673838"/>
      <w:r>
        <w:rPr>
          <w:noProof/>
        </w:rPr>
        <w:t>1.3.</w:t>
      </w:r>
      <w:r>
        <w:rPr>
          <w:noProof/>
        </w:rPr>
        <w:tab/>
        <w:t>Obiectiv(e)</w:t>
      </w:r>
      <w:bookmarkEnd w:id="43"/>
    </w:p>
    <w:p>
      <w:pPr>
        <w:pStyle w:val="ManualHeading3"/>
        <w:rPr>
          <w:noProof/>
        </w:rPr>
      </w:pPr>
      <w:bookmarkStart w:id="44" w:name="_Toc239673839"/>
      <w:r>
        <w:rPr>
          <w:noProof/>
        </w:rPr>
        <w:t>1.3.1.</w:t>
      </w:r>
      <w:r>
        <w:rPr>
          <w:noProof/>
        </w:rPr>
        <w:tab/>
        <w:t>Obiectiv(e) general(e)</w:t>
      </w:r>
      <w:bookmarkEnd w:id="44"/>
    </w:p>
    <w:p>
      <w:pPr>
        <w:pStyle w:val="Text1"/>
        <w:pBdr>
          <w:top w:val="single" w:sz="4" w:space="1" w:color="auto"/>
          <w:left w:val="single" w:sz="4" w:space="4" w:color="auto"/>
          <w:bottom w:val="single" w:sz="4" w:space="1" w:color="auto"/>
          <w:right w:val="single" w:sz="4" w:space="4" w:color="auto"/>
        </w:pBdr>
        <w:rPr>
          <w:noProof/>
        </w:rPr>
      </w:pPr>
      <w:r>
        <w:rPr>
          <w:noProof/>
        </w:rPr>
        <w:t>Obiectivul general al inițiativei este de a îmbunătăți funcționarea pieței unice în domeniul inovării prin reducerea barierelor din calea dezvoltării, testării și extinderii soluțiilor inovatoare, accelerând astfel comercializarea acestora în Uniune.</w:t>
      </w:r>
    </w:p>
    <w:p>
      <w:pPr>
        <w:pStyle w:val="ManualHeading3"/>
        <w:rPr>
          <w:noProof/>
        </w:rPr>
      </w:pPr>
      <w:bookmarkStart w:id="45" w:name="_Toc239673840"/>
      <w:r>
        <w:rPr>
          <w:noProof/>
        </w:rPr>
        <w:t>1.3.2.</w:t>
      </w:r>
      <w:r>
        <w:rPr>
          <w:noProof/>
        </w:rPr>
        <w:tab/>
        <w:t>Obiectiv(e) specific(e)</w:t>
      </w:r>
      <w:bookmarkEnd w:id="45"/>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Obiectivul specific nr. 1</w:t>
      </w:r>
    </w:p>
    <w:p>
      <w:pPr>
        <w:pStyle w:val="Text1"/>
        <w:pBdr>
          <w:top w:val="single" w:sz="4" w:space="1" w:color="auto"/>
          <w:left w:val="single" w:sz="4" w:space="4" w:color="auto"/>
          <w:bottom w:val="single" w:sz="4" w:space="1" w:color="auto"/>
          <w:right w:val="single" w:sz="4" w:space="4" w:color="auto"/>
        </w:pBdr>
        <w:rPr>
          <w:noProof/>
        </w:rPr>
      </w:pPr>
      <w:r>
        <w:rPr>
          <w:noProof/>
        </w:rPr>
        <w:t>Reducerea costurilor de evaluare și creșterea numărului de licențe acordate și a transferului de PI în UE în următorii patru ani.</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Obiectivul specific nr. 2</w:t>
      </w:r>
    </w:p>
    <w:p>
      <w:pPr>
        <w:pStyle w:val="Text1"/>
        <w:pBdr>
          <w:top w:val="single" w:sz="4" w:space="1" w:color="auto"/>
          <w:left w:val="single" w:sz="4" w:space="4" w:color="auto"/>
          <w:bottom w:val="single" w:sz="4" w:space="1" w:color="auto"/>
          <w:right w:val="single" w:sz="4" w:space="4" w:color="auto"/>
        </w:pBdr>
        <w:rPr>
          <w:noProof/>
        </w:rPr>
      </w:pPr>
      <w:r>
        <w:rPr>
          <w:noProof/>
        </w:rPr>
        <w:t>Creșterea cheltuielilor cu achizițiile de servicii de cercetare și dezvoltare în următorii cinci ani.</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Obiectivul specific nr. 3</w:t>
      </w:r>
    </w:p>
    <w:p>
      <w:pPr>
        <w:pStyle w:val="Text1"/>
        <w:pBdr>
          <w:top w:val="single" w:sz="4" w:space="1" w:color="auto"/>
          <w:left w:val="single" w:sz="4" w:space="4" w:color="auto"/>
          <w:bottom w:val="single" w:sz="4" w:space="1" w:color="auto"/>
          <w:right w:val="single" w:sz="4" w:space="4" w:color="auto"/>
        </w:pBdr>
        <w:rPr>
          <w:noProof/>
        </w:rPr>
      </w:pPr>
      <w:r>
        <w:rPr>
          <w:noProof/>
        </w:rPr>
        <w:t>Creșterea achizițiilor de soluții de cercetare și dezvoltare cu sediul în UE în următorii cinci ani.</w:t>
      </w:r>
    </w:p>
    <w:p>
      <w:pPr>
        <w:pStyle w:val="ManualHeading3"/>
        <w:rPr>
          <w:noProof/>
        </w:rPr>
      </w:pPr>
      <w:bookmarkStart w:id="46" w:name="_Toc239673841"/>
      <w:r>
        <w:rPr>
          <w:noProof/>
        </w:rPr>
        <w:t>1.3.3.</w:t>
      </w:r>
      <w:r>
        <w:rPr>
          <w:noProof/>
        </w:rPr>
        <w:tab/>
        <w:t>Rezultatul (rezultatele) și impactul preconizate</w:t>
      </w:r>
      <w:bookmarkEnd w:id="46"/>
    </w:p>
    <w:p>
      <w:pPr>
        <w:pStyle w:val="Text1"/>
        <w:rPr>
          <w:i/>
          <w:noProof/>
          <w:sz w:val="20"/>
        </w:rPr>
      </w:pPr>
      <w:r>
        <w:rPr>
          <w:i/>
          <w:noProof/>
          <w:sz w:val="20"/>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Beneficii economice</w:t>
      </w:r>
    </w:p>
    <w:p>
      <w:pPr>
        <w:pStyle w:val="Text1"/>
        <w:pBdr>
          <w:top w:val="single" w:sz="4" w:space="1" w:color="auto"/>
          <w:left w:val="single" w:sz="4" w:space="4" w:color="auto"/>
          <w:bottom w:val="single" w:sz="4" w:space="1" w:color="auto"/>
          <w:right w:val="single" w:sz="4" w:space="4" w:color="auto"/>
        </w:pBdr>
        <w:rPr>
          <w:noProof/>
        </w:rPr>
      </w:pPr>
      <w:r>
        <w:rPr>
          <w:b/>
          <w:noProof/>
        </w:rPr>
        <w:t>Se preconizează că introducerea unui cadru armonizat de evaluare a PI la nivelul UE, completat de un centru de formare al UE privind proprietatea intelectuală și de o platformă pentru stabilirea de contacte în domeniul PI</w:t>
      </w:r>
      <w:r>
        <w:rPr>
          <w:noProof/>
        </w:rPr>
        <w:t>, va reduce costurile și complexitatea asociate evaluării, gestionării și monetizării activelor de PI. Prin asigurarea unor metodologii standardizate de evaluare, a unei expertize specializate și a unei infrastructuri îmbunătățite a pieței, aceste măsuri ar reduce asimetriile informaționale dintre întreprinderi și finanțatorii externi în ceea ce privește valoarea economică a activelor de PI.</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o mai mare transparență și credibilitate în evaluarea PI va facilita utilizarea brevetelor și a altor active de PI ca garanții reale, sporind astfel accesul atât la finanțarea prin îndatorare, cât și la finanțarea prin capitaluri proprii. În special, sistemele standardizate de evaluare pot consolida rolul de garanție al PI pentru bănci și rolul de semnal al PI pentru investitorii în capital de risc, contribuind la creșterea volumului finanțărilor garantate cu PI. Pe măsură ce întreprinderile vor putea să determine și să comunice mai bine valoarea economică a proprietății lor intelectuale, este probabil să crească randamentele preconizate ale brevetării, ceea ce va crea stimulente mai puternice pentru investițiile în inovare și pentru obținerea unei protecții oficiale a PI.</w:t>
      </w:r>
    </w:p>
    <w:p>
      <w:pPr>
        <w:pStyle w:val="Text1"/>
        <w:pBdr>
          <w:top w:val="single" w:sz="4" w:space="1" w:color="auto"/>
          <w:left w:val="single" w:sz="4" w:space="4" w:color="auto"/>
          <w:bottom w:val="single" w:sz="4" w:space="1" w:color="auto"/>
          <w:right w:val="single" w:sz="4" w:space="4" w:color="auto"/>
        </w:pBdr>
        <w:rPr>
          <w:noProof/>
        </w:rPr>
      </w:pPr>
      <w:r>
        <w:rPr>
          <w:noProof/>
        </w:rPr>
        <w:t>Literatura de specialitate sugerează că această relație poate genera un cerc virtuos între brevetare și finanțare. Portofoliile mai puternice de active de PI facilitează accesul la finanțare externă, în timp ce îmbunătățirea condițiilor de finanțare sprijină investițiile suplimentare în cercetare și dezvoltare și activitățile de inovare, conducând la generarea de noi brevete. Pe lângă creșterea numărului de cereri de brevete, mecanismele de evaluare mai fiabile pot îmbunătăți, de asemenea, calitatea brevetelor prin faptul că încurajează întreprinderile să se concentreze asupra invențiilor cu un potențial tehnologic și comercial mai mare.</w:t>
      </w:r>
    </w:p>
    <w:p>
      <w:pPr>
        <w:pStyle w:val="Text1"/>
        <w:pBdr>
          <w:top w:val="single" w:sz="4" w:space="1" w:color="auto"/>
          <w:left w:val="single" w:sz="4" w:space="4" w:color="auto"/>
          <w:bottom w:val="single" w:sz="4" w:space="1" w:color="auto"/>
          <w:right w:val="single" w:sz="4" w:space="4" w:color="auto"/>
        </w:pBdr>
        <w:rPr>
          <w:noProof/>
        </w:rPr>
      </w:pPr>
      <w:r>
        <w:rPr>
          <w:noProof/>
        </w:rPr>
        <w:t>Mai multe elemente de probă susțin acest mecanism. Din perspectiva opțiunilor reale, sistemele de evaluare credibile și piețele secundare de PI sporesc reversibilitatea investițiilor legate de brevete prin transformarea brevetelor în active comercializabile și nu în instrumente pur juridice. Acest lucru reduce riscul efectiv asociat brevetării și încurajează întreprinderile să depună cereri de brevete care pot face ulterior obiectul unei licențe, pot fi vândute sau pot fi utilizate pentru a sprijini operațiunile de finanțare. Elementele de probă din Statele Unite arată că expunerea la piețele secundare de brevete determină intensificarea activității de brevetare, în special în condiții de incertitudine economică, încurajând totodată întreprinderile să breveteze invenții care, în caz contrar, ar fi păstrate ca secrete comerciale.</w:t>
      </w:r>
    </w:p>
    <w:p>
      <w:pPr>
        <w:pStyle w:val="Text1"/>
        <w:pBdr>
          <w:top w:val="single" w:sz="4" w:space="1" w:color="auto"/>
          <w:left w:val="single" w:sz="4" w:space="4" w:color="auto"/>
          <w:bottom w:val="single" w:sz="4" w:space="1" w:color="auto"/>
          <w:right w:val="single" w:sz="4" w:space="4" w:color="auto"/>
        </w:pBdr>
        <w:rPr>
          <w:noProof/>
        </w:rPr>
      </w:pPr>
      <w:r>
        <w:rPr>
          <w:b/>
          <w:noProof/>
        </w:rPr>
        <w:t>Se preconizează că introducerea unui cadru armonizat la nivelul UE pentru achizițiile în domeniul cercetării și dezvoltării</w:t>
      </w:r>
      <w:r>
        <w:rPr>
          <w:noProof/>
        </w:rPr>
        <w:t xml:space="preserve"> va reduce în mod semnificativ insecuritatea juridică și complexitatea procedurală asociate în prezent achizițiilor în domeniul cercetării și dezvoltării în toate statele membre. Se preconizează că acest lucru va facilita punerea în aplicare a proiectelor transfrontaliere de achiziții în domeniul cercetării și dezvoltării, permițând achizitorilor publici să pună în comun cererea și să atingă o masă critică mai mare, deblocând astfel întregul potențial al pieței unice în ceea ce privește achizițiile în domeniul inovării.</w:t>
      </w:r>
    </w:p>
    <w:p>
      <w:pPr>
        <w:pStyle w:val="Text1"/>
        <w:pBdr>
          <w:top w:val="single" w:sz="4" w:space="1" w:color="auto"/>
          <w:left w:val="single" w:sz="4" w:space="4" w:color="auto"/>
          <w:bottom w:val="single" w:sz="4" w:space="1" w:color="auto"/>
          <w:right w:val="single" w:sz="4" w:space="4" w:color="auto"/>
        </w:pBdr>
        <w:rPr>
          <w:noProof/>
        </w:rPr>
      </w:pPr>
      <w:r>
        <w:rPr>
          <w:noProof/>
        </w:rPr>
        <w:t>Integrarea într-un cadru comun a unor practici de achiziții publice care s-au dovedit a fi orientate spre inovare ar îmbunătăți, de asemenea, eficacitatea și eficiența proceselor de achiziții în domeniul cercetării și dezvoltării, sporind randamentul investițiilor publice în inovare. Existența unor proceduri mai clare ar spori capacitatea achizitorilor publici de a concepe și de a gestiona proiecte de achiziții în domeniul cercetării și dezvoltării, reducând în același timp costurile de participare și barierele pentru furnizori. Se preconizează că acest lucru va încuraja un număr mai mare de întreprinderi, inclusiv cele din diferite state membre, să participe la procedurile de achiziții în domeniul cercetării și dezvoltării, sporind astfel concurența, îmbunătățind calitatea soluțiilor propuse și extinzând accesul la tehnologiile inovatoare.</w:t>
      </w:r>
    </w:p>
    <w:p>
      <w:pPr>
        <w:pStyle w:val="Text1"/>
        <w:pBdr>
          <w:top w:val="single" w:sz="4" w:space="1" w:color="auto"/>
          <w:left w:val="single" w:sz="4" w:space="4" w:color="auto"/>
          <w:bottom w:val="single" w:sz="4" w:space="1" w:color="auto"/>
          <w:right w:val="single" w:sz="4" w:space="4" w:color="auto"/>
        </w:pBdr>
        <w:rPr>
          <w:noProof/>
        </w:rPr>
      </w:pPr>
      <w:r>
        <w:rPr>
          <w:noProof/>
        </w:rPr>
        <w:t>În plus, introducerea unei preferințe pentru UE în cadrul procedurilor de achiziții în domeniul cercetării și dezvoltării ar crește probabilitatea ca beneficiile economice și tehnologice semnificative generate de achizițiile în domeniul cercetării și dezvoltării finanțate din fonduri publice să rămână în Uniunea Europeană. Consolidarea cererii de soluții inovatoare dezvoltate de întreprinderile cu sediul în UE ar sprijini investițiile private în cercetare și dezvoltare, ar stimula creșterea ecosistemelor europene de inovare și ar contribui la crearea de locuri de muncă de înaltă valoare. Astfel, s-ar consolida autonomia strategică și suveranitatea tehnologică a UE în ceea ce privește tehnologiile și sectoarele critice.</w:t>
      </w:r>
    </w:p>
    <w:p>
      <w:pPr>
        <w:pStyle w:val="Text1"/>
        <w:pBdr>
          <w:top w:val="single" w:sz="4" w:space="1" w:color="auto"/>
          <w:left w:val="single" w:sz="4" w:space="4" w:color="auto"/>
          <w:bottom w:val="single" w:sz="4" w:space="1" w:color="auto"/>
          <w:right w:val="single" w:sz="4" w:space="4" w:color="auto"/>
        </w:pBdr>
        <w:rPr>
          <w:noProof/>
        </w:rPr>
      </w:pPr>
      <w:r>
        <w:rPr>
          <w:noProof/>
        </w:rPr>
        <w:t>În ansamblu, se estimează că Actul european privind inovarea va determina o creștere a PIB-ului UE cuprinsă între 0,25 % și 0,42 % pe parcursul unei perioade de zece ani, comparativ cu un scenariu de referință în care Actul european privind inovarea nu ar fi adoptat.</w:t>
      </w:r>
    </w:p>
    <w:p>
      <w:pPr>
        <w:pStyle w:val="Text1"/>
        <w:pBdr>
          <w:top w:val="single" w:sz="4" w:space="1" w:color="auto"/>
          <w:left w:val="single" w:sz="4" w:space="4" w:color="auto"/>
          <w:bottom w:val="single" w:sz="4" w:space="1" w:color="auto"/>
          <w:right w:val="single" w:sz="4" w:space="4" w:color="auto"/>
        </w:pBdr>
        <w:rPr>
          <w:noProof/>
        </w:rPr>
      </w:pPr>
      <w:r>
        <w:rPr>
          <w:noProof/>
        </w:rPr>
        <w:t>Dincolo de efectele sale asupra PIB-ului și a ocupării forței de muncă, se preconizează că Actul european privind inovarea va genera beneficii societale mai ample prin consolidarea transpunerii cercetării și inovării în soluții comercializabile. O serie substanțială de dovezi empirice arată că investițiile publice și private susținute în cercetare și inovare accelerează dezvoltarea, difuzarea și reducerea costurilor tehnologiilor curate, contribuind la reducerea emisiilor de gaze cu efect de seră, la îmbunătățirea eficienței energetice și la procese de producție mai durabile. Este probabil ca aceste beneficii să genereze externalități sociale și de mediu pozitive, care sunt doar parțial reflectate de indicatori macroeconomici convenționali, cum ar fi PIB-ul.</w:t>
      </w:r>
    </w:p>
    <w:p>
      <w:pPr>
        <w:pStyle w:val="ManualHeading3"/>
        <w:rPr>
          <w:noProof/>
        </w:rPr>
      </w:pPr>
      <w:bookmarkStart w:id="47" w:name="_Toc239673842"/>
      <w:r>
        <w:rPr>
          <w:noProof/>
        </w:rPr>
        <w:t>1.3.4.</w:t>
      </w:r>
      <w:r>
        <w:rPr>
          <w:noProof/>
        </w:rPr>
        <w:tab/>
        <w:t>Indicatori de performanță</w:t>
      </w:r>
      <w:bookmarkEnd w:id="47"/>
    </w:p>
    <w:p>
      <w:pPr>
        <w:pStyle w:val="Text1"/>
        <w:rPr>
          <w:i/>
          <w:noProof/>
          <w:sz w:val="20"/>
        </w:rPr>
      </w:pPr>
      <w:r>
        <w:rPr>
          <w:i/>
          <w:noProof/>
          <w:sz w:val="20"/>
        </w:rPr>
        <w:t>A se preciza indicatorii care permit monitorizarea progreselor și a realizărilor obținute.</w:t>
      </w:r>
    </w:p>
    <w:p>
      <w:pPr>
        <w:pStyle w:val="Text1"/>
        <w:pBdr>
          <w:top w:val="single" w:sz="4" w:space="1" w:color="auto"/>
          <w:left w:val="single" w:sz="4" w:space="4" w:color="auto"/>
          <w:bottom w:val="single" w:sz="4" w:space="1" w:color="auto"/>
          <w:right w:val="single" w:sz="4" w:space="4" w:color="auto"/>
        </w:pBdr>
        <w:rPr>
          <w:noProof/>
        </w:rPr>
      </w:pPr>
      <w:r>
        <w:rPr>
          <w:noProof/>
        </w:rPr>
        <w:t>Progresele înregistrate în atingerea obiectivului specific de reducere a costurilor de evaluare a PI și de intensificare a acordării de licențe, a transferului și a utilizării financiare a drepturilor de proprietate intelectuală (drepturi de PI) în UE vor fi monitorizate prin intermediul mai multor indicatori. Acești indicatori includ numărul de state membre care integrează standardele de evaluare ale Oficiului Uniunii Europene pentru Proprietate Intelectuală în practicile lor naționale de evaluare, numărul de tranzacții care aplică metodologia UE de evaluare a PI, costurile medii de evaluare a PI suportate de firme și numărul de societăți care utilizează active de PI ca garanții reale sau în cadrul tranzacțiilor de finanțare.</w:t>
      </w:r>
    </w:p>
    <w:p>
      <w:pPr>
        <w:pStyle w:val="Text1"/>
        <w:pBdr>
          <w:top w:val="single" w:sz="4" w:space="1" w:color="auto"/>
          <w:left w:val="single" w:sz="4" w:space="4" w:color="auto"/>
          <w:bottom w:val="single" w:sz="4" w:space="1" w:color="auto"/>
          <w:right w:val="single" w:sz="4" w:space="4" w:color="auto"/>
        </w:pBdr>
        <w:rPr>
          <w:noProof/>
        </w:rPr>
      </w:pPr>
      <w:r>
        <w:rPr>
          <w:noProof/>
        </w:rPr>
        <w:t>Progresele înregistrate în atingerea obiectivului specific de creștere a cheltuielilor pentru achiziționarea de servicii de cercetare și dezvoltare vor fi măsurate prin ponderea cheltuielilor pentru cercetare și dezvoltare în totalul achizițiilor publice, precum și prin numărul și valoarea contractelor de achiziții publice transfrontaliere în domeniul cercetării și dezvoltării. Progresele înregistrate în atingerea obiectivului specific de creștere a achizițiilor de soluții de cercetare și dezvoltare cu sediul în UE vor fi monitorizate prin numărul și valoarea contractelor de achiziții în domeniul cercetării și dezvoltării atribuite furnizorilor și soluțiilor cu sediul în UE.</w:t>
      </w:r>
    </w:p>
    <w:p>
      <w:pPr>
        <w:pStyle w:val="ManualHeading2"/>
        <w:rPr>
          <w:noProof/>
        </w:rPr>
      </w:pPr>
      <w:bookmarkStart w:id="48" w:name="_Toc239673843"/>
      <w:r>
        <w:rPr>
          <w:noProof/>
        </w:rPr>
        <w:t>1.4.</w:t>
      </w:r>
      <w:r>
        <w:rPr>
          <w:noProof/>
        </w:rPr>
        <w:tab/>
        <w:t>Obiectul propunerii/inițiativei</w:t>
      </w:r>
      <w:bookmarkEnd w:id="48"/>
      <w:r>
        <w:rPr>
          <w:noProof/>
        </w:rPr>
        <w:t xml:space="preserve"> </w:t>
      </w:r>
    </w:p>
    <w:p>
      <w:pPr>
        <w:pStyle w:val="Text1"/>
        <w:rPr>
          <w:noProof/>
          <w:sz w:val="22"/>
        </w:rPr>
      </w:pPr>
      <w:r>
        <w:rPr>
          <w:rFonts w:ascii="Wingdings" w:hAnsi="Wingdings"/>
          <w:noProof/>
          <w:sz w:val="22"/>
        </w:rPr>
        <w:t>x</w:t>
      </w:r>
      <w:r>
        <w:rPr>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54"/>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bCs/>
          <w:noProof/>
          <w:szCs w:val="24"/>
        </w:rPr>
      </w:pPr>
      <w:bookmarkStart w:id="49" w:name="_Toc239673844"/>
      <w:r>
        <w:rPr>
          <w:noProof/>
        </w:rPr>
        <w:t>1.5.</w:t>
      </w:r>
      <w:r>
        <w:rPr>
          <w:noProof/>
        </w:rPr>
        <w:tab/>
        <w:t>Motivele propunerii/inițiativei</w:t>
      </w:r>
      <w:bookmarkEnd w:id="49"/>
      <w:r>
        <w:rPr>
          <w:noProof/>
        </w:rPr>
        <w:t xml:space="preserve"> </w:t>
      </w:r>
    </w:p>
    <w:p>
      <w:pPr>
        <w:pStyle w:val="ManualHeading3"/>
        <w:rPr>
          <w:i w:val="0"/>
          <w:iCs/>
          <w:noProof/>
        </w:rPr>
      </w:pPr>
      <w:bookmarkStart w:id="50" w:name="_Toc239673845"/>
      <w:r>
        <w:rPr>
          <w:noProof/>
        </w:rPr>
        <w:t>1.5.1.</w:t>
      </w:r>
      <w:r>
        <w:rPr>
          <w:noProof/>
        </w:rPr>
        <w:tab/>
        <w:t>Cerința (cerințele) care trebuie îndeplinită (îndeplinite) pe termen scurt sau lung, inclusiv un calendar detaliat pentru punerea în aplicare a inițiativei</w:t>
      </w:r>
      <w:bookmarkEnd w:id="50"/>
    </w:p>
    <w:p>
      <w:pPr>
        <w:pStyle w:val="Text1"/>
        <w:pBdr>
          <w:top w:val="single" w:sz="4" w:space="1" w:color="auto"/>
          <w:left w:val="single" w:sz="4" w:space="4" w:color="auto"/>
          <w:bottom w:val="single" w:sz="4" w:space="1" w:color="auto"/>
          <w:right w:val="single" w:sz="4" w:space="4" w:color="auto"/>
        </w:pBdr>
        <w:rPr>
          <w:noProof/>
        </w:rPr>
      </w:pPr>
      <w:r>
        <w:rPr>
          <w:noProof/>
        </w:rPr>
        <w:t xml:space="preserve">Propunerea răspunde necesității de a aborda fragmentările existente pe piața unică în domeniul </w:t>
      </w:r>
      <w:r>
        <w:rPr>
          <w:b/>
          <w:noProof/>
        </w:rPr>
        <w:t>achizițiilor în domeniul cercetării și dezvoltării</w:t>
      </w:r>
      <w:r>
        <w:rPr>
          <w:noProof/>
        </w:rPr>
        <w:t xml:space="preserve"> prin stabilirea unei proceduri armonizate pentru achizițiile în domeniul cercetării și dezvoltării și achizițiile transfrontaliere comune în domeniul cercetării și dezvoltării care urmează să fie puse în aplicare de achizitorii publici în toate statele membre în conformitate cu prezentul regulament, după intrarea sa în vigoare.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plus, se încredințează noi atribuții Oficiului Uniunii Europene pentru Proprietate Intelectuală, inclusiv înființarea unui Centru de competențe al Uniunii Europene pentru </w:t>
      </w:r>
      <w:r>
        <w:rPr>
          <w:b/>
          <w:noProof/>
        </w:rPr>
        <w:t>finanțarea garantată prin drepturi de proprietate intelectuală și comercializarea proprietății intelectuale</w:t>
      </w:r>
      <w:r>
        <w:rPr>
          <w:noProof/>
        </w:rPr>
        <w:t>, după intrarea în vigoare a regulamentului. Odată instituit în cadrul Oficiului Uniunii Europene pentru Proprietate Intelectuală, Centrul de competențe va începe să îndeplinească atribuțiile care îi sunt conferite prin regulament, inclusiv furnizarea de sprijin diferitelor părți interesate în domeniul finanțării garantate cu proprietate intelectuală și al comercializării activelor de proprietate intelectuală. În fine, până la 1 septembrie 2028 (dată orientativă, deoarece dezvoltarea sistemelor IT necesită timp), Oficiul Uniunii Europene pentru Proprietate Intelectuală, prin intermediul Centrului de competențe, va elabora un cadru de evaluare pentru toate activele necorporale și va institui o platformă digitală pentru stabilirea de contacte care să faciliteze acordarea de licențe și transferul tuturor tipurilor de drepturi de proprietate intelectuală protejate la nivelul Uniunii.</w:t>
      </w:r>
    </w:p>
    <w:p>
      <w:pPr>
        <w:pStyle w:val="ManualHeading3"/>
        <w:rPr>
          <w:iCs/>
          <w:noProof/>
        </w:rPr>
      </w:pPr>
      <w:bookmarkStart w:id="51" w:name="_Toc239673846"/>
      <w:r>
        <w:rPr>
          <w:noProof/>
        </w:rPr>
        <w:t>1.5.2.</w:t>
      </w:r>
      <w:r>
        <w:rPr>
          <w:noProof/>
        </w:rPr>
        <w:tab/>
        <w:t>Valoarea adăugată a intervenției UE (aceasta poate rezulta din diferiți factori, de exemplu mai buna coordonare, securitatea juridică, o mai mare eficacitate sau complementaritate).</w:t>
      </w:r>
      <w:bookmarkEnd w:id="51"/>
      <w:r>
        <w:rPr>
          <w:noProof/>
        </w:rPr>
        <w:t xml:space="preserve"> </w:t>
      </w:r>
    </w:p>
    <w:p>
      <w:pPr>
        <w:rPr>
          <w:noProof/>
        </w:rPr>
      </w:pPr>
      <w:r>
        <w:rPr>
          <w:noProof/>
        </w:rPr>
        <w:t>În sensul prezentei secțiuni, „valoarea adăugată a intervenției UE” este valoarea ce rezultă din acțiunea UE care depășește valoarea ce ar fi fost obținută dacă ar fi acționat doar statele membre.</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Motivele acțiunii la nivelul UE (ex ante)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Măsurile propuse se axează pe domenii în care acțiunea la nivelul Uniunii are o valoare adăugată clară datorită amplorii, rapidității și sferei eforturilor necesare. Acțiunile vizează îmbunătățirea argumentelor economice pentru ca inovatorii să introducă inovații pe piață prin facilitarea evaluării, a comercializării și a utilizării drepturilor de PI ca garanție pentru obținerea de finanțare garantată cu PI și prin facilitarea găsirii primilor clienți prin intermediul achizițiilor în domeniul cercetării și dezvoltării. Aceste măsuri sporesc eficiența prin facilitarea unei mai bune cooperări transfrontaliere, asigură un acces mai echitabil la oportunități pentru întreprinderile inovatoare, indiferent de locul în care sunt stabilite, și consolidează capacitatea Uniunii de a concura la nivel mondial.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 xml:space="preserve">Valoarea adăugată pe care se preconizează că o va avea intervenția (ex-post)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Intervenția UE va genera beneficii durabile prin economii de scară, costuri de tranzacție mai mici și o mai mare securitate juridică pentru achizitorii publici, întreprinderi și investitori. Aceasta va consolida capacitatea Europei de a introduce pe piață soluții inovatoare, de a comercializa activele de proprietate intelectuală și de a le valorifica pentru finanțarea întreprinderilor. Procedurile armonizate și digitalizate pentru achizițiile în domeniul cercetării și dezvoltării vor reduce costurile tranzacțiilor și sarcina administrativă pentru achizitorii publici și întreprinderile care participă la achizițiile în domeniul cercetării și dezvoltării, asigurând în același timp condiții de piață uniforme în toate statele membre. Instituirea Centrului de competențe în cadrul Oficiului Uniunii Europene pentru Proprietate Intelectuală va spori gradul de utilizare a finanțării garantate cu proprietate intelectuală în Europa, sporind oportunitățile de finanțare pentru întreprinderile inovatoare. </w:t>
      </w:r>
    </w:p>
    <w:p>
      <w:pPr>
        <w:pStyle w:val="ManualHeading3"/>
        <w:rPr>
          <w:noProof/>
        </w:rPr>
      </w:pPr>
      <w:bookmarkStart w:id="52" w:name="_Toc239673847"/>
      <w:r>
        <w:rPr>
          <w:noProof/>
        </w:rPr>
        <w:t>1.5.3.</w:t>
      </w:r>
      <w:r>
        <w:rPr>
          <w:noProof/>
        </w:rPr>
        <w:tab/>
        <w:t>Învățăminte desprinse din experiențele anterioare similare</w:t>
      </w:r>
      <w:bookmarkEnd w:id="52"/>
    </w:p>
    <w:p>
      <w:pPr>
        <w:pStyle w:val="Text1"/>
        <w:pBdr>
          <w:top w:val="single" w:sz="4" w:space="1" w:color="auto"/>
          <w:left w:val="single" w:sz="4" w:space="4" w:color="auto"/>
          <w:bottom w:val="single" w:sz="4" w:space="1" w:color="auto"/>
          <w:right w:val="single" w:sz="4" w:space="4" w:color="auto"/>
        </w:pBdr>
        <w:rPr>
          <w:noProof/>
        </w:rPr>
      </w:pPr>
      <w:r>
        <w:rPr>
          <w:noProof/>
        </w:rPr>
        <w:t xml:space="preserve">Oficiul Uniunii Europene pentru Proprietate Intelectuală a acumulat o expertiză semnificativă în domeniul drepturilor de PI prin atribuțiile sale legate de protecția mărcilor, a desenelor și modelelor industriale și a indicațiilor geografice ale UE, precum și de monitorizarea încălcărilor tuturor tipurilor de drepturi de proprietate intelectuală prin intermediul Observatorului European al Încălcărilor Drepturilor de Proprietate Intelectuală. Ținând seama de această experiență, propunerea se bazează pe expertiza Oficiului Uniunii Europene pentru Proprietate Intelectuală, încredințându-i atribuții suplimentare legate de evaluarea și comercializarea PI.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Procedura privind parteneriatele pentru inovare, care a fost introdusă în directivele UE din 2014 privind achizițiile publice, este utilizată doar într-o măsură foarte limitată. În evaluarea directivelor UE din 2014 privind achizițiile publice s-a concluzionat că, în cadrul revizuirii în curs a directivelor UE privind achizițiile publice, obligația ca această procedură să implice achiziționarea de servicii de cercetare și dezvoltare ar trebui eliminată, deoarece achizitorii publici nu sunt de acord cu achiziționarea de servicii de cercetare și dezvoltare în cadrul unei proceduri care achiziționează volume comerciale de soluții și care este deschisă furnizorilor din toate țările terțe cu care Uniunea a încheiat un acord internațional privind achizițiile publice. Ținând seama de această experiență, propunerea europeană urmărește să ofere o procedură de </w:t>
      </w:r>
      <w:r>
        <w:rPr>
          <w:b/>
          <w:noProof/>
        </w:rPr>
        <w:t>achiziții în domeniul cercetării și dezvoltării</w:t>
      </w:r>
      <w:r>
        <w:rPr>
          <w:noProof/>
        </w:rPr>
        <w:t xml:space="preserve"> pentru achiziționarea de servicii de cercetare și dezvoltare care nu implică achiziționarea de volume comerciale de soluții și care poate fi deschisă numai furnizorilor din statele membre, din țările SEE și din țările din Balcanii de Vest.</w:t>
      </w:r>
    </w:p>
    <w:p>
      <w:pPr>
        <w:pStyle w:val="ManualHeading3"/>
        <w:rPr>
          <w:noProof/>
        </w:rPr>
      </w:pPr>
      <w:bookmarkStart w:id="53" w:name="_Toc239673848"/>
      <w:r>
        <w:rPr>
          <w:noProof/>
        </w:rPr>
        <w:t>1.5.4.</w:t>
      </w:r>
      <w:r>
        <w:rPr>
          <w:noProof/>
        </w:rPr>
        <w:tab/>
        <w:t>Compatibilitatea cu cadrul financiar multianual și posibilele sinergii cu alte instrumente corespunzătoare</w:t>
      </w:r>
      <w:bookmarkEnd w:id="53"/>
    </w:p>
    <w:p>
      <w:pPr>
        <w:pStyle w:val="Text1"/>
        <w:pBdr>
          <w:top w:val="single" w:sz="4" w:space="1" w:color="auto"/>
          <w:left w:val="single" w:sz="4" w:space="4" w:color="auto"/>
          <w:bottom w:val="single" w:sz="4" w:space="1" w:color="auto"/>
          <w:right w:val="single" w:sz="4" w:space="4" w:color="auto"/>
        </w:pBdr>
        <w:rPr>
          <w:noProof/>
        </w:rPr>
      </w:pPr>
      <w:r>
        <w:rPr>
          <w:noProof/>
        </w:rPr>
        <w:t>Propunerea este în deplină conformitate cu cadrul financiar multianual 2021-2027 și va fi pusă în aplicare prin intermediul programelor existente ale Uniunii, fără a crea noi pachete de cheltuieli sau obligații financiare care să depășească resursele existente.</w:t>
      </w:r>
    </w:p>
    <w:p>
      <w:pPr>
        <w:pStyle w:val="Text1"/>
        <w:pBdr>
          <w:top w:val="single" w:sz="4" w:space="1" w:color="auto"/>
          <w:left w:val="single" w:sz="4" w:space="4" w:color="auto"/>
          <w:bottom w:val="single" w:sz="4" w:space="1" w:color="auto"/>
          <w:right w:val="single" w:sz="4" w:space="4" w:color="auto"/>
        </w:pBdr>
        <w:rPr>
          <w:noProof/>
        </w:rPr>
      </w:pPr>
      <w:r>
        <w:rPr>
          <w:noProof/>
        </w:rPr>
        <w:t>În cazul în care colegiuitorii aprobă propunerea și decid ca EUIPO să instituie și să gestioneze Centrul și să contribuie cu fonduri (fie din bugetul operațional, fie din excedent), trebuie precizat că această contribuție a EUIPO nu ar proveni din bugetul UE (nu constituie o contribuție a UE), ci din bugetul EUIPO și, prin urmare, nu ar depinde de CFM.</w:t>
      </w:r>
    </w:p>
    <w:p>
      <w:pPr>
        <w:pStyle w:val="Text1"/>
        <w:pBdr>
          <w:top w:val="single" w:sz="4" w:space="1" w:color="auto"/>
          <w:left w:val="single" w:sz="4" w:space="4" w:color="auto"/>
          <w:bottom w:val="single" w:sz="4" w:space="1" w:color="auto"/>
          <w:right w:val="single" w:sz="4" w:space="4" w:color="auto"/>
        </w:pBdr>
        <w:rPr>
          <w:noProof/>
        </w:rPr>
      </w:pPr>
      <w:r>
        <w:rPr>
          <w:noProof/>
        </w:rPr>
        <w:t>În acest sens, decizia privind elementele bugetare specifice ar face obiectul deciziei și aprobării Consiliului de administrație și a Comitetului bugetar (MBBC) ale EUIPO.</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54" w:name="_Toc239673849"/>
      <w:r>
        <w:rPr>
          <w:noProof/>
        </w:rPr>
        <w:t>1.5.5.</w:t>
      </w:r>
      <w:r>
        <w:rPr>
          <w:noProof/>
        </w:rPr>
        <w:tab/>
        <w:t xml:space="preserve">Evaluarea diferitelor opțiuni de finanțare disponibile, inclusiv a posibilităților de realocare a creditelor </w:t>
      </w:r>
      <w:bookmarkEnd w:id="54"/>
    </w:p>
    <w:p>
      <w:pPr>
        <w:pStyle w:val="Text1"/>
        <w:pBdr>
          <w:top w:val="single" w:sz="4" w:space="1" w:color="auto"/>
          <w:left w:val="single" w:sz="4" w:space="4" w:color="auto"/>
          <w:bottom w:val="single" w:sz="4" w:space="1" w:color="auto"/>
          <w:right w:val="single" w:sz="4" w:space="4" w:color="auto"/>
        </w:pBdr>
        <w:rPr>
          <w:noProof/>
        </w:rPr>
      </w:pPr>
      <w:r>
        <w:rPr>
          <w:noProof/>
        </w:rPr>
        <w:t>Toate finanțările vor fi asigurate prin redistribuiri de la programe. Fără a aduce atingere rezultatului negocierilor privind următorul CFM, creditele prevăzute începând cu 2028 sunt strict orientative.</w:t>
      </w:r>
    </w:p>
    <w:p>
      <w:pPr>
        <w:pStyle w:val="ManualHeading2"/>
        <w:rPr>
          <w:bCs/>
          <w:noProof/>
          <w:szCs w:val="24"/>
        </w:rPr>
      </w:pPr>
      <w:r>
        <w:rPr>
          <w:noProof/>
        </w:rPr>
        <w:br w:type="page"/>
      </w:r>
      <w:bookmarkStart w:id="55" w:name="_Toc239673850"/>
      <w:r>
        <w:rPr>
          <w:noProof/>
        </w:rPr>
        <w:t>1.6.</w:t>
      </w:r>
      <w:r>
        <w:rPr>
          <w:noProof/>
        </w:rPr>
        <w:tab/>
        <w:t>Durata propunerii/inițiativei și a impactului său financiar</w:t>
      </w:r>
      <w:bookmarkEnd w:id="55"/>
    </w:p>
    <w:p>
      <w:pPr>
        <w:pStyle w:val="Text1"/>
        <w:rPr>
          <w:noProof/>
        </w:rPr>
      </w:pPr>
      <w:r>
        <w:rPr>
          <w:rFonts w:ascii="Wingdings" w:hAnsi="Wingdings"/>
          <w:noProof/>
        </w:rPr>
        <w:t>¨</w:t>
      </w:r>
      <w:r>
        <w:rPr>
          <w:b/>
          <w:i/>
          <w:noProof/>
        </w:rPr>
        <w:t xml:space="preserve"> </w:t>
      </w:r>
      <w:r>
        <w:rPr>
          <w:b/>
          <w:noProof/>
        </w:rPr>
        <w:t xml:space="preserve">durată limitată </w:t>
      </w:r>
    </w:p>
    <w:p>
      <w:pPr>
        <w:pStyle w:val="ListDash2"/>
        <w:rPr>
          <w:noProof/>
        </w:rPr>
      </w:pPr>
      <w:r>
        <w:rPr>
          <w:rFonts w:ascii="Wingdings" w:hAnsi="Wingdings"/>
          <w:noProof/>
        </w:rPr>
        <w:t>¨</w:t>
      </w:r>
      <w:r>
        <w:rPr>
          <w:noProof/>
        </w:rPr>
        <w:tab/>
        <w:t xml:space="preserve">de la [ZZ/LL]AAAA până la [ZZ/LL]AAAA </w:t>
      </w:r>
    </w:p>
    <w:p>
      <w:pPr>
        <w:pStyle w:val="ListDash2"/>
        <w:rPr>
          <w:noProof/>
        </w:rPr>
      </w:pPr>
      <w:r>
        <w:rPr>
          <w:rFonts w:ascii="Wingdings" w:hAnsi="Wingdings"/>
          <w:noProof/>
        </w:rPr>
        <w:t>¨</w:t>
      </w:r>
      <w:r>
        <w:rPr>
          <w:noProof/>
        </w:rPr>
        <w:tab/>
        <w:t xml:space="preserve">impactul financiar din AAAA până în AAAA pentru creditele de angajament și din AAAA până în AAAA pentru creditele de plată. </w:t>
      </w:r>
    </w:p>
    <w:p>
      <w:pPr>
        <w:pStyle w:val="Text1"/>
        <w:rPr>
          <w:noProof/>
        </w:rPr>
      </w:pPr>
      <w:r>
        <w:rPr>
          <w:rFonts w:ascii="Wingdings" w:hAnsi="Wingdings"/>
          <w:noProof/>
        </w:rPr>
        <w:t>x</w:t>
      </w:r>
      <w:r>
        <w:rPr>
          <w:b/>
          <w:noProof/>
        </w:rPr>
        <w:t xml:space="preserve"> durată nelimitată</w:t>
      </w:r>
    </w:p>
    <w:p>
      <w:pPr>
        <w:pStyle w:val="ListDash1"/>
        <w:tabs>
          <w:tab w:val="num" w:pos="1134"/>
        </w:tabs>
        <w:rPr>
          <w:noProof/>
        </w:rPr>
      </w:pPr>
      <w:r>
        <w:rPr>
          <w:noProof/>
        </w:rPr>
        <w:t>punere în aplicare cu o perioadă de creștere în intensitate din AAAA până în AAAA,</w:t>
      </w:r>
    </w:p>
    <w:p>
      <w:pPr>
        <w:pStyle w:val="ListDash1"/>
        <w:tabs>
          <w:tab w:val="num" w:pos="1134"/>
        </w:tabs>
        <w:rPr>
          <w:noProof/>
        </w:rPr>
      </w:pPr>
      <w:r>
        <w:rPr>
          <w:noProof/>
        </w:rPr>
        <w:t>urmată de o perioadă de funcționare la capacitate maximă.</w:t>
      </w:r>
    </w:p>
    <w:p>
      <w:pPr>
        <w:pStyle w:val="ManualHeading2"/>
        <w:rPr>
          <w:bCs/>
          <w:noProof/>
          <w:szCs w:val="24"/>
        </w:rPr>
      </w:pPr>
      <w:bookmarkStart w:id="56" w:name="_Toc239673851"/>
      <w:r>
        <w:rPr>
          <w:noProof/>
        </w:rPr>
        <w:t>1.7.</w:t>
      </w:r>
      <w:r>
        <w:rPr>
          <w:noProof/>
        </w:rPr>
        <w:tab/>
        <w:t>Metoda (metodele) de execuție a bugetului planificată (planificate)</w:t>
      </w:r>
      <w:r>
        <w:rPr>
          <w:rStyle w:val="FootnoteReference"/>
          <w:noProof/>
        </w:rPr>
        <w:footnoteReference w:id="55"/>
      </w:r>
      <w:bookmarkEnd w:id="56"/>
      <w:r>
        <w:rPr>
          <w:rStyle w:val="FootnoteReference"/>
          <w:noProof/>
        </w:rPr>
        <w:t xml:space="preserve"> </w:t>
      </w:r>
    </w:p>
    <w:p>
      <w:pPr>
        <w:pStyle w:val="Text1"/>
        <w:rPr>
          <w:noProof/>
        </w:rPr>
      </w:pPr>
      <w:r>
        <w:rPr>
          <w:rFonts w:ascii="Wingdings" w:hAnsi="Wingdings"/>
          <w:noProof/>
        </w:rPr>
        <w:t>x</w:t>
      </w:r>
      <w:r>
        <w:rPr>
          <w:i/>
          <w:noProof/>
        </w:rPr>
        <w:t xml:space="preserve"> </w:t>
      </w:r>
      <w:r>
        <w:rPr>
          <w:b/>
          <w:noProof/>
        </w:rPr>
        <w:t>Gestiune directă</w:t>
      </w:r>
      <w:r>
        <w:rPr>
          <w:noProof/>
        </w:rPr>
        <w:t xml:space="preserve"> asigurată de Comisie</w:t>
      </w:r>
    </w:p>
    <w:p>
      <w:pPr>
        <w:pStyle w:val="ListDash2"/>
        <w:rPr>
          <w:rFonts w:cs="EUAlbertina"/>
          <w:noProof/>
        </w:rPr>
      </w:pPr>
      <w:r>
        <w:rPr>
          <w:rFonts w:ascii="Wingdings" w:hAnsi="Wingdings"/>
          <w:noProof/>
        </w:rPr>
        <w:t>¨</w:t>
      </w:r>
      <w:r>
        <w:rPr>
          <w:noProof/>
        </w:rPr>
        <w:t xml:space="preserve"> prin intermediul serviciilor sale, inclusiv al personalului din delegațiile Uniunii </w:t>
      </w:r>
    </w:p>
    <w:p>
      <w:pPr>
        <w:pStyle w:val="ListDash2"/>
        <w:rPr>
          <w:noProof/>
        </w:rPr>
      </w:pPr>
      <w:r>
        <w:rPr>
          <w:rFonts w:ascii="Wingdings" w:hAnsi="Wingdings"/>
          <w:noProof/>
        </w:rPr>
        <w:t>¨</w:t>
      </w:r>
      <w:r>
        <w:rPr>
          <w:noProof/>
        </w:rPr>
        <w:tab/>
        <w:t xml:space="preserve">prin intermediul agențiilor executive </w:t>
      </w:r>
    </w:p>
    <w:p>
      <w:pPr>
        <w:pStyle w:val="Text1"/>
        <w:rPr>
          <w:noProof/>
        </w:rPr>
      </w:pPr>
      <w:r>
        <w:rPr>
          <w:rFonts w:ascii="Wingdings" w:hAnsi="Wingdings"/>
          <w:noProof/>
        </w:rPr>
        <w:t>¨</w:t>
      </w:r>
      <w:r>
        <w:rPr>
          <w:b/>
          <w:i/>
          <w:noProof/>
        </w:rPr>
        <w:t xml:space="preserve"> </w:t>
      </w:r>
      <w:r>
        <w:rPr>
          <w:b/>
          <w:noProof/>
        </w:rPr>
        <w:t>Gestiune partajată</w:t>
      </w:r>
      <w:r>
        <w:rPr>
          <w:noProof/>
        </w:rPr>
        <w:t xml:space="preserve"> cu statele membre </w:t>
      </w:r>
    </w:p>
    <w:p>
      <w:pPr>
        <w:pStyle w:val="Text1"/>
        <w:rPr>
          <w:noProof/>
        </w:rPr>
      </w:pPr>
      <w:r>
        <w:rPr>
          <w:rFonts w:ascii="Wingdings" w:hAnsi="Wingdings"/>
          <w:noProof/>
        </w:rPr>
        <w:t>x</w:t>
      </w:r>
      <w:r>
        <w:rPr>
          <w:i/>
          <w:noProof/>
        </w:rPr>
        <w:t xml:space="preserve"> </w:t>
      </w:r>
      <w:r>
        <w:rPr>
          <w:b/>
          <w:noProof/>
        </w:rPr>
        <w:t>Gestiune indirectă</w:t>
      </w:r>
      <w:r>
        <w:rPr>
          <w:noProof/>
        </w:rPr>
        <w:t>, cu delegarea sarcinilor de execuție bugetară:</w:t>
      </w:r>
    </w:p>
    <w:p>
      <w:pPr>
        <w:pStyle w:val="ListDash2"/>
        <w:rPr>
          <w:noProof/>
        </w:rPr>
      </w:pPr>
      <w:r>
        <w:rPr>
          <w:rFonts w:ascii="Wingdings" w:hAnsi="Wingdings"/>
          <w:noProof/>
        </w:rPr>
        <w:t>¨</w:t>
      </w:r>
      <w:r>
        <w:rPr>
          <w:noProof/>
        </w:rPr>
        <w:t xml:space="preserve"> țărilor terțe sau organismelor pe care le-au desemnat acestea</w:t>
      </w:r>
    </w:p>
    <w:p>
      <w:pPr>
        <w:pStyle w:val="ListDash2"/>
        <w:rPr>
          <w:noProof/>
        </w:rPr>
      </w:pPr>
      <w:r>
        <w:rPr>
          <w:rFonts w:ascii="Wingdings" w:hAnsi="Wingdings"/>
          <w:noProof/>
        </w:rPr>
        <w:t>¨</w:t>
      </w:r>
      <w:r>
        <w:rPr>
          <w:noProof/>
        </w:rPr>
        <w:t xml:space="preserve"> organizațiilor internaționale și agențiilor acestora (a se preciza)</w:t>
      </w:r>
    </w:p>
    <w:p>
      <w:pPr>
        <w:pStyle w:val="ListDash2"/>
        <w:rPr>
          <w:noProof/>
        </w:rPr>
      </w:pPr>
      <w:r>
        <w:rPr>
          <w:rFonts w:ascii="Wingdings" w:hAnsi="Wingdings"/>
          <w:noProof/>
        </w:rPr>
        <w:t>¨</w:t>
      </w:r>
      <w:r>
        <w:rPr>
          <w:noProof/>
        </w:rPr>
        <w:t xml:space="preserve"> Băncii Europene de Investiții și Fondului European de Investiții</w:t>
      </w:r>
    </w:p>
    <w:p>
      <w:pPr>
        <w:pStyle w:val="ListDash2"/>
        <w:rPr>
          <w:noProof/>
        </w:rPr>
      </w:pPr>
      <w:r>
        <w:rPr>
          <w:rFonts w:ascii="Wingdings" w:hAnsi="Wingdings"/>
          <w:noProof/>
        </w:rPr>
        <w:t>x</w:t>
      </w:r>
      <w:r>
        <w:rPr>
          <w:noProof/>
        </w:rPr>
        <w:t xml:space="preserve"> organismelor menționate la articolele 70 și 71 din Regulamentul financiar</w:t>
      </w:r>
    </w:p>
    <w:p>
      <w:pPr>
        <w:pStyle w:val="ListDash2"/>
        <w:rPr>
          <w:noProof/>
        </w:rPr>
      </w:pPr>
      <w:r>
        <w:rPr>
          <w:rFonts w:ascii="Wingdings" w:hAnsi="Wingdings"/>
          <w:noProof/>
        </w:rPr>
        <w:t>¨</w:t>
      </w:r>
      <w:r>
        <w:rPr>
          <w:noProof/>
        </w:rPr>
        <w:t xml:space="preserve"> organismelor de drept public</w:t>
      </w:r>
    </w:p>
    <w:p>
      <w:pPr>
        <w:pStyle w:val="ListDash2"/>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rPr>
          <w:noProof/>
        </w:rPr>
      </w:pPr>
      <w:r>
        <w:rPr>
          <w:rFonts w:ascii="Wingdings" w:hAnsi="Wingdings"/>
          <w:noProof/>
        </w:rPr>
        <w:t>¨</w:t>
      </w:r>
      <w:r>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rPr>
          <w:noProof/>
        </w:rPr>
      </w:pPr>
      <w:r>
        <w:rPr>
          <w:rFonts w:ascii="Wingdings" w:hAnsi="Wingdings"/>
          <w:noProof/>
        </w:rPr>
        <w:t>¨ </w:t>
      </w:r>
      <w:r>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57" w:name="_Toc239673852"/>
      <w:r>
        <w:rPr>
          <w:noProof/>
        </w:rPr>
        <w:t>2.</w:t>
      </w:r>
      <w:r>
        <w:rPr>
          <w:noProof/>
        </w:rPr>
        <w:tab/>
        <w:t>MĂSURI DE GESTIUNE</w:t>
      </w:r>
      <w:bookmarkEnd w:id="57"/>
      <w:r>
        <w:rPr>
          <w:noProof/>
        </w:rPr>
        <w:t xml:space="preserve"> </w:t>
      </w:r>
    </w:p>
    <w:p>
      <w:pPr>
        <w:pStyle w:val="ManualHeading2"/>
        <w:rPr>
          <w:noProof/>
        </w:rPr>
      </w:pPr>
      <w:bookmarkStart w:id="58" w:name="_Toc239673853"/>
      <w:r>
        <w:rPr>
          <w:noProof/>
        </w:rPr>
        <w:t>2.1.</w:t>
      </w:r>
      <w:r>
        <w:rPr>
          <w:noProof/>
        </w:rPr>
        <w:tab/>
        <w:t>Dispoziții în materie de monitorizare și de raportare</w:t>
      </w:r>
      <w:bookmarkEnd w:id="58"/>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Prezenta fișă include cheltuieli cu personalul. Se aplică normele standard privind acest tip de cheltuieli. Comisia va evalua realizările, rezultatele și impactul prezentei propuneri o dată la trei ani de la data la care aceasta devine aplicabilă. Evaluarea va analiza contribuția prezentului regulament la funcționarea pieței unice, inclusiv obiectivele specificate în prezentul regulament.</w:t>
      </w:r>
    </w:p>
    <w:p>
      <w:pPr>
        <w:pStyle w:val="ManualHeading2"/>
        <w:rPr>
          <w:noProof/>
        </w:rPr>
      </w:pPr>
      <w:bookmarkStart w:id="59" w:name="_Toc239673854"/>
      <w:r>
        <w:rPr>
          <w:noProof/>
        </w:rPr>
        <w:t>2.2.</w:t>
      </w:r>
      <w:r>
        <w:rPr>
          <w:noProof/>
        </w:rPr>
        <w:tab/>
        <w:t>Sistemul (sistemele) de gestiune și de control</w:t>
      </w:r>
      <w:bookmarkEnd w:id="59"/>
      <w:r>
        <w:rPr>
          <w:noProof/>
        </w:rPr>
        <w:t xml:space="preserve"> </w:t>
      </w:r>
    </w:p>
    <w:p>
      <w:pPr>
        <w:pStyle w:val="ManualHeading3"/>
        <w:rPr>
          <w:i w:val="0"/>
          <w:iCs/>
          <w:noProof/>
        </w:rPr>
      </w:pPr>
      <w:bookmarkStart w:id="60" w:name="_Toc239673855"/>
      <w:r>
        <w:rPr>
          <w:noProof/>
        </w:rPr>
        <w:t>2.2.1.</w:t>
      </w:r>
      <w:r>
        <w:rPr>
          <w:noProof/>
        </w:rPr>
        <w:tab/>
        <w:t>Justificarea metodei (metodelor) de execuție bugetară, a mecanismului (mecanismelor) de punere în aplicare a finanțării, a modalităților de plată și a strategiei de control propuse</w:t>
      </w:r>
      <w:bookmarkEnd w:id="60"/>
    </w:p>
    <w:p>
      <w:pPr>
        <w:pStyle w:val="Text1"/>
        <w:pBdr>
          <w:top w:val="single" w:sz="4" w:space="1" w:color="auto"/>
          <w:left w:val="single" w:sz="4" w:space="4" w:color="auto"/>
          <w:bottom w:val="single" w:sz="4" w:space="1" w:color="auto"/>
          <w:right w:val="single" w:sz="4" w:space="4" w:color="auto"/>
        </w:pBdr>
        <w:rPr>
          <w:noProof/>
        </w:rPr>
      </w:pPr>
      <w:r>
        <w:rPr>
          <w:noProof/>
        </w:rPr>
        <w:t>Modul de gestiune a inițiativei este gestiunea directă asigurată de Comisie. Aceasta este cea mai adecvată abordare, având în vedere domeniul de aplicare restrâns al cheltuielilor Uniunii, care se limitează la costurile administrative și de monitorizare standard. Utilizarea procedurilor interne stabilite asigură controale eficace și eficiente, rate de eroare scăzute, procesarea rapidă a tranzacțiilor și costuri de control minime.</w:t>
      </w:r>
    </w:p>
    <w:p>
      <w:pPr>
        <w:pStyle w:val="ManualHeading3"/>
        <w:rPr>
          <w:noProof/>
        </w:rPr>
      </w:pPr>
      <w:bookmarkStart w:id="61" w:name="_Toc239673856"/>
      <w:r>
        <w:rPr>
          <w:noProof/>
        </w:rPr>
        <w:t>2.2.2.</w:t>
      </w:r>
      <w:r>
        <w:rPr>
          <w:noProof/>
        </w:rPr>
        <w:tab/>
        <w:t>Informații privind riscurile identificate și sistemul (sistemele) de control intern instituit(e) pentru atenuarea lor</w:t>
      </w:r>
      <w:bookmarkEnd w:id="61"/>
    </w:p>
    <w:p>
      <w:pPr>
        <w:pStyle w:val="Text1"/>
        <w:pBdr>
          <w:top w:val="single" w:sz="4" w:space="1" w:color="auto"/>
          <w:left w:val="single" w:sz="4" w:space="4" w:color="auto"/>
          <w:bottom w:val="single" w:sz="4" w:space="1" w:color="auto"/>
          <w:right w:val="single" w:sz="4" w:space="4" w:color="auto"/>
        </w:pBdr>
        <w:rPr>
          <w:noProof/>
        </w:rPr>
      </w:pPr>
      <w:r>
        <w:rPr>
          <w:noProof/>
        </w:rPr>
        <w:t xml:space="preserve">În ansamblu, inițiativa prevede cheltuieli cu personalul. Se aplică normele standard privind acest tip de cheltuieli. Majoritatea aspectelor inițiativei respectă procedurile stabilite pentru monitorizarea punerii în aplicare a prezentului regulament. </w:t>
      </w:r>
    </w:p>
    <w:p>
      <w:pPr>
        <w:pStyle w:val="Text1"/>
        <w:pBdr>
          <w:top w:val="single" w:sz="4" w:space="1" w:color="auto"/>
          <w:left w:val="single" w:sz="4" w:space="4" w:color="auto"/>
          <w:bottom w:val="single" w:sz="4" w:space="1" w:color="auto"/>
          <w:right w:val="single" w:sz="4" w:space="4" w:color="auto"/>
        </w:pBdr>
        <w:rPr>
          <w:noProof/>
        </w:rPr>
      </w:pPr>
      <w:r>
        <w:rPr>
          <w:noProof/>
        </w:rPr>
        <w:t>Principalul risc operațional este capacitatea administrativă insuficientă pentru monitorizarea punerii în aplicare a obligațiilor prevăzute în regulament. Prezenta propunere este însoțită de un raport de evaluare a impactului, care oferă analiza care stă la baza abordării de politică alese. Pregătirea inițiativei s-a bazat, de asemenea, pe o consultare publică, precum și pe consultări specifice cu părțile interesate din industrie, cu statele membre și cu asociațiile profesionale, care au asigurat colectarea de date, informații și feedback relevante. Cu toate acestea, în timpul punerii în aplicare pot apărea în continuare consecințe neintenționate sau efecte neprevăzute. Acestea vor fi identificate prin procedurile de monitorizare stabilite în regulament, ceea ce îi va permite Comisiei să le abordeze în mod adecvat și în timp util.</w:t>
      </w:r>
    </w:p>
    <w:p>
      <w:pPr>
        <w:pStyle w:val="ManualHeading3"/>
        <w:rPr>
          <w:noProof/>
        </w:rPr>
      </w:pPr>
      <w:bookmarkStart w:id="62" w:name="_Toc239673857"/>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6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Inițiativa implică cheltuieli administrative limitate. Se aplică procedurile standard de control ale Comisiei. Întrucât nu sunt create programe de finanțare sau mecanisme de punere în aplicare pe mai multe niveluri, activitățile de control rămân simple și eficiente din punctul de vedere al costurilor. Controalele se efectuează în întregime în cadrul gestiunii directe, utilizându-se auditurile ex post standard din cadrul de control intern al Comisiei. Acest lucru asigură un echilibru adecvat între efortul de control și valoarea limitată a fondurilor gestionate. Având în vedere structura simplificată și absența operațiunilor financiare cu grad ridicat de risc, nivelul de eroare preconizat la momentul plății și la închidere este scăzut și cu mult sub pragul de semnificație. Prin urmare, sistemul de control oferă un nivel ridicat de asigurare la costuri proporționale.</w:t>
      </w:r>
    </w:p>
    <w:p>
      <w:pPr>
        <w:pStyle w:val="ManualHeading2"/>
        <w:rPr>
          <w:bCs/>
          <w:noProof/>
          <w:szCs w:val="24"/>
        </w:rPr>
      </w:pPr>
      <w:bookmarkStart w:id="63" w:name="_Toc239673858"/>
      <w:r>
        <w:rPr>
          <w:noProof/>
        </w:rPr>
        <w:t>2.3.</w:t>
      </w:r>
      <w:r>
        <w:rPr>
          <w:noProof/>
        </w:rPr>
        <w:tab/>
        <w:t>Măsuri de prevenire a fraudelor și a neregulilor</w:t>
      </w:r>
      <w:bookmarkEnd w:id="63"/>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Inițiativa nu instituie programe de finanțare sau scheme de sprijin financiar. Prin urmare, aceasta se bazează pe cadrul de control intern existent al Comisiei și pe strategia antifraudă. Se aplică măsuri standard de prevenire și detectare, inclusiv controale interne bazate pe riscuri, separarea sarcinilor și fluxuri de lucru stabilite pentru cheltuielile administrative. </w:t>
      </w:r>
    </w:p>
    <w:p>
      <w:pPr>
        <w:pStyle w:val="Text1"/>
        <w:pBdr>
          <w:top w:val="single" w:sz="4" w:space="1" w:color="auto"/>
          <w:left w:val="single" w:sz="4" w:space="4" w:color="auto"/>
          <w:bottom w:val="single" w:sz="4" w:space="1" w:color="auto"/>
          <w:right w:val="single" w:sz="4" w:space="4" w:color="auto"/>
        </w:pBdr>
        <w:rPr>
          <w:noProof/>
        </w:rPr>
      </w:pPr>
      <w:r>
        <w:rPr>
          <w:noProof/>
        </w:rPr>
        <w:t>Oficiul se asigură, în conformitate cu Regulamentul (UE) 2017/1001 și cu normele financiare aplicabile Oficiului, că sunt instituite măsuri adecvate pentru protejarea intereselor financiare ale Uniunii în îndeplinirea sarcinilor care îi sunt încredințate în temeiul prezentului regulament, inclusiv măsuri de prevenire, detectare și combatere a fraudei, a corupției, a conflictelor de interese și a altor nereguli. Comisia exercită funcțiile de supraveghere și monitorizare care îi sunt conferite în temeiul cadrului de guvernanță aplicabil.</w:t>
      </w:r>
    </w:p>
    <w:p>
      <w:pPr>
        <w:pStyle w:val="Text1"/>
        <w:pBdr>
          <w:top w:val="single" w:sz="4" w:space="1" w:color="auto"/>
          <w:left w:val="single" w:sz="4" w:space="4" w:color="auto"/>
          <w:bottom w:val="single" w:sz="4" w:space="1" w:color="auto"/>
          <w:right w:val="single" w:sz="4" w:space="4" w:color="auto"/>
        </w:pBdr>
        <w:rPr>
          <w:noProof/>
        </w:rPr>
      </w:pPr>
      <w:r>
        <w:rPr>
          <w:noProof/>
        </w:rPr>
        <w:t>La fel ca în cazul tuturor activităților gestionate de Comisie, Oficiul European de Luptă Antifraudă (OLAF) și Parchetul European (EPPO) își pot exercita competențele în conformitate cu temeiurile lor juridice respective pentru a investiga frauda, corupția sau alte activități ilegale care afectează interesele financiare ale UE. Curtea de Conturi Europeană își păstrează drepturile standard de audit asupra cheltuielilor Comisiei.</w:t>
      </w:r>
    </w:p>
    <w:p>
      <w:pPr>
        <w:rPr>
          <w:noProof/>
        </w:rPr>
        <w:sectPr>
          <w:pgSz w:w="11907" w:h="16840" w:code="9"/>
          <w:pgMar w:top="1134" w:right="1418" w:bottom="1134" w:left="1418" w:header="709" w:footer="709" w:gutter="0"/>
          <w:cols w:space="708"/>
          <w:docGrid w:linePitch="360"/>
        </w:sectPr>
      </w:pPr>
    </w:p>
    <w:p>
      <w:pPr>
        <w:pStyle w:val="ManualHeading1"/>
        <w:rPr>
          <w:noProof/>
        </w:rPr>
      </w:pPr>
      <w:bookmarkStart w:id="64" w:name="_Toc239673859"/>
      <w:r>
        <w:rPr>
          <w:noProof/>
        </w:rPr>
        <w:t>3.</w:t>
      </w:r>
      <w:r>
        <w:rPr>
          <w:noProof/>
        </w:rPr>
        <w:tab/>
        <w:t>IMPACTUL FINANCIAR ESTIMAT AL PROPUNERII/INIȚIATIVEI</w:t>
      </w:r>
      <w:bookmarkEnd w:id="64"/>
      <w:r>
        <w:rPr>
          <w:noProof/>
        </w:rPr>
        <w:t xml:space="preserve"> </w:t>
      </w:r>
    </w:p>
    <w:p>
      <w:pPr>
        <w:pStyle w:val="Text1"/>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 În ceea ce privește bugetul EUIPO, cifrele sunt orientative și fac obiectul aprobării de către organele de conducere ale EUIPO în conformitate cu Regulamentul privind marca UE.</w:t>
      </w:r>
    </w:p>
    <w:p>
      <w:pPr>
        <w:pStyle w:val="ManualHeading2"/>
        <w:rPr>
          <w:noProof/>
        </w:rPr>
      </w:pPr>
      <w:bookmarkStart w:id="65" w:name="_Toc239673860"/>
      <w:r>
        <w:rPr>
          <w:noProof/>
        </w:rPr>
        <w:t>3.1.</w:t>
      </w:r>
      <w:r>
        <w:rPr>
          <w:noProof/>
        </w:rPr>
        <w:tab/>
        <w:t>Rubrica (rubricile) din cadrul financiar multianual și linia (liniile) bugetară (bugetare) de cheltuieli afectată (afectate)</w:t>
      </w:r>
      <w:bookmarkEnd w:id="65"/>
      <w:r>
        <w:rPr>
          <w:noProof/>
        </w:rPr>
        <w:t xml:space="preserve"> </w:t>
      </w:r>
    </w:p>
    <w:p>
      <w:pPr>
        <w:pStyle w:val="ListBullet1"/>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Numărul </w:t>
            </w:r>
            <w:r>
              <w:rPr>
                <w:noProof/>
                <w:sz w:val="22"/>
              </w:rPr>
              <w:br/>
            </w:r>
          </w:p>
        </w:tc>
        <w:tc>
          <w:tcPr>
            <w:tcW w:w="1092" w:type="dxa"/>
            <w:vAlign w:val="center"/>
          </w:tcPr>
          <w:p>
            <w:pPr>
              <w:jc w:val="center"/>
              <w:rPr>
                <w:noProof/>
              </w:rPr>
            </w:pPr>
            <w:r>
              <w:rPr>
                <w:noProof/>
                <w:sz w:val="18"/>
              </w:rPr>
              <w:t>Dif./Nedif.</w:t>
            </w:r>
            <w:r>
              <w:rPr>
                <w:rStyle w:val="FootnoteReference"/>
                <w:noProof/>
                <w:sz w:val="18"/>
              </w:rPr>
              <w:footnoteReference w:id="56"/>
            </w:r>
          </w:p>
        </w:tc>
        <w:tc>
          <w:tcPr>
            <w:tcW w:w="966" w:type="dxa"/>
            <w:vAlign w:val="center"/>
          </w:tcPr>
          <w:p>
            <w:pPr>
              <w:jc w:val="center"/>
              <w:rPr>
                <w:b/>
                <w:noProof/>
                <w:sz w:val="18"/>
              </w:rPr>
            </w:pPr>
            <w:r>
              <w:rPr>
                <w:noProof/>
                <w:sz w:val="18"/>
              </w:rPr>
              <w:t>din partea țărilor AELS</w:t>
            </w:r>
            <w:r>
              <w:rPr>
                <w:rStyle w:val="FootnoteReference"/>
                <w:noProof/>
                <w:sz w:val="18"/>
              </w:rPr>
              <w:footnoteReference w:id="57"/>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rPr>
              <w:footnoteReference w:id="58"/>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color w:val="0000FF"/>
              </w:rPr>
            </w:pPr>
            <w:r>
              <w:rPr>
                <w:noProof/>
                <w:color w:val="0000FF"/>
              </w:rPr>
              <w:t>02</w:t>
            </w:r>
          </w:p>
        </w:tc>
        <w:tc>
          <w:tcPr>
            <w:tcW w:w="4002" w:type="dxa"/>
            <w:vAlign w:val="center"/>
          </w:tcPr>
          <w:p>
            <w:pPr>
              <w:spacing w:before="60"/>
              <w:rPr>
                <w:noProof/>
              </w:rPr>
            </w:pPr>
            <w:r>
              <w:rPr>
                <w:noProof/>
                <w:sz w:val="22"/>
              </w:rPr>
              <w:t>01 01 01 01</w:t>
            </w:r>
          </w:p>
          <w:p>
            <w:pPr>
              <w:spacing w:after="60"/>
              <w:rPr>
                <w:noProof/>
              </w:rPr>
            </w:pPr>
          </w:p>
        </w:tc>
        <w:tc>
          <w:tcPr>
            <w:tcW w:w="1092" w:type="dxa"/>
            <w:vAlign w:val="center"/>
          </w:tcPr>
          <w:p>
            <w:pPr>
              <w:jc w:val="center"/>
              <w:rPr>
                <w:noProof/>
                <w:color w:val="0000FF"/>
              </w:rPr>
            </w:pPr>
            <w:r>
              <w:rPr>
                <w:noProof/>
                <w:sz w:val="22"/>
              </w:rPr>
              <w:t>Nedif.</w:t>
            </w:r>
          </w:p>
        </w:tc>
        <w:tc>
          <w:tcPr>
            <w:tcW w:w="966" w:type="dxa"/>
            <w:vAlign w:val="center"/>
          </w:tcPr>
          <w:p>
            <w:pPr>
              <w:jc w:val="center"/>
              <w:rPr>
                <w:noProof/>
                <w:sz w:val="20"/>
                <w:szCs w:val="20"/>
              </w:rPr>
            </w:pPr>
            <w:r>
              <w:rPr>
                <w:noProof/>
                <w:sz w:val="20"/>
              </w:rPr>
              <w:t>DA</w:t>
            </w:r>
          </w:p>
        </w:tc>
        <w:tc>
          <w:tcPr>
            <w:tcW w:w="1092" w:type="dxa"/>
            <w:vAlign w:val="center"/>
          </w:tcPr>
          <w:p>
            <w:pPr>
              <w:jc w:val="center"/>
              <w:rPr>
                <w:noProof/>
                <w:sz w:val="20"/>
                <w:szCs w:val="20"/>
              </w:rPr>
            </w:pPr>
            <w:r>
              <w:rPr>
                <w:noProof/>
                <w:sz w:val="20"/>
              </w:rPr>
              <w:t>DA</w:t>
            </w:r>
          </w:p>
        </w:tc>
        <w:tc>
          <w:tcPr>
            <w:tcW w:w="966" w:type="dxa"/>
            <w:vAlign w:val="center"/>
          </w:tcPr>
          <w:p>
            <w:pPr>
              <w:jc w:val="center"/>
              <w:rPr>
                <w:noProof/>
                <w:sz w:val="20"/>
                <w:szCs w:val="20"/>
              </w:rPr>
            </w:pPr>
            <w:r>
              <w:rPr>
                <w:noProof/>
                <w:sz w:val="20"/>
              </w:rPr>
              <w:t>NU</w:t>
            </w:r>
          </w:p>
        </w:tc>
        <w:tc>
          <w:tcPr>
            <w:tcW w:w="1463" w:type="dxa"/>
            <w:vAlign w:val="center"/>
          </w:tcPr>
          <w:p>
            <w:pPr>
              <w:jc w:val="center"/>
              <w:rPr>
                <w:noProof/>
                <w:sz w:val="20"/>
                <w:szCs w:val="20"/>
              </w:rPr>
            </w:pPr>
            <w:r>
              <w:rPr>
                <w:noProof/>
                <w:sz w:val="20"/>
              </w:rPr>
              <w:t>NU</w:t>
            </w:r>
          </w:p>
        </w:tc>
      </w:tr>
    </w:tbl>
    <w:p>
      <w:pPr>
        <w:pStyle w:val="ListBullet1"/>
        <w:rPr>
          <w:noProof/>
        </w:rPr>
      </w:pPr>
      <w:r>
        <w:rPr>
          <w:noProof/>
        </w:rPr>
        <w:t xml:space="preserve">Noile linii bugetare solicitate </w:t>
      </w:r>
    </w:p>
    <w:p>
      <w:pPr>
        <w:pStyle w:val="Text1"/>
        <w:rPr>
          <w:i/>
          <w:noProof/>
          <w:sz w:val="20"/>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sz w:val="18"/>
                <w:szCs w:val="18"/>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Numărul </w:t>
            </w:r>
            <w:r>
              <w:rPr>
                <w:noProof/>
                <w:sz w:val="22"/>
              </w:rPr>
              <w:br/>
            </w:r>
          </w:p>
        </w:tc>
        <w:tc>
          <w:tcPr>
            <w:tcW w:w="1092" w:type="dxa"/>
            <w:vAlign w:val="center"/>
          </w:tcPr>
          <w:p>
            <w:pPr>
              <w:jc w:val="center"/>
              <w:rPr>
                <w:noProof/>
              </w:rPr>
            </w:pPr>
            <w:r>
              <w:rPr>
                <w:noProof/>
                <w:sz w:val="18"/>
              </w:rPr>
              <w:t>Dif./Nedif.</w:t>
            </w:r>
          </w:p>
        </w:tc>
        <w:tc>
          <w:tcPr>
            <w:tcW w:w="966" w:type="dxa"/>
            <w:vAlign w:val="center"/>
          </w:tcPr>
          <w:p>
            <w:pPr>
              <w:jc w:val="center"/>
              <w:rPr>
                <w:noProof/>
                <w:sz w:val="18"/>
              </w:rPr>
            </w:pPr>
            <w:r>
              <w:rPr>
                <w:noProof/>
                <w:sz w:val="18"/>
              </w:rPr>
              <w:t>din partea țărilor AELS</w:t>
            </w:r>
          </w:p>
        </w:tc>
        <w:tc>
          <w:tcPr>
            <w:tcW w:w="1092" w:type="dxa"/>
            <w:vAlign w:val="center"/>
          </w:tcPr>
          <w:p>
            <w:pPr>
              <w:jc w:val="center"/>
              <w:rPr>
                <w:noProof/>
                <w:sz w:val="18"/>
              </w:rPr>
            </w:pPr>
            <w:r>
              <w:rPr>
                <w:noProof/>
                <w:sz w:val="18"/>
              </w:rPr>
              <w:t>din partea țărilor candidate și potențial candidate</w:t>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 xml:space="preserve">alte venituri alocate </w:t>
            </w:r>
          </w:p>
        </w:tc>
      </w:tr>
      <w:tr>
        <w:trPr>
          <w:cantSplit/>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N/A</w:t>
            </w:r>
          </w:p>
          <w:p>
            <w:pPr>
              <w:spacing w:after="60"/>
              <w:rPr>
                <w:noProof/>
              </w:rPr>
            </w:pPr>
          </w:p>
        </w:tc>
        <w:tc>
          <w:tcPr>
            <w:tcW w:w="1092" w:type="dxa"/>
            <w:vAlign w:val="center"/>
          </w:tcPr>
          <w:p>
            <w:pPr>
              <w:jc w:val="center"/>
              <w:rPr>
                <w:noProof/>
                <w:color w:val="0000FF"/>
              </w:rPr>
            </w:pPr>
          </w:p>
        </w:tc>
        <w:tc>
          <w:tcPr>
            <w:tcW w:w="966" w:type="dxa"/>
            <w:vAlign w:val="center"/>
          </w:tcPr>
          <w:p>
            <w:pPr>
              <w:jc w:val="center"/>
              <w:rPr>
                <w:noProof/>
                <w:sz w:val="20"/>
                <w:szCs w:val="20"/>
              </w:rPr>
            </w:pPr>
          </w:p>
        </w:tc>
        <w:tc>
          <w:tcPr>
            <w:tcW w:w="1092" w:type="dxa"/>
            <w:vAlign w:val="center"/>
          </w:tcPr>
          <w:p>
            <w:pPr>
              <w:jc w:val="center"/>
              <w:rPr>
                <w:noProof/>
                <w:sz w:val="20"/>
                <w:szCs w:val="20"/>
              </w:rPr>
            </w:pPr>
          </w:p>
        </w:tc>
        <w:tc>
          <w:tcPr>
            <w:tcW w:w="966" w:type="dxa"/>
            <w:vAlign w:val="center"/>
          </w:tcPr>
          <w:p>
            <w:pPr>
              <w:jc w:val="center"/>
              <w:rPr>
                <w:noProof/>
                <w:sz w:val="20"/>
                <w:szCs w:val="20"/>
              </w:rPr>
            </w:pPr>
          </w:p>
        </w:tc>
        <w:tc>
          <w:tcPr>
            <w:tcW w:w="1463" w:type="dxa"/>
            <w:vAlign w:val="center"/>
          </w:tcPr>
          <w:p>
            <w:pPr>
              <w:jc w:val="center"/>
              <w:rPr>
                <w:noProof/>
                <w:sz w:val="20"/>
                <w:szCs w:val="20"/>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66" w:name="_Toc239673861"/>
      <w:r>
        <w:rPr>
          <w:noProof/>
        </w:rPr>
        <w:t>3.2.</w:t>
      </w:r>
      <w:r>
        <w:rPr>
          <w:noProof/>
        </w:rPr>
        <w:tab/>
        <w:t>Impactul financiar estimat al propunerii asupra creditelor</w:t>
      </w:r>
      <w:bookmarkEnd w:id="66"/>
      <w:r>
        <w:rPr>
          <w:noProof/>
        </w:rPr>
        <w:t xml:space="preserve"> </w:t>
      </w:r>
    </w:p>
    <w:p>
      <w:pPr>
        <w:pStyle w:val="ManualHeading3"/>
        <w:rPr>
          <w:noProof/>
        </w:rPr>
      </w:pPr>
      <w:bookmarkStart w:id="67" w:name="_Toc239673862"/>
      <w:r>
        <w:rPr>
          <w:noProof/>
        </w:rPr>
        <w:t>3.2.1.</w:t>
      </w:r>
      <w:r>
        <w:rPr>
          <w:noProof/>
        </w:rPr>
        <w:tab/>
        <w:t>Sinteza impactului estimat asupra creditelor operaționale</w:t>
      </w:r>
      <w:bookmarkEnd w:id="67"/>
      <w:r>
        <w:rPr>
          <w:noProof/>
        </w:rPr>
        <w:t xml:space="preserve"> </w:t>
      </w:r>
    </w:p>
    <w:p>
      <w:pPr>
        <w:pStyle w:val="ListDash1"/>
        <w:tabs>
          <w:tab w:val="num" w:pos="1134"/>
        </w:tabs>
        <w:rPr>
          <w:noProof/>
        </w:rPr>
      </w:pPr>
      <w:r>
        <w:rPr>
          <w:rFonts w:ascii="Wingdings" w:hAnsi="Wingdings"/>
          <w:noProof/>
        </w:rPr>
        <w:t>x</w:t>
      </w:r>
      <w:r>
        <w:rPr>
          <w:noProof/>
        </w:rPr>
        <w:tab/>
        <w:t xml:space="preserve">Propunerea/inițiativa nu implică utilizarea de credite operaționale </w:t>
      </w:r>
    </w:p>
    <w:p>
      <w:pPr>
        <w:pStyle w:val="ListDash1"/>
        <w:tabs>
          <w:tab w:val="num" w:pos="1134"/>
        </w:tabs>
        <w:rPr>
          <w:noProof/>
        </w:rPr>
      </w:pPr>
      <w:r>
        <w:rPr>
          <w:rFonts w:ascii="Wingdings" w:hAnsi="Wingdings"/>
          <w:noProof/>
        </w:rPr>
        <w:t>¨</w:t>
      </w:r>
      <w:r>
        <w:rPr>
          <w:noProof/>
        </w:rPr>
        <w:tab/>
        <w:t>Propunerea/inițiativa implică utilizarea de credite operaționale, conform explicațiilor de mai jos</w:t>
      </w:r>
    </w:p>
    <w:p>
      <w:pPr>
        <w:pStyle w:val="ManualHeading3"/>
        <w:rPr>
          <w:noProof/>
        </w:rPr>
      </w:pPr>
      <w:bookmarkStart w:id="68" w:name="_Toc239673863"/>
      <w:r>
        <w:rPr>
          <w:noProof/>
        </w:rPr>
        <w:t>3.2.1.1.</w:t>
      </w:r>
      <w:r>
        <w:rPr>
          <w:noProof/>
        </w:rPr>
        <w:tab/>
        <w:t>Credite din bugetul votat</w:t>
      </w:r>
      <w:bookmarkEnd w:id="68"/>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r>
              <w:rPr>
                <w:noProof/>
              </w:rPr>
              <w:t>02</w:t>
            </w:r>
          </w:p>
        </w:tc>
      </w:tr>
    </w:tbl>
    <w:p>
      <w:pPr>
        <w:rPr>
          <w:noProof/>
          <w:sz w:val="16"/>
        </w:rPr>
      </w:pPr>
    </w:p>
    <w:tbl>
      <w:tblPr>
        <w:tblW w:w="5000" w:type="pct"/>
        <w:tblLook w:val="04A0" w:firstRow="1" w:lastRow="0" w:firstColumn="1" w:lastColumn="0" w:noHBand="0" w:noVBand="1"/>
      </w:tblPr>
      <w:tblGrid>
        <w:gridCol w:w="1985"/>
        <w:gridCol w:w="1149"/>
        <w:gridCol w:w="1564"/>
        <w:gridCol w:w="20"/>
        <w:gridCol w:w="705"/>
        <w:gridCol w:w="313"/>
        <w:gridCol w:w="415"/>
        <w:gridCol w:w="373"/>
        <w:gridCol w:w="623"/>
        <w:gridCol w:w="165"/>
        <w:gridCol w:w="788"/>
        <w:gridCol w:w="43"/>
        <w:gridCol w:w="745"/>
        <w:gridCol w:w="250"/>
        <w:gridCol w:w="538"/>
        <w:gridCol w:w="458"/>
        <w:gridCol w:w="330"/>
        <w:gridCol w:w="665"/>
        <w:gridCol w:w="122"/>
        <w:gridCol w:w="873"/>
        <w:gridCol w:w="995"/>
        <w:gridCol w:w="1101"/>
      </w:tblGrid>
      <w:tr>
        <w:trPr>
          <w:trHeight w:val="410"/>
        </w:trPr>
        <w:tc>
          <w:tcPr>
            <w:tcW w:w="2017"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rPr>
            </w:pPr>
            <w:r>
              <w:rPr>
                <w:noProof/>
                <w:color w:val="000000"/>
                <w:sz w:val="22"/>
              </w:rPr>
              <w:t>DG: RTD</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1044" w:type="pct"/>
            <w:gridSpan w:val="3"/>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017"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044"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22"/>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rPr>
            </w:pPr>
            <w:r>
              <w:rPr>
                <w:noProof/>
                <w:color w:val="000000"/>
                <w:sz w:val="21"/>
              </w:rPr>
              <w:t xml:space="preserve">Credite operaționale </w:t>
            </w:r>
          </w:p>
        </w:tc>
      </w:tr>
      <w:tr>
        <w:trPr>
          <w:trHeight w:val="470"/>
        </w:trPr>
        <w:tc>
          <w:tcPr>
            <w:tcW w:w="1102" w:type="pct"/>
            <w:gridSpan w:val="2"/>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rFonts w:eastAsia="Times New Roman"/>
                <w:noProof/>
                <w:color w:val="000000"/>
                <w:sz w:val="22"/>
              </w:rPr>
            </w:pPr>
            <w:r>
              <w:rPr>
                <w:noProof/>
                <w:color w:val="000000"/>
                <w:sz w:val="22"/>
              </w:rPr>
              <w:t>Linia bugetară</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1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2"/>
                <w:lang w:eastAsia="en-IE"/>
              </w:rPr>
            </w:pP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470"/>
        </w:trPr>
        <w:tc>
          <w:tcPr>
            <w:tcW w:w="11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1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22"/>
            <w:tcBorders>
              <w:top w:val="single" w:sz="8" w:space="0" w:color="auto"/>
              <w:left w:val="single" w:sz="8" w:space="0" w:color="auto"/>
              <w:bottom w:val="single" w:sz="8" w:space="0" w:color="auto"/>
              <w:right w:val="single" w:sz="8" w:space="0" w:color="000000"/>
            </w:tcBorders>
            <w:noWrap/>
            <w:vAlign w:val="center"/>
            <w:hideMark/>
          </w:tcPr>
          <w:p>
            <w:pPr>
              <w:spacing w:before="0" w:after="0"/>
              <w:jc w:val="left"/>
              <w:rPr>
                <w:rFonts w:eastAsia="Times New Roman"/>
                <w:noProof/>
                <w:sz w:val="22"/>
              </w:rPr>
            </w:pPr>
            <w:r>
              <w:rPr>
                <w:noProof/>
                <w:sz w:val="22"/>
              </w:rPr>
              <w:t>Credite cu caracter administrativ finanțate din bugetul unor programe specifice</w:t>
            </w:r>
            <w:r>
              <w:rPr>
                <w:rStyle w:val="FootnoteReference"/>
                <w:rFonts w:eastAsia="Times New Roman"/>
                <w:noProof/>
                <w:sz w:val="22"/>
                <w:lang w:eastAsia="en-IE"/>
              </w:rPr>
              <w:footnoteReference w:id="59"/>
            </w:r>
          </w:p>
        </w:tc>
      </w:tr>
      <w:tr>
        <w:trPr>
          <w:trHeight w:val="530"/>
        </w:trPr>
        <w:tc>
          <w:tcPr>
            <w:tcW w:w="1102" w:type="pct"/>
            <w:gridSpan w:val="2"/>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 01 01 01 01</w:t>
            </w:r>
          </w:p>
        </w:tc>
        <w:tc>
          <w:tcPr>
            <w:tcW w:w="55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4,074</w:t>
            </w:r>
          </w:p>
        </w:tc>
      </w:tr>
      <w:tr>
        <w:trPr>
          <w:trHeight w:val="850"/>
        </w:trPr>
        <w:tc>
          <w:tcPr>
            <w:tcW w:w="1102" w:type="pct"/>
            <w:gridSpan w:val="2"/>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credite</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4,074</w:t>
            </w:r>
          </w:p>
        </w:tc>
      </w:tr>
      <w:tr>
        <w:trPr>
          <w:trHeight w:val="570"/>
        </w:trPr>
        <w:tc>
          <w:tcPr>
            <w:tcW w:w="1102" w:type="pct"/>
            <w:gridSpan w:val="2"/>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pentru DG RTD</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4,074</w:t>
            </w:r>
          </w:p>
        </w:tc>
      </w:tr>
      <w:tr>
        <w:trPr>
          <w:trHeight w:val="300"/>
        </w:trPr>
        <w:tc>
          <w:tcPr>
            <w:tcW w:w="698" w:type="pct"/>
            <w:tcBorders>
              <w:top w:val="nil"/>
              <w:left w:val="nil"/>
              <w:bottom w:val="nil"/>
              <w:right w:val="nil"/>
            </w:tcBorders>
            <w:noWrap/>
            <w:vAlign w:val="bottom"/>
          </w:tcPr>
          <w:p>
            <w:pPr>
              <w:spacing w:before="0" w:after="200" w:line="276" w:lineRule="auto"/>
              <w:jc w:val="left"/>
              <w:rPr>
                <w:rFonts w:eastAsia="Times New Roman"/>
                <w:b/>
                <w:bCs/>
                <w:noProof/>
                <w:color w:val="000000"/>
                <w:sz w:val="20"/>
                <w:szCs w:val="20"/>
                <w:lang w:eastAsia="en-IE"/>
              </w:rPr>
            </w:pPr>
          </w:p>
        </w:tc>
        <w:tc>
          <w:tcPr>
            <w:tcW w:w="954"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256"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3"/>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87" w:type="pct"/>
            <w:tcBorders>
              <w:top w:val="nil"/>
              <w:left w:val="nil"/>
              <w:bottom w:val="nil"/>
              <w:right w:val="nil"/>
            </w:tcBorders>
            <w:noWrap/>
            <w:vAlign w:val="bottom"/>
          </w:tcPr>
          <w:p>
            <w:pPr>
              <w:spacing w:before="0" w:after="0"/>
              <w:jc w:val="left"/>
              <w:rPr>
                <w:rFonts w:eastAsia="Times New Roman"/>
                <w:noProof/>
                <w:sz w:val="20"/>
                <w:szCs w:val="20"/>
                <w:lang w:eastAsia="en-IE"/>
              </w:rPr>
            </w:pPr>
          </w:p>
        </w:tc>
      </w:tr>
    </w:tbl>
    <w:p>
      <w:pPr>
        <w:jc w:val="right"/>
        <w:rPr>
          <w:noProof/>
          <w:sz w:val="20"/>
        </w:rPr>
      </w:pPr>
      <w:r>
        <w:rPr>
          <w:noProof/>
          <w:sz w:val="20"/>
        </w:rPr>
        <w:t>milioane EUR (cu trei zecimale)</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 </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credite în cadrul RUBRICILOR 1-4</w:t>
            </w:r>
          </w:p>
        </w:tc>
        <w:tc>
          <w:tcPr>
            <w:tcW w:w="644"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4,074</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rPr>
            </w:pPr>
            <w:r>
              <w:rPr>
                <w:noProof/>
                <w:color w:val="000000"/>
                <w:sz w:val="22"/>
              </w:rPr>
              <w:t>din cadrul financiar multianual</w:t>
            </w:r>
            <w:r>
              <w:rPr>
                <w:b/>
                <w:noProof/>
                <w:color w:val="000000"/>
                <w:sz w:val="22"/>
              </w:rPr>
              <w:t xml:space="preserve"> </w:t>
            </w:r>
          </w:p>
        </w:tc>
        <w:tc>
          <w:tcPr>
            <w:tcW w:w="644"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4,074</w:t>
            </w:r>
          </w:p>
        </w:tc>
      </w:tr>
    </w:tbl>
    <w:p>
      <w:pPr>
        <w:rPr>
          <w:noProof/>
        </w:rPr>
        <w:sectPr>
          <w:headerReference w:type="default" r:id="rId16"/>
          <w:footerReference w:type="default" r:id="rId17"/>
          <w:pgSz w:w="16840" w:h="11907" w:orient="landscape" w:code="9"/>
          <w:pgMar w:top="1134" w:right="1418" w:bottom="567" w:left="1418" w:header="709" w:footer="709" w:gutter="0"/>
          <w:cols w:space="708"/>
          <w:docGrid w:linePitch="360"/>
        </w:sectPr>
      </w:pPr>
    </w:p>
    <w:p>
      <w:pPr>
        <w:pStyle w:val="ManualHeading3"/>
        <w:rPr>
          <w:bCs/>
          <w:noProof/>
          <w:szCs w:val="24"/>
        </w:rPr>
      </w:pPr>
      <w:bookmarkStart w:id="69" w:name="_Toc239673864"/>
      <w:r>
        <w:rPr>
          <w:noProof/>
        </w:rPr>
        <w:t>3.2.3.</w:t>
      </w:r>
      <w:r>
        <w:rPr>
          <w:noProof/>
        </w:rPr>
        <w:tab/>
        <w:t>Sinteza impactului estimat asupra creditelor administrative</w:t>
      </w:r>
      <w:bookmarkEnd w:id="69"/>
      <w:r>
        <w:rPr>
          <w:noProof/>
        </w:rPr>
        <w:t xml:space="preserve"> </w:t>
      </w:r>
    </w:p>
    <w:p>
      <w:pPr>
        <w:pStyle w:val="ListDash1"/>
        <w:tabs>
          <w:tab w:val="num" w:pos="1134"/>
        </w:tabs>
        <w:rPr>
          <w:noProof/>
        </w:rPr>
      </w:pPr>
      <w:r>
        <w:rPr>
          <w:rFonts w:ascii="Wingdings" w:hAnsi="Wingdings"/>
          <w:noProof/>
        </w:rPr>
        <w:t>¨</w:t>
      </w:r>
      <w:r>
        <w:rPr>
          <w:noProof/>
        </w:rPr>
        <w:tab/>
        <w:t xml:space="preserve">Propunerea/inițiativa nu implică utilizarea de credite cu caracter administrativ </w:t>
      </w:r>
    </w:p>
    <w:p>
      <w:pPr>
        <w:pStyle w:val="ListDash1"/>
        <w:tabs>
          <w:tab w:val="num" w:pos="1134"/>
        </w:tabs>
        <w:rPr>
          <w:noProof/>
        </w:rPr>
      </w:pPr>
      <w:r>
        <w:rPr>
          <w:rFonts w:ascii="Wingdings" w:hAnsi="Wingdings"/>
          <w:noProof/>
        </w:rPr>
        <w:t>x</w:t>
      </w:r>
      <w:r>
        <w:rPr>
          <w:noProof/>
        </w:rPr>
        <w:tab/>
        <w:t>Propunerea/inițiativa implică utilizarea de credite cu caracter administrativ, conform explicațiilor de mai jos</w:t>
      </w:r>
    </w:p>
    <w:p>
      <w:pPr>
        <w:pStyle w:val="ManualHeading3"/>
        <w:rPr>
          <w:noProof/>
        </w:rPr>
      </w:pPr>
      <w:bookmarkStart w:id="70" w:name="_Toc239673865"/>
      <w:r>
        <w:rPr>
          <w:noProof/>
        </w:rPr>
        <w:t>3.2.3.1. Credite din bugetul votat</w:t>
      </w:r>
      <w:bookmarkEnd w:id="70"/>
    </w:p>
    <w:tbl>
      <w:tblPr>
        <w:tblW w:w="5000" w:type="pct"/>
        <w:tblLook w:val="04A0" w:firstRow="1" w:lastRow="0" w:firstColumn="1" w:lastColumn="0" w:noHBand="0" w:noVBand="1"/>
      </w:tblPr>
      <w:tblGrid>
        <w:gridCol w:w="2918"/>
        <w:gridCol w:w="750"/>
        <w:gridCol w:w="749"/>
        <w:gridCol w:w="749"/>
        <w:gridCol w:w="749"/>
        <w:gridCol w:w="842"/>
        <w:gridCol w:w="838"/>
        <w:gridCol w:w="838"/>
        <w:gridCol w:w="856"/>
      </w:tblGrid>
      <w:tr>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CREDITE VOTATE</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46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RUBRICA 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În afara RUBRICII 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4,074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w:t>
            </w:r>
          </w:p>
        </w:tc>
      </w:tr>
      <w:tr>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4,074</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4,074</w:t>
            </w:r>
          </w:p>
        </w:tc>
      </w:tr>
    </w:tbl>
    <w:p>
      <w:pPr>
        <w:rPr>
          <w:noProof/>
          <w:sz w:val="22"/>
          <w:szCs w:val="28"/>
        </w:rPr>
      </w:pPr>
      <w:r>
        <w:rPr>
          <w:noProof/>
          <w:sz w:val="22"/>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3"/>
        <w:rPr>
          <w:bCs/>
          <w:noProof/>
          <w:szCs w:val="24"/>
        </w:rPr>
      </w:pPr>
      <w:bookmarkStart w:id="71" w:name="_Toc239673866"/>
      <w:r>
        <w:rPr>
          <w:noProof/>
        </w:rPr>
        <w:t>3.2.4.</w:t>
      </w:r>
      <w:r>
        <w:rPr>
          <w:noProof/>
        </w:rPr>
        <w:tab/>
        <w:t>Necesarul de resurse umane estimat</w:t>
      </w:r>
      <w:bookmarkEnd w:id="71"/>
      <w:r>
        <w:rPr>
          <w:noProof/>
        </w:rPr>
        <w:t xml:space="preserve"> </w:t>
      </w:r>
    </w:p>
    <w:p>
      <w:pPr>
        <w:pStyle w:val="ListDash1"/>
        <w:tabs>
          <w:tab w:val="num" w:pos="1134"/>
        </w:tabs>
        <w:rPr>
          <w:noProof/>
        </w:rPr>
      </w:pPr>
      <w:r>
        <w:rPr>
          <w:rFonts w:ascii="Wingdings" w:hAnsi="Wingdings"/>
          <w:noProof/>
        </w:rPr>
        <w:t>¨</w:t>
      </w:r>
      <w:r>
        <w:rPr>
          <w:noProof/>
        </w:rPr>
        <w:tab/>
        <w:t xml:space="preserve">Propunerea/inițiativa nu implică utilizarea de resurse umane </w:t>
      </w:r>
    </w:p>
    <w:p>
      <w:pPr>
        <w:pStyle w:val="ListDash1"/>
        <w:tabs>
          <w:tab w:val="num" w:pos="1134"/>
        </w:tabs>
        <w:rPr>
          <w:noProof/>
        </w:rPr>
      </w:pPr>
      <w:r>
        <w:rPr>
          <w:rFonts w:ascii="Wingdings" w:hAnsi="Wingdings"/>
          <w:noProof/>
        </w:rPr>
        <w:t>x</w:t>
      </w:r>
      <w:r>
        <w:rPr>
          <w:noProof/>
        </w:rPr>
        <w:tab/>
        <w:t>Propunerea/inițiativa implică utilizarea de resurse umane, conform explicațiilor de mai jos</w:t>
      </w:r>
    </w:p>
    <w:p>
      <w:pPr>
        <w:pStyle w:val="ManualHeading3"/>
        <w:rPr>
          <w:noProof/>
        </w:rPr>
      </w:pPr>
      <w:bookmarkStart w:id="72" w:name="_Toc239673867"/>
      <w:r>
        <w:rPr>
          <w:noProof/>
        </w:rPr>
        <w:t>3.2.4.1.</w:t>
      </w:r>
      <w:r>
        <w:rPr>
          <w:noProof/>
        </w:rPr>
        <w:tab/>
        <w:t>Finanțare din bugetul votat</w:t>
      </w:r>
      <w:bookmarkEnd w:id="72"/>
    </w:p>
    <w:p>
      <w:pPr>
        <w:spacing w:after="60"/>
        <w:jc w:val="right"/>
        <w:rPr>
          <w:i/>
          <w:noProof/>
          <w:sz w:val="20"/>
        </w:rPr>
      </w:pPr>
      <w:r>
        <w:rPr>
          <w:i/>
          <w:noProof/>
          <w:sz w:val="20"/>
        </w:rPr>
        <w:t>Estimări în echivalent normă întreagă (ENI)</w:t>
      </w:r>
      <w:r>
        <w:rPr>
          <w:rStyle w:val="FootnoteReference"/>
          <w:i/>
          <w:noProof/>
          <w:sz w:val="20"/>
        </w:rPr>
        <w:footnoteReference w:id="60"/>
      </w:r>
    </w:p>
    <w:p>
      <w:pPr>
        <w:pStyle w:val="Text1"/>
        <w:spacing w:before="60" w:after="60"/>
        <w:ind w:left="-426" w:right="-427"/>
        <w:rPr>
          <w:b/>
          <w:noProof/>
          <w:sz w:val="18"/>
          <w:szCs w:val="18"/>
        </w:rPr>
      </w:pPr>
      <w:bookmarkStart w:id="73"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CREDITE VOTATE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noProof/>
                <w:color w:val="000000"/>
              </w:rPr>
              <w:t xml:space="preserve"> </w:t>
            </w:r>
            <w:r>
              <w:rPr>
                <w:noProof/>
                <w:color w:val="000000"/>
                <w:sz w:val="16"/>
              </w:rPr>
              <w:t>(la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rPr>
            </w:pPr>
            <w:r>
              <w:rPr>
                <w:rFonts w:ascii="Arial Narrow" w:hAnsi="Arial Narrow"/>
                <w:noProof/>
                <w:color w:val="000000"/>
                <w:sz w:val="20"/>
              </w:rPr>
              <w:t xml:space="preserve"> </w:t>
            </w:r>
            <w:r>
              <w:rPr>
                <w:noProof/>
                <w:color w:val="000000"/>
                <w:sz w:val="16"/>
              </w:rPr>
              <w:t>(cercetare indirectă)</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 xml:space="preserve">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noProof/>
                <w:color w:val="000000"/>
              </w:rPr>
              <w:t xml:space="preserve"> </w:t>
            </w:r>
            <w:r>
              <w:rPr>
                <w:noProof/>
                <w:color w:val="000000"/>
                <w:sz w:val="16"/>
              </w:rPr>
              <w:t>(AC,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Linia de sprijin administrativ</w:t>
            </w:r>
          </w:p>
        </w:tc>
        <w:tc>
          <w:tcPr>
            <w:tcW w:w="619" w:type="pct"/>
            <w:tcBorders>
              <w:top w:val="nil"/>
              <w:left w:val="nil"/>
              <w:bottom w:val="single" w:sz="8" w:space="0" w:color="auto"/>
              <w:right w:val="single" w:sz="8" w:space="0" w:color="auto"/>
            </w:tcBorders>
            <w:vAlign w:val="center"/>
            <w:hideMark/>
          </w:tcPr>
          <w:p>
            <w:pPr>
              <w:pStyle w:val="ListParagraph"/>
              <w:numPr>
                <w:ilvl w:val="0"/>
                <w:numId w:val="26"/>
              </w:numPr>
              <w:spacing w:after="0" w:line="240" w:lineRule="auto"/>
              <w:ind w:left="169" w:hanging="152"/>
              <w:rPr>
                <w:noProof/>
                <w:color w:val="000000"/>
                <w:sz w:val="16"/>
                <w:szCs w:val="16"/>
              </w:rPr>
            </w:pPr>
            <w:r>
              <w:rPr>
                <w:noProof/>
                <w:color w:val="000000"/>
                <w:sz w:val="16"/>
              </w:rPr>
              <w:t>la sediu</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26"/>
              </w:numPr>
              <w:spacing w:after="0" w:line="240" w:lineRule="auto"/>
              <w:ind w:left="169" w:hanging="152"/>
              <w:rPr>
                <w:noProof/>
                <w:color w:val="000000"/>
                <w:sz w:val="16"/>
                <w:szCs w:val="16"/>
              </w:rPr>
            </w:pPr>
            <w:r>
              <w:rPr>
                <w:noProof/>
                <w:color w:val="000000"/>
                <w:sz w:val="16"/>
              </w:rPr>
              <w:t xml:space="preserve">în delegațiile 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rPr>
            </w:pPr>
            <w:r>
              <w:rPr>
                <w:rFonts w:ascii="Arial Narrow" w:hAnsi="Arial Narrow"/>
                <w:noProof/>
                <w:color w:val="000000"/>
                <w:sz w:val="20"/>
              </w:rPr>
              <w:t xml:space="preserve"> </w:t>
            </w:r>
            <w:r>
              <w:rPr>
                <w:noProof/>
                <w:color w:val="000000"/>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 xml:space="preserve"> (AC,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rPr>
            </w:pPr>
            <w:r>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r>
    </w:tbl>
    <w:p>
      <w:pPr>
        <w:pStyle w:val="Text1"/>
        <w:ind w:left="-426"/>
        <w:rPr>
          <w:noProof/>
          <w:color w:val="000000" w:themeColor="text1"/>
        </w:rPr>
      </w:pPr>
      <w:bookmarkStart w:id="74" w:name="_Hlk167692843"/>
      <w:bookmarkEnd w:id="73"/>
      <w:r>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289"/>
        <w:gridCol w:w="1667"/>
        <w:gridCol w:w="1938"/>
        <w:gridCol w:w="1748"/>
      </w:tblGrid>
      <w:tr>
        <w:trPr>
          <w:trHeight w:val="300"/>
        </w:trPr>
        <w:tc>
          <w:tcPr>
            <w:tcW w:w="1845" w:type="dxa"/>
          </w:tcPr>
          <w:p>
            <w:pPr>
              <w:pStyle w:val="Text1"/>
              <w:ind w:left="0"/>
              <w:jc w:val="center"/>
              <w:rPr>
                <w:b/>
                <w:bCs/>
                <w:noProof/>
                <w:sz w:val="22"/>
                <w:szCs w:val="28"/>
              </w:rPr>
            </w:pPr>
          </w:p>
        </w:tc>
        <w:tc>
          <w:tcPr>
            <w:tcW w:w="2289" w:type="dxa"/>
          </w:tcPr>
          <w:p>
            <w:pPr>
              <w:pStyle w:val="Text1"/>
              <w:ind w:left="0"/>
              <w:jc w:val="center"/>
              <w:rPr>
                <w:b/>
                <w:bCs/>
                <w:noProof/>
                <w:sz w:val="22"/>
              </w:rPr>
            </w:pPr>
            <w:r>
              <w:rPr>
                <w:b/>
                <w:noProof/>
                <w:sz w:val="22"/>
              </w:rPr>
              <w:t xml:space="preserve">Personal ce urmează să fie acoperit de personalul actual disponibil în cadrul serviciilor Comisiei </w:t>
            </w:r>
          </w:p>
        </w:tc>
        <w:tc>
          <w:tcPr>
            <w:tcW w:w="5353" w:type="dxa"/>
            <w:gridSpan w:val="3"/>
          </w:tcPr>
          <w:p>
            <w:pPr>
              <w:pStyle w:val="Text1"/>
              <w:ind w:left="0"/>
              <w:jc w:val="center"/>
              <w:rPr>
                <w:b/>
                <w:bCs/>
                <w:noProof/>
                <w:sz w:val="22"/>
              </w:rPr>
            </w:pPr>
            <w:r>
              <w:rPr>
                <w:b/>
                <w:noProof/>
                <w:sz w:val="22"/>
              </w:rPr>
              <w:t>În mod excepțional, personal suplimentar*</w:t>
            </w:r>
          </w:p>
        </w:tc>
      </w:tr>
      <w:tr>
        <w:trPr>
          <w:trHeight w:val="300"/>
        </w:trPr>
        <w:tc>
          <w:tcPr>
            <w:tcW w:w="1845" w:type="dxa"/>
          </w:tcPr>
          <w:p>
            <w:pPr>
              <w:pStyle w:val="Text1"/>
              <w:ind w:left="0"/>
              <w:jc w:val="center"/>
              <w:rPr>
                <w:b/>
                <w:bCs/>
                <w:noProof/>
                <w:sz w:val="22"/>
                <w:szCs w:val="28"/>
              </w:rPr>
            </w:pPr>
          </w:p>
        </w:tc>
        <w:tc>
          <w:tcPr>
            <w:tcW w:w="2289" w:type="dxa"/>
          </w:tcPr>
          <w:p>
            <w:pPr>
              <w:pStyle w:val="Text1"/>
              <w:ind w:left="0"/>
              <w:jc w:val="center"/>
              <w:rPr>
                <w:b/>
                <w:bCs/>
                <w:noProof/>
                <w:sz w:val="22"/>
                <w:szCs w:val="28"/>
              </w:rPr>
            </w:pPr>
          </w:p>
        </w:tc>
        <w:tc>
          <w:tcPr>
            <w:tcW w:w="1667" w:type="dxa"/>
          </w:tcPr>
          <w:p>
            <w:pPr>
              <w:pStyle w:val="Text1"/>
              <w:ind w:left="0"/>
              <w:jc w:val="center"/>
              <w:rPr>
                <w:b/>
                <w:bCs/>
                <w:noProof/>
                <w:sz w:val="22"/>
              </w:rPr>
            </w:pPr>
            <w:r>
              <w:rPr>
                <w:b/>
                <w:noProof/>
                <w:sz w:val="22"/>
              </w:rPr>
              <w:t>Personal ce urmează să fie finanțat în cadrul rubricii 4 sau Cercetare</w:t>
            </w:r>
          </w:p>
        </w:tc>
        <w:tc>
          <w:tcPr>
            <w:tcW w:w="1938" w:type="dxa"/>
          </w:tcPr>
          <w:p>
            <w:pPr>
              <w:pStyle w:val="Text1"/>
              <w:ind w:left="0"/>
              <w:jc w:val="center"/>
              <w:rPr>
                <w:b/>
                <w:bCs/>
                <w:noProof/>
                <w:sz w:val="22"/>
                <w:szCs w:val="28"/>
              </w:rPr>
            </w:pPr>
            <w:r>
              <w:rPr>
                <w:b/>
                <w:noProof/>
                <w:sz w:val="22"/>
              </w:rPr>
              <w:t>Personal ce urmează să fie finanțat de la linia BA</w:t>
            </w:r>
          </w:p>
        </w:tc>
        <w:tc>
          <w:tcPr>
            <w:tcW w:w="1748" w:type="dxa"/>
          </w:tcPr>
          <w:p>
            <w:pPr>
              <w:pStyle w:val="Text1"/>
              <w:ind w:left="0"/>
              <w:jc w:val="center"/>
              <w:rPr>
                <w:b/>
                <w:bCs/>
                <w:noProof/>
                <w:sz w:val="22"/>
                <w:szCs w:val="28"/>
              </w:rPr>
            </w:pPr>
            <w:r>
              <w:rPr>
                <w:b/>
                <w:noProof/>
                <w:sz w:val="22"/>
              </w:rPr>
              <w:t>Personal ce urmează să fie finanțat din taxe</w:t>
            </w:r>
          </w:p>
        </w:tc>
      </w:tr>
      <w:tr>
        <w:trPr>
          <w:trHeight w:val="300"/>
        </w:trPr>
        <w:tc>
          <w:tcPr>
            <w:tcW w:w="1845" w:type="dxa"/>
          </w:tcPr>
          <w:p>
            <w:pPr>
              <w:pStyle w:val="Text1"/>
              <w:ind w:left="0"/>
              <w:rPr>
                <w:noProof/>
                <w:sz w:val="22"/>
                <w:szCs w:val="28"/>
              </w:rPr>
            </w:pPr>
            <w:r>
              <w:rPr>
                <w:noProof/>
                <w:sz w:val="22"/>
              </w:rPr>
              <w:t>Posturi din schema de personal</w:t>
            </w:r>
          </w:p>
        </w:tc>
        <w:tc>
          <w:tcPr>
            <w:tcW w:w="2289" w:type="dxa"/>
          </w:tcPr>
          <w:p>
            <w:pPr>
              <w:pStyle w:val="Text1"/>
              <w:ind w:left="0"/>
              <w:rPr>
                <w:noProof/>
                <w:sz w:val="22"/>
                <w:szCs w:val="28"/>
              </w:rPr>
            </w:pPr>
            <w:r>
              <w:rPr>
                <w:noProof/>
                <w:sz w:val="22"/>
              </w:rPr>
              <w:t>3</w:t>
            </w:r>
            <w:r>
              <w:rPr>
                <w:noProof/>
                <w:sz w:val="22"/>
              </w:rPr>
              <w:br/>
              <w:t>[N.B. Având în vedere situația dificilă per ansamblu de la rubrica 4, atât în ceea ce privește personalul, cât și nivelul creditelor, necesarul de resurse umane va fi asigurat din efectivele de personal ale DG-ului în cauză alocate deja pentru gestionarea acțiunii și/sau redistribuite în cadrul DG-ului sau al altor servicii ale Comisiei]</w:t>
            </w:r>
          </w:p>
        </w:tc>
        <w:tc>
          <w:tcPr>
            <w:tcW w:w="1667" w:type="dxa"/>
          </w:tcPr>
          <w:p>
            <w:pPr>
              <w:pStyle w:val="Text1"/>
              <w:ind w:left="0"/>
              <w:rPr>
                <w:noProof/>
                <w:sz w:val="22"/>
                <w:szCs w:val="28"/>
              </w:rPr>
            </w:pPr>
          </w:p>
        </w:tc>
        <w:tc>
          <w:tcPr>
            <w:tcW w:w="1938" w:type="dxa"/>
          </w:tcPr>
          <w:p>
            <w:pPr>
              <w:pStyle w:val="Text1"/>
              <w:ind w:left="0"/>
              <w:rPr>
                <w:noProof/>
                <w:sz w:val="22"/>
                <w:szCs w:val="28"/>
              </w:rPr>
            </w:pPr>
            <w:r>
              <w:rPr>
                <w:noProof/>
                <w:sz w:val="22"/>
              </w:rPr>
              <w:t>N/A</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rPr>
              <w:t>Personal extern (AC, END, INT)</w:t>
            </w:r>
          </w:p>
        </w:tc>
        <w:tc>
          <w:tcPr>
            <w:tcW w:w="2289" w:type="dxa"/>
          </w:tcPr>
          <w:p>
            <w:pPr>
              <w:pStyle w:val="Text1"/>
              <w:ind w:left="0"/>
              <w:rPr>
                <w:noProof/>
                <w:sz w:val="22"/>
                <w:szCs w:val="28"/>
              </w:rPr>
            </w:pPr>
          </w:p>
        </w:tc>
        <w:tc>
          <w:tcPr>
            <w:tcW w:w="1667" w:type="dxa"/>
          </w:tcPr>
          <w:p>
            <w:pPr>
              <w:pStyle w:val="Text1"/>
              <w:ind w:left="0"/>
              <w:rPr>
                <w:noProof/>
                <w:sz w:val="22"/>
                <w:szCs w:val="28"/>
              </w:rPr>
            </w:pP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pStyle w:val="Text1"/>
        <w:ind w:left="-426" w:right="-427"/>
        <w:rPr>
          <w:noProof/>
        </w:rPr>
      </w:pPr>
      <w:r>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vAlign w:val="center"/>
          </w:tcPr>
          <w:p>
            <w:pPr>
              <w:rPr>
                <w:noProof/>
                <w:sz w:val="20"/>
              </w:rPr>
            </w:pPr>
            <w:r>
              <w:rPr>
                <w:noProof/>
              </w:rPr>
              <w:t>Sunt necesare 3 ENI pentru a monitoriza punerea în aplicare și asigurarea respectării regulamentului.</w:t>
            </w:r>
          </w:p>
        </w:tc>
      </w:tr>
      <w:tr>
        <w:tc>
          <w:tcPr>
            <w:tcW w:w="3240" w:type="dxa"/>
          </w:tcPr>
          <w:p>
            <w:pPr>
              <w:spacing w:before="60" w:after="60"/>
              <w:rPr>
                <w:noProof/>
                <w:sz w:val="20"/>
              </w:rPr>
            </w:pPr>
            <w:r>
              <w:rPr>
                <w:noProof/>
                <w:sz w:val="20"/>
              </w:rPr>
              <w:t>Personal extern</w:t>
            </w:r>
          </w:p>
        </w:tc>
        <w:tc>
          <w:tcPr>
            <w:tcW w:w="7200" w:type="dxa"/>
          </w:tcPr>
          <w:p>
            <w:pPr>
              <w:rPr>
                <w:noProof/>
                <w:sz w:val="20"/>
              </w:rPr>
            </w:pPr>
          </w:p>
        </w:tc>
      </w:tr>
    </w:tbl>
    <w:p>
      <w:pPr>
        <w:pStyle w:val="ManualHeading3"/>
        <w:rPr>
          <w:noProof/>
        </w:rPr>
      </w:pPr>
      <w:bookmarkStart w:id="75" w:name="_Toc239673868"/>
      <w:r>
        <w:rPr>
          <w:noProof/>
        </w:rPr>
        <w:t>3.2.5.</w:t>
      </w:r>
      <w:r>
        <w:rPr>
          <w:noProof/>
        </w:rPr>
        <w:tab/>
        <w:t>Prezentare generală a impactului estimat asupra investițiilor legate de tehnologia digitală</w:t>
      </w:r>
      <w:bookmarkEnd w:id="75"/>
    </w:p>
    <w:p>
      <w:pPr>
        <w:pStyle w:val="Text1"/>
        <w:spacing w:line="259" w:lineRule="auto"/>
        <w:rPr>
          <w:noProof/>
        </w:rPr>
      </w:pPr>
      <w:r>
        <w:rPr>
          <w:noProof/>
        </w:rPr>
        <w:t xml:space="preserve">Obligatoriu: în tabelul de mai jos ar trebui inclusă cea mai bună estimare a investițiilor legate de tehnologia digitală generate de propunere/inițiativă. </w:t>
      </w:r>
    </w:p>
    <w:p>
      <w:pPr>
        <w:pStyle w:val="Text1"/>
        <w:spacing w:line="259" w:lineRule="auto"/>
        <w:rPr>
          <w:noProof/>
        </w:rPr>
      </w:pPr>
      <w:r>
        <w:rPr>
          <w:noProof/>
        </w:rPr>
        <w:t xml:space="preserve">În mod excepțional, atunci când este necesar pentru punerea în aplicare a propunerii/inițiativei, creditele de la rubrica 4 ar trebui prezentate la linia bugetară desemnată. </w:t>
      </w:r>
    </w:p>
    <w:p>
      <w:pPr>
        <w:pStyle w:val="Text1"/>
        <w:spacing w:line="259" w:lineRule="auto"/>
        <w:rPr>
          <w:noProof/>
        </w:rPr>
      </w:pPr>
      <w:r>
        <w:rPr>
          <w:noProof/>
        </w:rPr>
        <w:t>Creditele de la rubricile 1-3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bookmarkEnd w:id="74"/>
          <w:p>
            <w:pPr>
              <w:spacing w:before="0" w:after="0"/>
              <w:jc w:val="center"/>
              <w:rPr>
                <w:rFonts w:eastAsia="Times New Roman"/>
                <w:b/>
                <w:bCs/>
                <w:noProof/>
                <w:color w:val="000000"/>
                <w:sz w:val="18"/>
                <w:szCs w:val="18"/>
              </w:rPr>
            </w:pPr>
            <w:r>
              <w:rPr>
                <w:b/>
                <w:noProof/>
                <w:color w:val="000000" w:themeColor="text1"/>
                <w:sz w:val="18"/>
              </w:rPr>
              <w:t>TOTAL credite pentru componenta digitală și IT</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CFM 2028-2034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RUBRICA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Cheltuieli IT (corporative)</w:t>
            </w:r>
            <w:r>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În afara RUBRICII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rPr>
            </w:pPr>
            <w:r>
              <w:rPr>
                <w:noProof/>
                <w:color w:val="000000" w:themeColor="text1"/>
                <w:sz w:val="16"/>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rPr>
            </w:pPr>
            <w:r>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bl>
    <w:p>
      <w:pPr>
        <w:pStyle w:val="ManualHeading3"/>
        <w:rPr>
          <w:noProof/>
        </w:rPr>
      </w:pPr>
      <w:bookmarkStart w:id="76" w:name="_Toc239673869"/>
      <w:r>
        <w:rPr>
          <w:noProof/>
        </w:rPr>
        <w:t>3.2.6.</w:t>
      </w:r>
      <w:r>
        <w:rPr>
          <w:noProof/>
        </w:rPr>
        <w:tab/>
        <w:t>Compatibilitatea cu cadrul financiar multianual actual</w:t>
      </w:r>
      <w:bookmarkEnd w:id="76"/>
      <w:r>
        <w:rPr>
          <w:noProof/>
        </w:rPr>
        <w:t xml:space="preserve"> </w:t>
      </w:r>
    </w:p>
    <w:p>
      <w:pPr>
        <w:pStyle w:val="Text1"/>
        <w:rPr>
          <w:noProof/>
        </w:rPr>
      </w:pPr>
      <w:r>
        <w:rPr>
          <w:noProof/>
        </w:rPr>
        <w:t>Propunerea/inițiativa:</w:t>
      </w:r>
    </w:p>
    <w:p>
      <w:pPr>
        <w:pStyle w:val="ListDash1"/>
        <w:tabs>
          <w:tab w:val="num" w:pos="1134"/>
        </w:tabs>
        <w:rPr>
          <w:noProof/>
        </w:rPr>
      </w:pPr>
      <w:r>
        <w:rPr>
          <w:rFonts w:ascii="Wingdings" w:hAnsi="Wingdings"/>
          <w:noProof/>
        </w:rPr>
        <w:t>x</w:t>
      </w:r>
      <w:r>
        <w:rPr>
          <w:noProof/>
        </w:rPr>
        <w:tab/>
        <w:t>poate fi finanțată integral prin realocarea creditelor în cadrul rubricii relevante din cadrul financiar multianual (CFM)</w:t>
      </w:r>
    </w:p>
    <w:p>
      <w:pPr>
        <w:pStyle w:val="ListDash1"/>
        <w:tabs>
          <w:tab w:val="num" w:pos="1134"/>
        </w:tabs>
        <w:rPr>
          <w:noProof/>
        </w:rPr>
      </w:pPr>
      <w:r>
        <w:rPr>
          <w:rFonts w:ascii="Wingdings" w:hAnsi="Wingdings"/>
          <w:noProof/>
        </w:rPr>
        <w:t>¨</w:t>
      </w:r>
      <w:r>
        <w:rPr>
          <w:noProof/>
        </w:rPr>
        <w:tab/>
        <w:t>necesită utilizarea marjei nealocate din cadrul rubricii corespunzătoare din CFM și/sau utilizarea instrumentelor speciale, astfel cum sunt definite în Regulamentul privind CFM</w:t>
      </w:r>
    </w:p>
    <w:p>
      <w:pPr>
        <w:pStyle w:val="ListDash1"/>
        <w:tabs>
          <w:tab w:val="num" w:pos="1134"/>
        </w:tabs>
        <w:rPr>
          <w:noProof/>
        </w:rPr>
      </w:pPr>
      <w:r>
        <w:rPr>
          <w:rFonts w:ascii="Wingdings" w:hAnsi="Wingdings"/>
          <w:noProof/>
        </w:rPr>
        <w:t>¨</w:t>
      </w:r>
      <w:r>
        <w:rPr>
          <w:noProof/>
        </w:rPr>
        <w:tab/>
        <w:t>necesită revizuirea CFM</w:t>
      </w:r>
    </w:p>
    <w:p>
      <w:pPr>
        <w:pStyle w:val="ManualHeading3"/>
        <w:rPr>
          <w:noProof/>
        </w:rPr>
      </w:pPr>
      <w:bookmarkStart w:id="77" w:name="_Toc239673870"/>
      <w:r>
        <w:rPr>
          <w:noProof/>
        </w:rPr>
        <w:t>3.2.7.</w:t>
      </w:r>
      <w:r>
        <w:rPr>
          <w:noProof/>
        </w:rPr>
        <w:tab/>
        <w:t>Contribuțiile terților</w:t>
      </w:r>
      <w:bookmarkEnd w:id="77"/>
      <w:r>
        <w:rPr>
          <w:noProof/>
        </w:rPr>
        <w:t xml:space="preserve"> </w:t>
      </w:r>
    </w:p>
    <w:p>
      <w:pPr>
        <w:pStyle w:val="Text1"/>
        <w:rPr>
          <w:noProof/>
        </w:rPr>
      </w:pPr>
      <w:r>
        <w:rPr>
          <w:noProof/>
        </w:rPr>
        <w:t>Propunerea/inițiativa:</w:t>
      </w:r>
    </w:p>
    <w:p>
      <w:pPr>
        <w:pStyle w:val="ListDash1"/>
        <w:tabs>
          <w:tab w:val="num" w:pos="1134"/>
        </w:tabs>
        <w:rPr>
          <w:noProof/>
        </w:rPr>
      </w:pPr>
      <w:r>
        <w:rPr>
          <w:rFonts w:ascii="Wingdings" w:hAnsi="Wingdings"/>
          <w:noProof/>
        </w:rPr>
        <w:t>x</w:t>
      </w:r>
      <w:r>
        <w:rPr>
          <w:noProof/>
        </w:rPr>
        <w:tab/>
        <w:t>nu prevede cofinanțare din partea terților</w:t>
      </w:r>
    </w:p>
    <w:p>
      <w:pPr>
        <w:pStyle w:val="ListDash1"/>
        <w:tabs>
          <w:tab w:val="num" w:pos="1134"/>
        </w:tabs>
        <w:rPr>
          <w:noProof/>
        </w:rPr>
      </w:pPr>
      <w:r>
        <w:rPr>
          <w:rFonts w:ascii="Wingdings" w:hAnsi="Wingdings"/>
          <w:noProof/>
        </w:rPr>
        <w:t>¨</w:t>
      </w:r>
      <w:r>
        <w:rPr>
          <w:noProof/>
        </w:rPr>
        <w:tab/>
        <w:t>prevede cofinanțare din partea terților, estimată mai jos:</w:t>
      </w:r>
    </w:p>
    <w:p>
      <w:pPr>
        <w:jc w:val="right"/>
        <w:rPr>
          <w:noProof/>
          <w:sz w:val="20"/>
        </w:rPr>
      </w:pPr>
      <w:r>
        <w:rPr>
          <w:noProof/>
          <w:sz w:val="20"/>
        </w:rPr>
        <w:t>Credite în milioane EUR (cu 3 zecimale)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A se preciza organismul care asigură cofinanțarea</w:t>
            </w:r>
            <w:r>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rPr>
            </w:pPr>
            <w:r>
              <w:rPr>
                <w:noProof/>
                <w:color w:val="000000"/>
                <w:sz w:val="20"/>
              </w:rPr>
              <w:t xml:space="preserve">TOTAL credite cofinanțate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r>
    </w:tbl>
    <w:p>
      <w:pPr>
        <w:outlineLvl w:val="1"/>
        <w:rPr>
          <w:noProof/>
        </w:rPr>
      </w:pPr>
    </w:p>
    <w:p>
      <w:pPr>
        <w:outlineLvl w:val="1"/>
        <w:rPr>
          <w:noProof/>
        </w:rPr>
      </w:pPr>
    </w:p>
    <w:p>
      <w:pPr>
        <w:outlineLvl w:val="1"/>
        <w:rPr>
          <w:i/>
          <w:noProof/>
        </w:rPr>
      </w:pPr>
      <w:bookmarkStart w:id="78" w:name="_Toc236062564"/>
      <w:bookmarkStart w:id="79" w:name="_Toc239673871"/>
      <w:bookmarkStart w:id="80" w:name="_TocDCF3857748774A0FBF547E2E5BCC2ECA"/>
      <w:bookmarkStart w:id="81" w:name="_Hlk177486416"/>
      <w:bookmarkStart w:id="82" w:name="_Hlk166860179"/>
      <w:r>
        <w:rPr>
          <w:i/>
          <w:noProof/>
        </w:rPr>
        <w:t>3.2.8.</w:t>
      </w:r>
      <w:r>
        <w:rPr>
          <w:i/>
          <w:noProof/>
        </w:rPr>
        <w:tab/>
        <w:t>Estimarea resurselor umane și utilizarea creditelor necesare în cadrul unei agenții descentralizate</w:t>
      </w:r>
      <w:bookmarkEnd w:id="78"/>
      <w:bookmarkEnd w:id="79"/>
      <w:r>
        <w:rPr>
          <w:i/>
          <w:noProof/>
        </w:rPr>
        <w:t xml:space="preserve"> </w:t>
      </w:r>
      <w:bookmarkEnd w:id="80"/>
    </w:p>
    <w:bookmarkEnd w:id="81"/>
    <w:p>
      <w:pPr>
        <w:pStyle w:val="Text1"/>
        <w:ind w:left="0"/>
        <w:rPr>
          <w:noProof/>
        </w:rPr>
      </w:pPr>
    </w:p>
    <w:p>
      <w:pPr>
        <w:pStyle w:val="Text1"/>
        <w:ind w:left="0"/>
        <w:rPr>
          <w:noProof/>
        </w:rPr>
      </w:pPr>
      <w:r>
        <w:rPr>
          <w:noProof/>
        </w:rPr>
        <w:t>Centrul de competențe ar urma să ofere sprijin în domenii precum exploatarea și comercializarea proprietății intelectuale, precum și accesul la finanțare. Se estimează că punerea în aplicare a acestor activități va necesita 10 posturi echivalente normă întreagă pe an în etapa de punere în aplicare, presupunând o perioadă de dezvoltare de doi ani. În cazul în care actul intră în vigoare în 2028, această perioadă ar acoperi, prin urmare, anii 2028 și 2029. După ce Centrul de competențe devine pe deplin operațional, necesarul estimat de personal ar scădea la 8 posturi echivalente normă întreagă pe an.</w:t>
      </w:r>
    </w:p>
    <w:p>
      <w:pPr>
        <w:pStyle w:val="Text1"/>
        <w:ind w:left="0"/>
        <w:rPr>
          <w:noProof/>
        </w:rPr>
      </w:pPr>
    </w:p>
    <w:p>
      <w:pPr>
        <w:pStyle w:val="Text1"/>
        <w:ind w:left="0"/>
        <w:rPr>
          <w:noProof/>
        </w:rPr>
      </w:pPr>
      <w:r>
        <w:rPr>
          <w:noProof/>
        </w:rPr>
        <w:t>Cerințe privind personalul (unități echivalent normă întreagă)</w:t>
      </w:r>
    </w:p>
    <w:tbl>
      <w:tblPr>
        <w:tblW w:w="95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39"/>
        <w:gridCol w:w="995"/>
        <w:gridCol w:w="996"/>
        <w:gridCol w:w="996"/>
        <w:gridCol w:w="996"/>
        <w:gridCol w:w="996"/>
        <w:gridCol w:w="996"/>
        <w:gridCol w:w="996"/>
      </w:tblGrid>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Agenția: EUIPO</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Anul 2028</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Anul 2029</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Anul 2030</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Anul 2031</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Anul 2032</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Anul 2033</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Anul 2034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pPr>
              <w:pStyle w:val="Text1"/>
              <w:ind w:left="0"/>
              <w:rPr>
                <w:noProof/>
              </w:rPr>
            </w:pPr>
            <w:r>
              <w:rPr>
                <w:noProof/>
              </w:rPr>
              <w:t xml:space="preserve">Agenți temporari </w:t>
            </w:r>
          </w:p>
          <w:p>
            <w:pPr>
              <w:pStyle w:val="Text1"/>
              <w:ind w:left="0"/>
              <w:rPr>
                <w:noProof/>
              </w:rPr>
            </w:pPr>
            <w:r>
              <w:rPr>
                <w:noProof/>
              </w:rPr>
              <w:t>(gradele AD)</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 xml:space="preserve">Agenți temporari </w:t>
            </w:r>
          </w:p>
          <w:p>
            <w:pPr>
              <w:pStyle w:val="Text1"/>
              <w:ind w:left="0"/>
              <w:rPr>
                <w:noProof/>
              </w:rPr>
            </w:pPr>
            <w:r>
              <w:rPr>
                <w:noProof/>
              </w:rPr>
              <w:t>(gradele AST)</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Subtotal agenți temporari (AD+AST)</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Agenți contractuali</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Experți naționali detașați</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r>
      <w:tr>
        <w:trPr>
          <w:trHeight w:val="521"/>
          <w:jc w:val="center"/>
        </w:trPr>
        <w:tc>
          <w:tcPr>
            <w:tcW w:w="2541"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Subtotal agenți contractuali și experți naționali detașați</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TOTAL personal</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r>
    </w:tbl>
    <w:p>
      <w:pPr>
        <w:outlineLvl w:val="1"/>
        <w:rPr>
          <w:noProof/>
          <w:u w:val="single"/>
        </w:rPr>
      </w:pPr>
    </w:p>
    <w:p>
      <w:pPr>
        <w:outlineLvl w:val="1"/>
        <w:rPr>
          <w:noProof/>
          <w:u w:val="single"/>
        </w:rPr>
      </w:pPr>
    </w:p>
    <w:p>
      <w:pPr>
        <w:pStyle w:val="Text1"/>
        <w:ind w:left="0"/>
        <w:rPr>
          <w:noProof/>
        </w:rPr>
      </w:pPr>
      <w:r>
        <w:rPr>
          <w:noProof/>
        </w:rPr>
        <w:t xml:space="preserve">Prezentare generală/sinteză a resurselor umane și a creditelor (în milioane EUR) necesare pentru propunere/inițiativă în cadrul unei agenții descentralizate </w:t>
      </w:r>
    </w:p>
    <w:tbl>
      <w:tblPr>
        <w:tblW w:w="8869"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89"/>
        <w:gridCol w:w="867"/>
        <w:gridCol w:w="868"/>
        <w:gridCol w:w="869"/>
        <w:gridCol w:w="869"/>
        <w:gridCol w:w="869"/>
        <w:gridCol w:w="869"/>
        <w:gridCol w:w="869"/>
      </w:tblGrid>
      <w:tr>
        <w:trPr>
          <w:cantSplit/>
          <w:trHeight w:val="592"/>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Agenția: EUIPO</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Anul 2028</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Anul 2029</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Anul 2030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Anul 2031</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Anul 2032</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Anul 2033</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Anul 2034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Agenți temporari (AD+AST)</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6</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6</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Agenți contractuali</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Experți naționali detașați</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Total personal</w:t>
            </w:r>
          </w:p>
        </w:tc>
        <w:tc>
          <w:tcPr>
            <w:tcW w:w="8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10</w:t>
            </w:r>
          </w:p>
        </w:tc>
        <w:tc>
          <w:tcPr>
            <w:tcW w:w="86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10</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Credite acoperite de bugetul UE</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 xml:space="preserve">Credite acoperite de taxe </w:t>
            </w:r>
          </w:p>
          <w:p>
            <w:pPr>
              <w:pStyle w:val="Text1"/>
              <w:ind w:left="0"/>
              <w:rPr>
                <w:noProof/>
              </w:rPr>
            </w:pPr>
            <w:r>
              <w:rPr>
                <w:noProof/>
              </w:rPr>
              <w:t>(dacă este cazul)</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Credite acoperite de bugetul operațional/excedentul EUIPO</w:t>
            </w:r>
          </w:p>
          <w:p>
            <w:pPr>
              <w:pStyle w:val="Text1"/>
              <w:ind w:left="0"/>
              <w:rPr>
                <w:noProof/>
              </w:rPr>
            </w:pPr>
            <w:r>
              <w:rPr>
                <w:noProof/>
              </w:rPr>
              <w:t>(după caz)</w:t>
            </w:r>
          </w:p>
        </w:tc>
        <w:tc>
          <w:tcPr>
            <w:tcW w:w="867"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0,746</w:t>
            </w:r>
          </w:p>
        </w:tc>
        <w:tc>
          <w:tcPr>
            <w:tcW w:w="868"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1,523</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1,173</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1,196</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1,220</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1,245</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1,269</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 xml:space="preserve">Credite cofinanțate </w:t>
            </w:r>
          </w:p>
          <w:p>
            <w:pPr>
              <w:pStyle w:val="Text1"/>
              <w:ind w:left="0"/>
              <w:rPr>
                <w:noProof/>
              </w:rPr>
            </w:pPr>
            <w:r>
              <w:rPr>
                <w:noProof/>
              </w:rPr>
              <w:t>(dacă este cazul)</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TOTAL credite</w:t>
            </w:r>
          </w:p>
        </w:tc>
        <w:tc>
          <w:tcPr>
            <w:tcW w:w="8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0,746</w:t>
            </w:r>
          </w:p>
        </w:tc>
        <w:tc>
          <w:tcPr>
            <w:tcW w:w="86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1,523</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1,173</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1,196</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1,220</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1,245</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1,269</w:t>
            </w:r>
          </w:p>
        </w:tc>
      </w:tr>
    </w:tbl>
    <w:p>
      <w:pPr>
        <w:rPr>
          <w:noProof/>
        </w:rPr>
      </w:pPr>
    </w:p>
    <w:p>
      <w:pPr>
        <w:rPr>
          <w:noProof/>
        </w:rPr>
      </w:pPr>
      <w:r>
        <w:rPr>
          <w:noProof/>
        </w:rPr>
        <w:t>Oficiul își rezervă poziția în ceea ce privește calcularea veniturilor care pot decurge din dispoziția EIM relevantă.</w:t>
      </w:r>
    </w:p>
    <w:p>
      <w:pPr>
        <w:outlineLvl w:val="1"/>
        <w:rPr>
          <w:noProof/>
          <w:szCs w:val="24"/>
        </w:rPr>
      </w:pPr>
      <w:r>
        <w:rPr>
          <w:noProof/>
        </w:rPr>
        <w:br/>
      </w:r>
      <w:bookmarkStart w:id="83" w:name="_Toc239673872"/>
      <w:r>
        <w:rPr>
          <w:noProof/>
        </w:rPr>
        <w:t>3.3.</w:t>
      </w:r>
      <w:r>
        <w:rPr>
          <w:noProof/>
        </w:rPr>
        <w:tab/>
        <w:t>Impactul estimat asupra veniturilor</w:t>
      </w:r>
      <w:bookmarkEnd w:id="83"/>
      <w:r>
        <w:rPr>
          <w:noProof/>
        </w:rPr>
        <w:t xml:space="preserve"> </w:t>
      </w:r>
    </w:p>
    <w:bookmarkEnd w:id="82"/>
    <w:p>
      <w:pPr>
        <w:pStyle w:val="ListDash1"/>
        <w:tabs>
          <w:tab w:val="num" w:pos="1134"/>
        </w:tabs>
        <w:rPr>
          <w:noProof/>
        </w:rPr>
      </w:pPr>
      <w:r>
        <w:rPr>
          <w:rFonts w:ascii="Wingdings" w:hAnsi="Wingdings"/>
          <w:noProof/>
        </w:rPr>
        <w:t>x</w:t>
      </w:r>
      <w:r>
        <w:rPr>
          <w:noProof/>
        </w:rPr>
        <w:tab/>
        <w:t>Propunerea/inițiativa nu are impact financiar asupra veniturilor.</w:t>
      </w:r>
    </w:p>
    <w:p>
      <w:pPr>
        <w:pStyle w:val="ListDash1"/>
        <w:tabs>
          <w:tab w:val="num" w:pos="1134"/>
        </w:tabs>
        <w:rPr>
          <w:noProof/>
        </w:rPr>
      </w:pPr>
      <w:r>
        <w:rPr>
          <w:rFonts w:ascii="Wingdings" w:hAnsi="Wingdings"/>
          <w:noProof/>
        </w:rPr>
        <w:t>¨</w:t>
      </w:r>
      <w:r>
        <w:rPr>
          <w:noProof/>
        </w:rPr>
        <w:tab/>
        <w:t>Propunerea/inițiativa are următorul impact financiar:</w:t>
      </w:r>
    </w:p>
    <w:p>
      <w:pPr>
        <w:pStyle w:val="ListNumberLevel3"/>
        <w:tabs>
          <w:tab w:val="num" w:pos="1843"/>
        </w:tabs>
        <w:rPr>
          <w:noProof/>
        </w:rPr>
      </w:pPr>
      <w:r>
        <w:rPr>
          <w:rFonts w:ascii="Wingdings" w:hAnsi="Wingdings"/>
          <w:noProof/>
        </w:rPr>
        <w:t>¨</w:t>
      </w:r>
      <w:r>
        <w:rPr>
          <w:noProof/>
        </w:rPr>
        <w:tab/>
        <w:t xml:space="preserve">asupra resurselor proprii </w:t>
      </w:r>
    </w:p>
    <w:p>
      <w:pPr>
        <w:pStyle w:val="ListNumberLevel3"/>
        <w:tabs>
          <w:tab w:val="num" w:pos="1843"/>
        </w:tabs>
        <w:rPr>
          <w:noProof/>
        </w:rPr>
      </w:pPr>
      <w:r>
        <w:rPr>
          <w:rFonts w:ascii="Wingdings" w:hAnsi="Wingdings"/>
          <w:noProof/>
        </w:rPr>
        <w:t>¨</w:t>
      </w:r>
      <w:r>
        <w:rPr>
          <w:noProof/>
        </w:rPr>
        <w:tab/>
        <w:t>asupra altor venituri</w:t>
      </w:r>
    </w:p>
    <w:p>
      <w:pPr>
        <w:pStyle w:val="ListNumberLevel3"/>
        <w:tabs>
          <w:tab w:val="num" w:pos="1843"/>
        </w:tabs>
        <w:rPr>
          <w:noProof/>
        </w:rPr>
      </w:pPr>
      <w:r>
        <w:rPr>
          <w:rFonts w:ascii="Wingdings" w:hAnsi="Wingdings"/>
          <w:noProof/>
        </w:rPr>
        <w:t>¨</w:t>
      </w:r>
      <w:r>
        <w:rPr>
          <w:rFonts w:ascii="Wingdings" w:hAnsi="Wingdings"/>
          <w:noProof/>
        </w:rPr>
        <w:tab/>
      </w:r>
      <w:r>
        <w:rPr>
          <w:noProof/>
        </w:rPr>
        <w:t>vă rugăm să precizați dacă veniturile sunt alocate unor linii de cheltuieli</w:t>
      </w:r>
    </w:p>
    <w:p>
      <w:pPr>
        <w:jc w:val="right"/>
        <w:rPr>
          <w:noProof/>
          <w:sz w:val="20"/>
        </w:rPr>
      </w:pPr>
      <w:r>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trPr>
          <w:trHeight w:val="388"/>
        </w:trPr>
        <w:tc>
          <w:tcPr>
            <w:tcW w:w="1001" w:type="pct"/>
            <w:vMerge w:val="restart"/>
            <w:vAlign w:val="center"/>
          </w:tcPr>
          <w:p>
            <w:pPr>
              <w:spacing w:before="40" w:after="40"/>
              <w:rPr>
                <w:noProof/>
                <w:sz w:val="18"/>
              </w:rPr>
            </w:pPr>
            <w:r>
              <w:rPr>
                <w:noProof/>
                <w:sz w:val="18"/>
              </w:rPr>
              <w:t>Linia bugetară pentru venituri:</w:t>
            </w:r>
          </w:p>
        </w:tc>
        <w:tc>
          <w:tcPr>
            <w:tcW w:w="703" w:type="pct"/>
            <w:vMerge w:val="restart"/>
            <w:vAlign w:val="center"/>
          </w:tcPr>
          <w:p>
            <w:pPr>
              <w:jc w:val="center"/>
              <w:rPr>
                <w:noProof/>
                <w:sz w:val="18"/>
              </w:rPr>
            </w:pPr>
            <w:r>
              <w:rPr>
                <w:noProof/>
                <w:sz w:val="18"/>
              </w:rPr>
              <w:t>Credite disponibile pentru exercițiul financiar în curs</w:t>
            </w:r>
          </w:p>
        </w:tc>
        <w:tc>
          <w:tcPr>
            <w:tcW w:w="3296" w:type="pct"/>
            <w:gridSpan w:val="7"/>
            <w:vAlign w:val="center"/>
          </w:tcPr>
          <w:p>
            <w:pPr>
              <w:jc w:val="center"/>
              <w:rPr>
                <w:noProof/>
                <w:sz w:val="18"/>
                <w:szCs w:val="18"/>
              </w:rPr>
            </w:pPr>
            <w:r>
              <w:rPr>
                <w:noProof/>
                <w:sz w:val="18"/>
              </w:rPr>
              <w:t>Impactul propunerii/inițiativei</w:t>
            </w:r>
            <w:r>
              <w:rPr>
                <w:rStyle w:val="FootnoteReference"/>
                <w:noProof/>
                <w:sz w:val="18"/>
                <w:szCs w:val="18"/>
              </w:rPr>
              <w:footnoteReference w:id="61"/>
            </w:r>
          </w:p>
        </w:tc>
      </w:tr>
      <w:tr>
        <w:trPr>
          <w:trHeight w:val="388"/>
        </w:trPr>
        <w:tc>
          <w:tcPr>
            <w:tcW w:w="1001" w:type="pct"/>
            <w:vMerge/>
          </w:tcPr>
          <w:p>
            <w:pPr>
              <w:spacing w:before="40" w:after="40"/>
              <w:rPr>
                <w:noProof/>
                <w:sz w:val="18"/>
              </w:rPr>
            </w:pPr>
          </w:p>
        </w:tc>
        <w:tc>
          <w:tcPr>
            <w:tcW w:w="703" w:type="pct"/>
            <w:vMerge/>
          </w:tcPr>
          <w:p>
            <w:pPr>
              <w:spacing w:beforeLines="40" w:before="96" w:afterLines="40" w:after="96"/>
              <w:rPr>
                <w:i/>
                <w:noProof/>
                <w:sz w:val="18"/>
              </w:rPr>
            </w:pPr>
          </w:p>
        </w:tc>
        <w:tc>
          <w:tcPr>
            <w:tcW w:w="490" w:type="pct"/>
            <w:vAlign w:val="center"/>
          </w:tcPr>
          <w:p>
            <w:pPr>
              <w:jc w:val="center"/>
              <w:rPr>
                <w:noProof/>
                <w:sz w:val="18"/>
              </w:rPr>
            </w:pPr>
            <w:r>
              <w:rPr>
                <w:noProof/>
                <w:sz w:val="18"/>
              </w:rPr>
              <w:t xml:space="preserve">Anul </w:t>
            </w:r>
            <w:r>
              <w:rPr>
                <w:b/>
                <w:noProof/>
                <w:sz w:val="18"/>
              </w:rPr>
              <w:t>2028</w:t>
            </w:r>
          </w:p>
        </w:tc>
        <w:tc>
          <w:tcPr>
            <w:tcW w:w="459" w:type="pct"/>
            <w:vAlign w:val="center"/>
          </w:tcPr>
          <w:p>
            <w:pPr>
              <w:jc w:val="center"/>
              <w:rPr>
                <w:noProof/>
                <w:sz w:val="18"/>
              </w:rPr>
            </w:pPr>
            <w:r>
              <w:rPr>
                <w:noProof/>
                <w:sz w:val="18"/>
              </w:rPr>
              <w:t xml:space="preserve">Anul </w:t>
            </w:r>
            <w:r>
              <w:rPr>
                <w:b/>
                <w:noProof/>
                <w:sz w:val="18"/>
              </w:rPr>
              <w:t>2029</w:t>
            </w:r>
          </w:p>
        </w:tc>
        <w:tc>
          <w:tcPr>
            <w:tcW w:w="462" w:type="pct"/>
            <w:vAlign w:val="center"/>
          </w:tcPr>
          <w:p>
            <w:pPr>
              <w:jc w:val="center"/>
              <w:rPr>
                <w:noProof/>
                <w:sz w:val="18"/>
              </w:rPr>
            </w:pPr>
            <w:r>
              <w:rPr>
                <w:noProof/>
                <w:sz w:val="18"/>
              </w:rPr>
              <w:t xml:space="preserve">Anul </w:t>
            </w:r>
            <w:r>
              <w:rPr>
                <w:b/>
                <w:noProof/>
                <w:sz w:val="18"/>
              </w:rPr>
              <w:t>2030</w:t>
            </w:r>
          </w:p>
        </w:tc>
        <w:tc>
          <w:tcPr>
            <w:tcW w:w="472" w:type="pct"/>
            <w:vAlign w:val="center"/>
          </w:tcPr>
          <w:p>
            <w:pPr>
              <w:jc w:val="center"/>
              <w:rPr>
                <w:noProof/>
                <w:sz w:val="18"/>
              </w:rPr>
            </w:pPr>
            <w:r>
              <w:rPr>
                <w:noProof/>
                <w:sz w:val="18"/>
              </w:rPr>
              <w:t xml:space="preserve">Anul </w:t>
            </w:r>
            <w:r>
              <w:rPr>
                <w:b/>
                <w:noProof/>
                <w:sz w:val="18"/>
              </w:rPr>
              <w:t>2031</w:t>
            </w:r>
          </w:p>
        </w:tc>
        <w:tc>
          <w:tcPr>
            <w:tcW w:w="471" w:type="pct"/>
          </w:tcPr>
          <w:p>
            <w:pPr>
              <w:jc w:val="center"/>
              <w:rPr>
                <w:noProof/>
                <w:sz w:val="18"/>
              </w:rPr>
            </w:pPr>
            <w:r>
              <w:rPr>
                <w:noProof/>
                <w:sz w:val="18"/>
              </w:rPr>
              <w:t xml:space="preserve">Anul </w:t>
            </w:r>
            <w:r>
              <w:rPr>
                <w:b/>
                <w:noProof/>
                <w:sz w:val="18"/>
              </w:rPr>
              <w:t>2032</w:t>
            </w:r>
          </w:p>
        </w:tc>
        <w:tc>
          <w:tcPr>
            <w:tcW w:w="471" w:type="pct"/>
          </w:tcPr>
          <w:p>
            <w:pPr>
              <w:jc w:val="center"/>
              <w:rPr>
                <w:noProof/>
                <w:sz w:val="18"/>
              </w:rPr>
            </w:pPr>
            <w:r>
              <w:rPr>
                <w:noProof/>
                <w:sz w:val="18"/>
              </w:rPr>
              <w:t xml:space="preserve">Anul </w:t>
            </w:r>
            <w:r>
              <w:rPr>
                <w:b/>
                <w:noProof/>
                <w:sz w:val="18"/>
              </w:rPr>
              <w:t>2033</w:t>
            </w:r>
          </w:p>
        </w:tc>
        <w:tc>
          <w:tcPr>
            <w:tcW w:w="471" w:type="pct"/>
          </w:tcPr>
          <w:p>
            <w:pPr>
              <w:jc w:val="center"/>
              <w:rPr>
                <w:noProof/>
                <w:sz w:val="18"/>
              </w:rPr>
            </w:pPr>
            <w:r>
              <w:rPr>
                <w:noProof/>
                <w:sz w:val="18"/>
              </w:rPr>
              <w:t xml:space="preserve">Anul </w:t>
            </w:r>
            <w:r>
              <w:rPr>
                <w:b/>
                <w:noProof/>
                <w:sz w:val="18"/>
              </w:rPr>
              <w:t>2034</w:t>
            </w:r>
          </w:p>
        </w:tc>
      </w:tr>
      <w:tr>
        <w:trPr>
          <w:trHeight w:val="388"/>
        </w:trPr>
        <w:tc>
          <w:tcPr>
            <w:tcW w:w="1001" w:type="pct"/>
            <w:vAlign w:val="center"/>
          </w:tcPr>
          <w:p>
            <w:pPr>
              <w:spacing w:before="40" w:after="40"/>
              <w:rPr>
                <w:noProof/>
                <w:sz w:val="18"/>
              </w:rPr>
            </w:pPr>
            <w:r>
              <w:rPr>
                <w:noProof/>
                <w:sz w:val="18"/>
              </w:rPr>
              <w:t>Articolul ………….</w:t>
            </w:r>
          </w:p>
        </w:tc>
        <w:tc>
          <w:tcPr>
            <w:tcW w:w="703" w:type="pct"/>
          </w:tcPr>
          <w:p>
            <w:pPr>
              <w:spacing w:beforeLines="40" w:before="96" w:afterLines="40" w:after="96"/>
              <w:jc w:val="center"/>
              <w:rPr>
                <w:i/>
                <w:noProof/>
                <w:sz w:val="18"/>
              </w:rPr>
            </w:pPr>
          </w:p>
        </w:tc>
        <w:tc>
          <w:tcPr>
            <w:tcW w:w="490" w:type="pct"/>
          </w:tcPr>
          <w:p>
            <w:pPr>
              <w:spacing w:beforeLines="40" w:before="96" w:afterLines="40" w:after="96"/>
              <w:jc w:val="center"/>
              <w:rPr>
                <w:noProof/>
                <w:sz w:val="18"/>
              </w:rPr>
            </w:pPr>
          </w:p>
        </w:tc>
        <w:tc>
          <w:tcPr>
            <w:tcW w:w="459" w:type="pct"/>
          </w:tcPr>
          <w:p>
            <w:pPr>
              <w:spacing w:beforeLines="40" w:before="96" w:afterLines="40" w:after="96"/>
              <w:jc w:val="center"/>
              <w:rPr>
                <w:noProof/>
                <w:sz w:val="18"/>
              </w:rPr>
            </w:pPr>
          </w:p>
        </w:tc>
        <w:tc>
          <w:tcPr>
            <w:tcW w:w="462" w:type="pct"/>
          </w:tcPr>
          <w:p>
            <w:pPr>
              <w:spacing w:beforeLines="40" w:before="96" w:afterLines="40" w:after="96"/>
              <w:jc w:val="center"/>
              <w:rPr>
                <w:noProof/>
                <w:sz w:val="18"/>
              </w:rPr>
            </w:pPr>
          </w:p>
        </w:tc>
        <w:tc>
          <w:tcPr>
            <w:tcW w:w="472"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r>
    </w:tbl>
    <w:p>
      <w:pPr>
        <w:pStyle w:val="Text1"/>
        <w:rPr>
          <w:noProof/>
        </w:rPr>
      </w:pPr>
      <w:r>
        <w:rPr>
          <w:noProof/>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rPr>
          <w:noProof/>
        </w:rPr>
      </w:pPr>
      <w:r>
        <w:rPr>
          <w:noProof/>
        </w:rPr>
        <w:t>[...]</w:t>
      </w:r>
    </w:p>
    <w:p>
      <w:pPr>
        <w:pStyle w:val="Text1"/>
        <w:rPr>
          <w:noProof/>
        </w:rPr>
      </w:pPr>
      <w:r>
        <w:rPr>
          <w:noProof/>
        </w:rPr>
        <w:t>Alte observații (de exemplu, metoda/formula utilizată pentru calcularea impactului asupra veniturilor sau orice alte informații).</w:t>
      </w:r>
    </w:p>
    <w:p>
      <w:pPr>
        <w:pStyle w:val="Text1"/>
        <w:pBdr>
          <w:top w:val="single" w:sz="4" w:space="1" w:color="auto"/>
          <w:left w:val="single" w:sz="4" w:space="4" w:color="auto"/>
          <w:bottom w:val="single" w:sz="4" w:space="1" w:color="auto"/>
          <w:right w:val="single" w:sz="4" w:space="4" w:color="auto"/>
        </w:pBdr>
        <w:rPr>
          <w:noProof/>
        </w:rPr>
      </w:pPr>
      <w:r>
        <w:rPr>
          <w:noProof/>
        </w:rPr>
        <w:t>[...]</w:t>
      </w:r>
    </w:p>
    <w:p>
      <w:pPr>
        <w:pStyle w:val="ManualHeading1"/>
        <w:rPr>
          <w:caps/>
          <w:noProof/>
        </w:rPr>
      </w:pPr>
      <w:bookmarkStart w:id="84" w:name="_Toc239673873"/>
      <w:r>
        <w:rPr>
          <w:noProof/>
        </w:rPr>
        <w:t>4.</w:t>
      </w:r>
      <w:r>
        <w:rPr>
          <w:noProof/>
        </w:rPr>
        <w:tab/>
      </w:r>
      <w:bookmarkStart w:id="85" w:name="_Hlk167692977"/>
      <w:r>
        <w:rPr>
          <w:caps/>
          <w:noProof/>
        </w:rPr>
        <w:t>Dimensiunile digitale</w:t>
      </w:r>
      <w:bookmarkEnd w:id="84"/>
    </w:p>
    <w:p>
      <w:pPr>
        <w:pStyle w:val="ManualHeading2"/>
        <w:rPr>
          <w:noProof/>
        </w:rPr>
      </w:pPr>
      <w:bookmarkStart w:id="86" w:name="_Toc239673874"/>
      <w:r>
        <w:rPr>
          <w:noProof/>
        </w:rPr>
        <w:t>4.1.</w:t>
      </w:r>
      <w:r>
        <w:rPr>
          <w:noProof/>
        </w:rPr>
        <w:tab/>
        <w:t>Cerințe cu relevanță digitală</w:t>
      </w:r>
      <w:bookmarkEnd w:id="86"/>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tbl>
            <w:tblPr>
              <w:tblStyle w:val="TableGrid"/>
              <w:tblW w:w="9120" w:type="dxa"/>
              <w:tblLayout w:type="fixed"/>
              <w:tblLook w:val="04A0" w:firstRow="1" w:lastRow="0" w:firstColumn="1" w:lastColumn="0" w:noHBand="0" w:noVBand="1"/>
            </w:tblPr>
            <w:tblGrid>
              <w:gridCol w:w="1883"/>
              <w:gridCol w:w="1768"/>
              <w:gridCol w:w="1768"/>
              <w:gridCol w:w="1768"/>
              <w:gridCol w:w="1933"/>
            </w:tblGrid>
            <w:tr>
              <w:tc>
                <w:tcPr>
                  <w:tcW w:w="1883" w:type="dxa"/>
                </w:tcPr>
                <w:p>
                  <w:pPr>
                    <w:rPr>
                      <w:noProof/>
                      <w:u w:val="single"/>
                    </w:rPr>
                  </w:pPr>
                  <w:r>
                    <w:rPr>
                      <w:noProof/>
                      <w:color w:val="333333"/>
                      <w:sz w:val="27"/>
                    </w:rPr>
                    <w:t>Trimiterea la cerință</w:t>
                  </w:r>
                </w:p>
              </w:tc>
              <w:tc>
                <w:tcPr>
                  <w:tcW w:w="1768" w:type="dxa"/>
                </w:tcPr>
                <w:p>
                  <w:pPr>
                    <w:rPr>
                      <w:noProof/>
                      <w:u w:val="single"/>
                    </w:rPr>
                  </w:pPr>
                  <w:r>
                    <w:rPr>
                      <w:noProof/>
                      <w:color w:val="333333"/>
                      <w:sz w:val="27"/>
                    </w:rPr>
                    <w:t>Descrierea cerinței</w:t>
                  </w:r>
                </w:p>
              </w:tc>
              <w:tc>
                <w:tcPr>
                  <w:tcW w:w="1768" w:type="dxa"/>
                </w:tcPr>
                <w:p>
                  <w:pPr>
                    <w:rPr>
                      <w:noProof/>
                      <w:u w:val="single"/>
                    </w:rPr>
                  </w:pPr>
                  <w:r>
                    <w:rPr>
                      <w:noProof/>
                      <w:color w:val="333333"/>
                      <w:sz w:val="27"/>
                    </w:rPr>
                    <w:t>Actorul (actorii) afectat (afectați) sau vizat (vizați) de cerință</w:t>
                  </w:r>
                </w:p>
              </w:tc>
              <w:tc>
                <w:tcPr>
                  <w:tcW w:w="1768" w:type="dxa"/>
                </w:tcPr>
                <w:p>
                  <w:pPr>
                    <w:rPr>
                      <w:noProof/>
                      <w:u w:val="single"/>
                    </w:rPr>
                  </w:pPr>
                  <w:r>
                    <w:rPr>
                      <w:noProof/>
                      <w:color w:val="333333"/>
                      <w:sz w:val="27"/>
                    </w:rPr>
                    <w:t>Procese la nivel înalt</w:t>
                  </w:r>
                </w:p>
              </w:tc>
              <w:tc>
                <w:tcPr>
                  <w:tcW w:w="1933" w:type="dxa"/>
                </w:tcPr>
                <w:p>
                  <w:pPr>
                    <w:rPr>
                      <w:noProof/>
                      <w:u w:val="single"/>
                    </w:rPr>
                  </w:pPr>
                  <w:r>
                    <w:rPr>
                      <w:noProof/>
                      <w:color w:val="333333"/>
                      <w:sz w:val="27"/>
                    </w:rPr>
                    <w:t>Categorii</w:t>
                  </w:r>
                </w:p>
              </w:tc>
            </w:tr>
            <w:tr>
              <w:tc>
                <w:tcPr>
                  <w:tcW w:w="1883" w:type="dxa"/>
                </w:tcPr>
                <w:p>
                  <w:pPr>
                    <w:rPr>
                      <w:noProof/>
                    </w:rPr>
                  </w:pPr>
                  <w:r>
                    <w:rPr>
                      <w:noProof/>
                    </w:rPr>
                    <w:t>Articolul 4 alineatul (4)</w:t>
                  </w:r>
                </w:p>
              </w:tc>
              <w:tc>
                <w:tcPr>
                  <w:tcW w:w="1768" w:type="dxa"/>
                </w:tcPr>
                <w:p>
                  <w:pPr>
                    <w:rPr>
                      <w:noProof/>
                    </w:rPr>
                  </w:pPr>
                  <w:r>
                    <w:rPr>
                      <w:noProof/>
                    </w:rPr>
                    <w:t xml:space="preserve">Achiziții în domeniul cercetării și dezvoltării prin intermediul platformei TED (interfață digitală pentru încărcarea anunțurilor de participare în </w:t>
                  </w:r>
                  <w:r>
                    <w:rPr>
                      <w:i/>
                      <w:noProof/>
                    </w:rPr>
                    <w:t>Jurnalul Oficial al Uniunii Europene</w:t>
                  </w:r>
                  <w:r>
                    <w:rPr>
                      <w:noProof/>
                    </w:rPr>
                    <w:t xml:space="preserve">) </w:t>
                  </w:r>
                </w:p>
              </w:tc>
              <w:tc>
                <w:tcPr>
                  <w:tcW w:w="1768" w:type="dxa"/>
                </w:tcPr>
                <w:p>
                  <w:pPr>
                    <w:rPr>
                      <w:noProof/>
                    </w:rPr>
                  </w:pPr>
                  <w:r>
                    <w:rPr>
                      <w:noProof/>
                    </w:rPr>
                    <w:t>Achizitorii publici</w:t>
                  </w:r>
                </w:p>
                <w:p>
                  <w:pPr>
                    <w:rPr>
                      <w:noProof/>
                    </w:rPr>
                  </w:pPr>
                  <w:r>
                    <w:rPr>
                      <w:noProof/>
                    </w:rPr>
                    <w:t xml:space="preserve">Operatorii economici </w:t>
                  </w:r>
                </w:p>
              </w:tc>
              <w:tc>
                <w:tcPr>
                  <w:tcW w:w="1768" w:type="dxa"/>
                </w:tcPr>
                <w:p>
                  <w:pPr>
                    <w:rPr>
                      <w:noProof/>
                    </w:rPr>
                  </w:pPr>
                  <w:r>
                    <w:rPr>
                      <w:noProof/>
                    </w:rPr>
                    <w:t>Achiziții în domeniul cercetării și dezvoltării</w:t>
                  </w:r>
                </w:p>
              </w:tc>
              <w:tc>
                <w:tcPr>
                  <w:tcW w:w="1933" w:type="dxa"/>
                </w:tcPr>
                <w:p>
                  <w:pPr>
                    <w:rPr>
                      <w:noProof/>
                    </w:rPr>
                  </w:pPr>
                  <w:r>
                    <w:rPr>
                      <w:noProof/>
                    </w:rPr>
                    <w:t>Date</w:t>
                  </w:r>
                </w:p>
                <w:p>
                  <w:pPr>
                    <w:rPr>
                      <w:noProof/>
                    </w:rPr>
                  </w:pPr>
                  <w:r>
                    <w:rPr>
                      <w:noProof/>
                    </w:rPr>
                    <w:t>Soluție digitală</w:t>
                  </w:r>
                </w:p>
                <w:p>
                  <w:pPr>
                    <w:rPr>
                      <w:noProof/>
                    </w:rPr>
                  </w:pPr>
                  <w:r>
                    <w:rPr>
                      <w:noProof/>
                    </w:rPr>
                    <w:t>Serviciul public digital</w:t>
                  </w:r>
                </w:p>
                <w:p>
                  <w:pPr>
                    <w:rPr>
                      <w:noProof/>
                    </w:rPr>
                  </w:pPr>
                  <w:r>
                    <w:rPr>
                      <w:noProof/>
                    </w:rPr>
                    <w:t>Digitalizarea și automatizarea proceselor</w:t>
                  </w:r>
                </w:p>
                <w:p>
                  <w:pPr>
                    <w:rPr>
                      <w:noProof/>
                    </w:rPr>
                  </w:pPr>
                  <w:r>
                    <w:rPr>
                      <w:noProof/>
                    </w:rPr>
                    <w:t>Interoperabilitate</w:t>
                  </w:r>
                </w:p>
              </w:tc>
            </w:tr>
            <w:tr>
              <w:tc>
                <w:tcPr>
                  <w:tcW w:w="1883" w:type="dxa"/>
                </w:tcPr>
                <w:p>
                  <w:pPr>
                    <w:rPr>
                      <w:noProof/>
                    </w:rPr>
                  </w:pPr>
                  <w:r>
                    <w:rPr>
                      <w:noProof/>
                    </w:rPr>
                    <w:t>Articolul 4 alineatul (4)</w:t>
                  </w:r>
                </w:p>
              </w:tc>
              <w:tc>
                <w:tcPr>
                  <w:tcW w:w="1768" w:type="dxa"/>
                </w:tcPr>
                <w:p>
                  <w:pPr>
                    <w:rPr>
                      <w:noProof/>
                    </w:rPr>
                  </w:pPr>
                  <w:r>
                    <w:rPr>
                      <w:noProof/>
                    </w:rPr>
                    <w:t>Cerința de a utiliza formatul electronic pentru documentele achiziției</w:t>
                  </w:r>
                </w:p>
              </w:tc>
              <w:tc>
                <w:tcPr>
                  <w:tcW w:w="1768" w:type="dxa"/>
                </w:tcPr>
                <w:p>
                  <w:pPr>
                    <w:rPr>
                      <w:noProof/>
                    </w:rPr>
                  </w:pPr>
                  <w:r>
                    <w:rPr>
                      <w:noProof/>
                    </w:rPr>
                    <w:t>Achizitorii publici</w:t>
                  </w:r>
                </w:p>
                <w:p>
                  <w:pPr>
                    <w:rPr>
                      <w:noProof/>
                    </w:rPr>
                  </w:pPr>
                  <w:r>
                    <w:rPr>
                      <w:noProof/>
                    </w:rPr>
                    <w:t>Operatorii economici</w:t>
                  </w:r>
                </w:p>
              </w:tc>
              <w:tc>
                <w:tcPr>
                  <w:tcW w:w="1768" w:type="dxa"/>
                </w:tcPr>
                <w:p>
                  <w:pPr>
                    <w:rPr>
                      <w:noProof/>
                    </w:rPr>
                  </w:pPr>
                  <w:r>
                    <w:rPr>
                      <w:noProof/>
                    </w:rPr>
                    <w:t>Achiziții în domeniul cercetării și dezvoltării</w:t>
                  </w:r>
                </w:p>
              </w:tc>
              <w:tc>
                <w:tcPr>
                  <w:tcW w:w="1933" w:type="dxa"/>
                </w:tcPr>
                <w:p>
                  <w:pPr>
                    <w:rPr>
                      <w:noProof/>
                    </w:rPr>
                  </w:pPr>
                  <w:r>
                    <w:rPr>
                      <w:noProof/>
                    </w:rPr>
                    <w:t>Date</w:t>
                  </w:r>
                </w:p>
                <w:p>
                  <w:pPr>
                    <w:rPr>
                      <w:noProof/>
                    </w:rPr>
                  </w:pPr>
                  <w:r>
                    <w:rPr>
                      <w:noProof/>
                    </w:rPr>
                    <w:t>Soluție digitală</w:t>
                  </w:r>
                </w:p>
                <w:p>
                  <w:pPr>
                    <w:rPr>
                      <w:noProof/>
                    </w:rPr>
                  </w:pPr>
                  <w:r>
                    <w:rPr>
                      <w:noProof/>
                    </w:rPr>
                    <w:t>Serviciul public digital</w:t>
                  </w:r>
                </w:p>
                <w:p>
                  <w:pPr>
                    <w:rPr>
                      <w:noProof/>
                    </w:rPr>
                  </w:pPr>
                  <w:r>
                    <w:rPr>
                      <w:noProof/>
                    </w:rPr>
                    <w:t>Digitalizarea și automatizarea proceselor</w:t>
                  </w:r>
                </w:p>
                <w:p>
                  <w:pPr>
                    <w:rPr>
                      <w:noProof/>
                    </w:rPr>
                  </w:pPr>
                  <w:r>
                    <w:rPr>
                      <w:noProof/>
                    </w:rPr>
                    <w:t>Interoperabilitate</w:t>
                  </w:r>
                </w:p>
              </w:tc>
            </w:tr>
            <w:tr>
              <w:tc>
                <w:tcPr>
                  <w:tcW w:w="1883" w:type="dxa"/>
                </w:tcPr>
                <w:p>
                  <w:pPr>
                    <w:rPr>
                      <w:noProof/>
                    </w:rPr>
                  </w:pPr>
                  <w:r>
                    <w:rPr>
                      <w:noProof/>
                    </w:rPr>
                    <w:t>Articolul 10</w:t>
                  </w:r>
                </w:p>
              </w:tc>
              <w:tc>
                <w:tcPr>
                  <w:tcW w:w="1768" w:type="dxa"/>
                </w:tcPr>
                <w:p>
                  <w:pPr>
                    <w:rPr>
                      <w:noProof/>
                    </w:rPr>
                  </w:pPr>
                  <w:r>
                    <w:rPr>
                      <w:noProof/>
                    </w:rPr>
                    <w:t>Cerința ca achizitorii publici să prevadă obligații pentru contractanți de a contribui la publicarea rezultatelor, după caz, sub formă de date deschise sau cu sursă deschisă</w:t>
                  </w:r>
                </w:p>
              </w:tc>
              <w:tc>
                <w:tcPr>
                  <w:tcW w:w="1768" w:type="dxa"/>
                </w:tcPr>
                <w:p>
                  <w:pPr>
                    <w:rPr>
                      <w:noProof/>
                    </w:rPr>
                  </w:pPr>
                  <w:r>
                    <w:rPr>
                      <w:noProof/>
                    </w:rPr>
                    <w:t>Achizitorii publici</w:t>
                  </w:r>
                </w:p>
                <w:p>
                  <w:pPr>
                    <w:rPr>
                      <w:noProof/>
                    </w:rPr>
                  </w:pPr>
                  <w:r>
                    <w:rPr>
                      <w:noProof/>
                    </w:rPr>
                    <w:t>Operatorii economici</w:t>
                  </w:r>
                </w:p>
              </w:tc>
              <w:tc>
                <w:tcPr>
                  <w:tcW w:w="1768" w:type="dxa"/>
                </w:tcPr>
                <w:p>
                  <w:pPr>
                    <w:rPr>
                      <w:noProof/>
                    </w:rPr>
                  </w:pPr>
                  <w:r>
                    <w:rPr>
                      <w:noProof/>
                    </w:rPr>
                    <w:t>Achiziții în domeniul cercetării și dezvoltării</w:t>
                  </w:r>
                </w:p>
              </w:tc>
              <w:tc>
                <w:tcPr>
                  <w:tcW w:w="1933" w:type="dxa"/>
                </w:tcPr>
                <w:p>
                  <w:pPr>
                    <w:rPr>
                      <w:noProof/>
                    </w:rPr>
                  </w:pPr>
                  <w:r>
                    <w:rPr>
                      <w:noProof/>
                    </w:rPr>
                    <w:t>Date</w:t>
                  </w:r>
                </w:p>
                <w:p>
                  <w:pPr>
                    <w:rPr>
                      <w:noProof/>
                    </w:rPr>
                  </w:pPr>
                  <w:r>
                    <w:rPr>
                      <w:noProof/>
                    </w:rPr>
                    <w:t>Soluție digitală</w:t>
                  </w:r>
                </w:p>
                <w:p>
                  <w:pPr>
                    <w:rPr>
                      <w:noProof/>
                    </w:rPr>
                  </w:pPr>
                  <w:r>
                    <w:rPr>
                      <w:noProof/>
                    </w:rPr>
                    <w:t>Serviciul public digital</w:t>
                  </w:r>
                </w:p>
                <w:p>
                  <w:pPr>
                    <w:rPr>
                      <w:noProof/>
                    </w:rPr>
                  </w:pPr>
                  <w:r>
                    <w:rPr>
                      <w:noProof/>
                    </w:rPr>
                    <w:t>Digitalizarea și automatizarea proceselor</w:t>
                  </w:r>
                </w:p>
              </w:tc>
            </w:tr>
            <w:tr>
              <w:tc>
                <w:tcPr>
                  <w:tcW w:w="1883" w:type="dxa"/>
                </w:tcPr>
                <w:p>
                  <w:pPr>
                    <w:rPr>
                      <w:noProof/>
                    </w:rPr>
                  </w:pPr>
                  <w:r>
                    <w:rPr>
                      <w:noProof/>
                    </w:rPr>
                    <w:t>Articolul 26</w:t>
                  </w:r>
                </w:p>
              </w:tc>
              <w:tc>
                <w:tcPr>
                  <w:tcW w:w="1768" w:type="dxa"/>
                </w:tcPr>
                <w:p>
                  <w:pPr>
                    <w:jc w:val="left"/>
                    <w:rPr>
                      <w:noProof/>
                    </w:rPr>
                  </w:pPr>
                  <w:r>
                    <w:rPr>
                      <w:noProof/>
                    </w:rPr>
                    <w:t>Cerința de respectare a normelor de protecție a datelor, inclusiv a celor privind comunicațiile electronice</w:t>
                  </w:r>
                </w:p>
              </w:tc>
              <w:tc>
                <w:tcPr>
                  <w:tcW w:w="1768" w:type="dxa"/>
                </w:tcPr>
                <w:p>
                  <w:pPr>
                    <w:rPr>
                      <w:noProof/>
                    </w:rPr>
                  </w:pPr>
                  <w:r>
                    <w:rPr>
                      <w:noProof/>
                    </w:rPr>
                    <w:t>Achizitorii publici</w:t>
                  </w:r>
                </w:p>
                <w:p>
                  <w:pPr>
                    <w:rPr>
                      <w:noProof/>
                    </w:rPr>
                  </w:pPr>
                  <w:r>
                    <w:rPr>
                      <w:noProof/>
                    </w:rPr>
                    <w:t>Operatorii economici</w:t>
                  </w:r>
                </w:p>
              </w:tc>
              <w:tc>
                <w:tcPr>
                  <w:tcW w:w="1768" w:type="dxa"/>
                </w:tcPr>
                <w:p>
                  <w:pPr>
                    <w:rPr>
                      <w:noProof/>
                    </w:rPr>
                  </w:pPr>
                  <w:r>
                    <w:rPr>
                      <w:noProof/>
                    </w:rPr>
                    <w:t>Achiziții în domeniul cercetării și dezvoltării</w:t>
                  </w:r>
                </w:p>
              </w:tc>
              <w:tc>
                <w:tcPr>
                  <w:tcW w:w="1933" w:type="dxa"/>
                </w:tcPr>
                <w:p>
                  <w:pPr>
                    <w:rPr>
                      <w:noProof/>
                    </w:rPr>
                  </w:pPr>
                  <w:r>
                    <w:rPr>
                      <w:noProof/>
                    </w:rPr>
                    <w:t>Date</w:t>
                  </w:r>
                </w:p>
                <w:p>
                  <w:pPr>
                    <w:rPr>
                      <w:noProof/>
                    </w:rPr>
                  </w:pPr>
                  <w:r>
                    <w:rPr>
                      <w:noProof/>
                    </w:rPr>
                    <w:t>Soluție digitală</w:t>
                  </w:r>
                </w:p>
                <w:p>
                  <w:pPr>
                    <w:rPr>
                      <w:noProof/>
                    </w:rPr>
                  </w:pPr>
                  <w:r>
                    <w:rPr>
                      <w:noProof/>
                    </w:rPr>
                    <w:t>Serviciul public digital</w:t>
                  </w:r>
                </w:p>
                <w:p>
                  <w:pPr>
                    <w:rPr>
                      <w:noProof/>
                    </w:rPr>
                  </w:pPr>
                  <w:r>
                    <w:rPr>
                      <w:noProof/>
                    </w:rPr>
                    <w:t>Digitalizarea și automatizarea proceselor</w:t>
                  </w:r>
                </w:p>
              </w:tc>
            </w:tr>
            <w:tr>
              <w:tc>
                <w:tcPr>
                  <w:tcW w:w="1883" w:type="dxa"/>
                </w:tcPr>
                <w:p>
                  <w:pPr>
                    <w:rPr>
                      <w:noProof/>
                    </w:rPr>
                  </w:pPr>
                  <w:r>
                    <w:rPr>
                      <w:noProof/>
                    </w:rPr>
                    <w:t xml:space="preserve">Articolul 32 alineatul (3) litera (a) </w:t>
                  </w:r>
                </w:p>
              </w:tc>
              <w:tc>
                <w:tcPr>
                  <w:tcW w:w="1768" w:type="dxa"/>
                </w:tcPr>
                <w:p>
                  <w:pPr>
                    <w:jc w:val="left"/>
                    <w:rPr>
                      <w:rFonts w:eastAsiaTheme="minorHAnsi"/>
                      <w:noProof/>
                      <w:szCs w:val="22"/>
                    </w:rPr>
                  </w:pPr>
                  <w:r>
                    <w:rPr>
                      <w:noProof/>
                    </w:rPr>
                    <w:t>Elaborarea de către Oficiul Uniunii Europene pentru Proprietate Intelectuală a unui cadru de evaluare pentru evaluarea activelor necorporale și a proceselor și serviciilor digitale conexe legate de prezentarea, examinarea și evaluarea activelor de PI</w:t>
                  </w:r>
                </w:p>
              </w:tc>
              <w:tc>
                <w:tcPr>
                  <w:tcW w:w="1768" w:type="dxa"/>
                </w:tcPr>
                <w:p>
                  <w:pPr>
                    <w:rPr>
                      <w:noProof/>
                    </w:rPr>
                  </w:pPr>
                  <w:r>
                    <w:rPr>
                      <w:noProof/>
                    </w:rPr>
                    <w:t>Operatorii economici</w:t>
                  </w:r>
                </w:p>
                <w:p>
                  <w:pPr>
                    <w:rPr>
                      <w:noProof/>
                    </w:rPr>
                  </w:pPr>
                  <w:r>
                    <w:rPr>
                      <w:noProof/>
                    </w:rPr>
                    <w:t>Statele membre</w:t>
                  </w:r>
                </w:p>
                <w:p>
                  <w:pPr>
                    <w:rPr>
                      <w:noProof/>
                    </w:rPr>
                  </w:pPr>
                  <w:r>
                    <w:rPr>
                      <w:noProof/>
                    </w:rPr>
                    <w:t>Entitățile Uniunii</w:t>
                  </w:r>
                </w:p>
              </w:tc>
              <w:tc>
                <w:tcPr>
                  <w:tcW w:w="1768" w:type="dxa"/>
                </w:tcPr>
                <w:p>
                  <w:pPr>
                    <w:rPr>
                      <w:noProof/>
                    </w:rPr>
                  </w:pPr>
                  <w:r>
                    <w:rPr>
                      <w:noProof/>
                    </w:rPr>
                    <w:t xml:space="preserve">Evaluarea PI </w:t>
                  </w:r>
                </w:p>
              </w:tc>
              <w:tc>
                <w:tcPr>
                  <w:tcW w:w="1933" w:type="dxa"/>
                </w:tcPr>
                <w:p>
                  <w:pPr>
                    <w:rPr>
                      <w:noProof/>
                    </w:rPr>
                  </w:pPr>
                  <w:r>
                    <w:rPr>
                      <w:noProof/>
                    </w:rPr>
                    <w:t>Date</w:t>
                  </w:r>
                </w:p>
                <w:p>
                  <w:pPr>
                    <w:rPr>
                      <w:noProof/>
                    </w:rPr>
                  </w:pPr>
                  <w:r>
                    <w:rPr>
                      <w:noProof/>
                    </w:rPr>
                    <w:t>Soluție digitală</w:t>
                  </w:r>
                </w:p>
                <w:p>
                  <w:pPr>
                    <w:rPr>
                      <w:noProof/>
                    </w:rPr>
                  </w:pPr>
                  <w:r>
                    <w:rPr>
                      <w:noProof/>
                    </w:rPr>
                    <w:t>Serviciul public digital</w:t>
                  </w:r>
                </w:p>
                <w:p>
                  <w:pPr>
                    <w:rPr>
                      <w:noProof/>
                    </w:rPr>
                  </w:pPr>
                  <w:r>
                    <w:rPr>
                      <w:noProof/>
                    </w:rPr>
                    <w:t>Digitalizarea și automatizarea proceselor</w:t>
                  </w:r>
                </w:p>
              </w:tc>
            </w:tr>
            <w:tr>
              <w:tc>
                <w:tcPr>
                  <w:tcW w:w="1883" w:type="dxa"/>
                </w:tcPr>
                <w:p>
                  <w:pPr>
                    <w:rPr>
                      <w:noProof/>
                    </w:rPr>
                  </w:pPr>
                  <w:r>
                    <w:rPr>
                      <w:noProof/>
                    </w:rPr>
                    <w:t>Articolul 32 alineatul (3) litera (b)</w:t>
                  </w:r>
                </w:p>
              </w:tc>
              <w:tc>
                <w:tcPr>
                  <w:tcW w:w="1768" w:type="dxa"/>
                </w:tcPr>
                <w:p>
                  <w:pPr>
                    <w:jc w:val="left"/>
                    <w:rPr>
                      <w:rFonts w:eastAsiaTheme="minorHAnsi"/>
                      <w:noProof/>
                      <w:szCs w:val="22"/>
                    </w:rPr>
                  </w:pPr>
                  <w:r>
                    <w:rPr>
                      <w:noProof/>
                    </w:rPr>
                    <w:t>Crearea și întreținerea, de către Oficiul Uniunii Europene pentru Proprietate Intelectuală, a unei platforme digitale pentru stabilirea de contacte care să faciliteze acordarea de licențe și transferul tuturor tipurilor de drepturi de PI protejate la nivelul Uniunii.</w:t>
                  </w:r>
                </w:p>
              </w:tc>
              <w:tc>
                <w:tcPr>
                  <w:tcW w:w="1768" w:type="dxa"/>
                </w:tcPr>
                <w:p>
                  <w:pPr>
                    <w:rPr>
                      <w:noProof/>
                    </w:rPr>
                  </w:pPr>
                  <w:r>
                    <w:rPr>
                      <w:noProof/>
                    </w:rPr>
                    <w:t>Entitățile Uniunii</w:t>
                  </w:r>
                </w:p>
                <w:p>
                  <w:pPr>
                    <w:rPr>
                      <w:noProof/>
                    </w:rPr>
                  </w:pPr>
                  <w:r>
                    <w:rPr>
                      <w:noProof/>
                    </w:rPr>
                    <w:t>Operatorii economici</w:t>
                  </w:r>
                </w:p>
              </w:tc>
              <w:tc>
                <w:tcPr>
                  <w:tcW w:w="1768" w:type="dxa"/>
                </w:tcPr>
                <w:p>
                  <w:pPr>
                    <w:rPr>
                      <w:noProof/>
                    </w:rPr>
                  </w:pPr>
                  <w:r>
                    <w:rPr>
                      <w:noProof/>
                    </w:rPr>
                    <w:t>Facilitarea acordării de licențe și a transferului de drepturi de PI</w:t>
                  </w:r>
                </w:p>
              </w:tc>
              <w:tc>
                <w:tcPr>
                  <w:tcW w:w="1933" w:type="dxa"/>
                </w:tcPr>
                <w:p>
                  <w:pPr>
                    <w:rPr>
                      <w:noProof/>
                    </w:rPr>
                  </w:pPr>
                  <w:r>
                    <w:rPr>
                      <w:noProof/>
                    </w:rPr>
                    <w:t>Date</w:t>
                  </w:r>
                </w:p>
                <w:p>
                  <w:pPr>
                    <w:rPr>
                      <w:noProof/>
                    </w:rPr>
                  </w:pPr>
                  <w:r>
                    <w:rPr>
                      <w:noProof/>
                    </w:rPr>
                    <w:t>Soluție digitală</w:t>
                  </w:r>
                </w:p>
                <w:p>
                  <w:pPr>
                    <w:rPr>
                      <w:noProof/>
                    </w:rPr>
                  </w:pPr>
                  <w:r>
                    <w:rPr>
                      <w:noProof/>
                    </w:rPr>
                    <w:t>Serviciul public digital</w:t>
                  </w:r>
                </w:p>
              </w:tc>
            </w:tr>
            <w:tr>
              <w:tc>
                <w:tcPr>
                  <w:tcW w:w="1883" w:type="dxa"/>
                </w:tcPr>
                <w:p>
                  <w:pPr>
                    <w:rPr>
                      <w:noProof/>
                    </w:rPr>
                  </w:pPr>
                  <w:r>
                    <w:rPr>
                      <w:noProof/>
                    </w:rPr>
                    <w:t>Articolul 32 alineatul (3) litera (g) și articolul 35</w:t>
                  </w:r>
                </w:p>
              </w:tc>
              <w:tc>
                <w:tcPr>
                  <w:tcW w:w="1768" w:type="dxa"/>
                </w:tcPr>
                <w:p>
                  <w:pPr>
                    <w:rPr>
                      <w:noProof/>
                    </w:rPr>
                  </w:pPr>
                  <w:r>
                    <w:rPr>
                      <w:noProof/>
                    </w:rPr>
                    <w:t>Dezvoltarea unei baze de date fundamentate științific privind finanțarea garantată cu PI</w:t>
                  </w:r>
                </w:p>
              </w:tc>
              <w:tc>
                <w:tcPr>
                  <w:tcW w:w="1768" w:type="dxa"/>
                </w:tcPr>
                <w:p>
                  <w:pPr>
                    <w:rPr>
                      <w:noProof/>
                    </w:rPr>
                  </w:pPr>
                  <w:r>
                    <w:rPr>
                      <w:noProof/>
                    </w:rPr>
                    <w:t>Statele membre</w:t>
                  </w:r>
                </w:p>
                <w:p>
                  <w:pPr>
                    <w:rPr>
                      <w:noProof/>
                    </w:rPr>
                  </w:pPr>
                  <w:r>
                    <w:rPr>
                      <w:noProof/>
                    </w:rPr>
                    <w:t>Autorități competente</w:t>
                  </w:r>
                </w:p>
                <w:p>
                  <w:pPr>
                    <w:rPr>
                      <w:noProof/>
                    </w:rPr>
                  </w:pPr>
                  <w:r>
                    <w:rPr>
                      <w:noProof/>
                    </w:rPr>
                    <w:t>Operatorii economici</w:t>
                  </w:r>
                </w:p>
                <w:p>
                  <w:pPr>
                    <w:rPr>
                      <w:noProof/>
                    </w:rPr>
                  </w:pPr>
                  <w:r>
                    <w:rPr>
                      <w:noProof/>
                    </w:rPr>
                    <w:t>Entitățile Uniunii</w:t>
                  </w:r>
                </w:p>
              </w:tc>
              <w:tc>
                <w:tcPr>
                  <w:tcW w:w="1768" w:type="dxa"/>
                </w:tcPr>
                <w:p>
                  <w:pPr>
                    <w:rPr>
                      <w:noProof/>
                    </w:rPr>
                  </w:pPr>
                  <w:r>
                    <w:rPr>
                      <w:noProof/>
                    </w:rPr>
                    <w:t xml:space="preserve">Prelucrarea și analiza datelor </w:t>
                  </w:r>
                </w:p>
              </w:tc>
              <w:tc>
                <w:tcPr>
                  <w:tcW w:w="1933" w:type="dxa"/>
                </w:tcPr>
                <w:p>
                  <w:pPr>
                    <w:rPr>
                      <w:noProof/>
                    </w:rPr>
                  </w:pPr>
                  <w:r>
                    <w:rPr>
                      <w:noProof/>
                    </w:rPr>
                    <w:t>Date</w:t>
                  </w:r>
                </w:p>
              </w:tc>
            </w:tr>
          </w:tbl>
          <w:p>
            <w:pPr>
              <w:rPr>
                <w:noProof/>
                <w:color w:val="0000FF"/>
              </w:rPr>
            </w:pPr>
          </w:p>
        </w:tc>
      </w:tr>
    </w:tbl>
    <w:p>
      <w:pPr>
        <w:pStyle w:val="ManualHeading2"/>
        <w:rPr>
          <w:noProof/>
        </w:rPr>
      </w:pPr>
      <w:bookmarkStart w:id="87" w:name="_Toc239673875"/>
      <w:r>
        <w:rPr>
          <w:noProof/>
        </w:rPr>
        <w:t>4.2.</w:t>
      </w:r>
      <w:r>
        <w:rPr>
          <w:noProof/>
        </w:rPr>
        <w:tab/>
        <w:t>Date</w:t>
      </w:r>
      <w:bookmarkEnd w:id="87"/>
    </w:p>
    <w:tbl>
      <w:tblPr>
        <w:tblStyle w:val="TableGrid"/>
        <w:tblW w:w="0" w:type="auto"/>
        <w:tblLook w:val="04A0" w:firstRow="1" w:lastRow="0" w:firstColumn="1" w:lastColumn="0" w:noHBand="0" w:noVBand="1"/>
      </w:tblPr>
      <w:tblGrid>
        <w:gridCol w:w="9289"/>
      </w:tblGrid>
      <w:tr>
        <w:tc>
          <w:tcPr>
            <w:tcW w:w="9063" w:type="dxa"/>
          </w:tcPr>
          <w:tbl>
            <w:tblPr>
              <w:tblStyle w:val="TableGrid"/>
              <w:tblW w:w="9125" w:type="dxa"/>
              <w:tblLook w:val="04A0" w:firstRow="1" w:lastRow="0" w:firstColumn="1" w:lastColumn="0" w:noHBand="0" w:noVBand="1"/>
            </w:tblPr>
            <w:tblGrid>
              <w:gridCol w:w="2847"/>
              <w:gridCol w:w="2693"/>
              <w:gridCol w:w="3585"/>
            </w:tblGrid>
            <w:tr>
              <w:tc>
                <w:tcPr>
                  <w:tcW w:w="2847" w:type="dxa"/>
                </w:tcPr>
                <w:p>
                  <w:pPr>
                    <w:jc w:val="center"/>
                    <w:rPr>
                      <w:b/>
                      <w:bCs/>
                      <w:noProof/>
                    </w:rPr>
                  </w:pPr>
                  <w:r>
                    <w:rPr>
                      <w:b/>
                      <w:noProof/>
                    </w:rPr>
                    <w:t>Tipul de date</w:t>
                  </w:r>
                </w:p>
              </w:tc>
              <w:tc>
                <w:tcPr>
                  <w:tcW w:w="2693" w:type="dxa"/>
                </w:tcPr>
                <w:p>
                  <w:pPr>
                    <w:jc w:val="center"/>
                    <w:rPr>
                      <w:b/>
                      <w:bCs/>
                      <w:noProof/>
                    </w:rPr>
                  </w:pPr>
                  <w:r>
                    <w:rPr>
                      <w:b/>
                      <w:noProof/>
                    </w:rPr>
                    <w:t>Trimitere la cerință (cerințe)</w:t>
                  </w:r>
                </w:p>
              </w:tc>
              <w:tc>
                <w:tcPr>
                  <w:tcW w:w="3585" w:type="dxa"/>
                </w:tcPr>
                <w:p>
                  <w:pPr>
                    <w:jc w:val="center"/>
                    <w:rPr>
                      <w:b/>
                      <w:bCs/>
                      <w:noProof/>
                    </w:rPr>
                  </w:pPr>
                  <w:r>
                    <w:rPr>
                      <w:b/>
                      <w:noProof/>
                    </w:rPr>
                    <w:t>Standard și/sau specificație (dacă este cazul)</w:t>
                  </w:r>
                </w:p>
              </w:tc>
            </w:tr>
            <w:tr>
              <w:tc>
                <w:tcPr>
                  <w:tcW w:w="2847" w:type="dxa"/>
                </w:tcPr>
                <w:p>
                  <w:pPr>
                    <w:rPr>
                      <w:noProof/>
                    </w:rPr>
                  </w:pPr>
                  <w:r>
                    <w:rPr>
                      <w:noProof/>
                    </w:rPr>
                    <w:t>Date referitoare la procedurile de achiziții în domeniul cercetării și dezvoltării privind sfera achiziției, achizitorii publici și ofertanții/contractanții</w:t>
                  </w:r>
                </w:p>
              </w:tc>
              <w:tc>
                <w:tcPr>
                  <w:tcW w:w="2693" w:type="dxa"/>
                </w:tcPr>
                <w:p>
                  <w:pPr>
                    <w:rPr>
                      <w:noProof/>
                    </w:rPr>
                  </w:pPr>
                  <w:r>
                    <w:rPr>
                      <w:noProof/>
                    </w:rPr>
                    <w:t>Articolul 4 alineatul (4), articolele 6, 16 și 17</w:t>
                  </w:r>
                </w:p>
              </w:tc>
              <w:tc>
                <w:tcPr>
                  <w:tcW w:w="3585" w:type="dxa"/>
                </w:tcPr>
                <w:p>
                  <w:pPr>
                    <w:rPr>
                      <w:noProof/>
                    </w:rPr>
                  </w:pPr>
                  <w:r>
                    <w:rPr>
                      <w:noProof/>
                    </w:rPr>
                    <w:t xml:space="preserve">Standardele și specificațiile utilizate pe portalul UE pentru achiziții publice [formulare electronice, formatul UBL al Organizației pentru promovarea standardelor referitoare la informația structurată (OASIS), API-urile TED, ontologia achizițiilor publice electronice] </w:t>
                  </w:r>
                </w:p>
              </w:tc>
            </w:tr>
            <w:tr>
              <w:tc>
                <w:tcPr>
                  <w:tcW w:w="2847" w:type="dxa"/>
                </w:tcPr>
                <w:p>
                  <w:pPr>
                    <w:rPr>
                      <w:noProof/>
                    </w:rPr>
                  </w:pPr>
                  <w:r>
                    <w:rPr>
                      <w:noProof/>
                    </w:rPr>
                    <w:t>Date referitoare la finanțarea garantată cu PI, inclusiv informații privind modul în care a fost evaluată proprietatea intelectuală utilizată ca garanție reală pentru obținerea de credite sau încheierea de asigurări ori ca aport în natură în cadrul unor scenarii privind investițiile de capital, privind dimensiunea și caracteristicile tranzacției corespunzătoare, privind tipul de drept de proprietate intelectuală în cauză și privind indicatorii relevanți, cum ar fi evaluarea capitalurilor proprii, constituirea garanțiilor sau raporturile între valoarea creditului acordat și cea a garanției aferente creditului.</w:t>
                  </w:r>
                </w:p>
              </w:tc>
              <w:tc>
                <w:tcPr>
                  <w:tcW w:w="2693" w:type="dxa"/>
                </w:tcPr>
                <w:p>
                  <w:pPr>
                    <w:rPr>
                      <w:noProof/>
                    </w:rPr>
                  </w:pPr>
                  <w:r>
                    <w:rPr>
                      <w:noProof/>
                    </w:rPr>
                    <w:t>Articolul 32 alineatul (3) litera (g) și articolul 33</w:t>
                  </w:r>
                </w:p>
              </w:tc>
              <w:tc>
                <w:tcPr>
                  <w:tcW w:w="3585" w:type="dxa"/>
                </w:tcPr>
                <w:p>
                  <w:pPr>
                    <w:rPr>
                      <w:noProof/>
                    </w:rPr>
                  </w:pPr>
                  <w:r>
                    <w:rPr>
                      <w:noProof/>
                    </w:rPr>
                    <w:t>Standardele și specificațiile care urmează să fie definite de Centrul de competențe al Oficiului Uniunii Europene pentru Proprietate Intelectuală în ceea ce privește finanțarea garantată cu PI, în cooperare cu Comisia, care acoperă: cerințe armonizate în materie de date pentru tipul de active de PI, structura garanțiilor reale, dimensiunea tranzacției și rezultatele împrumuturilor, protocoale privind schimbul de date și accesul la date, în conformitate cu normele aplicabile în materie de protecție a datelor, cerințe de interoperabilitate care să permită stabilirea de legături între registrele de PI, registrele comerțului și registrele instrumentelor publice și standarde pentru anonimizarea și agregarea datelor la nivel de tranzacție colectate prin intermediul instrumentelor financiare garantate cu PI sprijinite de UE.</w:t>
                  </w:r>
                </w:p>
              </w:tc>
            </w:tr>
          </w:tbl>
          <w:p>
            <w:pPr>
              <w:rPr>
                <w:noProof/>
              </w:rPr>
            </w:pPr>
            <w:r>
              <w:rPr>
                <w:noProof/>
              </w:rPr>
              <w:t xml:space="preserve">Alinierea la Strategia europeană privind datele </w:t>
            </w:r>
          </w:p>
          <w:p>
            <w:pPr>
              <w:rPr>
                <w:noProof/>
              </w:rPr>
            </w:pPr>
            <w:r>
              <w:rPr>
                <w:noProof/>
              </w:rPr>
              <w:t>Explicați modul în care cerința (cerințele) este (sunt) aliniată (aliniate) la Strategia europeană privind datele</w:t>
            </w:r>
          </w:p>
          <w:p>
            <w:pPr>
              <w:pStyle w:val="ListParagraph"/>
              <w:numPr>
                <w:ilvl w:val="0"/>
                <w:numId w:val="27"/>
              </w:numPr>
              <w:rPr>
                <w:noProof/>
                <w:szCs w:val="24"/>
              </w:rPr>
            </w:pPr>
            <w:r>
              <w:rPr>
                <w:rFonts w:ascii="Times New Roman" w:hAnsi="Times New Roman"/>
                <w:noProof/>
                <w:sz w:val="24"/>
              </w:rPr>
              <w:t>Propunerea promovează utilizarea instrumentelor digitale pentru procedurile de achiziții în domeniul cercetării și dezvoltării și pentru evaluarea și comercializarea PI, ceea ce este în conformitate cu obiectivul Strategiei europene privind datele de promovare a digitalizării și a inovării bazate pe date.</w:t>
            </w:r>
          </w:p>
          <w:p>
            <w:pPr>
              <w:pStyle w:val="ListParagraph"/>
              <w:numPr>
                <w:ilvl w:val="0"/>
                <w:numId w:val="27"/>
              </w:numPr>
              <w:rPr>
                <w:noProof/>
                <w:szCs w:val="24"/>
              </w:rPr>
            </w:pPr>
            <w:r>
              <w:rPr>
                <w:rFonts w:ascii="Times New Roman" w:hAnsi="Times New Roman"/>
                <w:noProof/>
                <w:sz w:val="24"/>
              </w:rPr>
              <w:t>Propunerea se bazează pe instrumentele digitale existente pentru achizițiile publice, inclusiv pe portalurile naționale de achiziții. Acest lucru este în concordanță cu obiectivul Strategiei europene privind datele de a îmbunătăți schimbul de date și interoperabilitatea.</w:t>
            </w:r>
          </w:p>
          <w:p>
            <w:pPr>
              <w:pStyle w:val="ListParagraph"/>
              <w:numPr>
                <w:ilvl w:val="0"/>
                <w:numId w:val="27"/>
              </w:numPr>
              <w:rPr>
                <w:noProof/>
                <w:szCs w:val="24"/>
              </w:rPr>
            </w:pPr>
            <w:r>
              <w:rPr>
                <w:rFonts w:ascii="Times New Roman" w:hAnsi="Times New Roman"/>
                <w:noProof/>
                <w:sz w:val="24"/>
              </w:rPr>
              <w:t>Propunerea promovează transparența, respectând în același timp normele privind protecția datelor și confidențialitatea datelor, protecția drepturilor de proprietate intelectuală și protecția secretelor comerciale. Acest lucru este în conformitate cu obiectivul Strategiei europene privind datele de a promova transparența și încrederea în ecosistemele bazate pe date.</w:t>
            </w:r>
          </w:p>
          <w:p>
            <w:pPr>
              <w:pStyle w:val="ListParagraph"/>
              <w:numPr>
                <w:ilvl w:val="0"/>
                <w:numId w:val="27"/>
              </w:numPr>
              <w:rPr>
                <w:noProof/>
                <w:szCs w:val="24"/>
              </w:rPr>
            </w:pPr>
            <w:r>
              <w:rPr>
                <w:rFonts w:ascii="Times New Roman" w:hAnsi="Times New Roman"/>
                <w:noProof/>
                <w:sz w:val="24"/>
              </w:rPr>
              <w:t>Propunerea urmărește să creeze un mediu favorabil pentru start-upuri și întreprinderile în fază de extindere, care să fie în concordanță cu obiectivul Strategiei europene privind datele de promovare a inovării și a antreprenoriatului prin intermediul tehnologiilor bazate pe date.</w:t>
            </w:r>
          </w:p>
          <w:p>
            <w:pPr>
              <w:rPr>
                <w:noProof/>
              </w:rPr>
            </w:pPr>
            <w:r>
              <w:rPr>
                <w:noProof/>
              </w:rPr>
              <w:t>Explicarea modului în care datele nou create sunt ușor de găsit, accesibile, interoperabile și reutilizabile și respectă standarde de înaltă calitate</w:t>
            </w:r>
          </w:p>
          <w:tbl>
            <w:tblPr>
              <w:tblW w:w="9037" w:type="dxa"/>
              <w:shd w:val="clear" w:color="auto" w:fill="FFFFFF"/>
              <w:tblCellMar>
                <w:left w:w="0" w:type="dxa"/>
                <w:right w:w="0" w:type="dxa"/>
              </w:tblCellMar>
              <w:tblLook w:val="04A0" w:firstRow="1" w:lastRow="0" w:firstColumn="1" w:lastColumn="0" w:noHBand="0" w:noVBand="1"/>
            </w:tblPr>
            <w:tblGrid>
              <w:gridCol w:w="9037"/>
            </w:tblGrid>
            <w:tr>
              <w:trPr>
                <w:trHeight w:val="56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i/>
                      <w:iCs/>
                      <w:noProof/>
                    </w:rPr>
                  </w:pPr>
                  <w:r>
                    <w:rPr>
                      <w:noProof/>
                    </w:rPr>
                    <w:t xml:space="preserve">Ușurința utilizării, ușurința găsirii, interoperabilitatea și posibilitate de reutilizare ale datelor, precum și cerințele privind calitatea datelor aferente </w:t>
                  </w:r>
                  <w:r>
                    <w:rPr>
                      <w:b/>
                      <w:noProof/>
                    </w:rPr>
                    <w:t>achizițiilor în domeniul cercetării și dezvoltării</w:t>
                  </w:r>
                  <w:r>
                    <w:rPr>
                      <w:noProof/>
                    </w:rPr>
                    <w:t xml:space="preserve"> sunt reglementate în prezent de normele privind publicarea datelor și accesul la acestea pe portalul TED </w:t>
                  </w:r>
                </w:p>
                <w:p>
                  <w:pPr>
                    <w:rPr>
                      <w:rFonts w:eastAsia="Times New Roman"/>
                      <w:noProof/>
                      <w:szCs w:val="20"/>
                    </w:rPr>
                  </w:pPr>
                  <w:r>
                    <w:rPr>
                      <w:noProof/>
                    </w:rPr>
                    <w:t xml:space="preserve">Datele colectate în temeiul actului legislativ vor fi gestionate de Oficiul Uniunii Europene pentru Proprietate Intelectuală. </w:t>
                  </w:r>
                  <w:r>
                    <w:rPr>
                      <w:b/>
                      <w:noProof/>
                    </w:rPr>
                    <w:t xml:space="preserve">Centrul de competențe al Oficiului Uniunii Europene pentru Proprietate Intelectuală </w:t>
                  </w:r>
                  <w:r>
                    <w:rPr>
                      <w:noProof/>
                    </w:rPr>
                    <w:t>va menține un registru structurat cu standarde de metadate definite pentru a facilita identificarea și reutilizarea datelor. Oficiul este entitatea juridică care va menține registrul. Accesul va fi reglementat prin protocoale clare, care vor face distincția între datele accesibile publicului și datele accesibile numai organismelor autorizate. Interoperabilitatea cu registrele de PI și registrele comerțului existente va fi urmărită prin formate de date comune și identificatori comuni. Standardele privind calitatea datelor, inclusiv normele de validare și obligațiile de raportare aplicabile entităților participante, vor fi definite de Centrul de competențe în cooperare cu Comisia.</w:t>
                  </w:r>
                </w:p>
              </w:tc>
            </w:tr>
          </w:tbl>
          <w:p>
            <w:pPr>
              <w:rPr>
                <w:noProof/>
              </w:rPr>
            </w:pPr>
            <w:r>
              <w:rPr>
                <w:noProof/>
              </w:rPr>
              <w:t>Fluxurile de date</w:t>
            </w:r>
          </w:p>
          <w:p>
            <w:pPr>
              <w:rPr>
                <w:noProof/>
              </w:rPr>
            </w:pPr>
            <w:r>
              <w:rPr>
                <w:noProof/>
              </w:rPr>
              <w:t>Descriere la nivel înalt a fluxurilor de date</w:t>
            </w:r>
          </w:p>
          <w:tbl>
            <w:tblPr>
              <w:tblW w:w="8906" w:type="dxa"/>
              <w:shd w:val="clear" w:color="auto" w:fill="FFFFFF"/>
              <w:tblCellMar>
                <w:left w:w="0" w:type="dxa"/>
                <w:right w:w="0" w:type="dxa"/>
              </w:tblCellMar>
              <w:tblLook w:val="04A0" w:firstRow="1" w:lastRow="0" w:firstColumn="1" w:lastColumn="0" w:noHBand="0" w:noVBand="1"/>
            </w:tblPr>
            <w:tblGrid>
              <w:gridCol w:w="1568"/>
              <w:gridCol w:w="1594"/>
              <w:gridCol w:w="1490"/>
              <w:gridCol w:w="1350"/>
              <w:gridCol w:w="1661"/>
              <w:gridCol w:w="1243"/>
            </w:tblGrid>
            <w:tr>
              <w:trPr>
                <w:trHeight w:val="10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Tipul de date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Trimitere (trimiteri) la cerință (cerințe)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Actorul care furnizează datele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Actorul care primește datele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Factorul declanșator pentru schimbul de date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Frecvența (dacă este cazul)</w:t>
                  </w: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Documente ale achiziției și anunțuri de participare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Articolul 4 alineatul (4), articolele 6, 16 și 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Achizitorul public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Ofertanți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Publicarea anunțurilor și linkul către documentele achiziției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eastAsia="en-IE"/>
                    </w:rPr>
                  </w:pPr>
                </w:p>
              </w:tc>
            </w:tr>
            <w:tr>
              <w:trPr>
                <w:trHeight w:val="494"/>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Instrumente de evaluare a proprietății intelectuale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Articolul 32 alineatul (3) litera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 xml:space="preserve">Operatori economici </w:t>
                  </w:r>
                </w:p>
                <w:p>
                  <w:pPr>
                    <w:rPr>
                      <w:rFonts w:eastAsia="Times New Roman"/>
                      <w:noProof/>
                      <w:szCs w:val="20"/>
                    </w:rPr>
                  </w:pPr>
                  <w:r>
                    <w:rPr>
                      <w:noProof/>
                    </w:rPr>
                    <w:t>Organisme publice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Cerere de evaluare a proprietății intelectuale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eastAsia="en-IE"/>
                    </w:rPr>
                  </w:pP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Informații privind stabilirea de contacte în materie de PI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Articolul 32 alineatul (3) litera (b)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Operatori economici</w:t>
                  </w:r>
                </w:p>
                <w:p>
                  <w:pPr>
                    <w:rPr>
                      <w:rFonts w:eastAsia="Times New Roman"/>
                      <w:noProof/>
                      <w:szCs w:val="20"/>
                    </w:rPr>
                  </w:pPr>
                  <w:r>
                    <w:rPr>
                      <w:noProof/>
                    </w:rPr>
                    <w:t>Organisme publice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Cerere de stabilire de contacte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eastAsia="en-IE"/>
                    </w:rPr>
                  </w:pP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 xml:space="preserve">Dovezi legate de finanțarea bazată pe PI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Articolul 32 alineatul (3) litera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 xml:space="preserve">Instituții naționale de garantare </w:t>
                  </w:r>
                </w:p>
                <w:p>
                  <w:pPr>
                    <w:rPr>
                      <w:rFonts w:eastAsia="Times New Roman"/>
                      <w:noProof/>
                      <w:szCs w:val="20"/>
                    </w:rPr>
                  </w:pPr>
                  <w:r>
                    <w:rPr>
                      <w:noProof/>
                    </w:rPr>
                    <w:t>Intermediari financiari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Cerere de strângere de probe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eastAsia="en-IE"/>
                    </w:rPr>
                  </w:pPr>
                </w:p>
              </w:tc>
            </w:tr>
          </w:tbl>
          <w:p>
            <w:pPr>
              <w:rPr>
                <w:noProof/>
                <w:color w:val="0000FF"/>
              </w:rPr>
            </w:pPr>
          </w:p>
        </w:tc>
      </w:tr>
    </w:tbl>
    <w:p>
      <w:pPr>
        <w:pStyle w:val="ManualHeading2"/>
        <w:rPr>
          <w:noProof/>
        </w:rPr>
      </w:pPr>
      <w:bookmarkStart w:id="88" w:name="_Toc239673876"/>
      <w:r>
        <w:rPr>
          <w:noProof/>
        </w:rPr>
        <w:t>4.3.</w:t>
      </w:r>
      <w:r>
        <w:rPr>
          <w:noProof/>
        </w:rPr>
        <w:tab/>
        <w:t>Soluții digitale</w:t>
      </w:r>
      <w:bookmarkEnd w:id="88"/>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 xml:space="preserve">În temeiul prezentei propuneri, </w:t>
            </w:r>
            <w:r>
              <w:rPr>
                <w:b/>
                <w:noProof/>
              </w:rPr>
              <w:t>achizițiile</w:t>
            </w:r>
            <w:r>
              <w:rPr>
                <w:noProof/>
              </w:rPr>
              <w:t xml:space="preserve"> </w:t>
            </w:r>
            <w:r>
              <w:rPr>
                <w:b/>
                <w:noProof/>
              </w:rPr>
              <w:t>în domeniul cercetării și dezvoltării</w:t>
            </w:r>
            <w:r>
              <w:rPr>
                <w:noProof/>
              </w:rPr>
              <w:t xml:space="preserve"> vor fi efectuate prin intermediul soluțiilor digitale utilizate pe portalul TED.</w:t>
            </w:r>
            <w:r>
              <w:rPr>
                <w:i/>
                <w:noProof/>
              </w:rPr>
              <w:t xml:space="preserve"> </w:t>
            </w:r>
          </w:p>
          <w:p>
            <w:pPr>
              <w:rPr>
                <w:noProof/>
                <w:szCs w:val="24"/>
              </w:rPr>
            </w:pPr>
            <w:r>
              <w:rPr>
                <w:noProof/>
              </w:rPr>
              <w:t>În temeiul prezentei propuneri, Oficiului Uniunii Europene pentru Proprietate Intelectuală îi revine atribuția de a dezvolta următoarele soluții digitale:</w:t>
            </w:r>
          </w:p>
          <w:p>
            <w:pPr>
              <w:pStyle w:val="ListParagraph"/>
              <w:numPr>
                <w:ilvl w:val="0"/>
                <w:numId w:val="32"/>
              </w:numPr>
              <w:rPr>
                <w:rFonts w:ascii="Times New Roman" w:hAnsi="Times New Roman" w:cs="Times New Roman"/>
                <w:noProof/>
                <w:sz w:val="24"/>
                <w:szCs w:val="24"/>
              </w:rPr>
            </w:pPr>
            <w:r>
              <w:rPr>
                <w:rFonts w:ascii="Times New Roman" w:hAnsi="Times New Roman"/>
                <w:noProof/>
                <w:sz w:val="24"/>
              </w:rPr>
              <w:t>instrumente digitale care sprijină prezentarea, examinarea și evaluarea orientativă a activelor de PI, accesibile operatorilor economici și instituțiilor financiare;</w:t>
            </w:r>
          </w:p>
          <w:p>
            <w:pPr>
              <w:pStyle w:val="ListParagraph"/>
              <w:numPr>
                <w:ilvl w:val="0"/>
                <w:numId w:val="32"/>
              </w:numPr>
              <w:rPr>
                <w:rFonts w:ascii="Times New Roman" w:hAnsi="Times New Roman" w:cs="Times New Roman"/>
                <w:noProof/>
                <w:sz w:val="24"/>
                <w:szCs w:val="24"/>
              </w:rPr>
            </w:pPr>
            <w:r>
              <w:rPr>
                <w:rFonts w:ascii="Times New Roman" w:hAnsi="Times New Roman"/>
                <w:noProof/>
                <w:sz w:val="24"/>
              </w:rPr>
              <w:t>o platformă de acordare a licențelor și de transfer al drepturilor de PI care să faciliteze acordarea de licențe și transferul drepturilor de PI protejate la nivelul Uniunii;</w:t>
            </w:r>
          </w:p>
          <w:p>
            <w:pPr>
              <w:pStyle w:val="ListParagraph"/>
              <w:numPr>
                <w:ilvl w:val="0"/>
                <w:numId w:val="32"/>
              </w:numPr>
              <w:rPr>
                <w:noProof/>
              </w:rPr>
            </w:pPr>
            <w:r>
              <w:rPr>
                <w:rFonts w:ascii="Times New Roman" w:hAnsi="Times New Roman"/>
                <w:noProof/>
                <w:sz w:val="24"/>
              </w:rPr>
              <w:t>bază de date fundamentate științific privind finanțarea garantată cu PI care colectează date la nivel de tranzacție privind instrumentele financiare garantate cu PI.</w:t>
            </w:r>
          </w:p>
          <w:p>
            <w:pPr>
              <w:rPr>
                <w:noProof/>
              </w:rPr>
            </w:pPr>
            <w:r>
              <w:rPr>
                <w:noProof/>
              </w:rPr>
              <w:t>Toate cele trei soluții vor fi gestionate de Oficiul Uniunii Europene pentru Proprietate Intelectuală și vor respecta cerințele aplicabile în materie de securitate cibernetică și normele digitale relevante ale Uniunii. În cazul în care se utilizează instrumente asistate de IA, în special pentru examinare și evaluare orientativă, se va asigura respectarea normelor aplicabile utilizării IA, iar clasificarea relevantă a riscurilor va fi evaluată în etapa de proiectare.</w:t>
            </w:r>
          </w:p>
        </w:tc>
      </w:tr>
    </w:tbl>
    <w:p>
      <w:pPr>
        <w:pStyle w:val="ManualHeading2"/>
        <w:rPr>
          <w:rStyle w:val="Emphasis"/>
          <w:b w:val="0"/>
          <w:bCs/>
          <w:i w:val="0"/>
          <w:iCs w:val="0"/>
          <w:noProof/>
        </w:rPr>
      </w:pPr>
      <w:bookmarkStart w:id="89" w:name="_Toc239673877"/>
      <w:r>
        <w:rPr>
          <w:rStyle w:val="Emphasis"/>
          <w:noProof/>
        </w:rPr>
        <w:t>4.4.</w:t>
      </w:r>
      <w:r>
        <w:rPr>
          <w:noProof/>
        </w:rPr>
        <w:tab/>
      </w:r>
      <w:r>
        <w:rPr>
          <w:rStyle w:val="Emphasis"/>
          <w:noProof/>
        </w:rPr>
        <w:t>Evaluarea interoperabilității</w:t>
      </w:r>
      <w:bookmarkEnd w:id="89"/>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rPr>
            </w:pPr>
            <w:r>
              <w:rPr>
                <w:noProof/>
              </w:rPr>
              <w:t xml:space="preserve">Soluțiile digitale impuse de actul legislativ necesită interacțiunea dincolo de frontierele statelor membre și implică mai multe entități ale UE și organisme din sectorul public, îndeplinind ambele condiții pentru o evaluare a interoperabilității. </w:t>
            </w:r>
          </w:p>
          <w:p>
            <w:pPr>
              <w:rPr>
                <w:noProof/>
              </w:rPr>
            </w:pPr>
            <w:r>
              <w:rPr>
                <w:noProof/>
              </w:rPr>
              <w:t xml:space="preserve">În prezent, portalul TED oferă achizitorilor publici o modalitate interoperabilă de a încărca anunțurile de participare la achiziții în domeniul cercetării și dezvoltării care au fost publicate pe portalurile naționale de achiziții publice și pe portalul TED. În viitor, se preconizează că piața digitală a UE pentru achizițiile publice va îmbunătăți și mai mult interoperabilitatea dintre diferitele portaluri și baze de date naționale și ale UE privind achizițiile publice, permițând operatorilor economici dintr-un stat membru să participe mai ușor la o procedură de achiziții în domeniul cercetării și dezvoltării organizată de un achizitor public dintr-un alt stat membru și simplificând procesul prin care achizitorii publici din două sau mai multe state membre pot derula în comun proceduri de achiziții în domeniul cercetării și dezvoltării. Portalul TED va rămâne interfața prin care achizitorii publici vor lansa proceduri de achiziții în domeniul cercetării și dezvoltării, iar operatorii economici vor găsi oportunități de afaceri în domeniul achizițiilor în domeniul cercetării și dezvoltării. Prin urmare, interacțiunile dintre portalurile și bazele de date naționale și cele ale UE privind achizițiile publice nu fac parte din această evaluare a interoperabilității. </w:t>
            </w:r>
          </w:p>
          <w:p>
            <w:pPr>
              <w:rPr>
                <w:noProof/>
              </w:rPr>
            </w:pPr>
            <w:r>
              <w:rPr>
                <w:noProof/>
              </w:rPr>
              <w:t>Instrumentele de evaluare și platforma pentru stabilirea de contacte ale Oficiului Uniunii Europene pentru Proprietate Intelectuală vor fi accesibile operatorilor economici și organismelor publice din toate statele membre, ceea ce necesită interoperabilitate semantică cu registrele naționale de PI și cu registrele comerțului. Baza de date fundamentate științific privind finanțarea garantată cu PI va agrega date de la instituțiile naționale de garantare și de la intermediarii financiari, ceea ce necesită formate de date armonizate și identificatori comuni. Soluțiile de interoperabilitate relevante disponibile la nivelul UE vor fi evaluate în vederea reutilizării în etapa de proiectare și de punere în aplicare. Printre principalele bariere rămase se numără formatele divergente ale registrelor naționale de PI și absența unui registru central al garanțiilor constituite asupra activelor de PI la nivelul UE.</w:t>
            </w:r>
          </w:p>
          <w:p>
            <w:pPr>
              <w:pStyle w:val="ManualConsidrant"/>
              <w:ind w:left="0" w:firstLine="0"/>
              <w:rPr>
                <w:noProof/>
              </w:rPr>
            </w:pPr>
            <w:r>
              <w:rPr>
                <w:noProof/>
              </w:rPr>
              <w:t>Întrucât prezenta propunere introduce noi cerințe obligatorii pentru serviciile publice digitale transfrontaliere în sensul Regulamentului (UE) 2024/903 al Parlamentului European și al Consiliului</w:t>
            </w:r>
            <w:r>
              <w:rPr>
                <w:rStyle w:val="FootnoteReference"/>
                <w:noProof/>
              </w:rPr>
              <w:footnoteReference w:id="62"/>
            </w:r>
            <w:r>
              <w:rPr>
                <w:noProof/>
              </w:rPr>
              <w:t>, a fost efectuată o evaluare a interoperabilității, iar raportul rezultat urmează să fie publicat pe portalul Europa interoperabilă.</w:t>
            </w:r>
          </w:p>
        </w:tc>
      </w:tr>
    </w:tbl>
    <w:p>
      <w:pPr>
        <w:pStyle w:val="ManualHeading2"/>
        <w:rPr>
          <w:noProof/>
        </w:rPr>
      </w:pPr>
      <w:bookmarkStart w:id="90" w:name="_Toc239673878"/>
      <w:r>
        <w:rPr>
          <w:noProof/>
        </w:rPr>
        <w:t>4.5.</w:t>
      </w:r>
      <w:r>
        <w:rPr>
          <w:noProof/>
        </w:rPr>
        <w:tab/>
        <w:t>Măsuri de sprijinire a implementării digitale</w:t>
      </w:r>
      <w:bookmarkEnd w:id="90"/>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szCs w:val="24"/>
              </w:rPr>
            </w:pPr>
            <w:r>
              <w:rPr>
                <w:noProof/>
              </w:rPr>
              <w:t xml:space="preserve">Pentru a sprijini punerea în aplicare a soluțiilor digitale prevăzute în prezenta propunere, sunt planificate următoarele măsuri: </w:t>
            </w:r>
          </w:p>
          <w:p>
            <w:pPr>
              <w:rPr>
                <w:noProof/>
                <w:szCs w:val="24"/>
              </w:rPr>
            </w:pPr>
            <w:r>
              <w:rPr>
                <w:noProof/>
              </w:rPr>
              <w:t>În ceea ce privește achizițiile în domeniul cercetării și dezvoltării:</w:t>
            </w:r>
          </w:p>
          <w:p>
            <w:pPr>
              <w:pStyle w:val="ListParagraph"/>
              <w:numPr>
                <w:ilvl w:val="0"/>
                <w:numId w:val="34"/>
              </w:numPr>
              <w:rPr>
                <w:rFonts w:ascii="Times New Roman" w:hAnsi="Times New Roman" w:cs="Times New Roman"/>
                <w:noProof/>
                <w:sz w:val="24"/>
                <w:szCs w:val="24"/>
              </w:rPr>
            </w:pPr>
            <w:r>
              <w:rPr>
                <w:rFonts w:ascii="Times New Roman" w:hAnsi="Times New Roman"/>
                <w:noProof/>
                <w:sz w:val="24"/>
              </w:rPr>
              <w:t>utilizarea caracteristicilor existente pentru lansarea procedurilor de achiziții în domeniul cercetării și dezvoltării prin intermediul portalului TED și integrarea de noi caracteristici digitale pentru lansarea procedurilor de achiziții în domeniul cercetării și dezvoltării prin intermediul pieței digitale a UE pentru achizițiile publice;</w:t>
            </w:r>
          </w:p>
          <w:p>
            <w:pPr>
              <w:pStyle w:val="ListParagraph"/>
              <w:numPr>
                <w:ilvl w:val="0"/>
                <w:numId w:val="34"/>
              </w:numPr>
              <w:rPr>
                <w:rFonts w:ascii="Times New Roman" w:hAnsi="Times New Roman" w:cs="Times New Roman"/>
                <w:noProof/>
                <w:sz w:val="24"/>
                <w:szCs w:val="24"/>
              </w:rPr>
            </w:pPr>
            <w:r>
              <w:rPr>
                <w:rFonts w:ascii="Times New Roman" w:hAnsi="Times New Roman"/>
                <w:noProof/>
                <w:sz w:val="24"/>
              </w:rPr>
              <w:t>activități de consolidare a capacităților care vizează statele membre, achizitorii publici și operatorii economici pentru a sprijini utilizarea pe scară largă și corectă a lansării procedurilor de achiziție în domeniul cercetării și dezvoltării prin intermediul portalului TED.</w:t>
            </w:r>
          </w:p>
          <w:p>
            <w:pPr>
              <w:rPr>
                <w:noProof/>
                <w:szCs w:val="24"/>
              </w:rPr>
            </w:pPr>
            <w:r>
              <w:rPr>
                <w:noProof/>
              </w:rPr>
              <w:t>În ceea ce privește activitățile Oficiului Uniunii Europene pentru Proprietate Intelectuală:</w:t>
            </w:r>
          </w:p>
          <w:p>
            <w:pPr>
              <w:pStyle w:val="ListParagraph"/>
              <w:numPr>
                <w:ilvl w:val="0"/>
                <w:numId w:val="33"/>
              </w:numPr>
              <w:rPr>
                <w:rFonts w:ascii="Times New Roman" w:hAnsi="Times New Roman" w:cs="Times New Roman"/>
                <w:noProof/>
                <w:sz w:val="24"/>
                <w:szCs w:val="24"/>
              </w:rPr>
            </w:pPr>
            <w:r>
              <w:rPr>
                <w:rFonts w:ascii="Times New Roman" w:hAnsi="Times New Roman"/>
                <w:noProof/>
                <w:sz w:val="24"/>
              </w:rPr>
              <w:t xml:space="preserve">înființarea și operaționalizarea Centrului de competențe al Oficiului Uniunii Europene pentru Proprietate Intelectuală pentru finanțarea garantată cu PI, care va fi responsabil de instrumentele digitale, platforma pentru stabilirea de contacte și baza de date fundamentate științific; </w:t>
            </w:r>
          </w:p>
          <w:p>
            <w:pPr>
              <w:pStyle w:val="ListParagraph"/>
              <w:numPr>
                <w:ilvl w:val="0"/>
                <w:numId w:val="33"/>
              </w:numPr>
              <w:rPr>
                <w:rFonts w:ascii="Times New Roman" w:hAnsi="Times New Roman" w:cs="Times New Roman"/>
                <w:noProof/>
                <w:sz w:val="24"/>
                <w:szCs w:val="24"/>
              </w:rPr>
            </w:pPr>
            <w:r>
              <w:rPr>
                <w:rFonts w:ascii="Times New Roman" w:hAnsi="Times New Roman"/>
                <w:noProof/>
                <w:sz w:val="24"/>
              </w:rPr>
              <w:t xml:space="preserve">programul de consolidare a capacităților care vizează instituțiile financiare, elaborat în comun de Oficiul Uniunii Europene pentru Proprietate Intelectuală și de Comisie, pentru a sprijini adoptarea cadrului de evaluare și a instrumentelor digitale; </w:t>
            </w:r>
          </w:p>
          <w:p>
            <w:pPr>
              <w:pStyle w:val="ListParagraph"/>
              <w:numPr>
                <w:ilvl w:val="0"/>
                <w:numId w:val="33"/>
              </w:numPr>
              <w:rPr>
                <w:rFonts w:ascii="Times New Roman" w:hAnsi="Times New Roman" w:cs="Times New Roman"/>
                <w:noProof/>
                <w:color w:val="0000FF"/>
              </w:rPr>
            </w:pPr>
            <w:r>
              <w:rPr>
                <w:rFonts w:ascii="Times New Roman" w:hAnsi="Times New Roman"/>
                <w:noProof/>
                <w:sz w:val="24"/>
              </w:rPr>
              <w:t>faza-pilot pentru baza de date fundamentate științific care implică anumite instituții naționale de garantare și intermediari financiari, permițând perfecționarea iterativă înainte de implementarea la scară largă.</w:t>
            </w:r>
          </w:p>
        </w:tc>
      </w:tr>
      <w:bookmarkEnd w:id="85"/>
    </w:tbl>
    <w:p>
      <w:pPr>
        <w:rPr>
          <w:noProof/>
        </w:rPr>
      </w:pPr>
    </w:p>
    <w:sectPr>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 xml:space="preserve">Comunicare a Comisiei către Parlamentul European, Consiliu, Comitetul Economic și Social European și Comitetul Regiunilor, Strategia UE privind start-upurile și întreprinderile în fază de extindere – Alegeți Europa pentru lansarea și dezvoltarea afacerii, COM(2025) 270 final, </w:t>
      </w:r>
      <w:hyperlink r:id="rId1" w:history="1">
        <w:r>
          <w:rPr>
            <w:rStyle w:val="Hyperlink"/>
          </w:rPr>
          <w:t>https://eur-lex.europa.eu/legal-content/RO/TXT/?uri=celex:52025DC0270</w:t>
        </w:r>
      </w:hyperlink>
      <w:r>
        <w:t xml:space="preserve">. </w:t>
      </w:r>
    </w:p>
  </w:footnote>
  <w:footnote w:id="3">
    <w:p>
      <w:pPr>
        <w:pStyle w:val="FootnoteText"/>
      </w:pPr>
      <w:r>
        <w:rPr>
          <w:rStyle w:val="FootnoteReference"/>
        </w:rPr>
        <w:footnoteRef/>
      </w:r>
      <w:r>
        <w:tab/>
        <w:t xml:space="preserve">Comunicarea Comisiei către Parlamentul European, către Consiliu, către Comitetul Economic și Social European și către Comitetul Regiunilor - Achiziția înainte de comercializare: Încurajarea inovației pentru asigurarea unor servicii publice durabile de înaltă calitate în Europa, 14.12.2007, </w:t>
      </w:r>
      <w:hyperlink r:id="rId2" w:history="1">
        <w:r>
          <w:rPr>
            <w:rStyle w:val="Hyperlink"/>
          </w:rPr>
          <w:t>COM(2007) 799 final</w:t>
        </w:r>
      </w:hyperlink>
      <w:r>
        <w:t>.</w:t>
      </w:r>
    </w:p>
  </w:footnote>
  <w:footnote w:id="4">
    <w:p>
      <w:pPr>
        <w:pStyle w:val="FootnoteText"/>
      </w:pPr>
      <w:r>
        <w:rPr>
          <w:rStyle w:val="FootnoteReference"/>
        </w:rPr>
        <w:footnoteRef/>
      </w:r>
      <w:r>
        <w:rPr>
          <w:lang w:val="fr-FR"/>
        </w:rPr>
        <w:tab/>
      </w:r>
      <w:r>
        <w:t xml:space="preserve">UE alocă activităților de cercetare și dezvoltare 0,6 % din totalul achizițiilor publice, comparativ cu 3,5 % în SUA și 5 % în Coreea de Sud. Creșterea investițiilor în UE la 3 % din totalul achizițiilor publice în domeniul cercetării și dezvoltării ar genera investiții publice suplimentare în cercetare și dezvoltare echivalente cu 0,5 % din PIB – </w:t>
      </w:r>
      <w:hyperlink r:id="rId3" w:history="1">
        <w:r>
          <w:rPr>
            <w:rStyle w:val="Hyperlink"/>
          </w:rPr>
          <w:t>analiză comparativă la nivelul UE a cadrelor de politică și a investițiilor în materie de achiziții în domeniul inovării</w:t>
        </w:r>
      </w:hyperlink>
      <w:r>
        <w:t>.</w:t>
      </w:r>
    </w:p>
  </w:footnote>
  <w:footnote w:id="5">
    <w:p>
      <w:pPr>
        <w:pStyle w:val="FootnoteText"/>
      </w:pPr>
      <w:r>
        <w:rPr>
          <w:rStyle w:val="FootnoteReference"/>
        </w:rPr>
        <w:footnoteRef/>
      </w:r>
      <w:r>
        <w:tab/>
        <w:t xml:space="preserve">În 2023, investițiile publice și private în cercetare și dezvoltare au fost de 2,2 % din PIB în UE, comparativ cu 3,3 % în Japonia, 3,46 % în SUA, 4,93 % în Coreea de Sud – </w:t>
      </w:r>
      <w:hyperlink r:id="rId4" w:history="1">
        <w:r>
          <w:rPr>
            <w:rStyle w:val="Hyperlink"/>
          </w:rPr>
          <w:t>Raportul privind performanțele în domeniul științei, cercetării și inovării (SRIP)</w:t>
        </w:r>
      </w:hyperlink>
      <w:r>
        <w:t>, ediția 2024, Comisia Europeană.</w:t>
      </w:r>
    </w:p>
  </w:footnote>
  <w:footnote w:id="6">
    <w:p>
      <w:pPr>
        <w:pStyle w:val="FootnoteText"/>
        <w:rPr>
          <w:sz w:val="18"/>
          <w:szCs w:val="18"/>
        </w:rPr>
      </w:pPr>
      <w:r>
        <w:rPr>
          <w:rStyle w:val="FootnoteReference"/>
        </w:rPr>
        <w:footnoteRef/>
      </w:r>
      <w:r>
        <w:rPr>
          <w:sz w:val="18"/>
        </w:rPr>
        <w:tab/>
        <w:t xml:space="preserve">Banca Europeană </w:t>
      </w:r>
      <w:r>
        <w:t>de Investiții</w:t>
      </w:r>
      <w:r>
        <w:rPr>
          <w:sz w:val="18"/>
        </w:rPr>
        <w:t xml:space="preserve">. (2025). </w:t>
      </w:r>
      <w:hyperlink r:id="rId5" w:history="1">
        <w:r>
          <w:rPr>
            <w:rStyle w:val="Hyperlink"/>
            <w:sz w:val="18"/>
          </w:rPr>
          <w:t>Investment Report 2024/2025:</w:t>
        </w:r>
      </w:hyperlink>
      <w:hyperlink r:id="rId6" w:history="1">
        <w:r>
          <w:rPr>
            <w:rStyle w:val="Hyperlink"/>
            <w:sz w:val="18"/>
          </w:rPr>
          <w:t xml:space="preserve"> Innovation, integration and simplification in Europe</w:t>
        </w:r>
      </w:hyperlink>
      <w:r>
        <w:t xml:space="preserve"> (Raportul BEI privind investițiile 2024/2025: Inovare, integrare și simplificare în Europa).</w:t>
      </w:r>
      <w:r>
        <w:rPr>
          <w:sz w:val="18"/>
        </w:rPr>
        <w:t xml:space="preserve"> </w:t>
      </w:r>
    </w:p>
  </w:footnote>
  <w:footnote w:id="7">
    <w:p>
      <w:pPr>
        <w:pStyle w:val="FootnoteText"/>
      </w:pPr>
      <w:r>
        <w:rPr>
          <w:rStyle w:val="FootnoteReference"/>
        </w:rPr>
        <w:footnoteRef/>
      </w:r>
      <w:r>
        <w:tab/>
        <w:t xml:space="preserve">Rezultatele consultării publice deschise și raportul de sinteză corespunzător, 4 decembrie 2025, </w:t>
      </w:r>
      <w:hyperlink r:id="rId7" w:history="1">
        <w:r>
          <w:rPr>
            <w:rStyle w:val="Hyperlink"/>
          </w:rPr>
          <w:t>https://ec.europa.eu/info/law/better-regulation/have-your-say/initiatives/14593-European-Innovation-Act/public-consultation_ro</w:t>
        </w:r>
      </w:hyperlink>
      <w:r>
        <w:t>.</w:t>
      </w:r>
    </w:p>
  </w:footnote>
  <w:footnote w:id="8">
    <w:p>
      <w:pPr>
        <w:pStyle w:val="FootnoteText"/>
      </w:pPr>
      <w:r>
        <w:rPr>
          <w:rStyle w:val="FootnoteReference"/>
        </w:rPr>
        <w:footnoteRef/>
      </w:r>
      <w:r>
        <w:tab/>
        <w:t xml:space="preserve">Document de poziție și listă de deziderate pentru Actul european privind inovarea, Forumul CEI, noiembrie 2025, </w:t>
      </w:r>
      <w:hyperlink r:id="rId8" w:history="1">
        <w:r>
          <w:rPr>
            <w:rStyle w:val="Hyperlink"/>
          </w:rPr>
          <w:t>https://op.europa.eu/ro/publication-detail/-/publication/b690e2af-d0bd-11f0-8da2-01aa75ed71a1/language-en</w:t>
        </w:r>
      </w:hyperlink>
      <w:r>
        <w:t>.</w:t>
      </w:r>
    </w:p>
  </w:footnote>
  <w:footnote w:id="9">
    <w:p>
      <w:pPr>
        <w:pStyle w:val="FootnoteText"/>
      </w:pPr>
      <w:r>
        <w:rPr>
          <w:rStyle w:val="FootnoteReference"/>
        </w:rPr>
        <w:footnoteRef/>
      </w:r>
      <w:r>
        <w:tab/>
        <w:t xml:space="preserve">Raport al unui expert independent, „Overcoming legal barriers for the uptake of innovation procurement in the EU” (Depășirea barierelor juridice din calea adoptării achizițiilor în domeniul inovării în UE), mai 2026, </w:t>
      </w:r>
      <w:hyperlink r:id="rId9" w:history="1">
        <w:r>
          <w:rPr>
            <w:rStyle w:val="Hyperlink"/>
          </w:rPr>
          <w:t>https://data.europa.eu/doi/10.2777/4586624</w:t>
        </w:r>
      </w:hyperlink>
      <w:r>
        <w:t>.</w:t>
      </w:r>
    </w:p>
  </w:footnote>
  <w:footnote w:id="10">
    <w:p>
      <w:pPr>
        <w:pStyle w:val="FootnoteText"/>
        <w:ind w:left="0" w:firstLine="0"/>
      </w:pPr>
      <w:r>
        <w:rPr>
          <w:rStyle w:val="FootnoteReference"/>
        </w:rPr>
        <w:footnoteRef/>
      </w:r>
      <w:r>
        <w:tab/>
        <w:t>Furnizorii vizați sunt, în acest caz, furnizori din statele membre ale UE și din țări terțe care au încheiat acorduri internaționale cu Uniunea și în care Uniunea s-a angajat să deschidă achizițiile de servicii în domeniul cercetării și dezvoltării către țările terțe respective.</w:t>
      </w:r>
    </w:p>
  </w:footnote>
  <w:footnote w:id="11">
    <w:p>
      <w:pPr>
        <w:pStyle w:val="FootnoteText"/>
      </w:pPr>
      <w:r>
        <w:rPr>
          <w:rStyle w:val="FootnoteReference"/>
        </w:rPr>
        <w:t>(1)</w:t>
      </w:r>
      <w:r>
        <w:tab/>
        <w:t>JO C [...], [...], p. [...].</w:t>
      </w:r>
    </w:p>
  </w:footnote>
  <w:footnote w:id="12">
    <w:p>
      <w:pPr>
        <w:pStyle w:val="FootnoteText"/>
      </w:pPr>
      <w:r>
        <w:rPr>
          <w:rStyle w:val="FootnoteReference"/>
        </w:rPr>
        <w:t>(2)</w:t>
      </w:r>
      <w:r>
        <w:tab/>
        <w:t>JO C [...], [...], p. [...].</w:t>
      </w:r>
    </w:p>
  </w:footnote>
  <w:footnote w:id="13">
    <w:p>
      <w:pPr>
        <w:pStyle w:val="FootnoteText"/>
      </w:pPr>
      <w:r>
        <w:rPr>
          <w:rStyle w:val="FootnoteReference"/>
        </w:rPr>
        <w:footnoteRef/>
      </w:r>
      <w:r>
        <w:tab/>
      </w:r>
      <w:hyperlink r:id="rId10" w:history="1">
        <w:r>
          <w:t>Raportul special 28/2023:</w:t>
        </w:r>
      </w:hyperlink>
      <w:hyperlink r:id="rId11" w:history="1">
        <w:r>
          <w:t xml:space="preserve"> Achizițiile publice în UE</w:t>
        </w:r>
      </w:hyperlink>
      <w:r>
        <w:t xml:space="preserve">, Curtea de Conturi Europeană, decembrie 2023, </w:t>
      </w:r>
      <w:hyperlink r:id="rId12" w:history="1">
        <w:r>
          <w:rPr>
            <w:rStyle w:val="Hyperlink"/>
          </w:rPr>
          <w:t>https://www.eca.europa.eu/ECAPublications/SR-2023-28/SR-2023-28_RO.pdf</w:t>
        </w:r>
      </w:hyperlink>
      <w:r>
        <w:t xml:space="preserve">. </w:t>
      </w:r>
    </w:p>
  </w:footnote>
  <w:footnote w:id="14">
    <w:p>
      <w:pPr>
        <w:pStyle w:val="FootnoteText"/>
      </w:pPr>
      <w:r>
        <w:rPr>
          <w:rStyle w:val="FootnoteReference"/>
        </w:rPr>
        <w:footnoteRef/>
      </w:r>
      <w:r>
        <w:tab/>
        <w:t xml:space="preserve">Directiva 2014/23/UE a Parlamentului European și a Consiliului din 26 februarie 2014 privind atribuirea contractelor de concesiune (JO L 94, 28.3.2014, p. 1, ELI: </w:t>
      </w:r>
      <w:hyperlink r:id="rId13" w:history="1">
        <w:r>
          <w:rPr>
            <w:rStyle w:val="Hyperlink"/>
          </w:rPr>
          <w:t>http://data.europa.eu/eli/dir/2014/23/oj</w:t>
        </w:r>
      </w:hyperlink>
      <w:r>
        <w:t xml:space="preserve">). </w:t>
      </w:r>
    </w:p>
  </w:footnote>
  <w:footnote w:id="15">
    <w:p>
      <w:pPr>
        <w:pStyle w:val="FootnoteText"/>
      </w:pPr>
      <w:r>
        <w:rPr>
          <w:rStyle w:val="FootnoteReference"/>
        </w:rPr>
        <w:footnoteRef/>
      </w:r>
      <w:r>
        <w:tab/>
        <w:t xml:space="preserve">Directiva 2014/24/UE a Parlamentului European și a Consiliului din 26 februarie 2014 privind achizițiile publice și de abrogare a Directivei 2004/18/CE (JO L 94, 28.3.2014, p. 65, ELI: </w:t>
      </w:r>
      <w:hyperlink r:id="rId14" w:history="1">
        <w:r>
          <w:rPr>
            <w:rStyle w:val="Hyperlink"/>
          </w:rPr>
          <w:t>http://data.europa.eu/eli/dir/2014/24/oj</w:t>
        </w:r>
      </w:hyperlink>
      <w:r>
        <w:t xml:space="preserve">). </w:t>
      </w:r>
    </w:p>
  </w:footnote>
  <w:footnote w:id="16">
    <w:p>
      <w:pPr>
        <w:pStyle w:val="FootnoteText"/>
      </w:pPr>
      <w:r>
        <w:rPr>
          <w:rStyle w:val="FootnoteReference"/>
        </w:rPr>
        <w:footnoteRef/>
      </w:r>
      <w:r>
        <w:tab/>
        <w:t xml:space="preserve">Directiva 2014/25/UE a Parlamentului European și a Consiliului din 26 februarie 2014 privind achizițiile efectuate de entitățile care își desfășoară activitatea în sectoarele apei, energiei, transporturilor și serviciilor poștale și de abrogare a Directivei 2004/17/CΕ (JO L 94, 28.3.2014, p. 243, ELI: </w:t>
      </w:r>
      <w:hyperlink r:id="rId15" w:tooltip="Oferă acces la acest document prin identificatorul său uniform de resurse ELI." w:history="1">
        <w:r>
          <w:rPr>
            <w:rStyle w:val="Hyperlink"/>
          </w:rPr>
          <w:t>http://data.europa.eu/eli/dir/2014/25/oj</w:t>
        </w:r>
      </w:hyperlink>
      <w:r>
        <w:t xml:space="preserve">). </w:t>
      </w:r>
    </w:p>
  </w:footnote>
  <w:footnote w:id="17">
    <w:p>
      <w:pPr>
        <w:pStyle w:val="FootnoteText"/>
      </w:pPr>
      <w:r>
        <w:rPr>
          <w:rStyle w:val="FootnoteReference"/>
        </w:rPr>
        <w:footnoteRef/>
      </w:r>
      <w:r>
        <w:tab/>
        <w:t>În temeiul articolului 25 din Directiva 2014/23/UE, al articolului 14 din Directiva 2014/24/UE și al articolului 32 din Directiva 2014/25/UE, directivele respective se aplică achizițiilor de servicii de cercetare și dezvoltare numai atunci când beneficiile revin exclusiv achizitorului public pentru utilizarea în desfășurarea propriilor activități, iar serviciul furnizat este remunerat integral de achizitorul public.</w:t>
      </w:r>
    </w:p>
  </w:footnote>
  <w:footnote w:id="18">
    <w:p>
      <w:pPr>
        <w:pStyle w:val="FootnoteText"/>
      </w:pPr>
      <w:r>
        <w:rPr>
          <w:rStyle w:val="FootnoteReference"/>
        </w:rPr>
        <w:footnoteRef/>
      </w:r>
      <w:r>
        <w:tab/>
        <w:t xml:space="preserve">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 (Text cu relevanță pentru SEE) (JO L 216, 20.8.2009, p. 76, ELI: </w:t>
      </w:r>
      <w:hyperlink r:id="rId16" w:tooltip="Oferă acces la acest document prin identificatorul său uniform de resurse ELI." w:history="1">
        <w:r>
          <w:rPr>
            <w:rStyle w:val="Hyperlink"/>
          </w:rPr>
          <w:t>http://data.europa.eu/eli/dir/2009/81/oj</w:t>
        </w:r>
      </w:hyperlink>
      <w:r>
        <w:t>).</w:t>
      </w:r>
    </w:p>
  </w:footnote>
  <w:footnote w:id="19">
    <w:p>
      <w:pPr>
        <w:pStyle w:val="FootnoteText"/>
      </w:pPr>
      <w:r>
        <w:rPr>
          <w:rStyle w:val="FootnoteReference"/>
        </w:rPr>
        <w:footnoteRef/>
      </w:r>
      <w:r>
        <w:tab/>
        <w:t xml:space="preserve">Raport al unui expert independent, „Overcoming legal barriers for the uptake of innovation procurement in the EU” (Depășirea barierelor juridice din calea adoptării achizițiilor în domeniul inovării în UE), mai 2026, </w:t>
      </w:r>
      <w:hyperlink r:id="rId17" w:history="1">
        <w:r>
          <w:rPr>
            <w:rStyle w:val="Hyperlink"/>
          </w:rPr>
          <w:t>https://data.europa.eu/doi/10.2777/4586624</w:t>
        </w:r>
      </w:hyperlink>
      <w:r>
        <w:t>.</w:t>
      </w:r>
    </w:p>
  </w:footnote>
  <w:footnote w:id="20">
    <w:p>
      <w:pPr>
        <w:pStyle w:val="FootnoteText"/>
      </w:pPr>
      <w:r>
        <w:rPr>
          <w:rStyle w:val="FootnoteReference"/>
        </w:rPr>
        <w:footnoteRef/>
      </w:r>
      <w:r>
        <w:tab/>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w:t>
      </w:r>
      <w:hyperlink r:id="rId18" w:history="1">
        <w:r>
          <w:rPr>
            <w:rStyle w:val="Hyperlink"/>
          </w:rPr>
          <w:t>https://eur-lex.europa.eu/eli/reg/2016/679/oj/eng</w:t>
        </w:r>
      </w:hyperlink>
      <w:r>
        <w:t xml:space="preserve">. </w:t>
      </w:r>
    </w:p>
  </w:footnote>
  <w:footnote w:id="21">
    <w:p>
      <w:pPr>
        <w:pStyle w:val="FootnoteText"/>
      </w:pPr>
      <w:r>
        <w:rPr>
          <w:rStyle w:val="FootnoteReference"/>
        </w:rPr>
        <w:footnoteRef/>
      </w:r>
      <w:r>
        <w:tab/>
        <w:t xml:space="preserve">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 ELI: http://data.europa.eu/eli/dir/2002/58/oj). </w:t>
      </w:r>
    </w:p>
  </w:footnote>
  <w:footnote w:id="22">
    <w:p>
      <w:pPr>
        <w:pStyle w:val="FootnoteText"/>
      </w:pPr>
      <w:r>
        <w:rPr>
          <w:rStyle w:val="FootnoteReference"/>
        </w:rPr>
        <w:footnoteRef/>
      </w:r>
      <w:r>
        <w:tab/>
        <w:t>Opțiunile strategice de dezvoltare și achiziții în domeniul IT vor face obiectul aprobării prealabile de către Consiliul pentru tehnologia informației și securitate cibernetică al Comisiei Europene.</w:t>
      </w:r>
    </w:p>
  </w:footnote>
  <w:footnote w:id="23">
    <w:p>
      <w:pPr>
        <w:pStyle w:val="FootnoteText"/>
      </w:pPr>
      <w:r>
        <w:rPr>
          <w:rStyle w:val="FootnoteReference"/>
        </w:rPr>
        <w:footnoteRef/>
      </w:r>
      <w:r>
        <w:tab/>
        <w:t>Regulamentul (UE) 2017/1001 al Parlamentului European și al Consiliului din 14 iunie 2017 privind marca Uniunii Europene (JO L 154, 16.6.2017, p. 1, ELI: </w:t>
      </w:r>
      <w:hyperlink r:id="rId19" w:tooltip="Oferă acces la acest document prin identificatorul său uniform de resurse ELI." w:history="1">
        <w:r>
          <w:rPr>
            <w:rStyle w:val="Hyperlink"/>
          </w:rPr>
          <w:t>http://data.europa.eu/eli/reg/2017/1001/oj</w:t>
        </w:r>
      </w:hyperlink>
      <w:r>
        <w:t xml:space="preserve">). </w:t>
      </w:r>
    </w:p>
    <w:p>
      <w:pPr>
        <w:pStyle w:val="FootnoteText"/>
      </w:pPr>
    </w:p>
  </w:footnote>
  <w:footnote w:id="24">
    <w:p>
      <w:pPr>
        <w:pStyle w:val="FootnoteText"/>
      </w:pPr>
      <w:r>
        <w:rPr>
          <w:rStyle w:val="FootnoteReference"/>
        </w:rPr>
        <w:footnoteRef/>
      </w:r>
      <w:r>
        <w:tab/>
        <w:t>JO L 123, 12.5.2016, p. 1, http://data.europa.eu/eli/agree_interinstit/2016/512/oj.</w:t>
      </w:r>
    </w:p>
  </w:footnote>
  <w:footnote w:id="25">
    <w:p>
      <w:pPr>
        <w:pStyle w:val="FootnoteText"/>
        <w:ind w:left="0" w:firstLine="0"/>
      </w:pPr>
      <w:r>
        <w:rPr>
          <w:rStyle w:val="FootnoteReference"/>
        </w:rPr>
        <w:footnoteRef/>
      </w:r>
      <w:r>
        <w:tab/>
        <w:t>Regulamentul (CE) nr. 213/2008 al Comisiei din 28 noiembrie 2007 de modificare a Regulamentului (CE) nr. 2195/2002 al Parlamentului European și al Consiliului privind Vocabularul comun privind achizițiile publice (CPV) și a Directivelor 2004/17/CE și 2004/18/CE ale Parlamentului European și ale Consiliului în ceea ce privește procedurile de achiziții publice, în ceea ce privește revizuirea CPV (</w:t>
      </w:r>
      <w:r>
        <w:rPr>
          <w:i/>
          <w:iCs/>
        </w:rPr>
        <w:t>JO L 74, 15.3.2008, p. 1</w:t>
      </w:r>
      <w:r>
        <w:t>,</w:t>
      </w:r>
      <w:r>
        <w:rPr>
          <w:i/>
        </w:rPr>
        <w:t xml:space="preserve"> ELI</w:t>
      </w:r>
      <w:r>
        <w:t>: </w:t>
      </w:r>
      <w:hyperlink r:id="rId20" w:tooltip="Oferă acces la acest document prin identificatorul său uniform de resurse ELI." w:history="1">
        <w:r>
          <w:rPr>
            <w:rStyle w:val="Hyperlink"/>
          </w:rPr>
          <w:t>http://data.europa.eu/eli/reg/2008/213/oj</w:t>
        </w:r>
      </w:hyperlink>
      <w:r>
        <w:t>).</w:t>
      </w:r>
    </w:p>
  </w:footnote>
  <w:footnote w:id="26">
    <w:p>
      <w:pPr>
        <w:pStyle w:val="FootnoteText"/>
      </w:pPr>
      <w:r>
        <w:rPr>
          <w:rStyle w:val="FootnoteReference"/>
        </w:rPr>
        <w:footnoteRef/>
      </w:r>
      <w:r>
        <w:tab/>
        <w:t>Recomandarea Comisiei din 6 mai 2003 privind definirea microîntreprinderilor și a întreprinderilor mici și mijlocii (JO L 124, 20.5.2003, p. 36, ELI: http://data.europa.eu/eli/reco/2003/361/oj).</w:t>
      </w:r>
    </w:p>
  </w:footnote>
  <w:footnote w:id="27">
    <w:p>
      <w:pPr>
        <w:pStyle w:val="FootnoteText"/>
      </w:pPr>
      <w:r>
        <w:rPr>
          <w:rStyle w:val="FootnoteReference"/>
        </w:rPr>
        <w:footnoteRef/>
      </w:r>
      <w:r>
        <w:tab/>
        <w:t>Recomandarea (UE) 2026/720 a Comisiei din 18 martie 2026 privind definiția întreprinderilor inovatoare, a start-upurilor inovatoare și a întreprinderilor inovatoare în fază de extindere (JO L, 2026/720, 24.3.2026, ELI: http://data.europa.eu/eli/reco/2026/720/oj).</w:t>
      </w:r>
    </w:p>
  </w:footnote>
  <w:footnote w:id="28">
    <w:p>
      <w:pPr>
        <w:pStyle w:val="FootnoteText"/>
      </w:pPr>
      <w:r>
        <w:rPr>
          <w:rStyle w:val="FootnoteReference"/>
        </w:rPr>
        <w:footnoteRef/>
      </w:r>
      <w:r>
        <w:tab/>
        <w:t>Recomandarea (UE) 2023/2113 a Comisiei din 3 octombrie 2023 privind domeniile tehnologice critice pentru securitatea economică a UE în vederea unei evaluări suplimentare a riscurilor împreună cu statele membre (JO L, 2023/2113, 11.10.2023, ELI: </w:t>
      </w:r>
      <w:hyperlink r:id="rId21" w:tgtFrame="_blank" w:tooltip="Oferă acces la acest document prin identificatorul său uniform de resurse ELI." w:history="1">
        <w:r>
          <w:rPr>
            <w:rStyle w:val="Hyperlink"/>
          </w:rPr>
          <w:t>http://data.europa.eu/eli/reco/2023/2113/oj</w:t>
        </w:r>
      </w:hyperlink>
      <w:r>
        <w:t>).</w:t>
      </w:r>
    </w:p>
  </w:footnote>
  <w:footnote w:id="29">
    <w:p>
      <w:pPr>
        <w:pStyle w:val="FootnoteText"/>
      </w:pPr>
      <w:r>
        <w:rPr>
          <w:rStyle w:val="FootnoteReference"/>
        </w:rPr>
        <w:footnoteRef/>
      </w:r>
      <w:r>
        <w:tab/>
        <w:t>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(JO L, 2024/1252, 3.5.2024, ELI: </w:t>
      </w:r>
      <w:hyperlink r:id="rId22" w:tgtFrame="_blank" w:tooltip="Oferă acces la acest document prin identificatorul său uniform de resurse ELI." w:history="1">
        <w:r>
          <w:rPr>
            <w:rStyle w:val="Hyperlink"/>
          </w:rPr>
          <w:t>http://data.europa.eu/eli/reg/2024/1252/oj</w:t>
        </w:r>
      </w:hyperlink>
      <w:r>
        <w:t>).</w:t>
      </w:r>
    </w:p>
  </w:footnote>
  <w:footnote w:id="30">
    <w:p>
      <w:pPr>
        <w:pStyle w:val="FootnoteText"/>
      </w:pPr>
      <w:r>
        <w:rPr>
          <w:rStyle w:val="FootnoteReference"/>
        </w:rPr>
        <w:footnoteRef/>
      </w:r>
      <w:r>
        <w:tab/>
        <w:t>Directiva 2011/83/UE a Parlamentului European și a Consiliului din 25 octombrie 2011 privind drepturile consumatorilor, de modificare a Directivei 93/13/CEE a Consiliului și a Directivei 1999/44/CE a Parlamentului European și a Consiliului și de abrogare a Directivei 85/577/CEE a Consiliului și a Directivei 97/7/CE a Parlamentului European și a Consiliului (JO L 304, 22.11.2011, p. 64, ELI: http://data.europa.eu/eli/dir/2011/83/oj).</w:t>
      </w:r>
    </w:p>
  </w:footnote>
  <w:footnote w:id="31">
    <w:p>
      <w:pPr>
        <w:pStyle w:val="FootnoteText"/>
      </w:pPr>
      <w:r>
        <w:rPr>
          <w:rStyle w:val="FootnoteReference"/>
        </w:rPr>
        <w:footnoteRef/>
      </w:r>
      <w:r>
        <w:tab/>
        <w:t xml:space="preserve">Regulamentul de punere în aplicare (UE) 2019/1780 al Comisiei din 23 septembrie 2019 de stabilire a formularelor standard pentru publicarea anunțurilor în domeniul achizițiilor publice și de abrogare a Regulamentului de punere în aplicare (UE) 2015/1986 („formulare electronice”) (JO L 272, 25.10.2019, p. 7, ELI: </w:t>
      </w:r>
      <w:hyperlink r:id="rId23" w:history="1">
        <w:r>
          <w:rPr>
            <w:rStyle w:val="Hyperlink"/>
          </w:rPr>
          <w:t>http://data.europa.eu/eli/reg_impl/2019/1780/oj</w:t>
        </w:r>
      </w:hyperlink>
      <w:r>
        <w:t xml:space="preserve">). </w:t>
      </w:r>
    </w:p>
  </w:footnote>
  <w:footnote w:id="32">
    <w:p>
      <w:pPr>
        <w:pStyle w:val="FootnoteText"/>
      </w:pPr>
      <w:r>
        <w:rPr>
          <w:rStyle w:val="FootnoteReference"/>
        </w:rPr>
        <w:footnoteRef/>
      </w:r>
      <w:r>
        <w:tab/>
        <w:t>Regulamentul (UE, Euratom) 2024/2509 al Parlamentului European și al Consiliului din 23 septembrie 2024 privind normele financiare aplicabile bugetului general al Uniunii (JO L, 2024/2509, 26.9.2024, ELI: http://data.europa.eu/eli/reg/2024/2509/oj).</w:t>
      </w:r>
    </w:p>
  </w:footnote>
  <w:footnote w:id="33">
    <w:p>
      <w:pPr>
        <w:pStyle w:val="FootnoteText"/>
      </w:pPr>
      <w:r>
        <w:rPr>
          <w:rStyle w:val="FootnoteReference"/>
        </w:rPr>
        <w:footnoteRef/>
      </w:r>
      <w:r>
        <w:tab/>
        <w:t xml:space="preserve">Decizia-cadru 2008/841/JAI a Consiliului din 24 octombrie 2008 privind lupta împotriva crimei organizate (JO L 300, 11.11.2008, p. 42, ELI: </w:t>
      </w:r>
      <w:hyperlink r:id="rId24" w:history="1">
        <w:r>
          <w:rPr>
            <w:rStyle w:val="Hyperlink"/>
          </w:rPr>
          <w:t>http://data.europa.eu/eli/dec_framw/2008/841/oj</w:t>
        </w:r>
      </w:hyperlink>
      <w:r>
        <w:t xml:space="preserve">). </w:t>
      </w:r>
    </w:p>
  </w:footnote>
  <w:footnote w:id="34">
    <w:p>
      <w:pPr>
        <w:pStyle w:val="FootnoteText"/>
      </w:pPr>
      <w:r>
        <w:rPr>
          <w:rStyle w:val="FootnoteReference"/>
        </w:rPr>
        <w:footnoteRef/>
      </w:r>
      <w:r>
        <w:tab/>
        <w:t>Directiva (UE) 2026/1021 a Parlamentului European și a Consiliului din 29 aprilie 2026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 (JO L, 2026/1021, 11.5.2026, ELI: http://data.europa.eu/eli/dir/2026/1021/oj).</w:t>
      </w:r>
    </w:p>
  </w:footnote>
  <w:footnote w:id="35">
    <w:p>
      <w:pPr>
        <w:pStyle w:val="FootnoteText"/>
      </w:pPr>
      <w:r>
        <w:rPr>
          <w:rStyle w:val="FootnoteReference"/>
        </w:rPr>
        <w:footnoteRef/>
      </w:r>
      <w:r>
        <w:tab/>
        <w:t xml:space="preserve">Directiva (UE) 2017/1371 a Parlamentului European și a Consiliului din 5 iulie 2017 privind combaterea fraudelor îndreptate împotriva intereselor financiare ale Uniunii prin mijloace de drept penal (JO L 198, 28.7.2017, p. 29, ELI: http://data.europa.eu/eli/dir/2017/1371/oj). </w:t>
      </w:r>
    </w:p>
  </w:footnote>
  <w:footnote w:id="36">
    <w:p>
      <w:pPr>
        <w:pStyle w:val="FootnoteText"/>
      </w:pPr>
      <w:r>
        <w:rPr>
          <w:rStyle w:val="FootnoteReference"/>
        </w:rPr>
        <w:footnoteRef/>
      </w:r>
      <w:r>
        <w:tab/>
        <w:t xml:space="preserve">Directiva (UE) 2017/541 a Parlamentului European și a Consiliului din 15 martie 2017 privind combaterea terorismului și de înlocuire a Deciziei-cadru 2002/475/JAI a Consiliului și de modificare a Deciziei 2005/671/JAI a Consiliului (JO L 88, 31.3.2017, p. 6, ELI: http://data.europa.eu/eli/dir/2017/541/oj). </w:t>
      </w:r>
    </w:p>
  </w:footnote>
  <w:footnote w:id="37">
    <w:p>
      <w:pPr>
        <w:pStyle w:val="FootnoteText"/>
      </w:pPr>
      <w:r>
        <w:rPr>
          <w:rStyle w:val="FootnoteReference"/>
        </w:rPr>
        <w:footnoteRef/>
      </w:r>
      <w:r>
        <w:tab/>
        <w:t xml:space="preserve">Directiva (UE) 2018/1673 a Parlamentului European și a Consiliului din 23 octombrie 2018 privind combaterea prin măsuri de drept penal a spălării banilor (JO L 284, 12.11.2018, p. 22, ELI: http://data.europa.eu/eli/dir/2018/1673/oj). </w:t>
      </w:r>
    </w:p>
  </w:footnote>
  <w:footnote w:id="38">
    <w:p>
      <w:pPr>
        <w:pStyle w:val="FootnoteText"/>
      </w:pPr>
      <w:r>
        <w:rPr>
          <w:rStyle w:val="FootnoteReference"/>
        </w:rPr>
        <w:footnoteRef/>
      </w:r>
      <w:r>
        <w:tab/>
        <w:t xml:space="preserve">Directiva 2011/36/UE a Parlamentului European și a Consiliului din 5 aprilie 2011 privind prevenirea și combaterea traficului de persoane și protejarea victimelor acestuia, precum și de înlocuire a Deciziei-cadru 2002/629/JAI a Consiliului (JO L 101, 15.4.2011, p. 1, ELI: http://data.europa.eu/eli/dir/2011/36/oj). </w:t>
      </w:r>
    </w:p>
  </w:footnote>
  <w:footnote w:id="39">
    <w:p>
      <w:pPr>
        <w:pStyle w:val="FootnoteText"/>
      </w:pPr>
      <w:r>
        <w:rPr>
          <w:rStyle w:val="FootnoteReference"/>
        </w:rPr>
        <w:footnoteRef/>
      </w:r>
      <w:r>
        <w:tab/>
        <w:t xml:space="preserve">Directiva (UE) 2024/1203 a Parlamentului European și a Consiliului din 11 aprilie 2024 privind protecția mediului prin intermediul dreptului penal și de înlocuire a Directivelor 2008/99/CE și 2009/123/CE (JO L, 2024/1203, 30.4.2024, ELI: http://data.europa.eu/eli/dir/2024/1203/oj). </w:t>
      </w:r>
    </w:p>
  </w:footnote>
  <w:footnote w:id="40">
    <w:p>
      <w:pPr>
        <w:pStyle w:val="FootnoteText"/>
      </w:pPr>
      <w:r>
        <w:rPr>
          <w:rStyle w:val="FootnoteReference"/>
        </w:rPr>
        <w:footnoteRef/>
      </w:r>
      <w:r>
        <w:tab/>
        <w:t xml:space="preserve">Directiva (UE) 2024/1203 a Parlamentului European și a Consiliului din 11 aprilie 2024 privind protecția mediului prin intermediul dreptului penal și de înlocuire a Directivelor 2008/99/CE și 2009/123/CE (JO L, 2024/1203, 30.4.2024, ELI: http://data.europa.eu/eli/dir/2024/1203/oj). </w:t>
      </w:r>
    </w:p>
  </w:footnote>
  <w:footnote w:id="41">
    <w:p>
      <w:pPr>
        <w:pStyle w:val="FootnoteText"/>
      </w:pPr>
      <w:r>
        <w:rPr>
          <w:rStyle w:val="FootnoteReference"/>
        </w:rPr>
        <w:footnoteRef/>
      </w:r>
      <w:r>
        <w:tab/>
        <w:t xml:space="preserve">Directiva (UE) 2024/1226 a Parlamentului European și a Consiliului din 24 aprilie 2024 privind definirea infracțiunilor și a sancțiunilor pentru încălcarea măsurilor restrictive ale Uniunii și de modificare a Directivei (UE) 2018/1673 (JO L, 2024/1226, 29.4.2024, ELI: http://data.europa.eu/eli/dir/2024/1226/oj). </w:t>
      </w:r>
    </w:p>
  </w:footnote>
  <w:footnote w:id="42">
    <w:p>
      <w:pPr>
        <w:pStyle w:val="FootnoteText"/>
      </w:pPr>
      <w:r>
        <w:rPr>
          <w:rStyle w:val="FootnoteReference"/>
        </w:rPr>
        <w:footnoteRef/>
      </w:r>
      <w:r>
        <w:tab/>
        <w:t xml:space="preserve">Directiva (UE) 2019/713 a Parlamentului European și a Consiliului din 17 aprilie 2019 privind combaterea fraudelor și a contrafacerii în legătură cu mijloacele de plată fără numerar și de înlocuire a Deciziei-cadru 2001/413/JAI a Consiliului, (JO L 123, 10.5.2019, p. 18, ELI: http://data.europa.eu/eli/dir/2019/713/oj). </w:t>
      </w:r>
    </w:p>
  </w:footnote>
  <w:footnote w:id="43">
    <w:p>
      <w:pPr>
        <w:pStyle w:val="FootnoteText"/>
      </w:pPr>
      <w:r>
        <w:rPr>
          <w:rStyle w:val="FootnoteReference"/>
        </w:rPr>
        <w:footnoteRef/>
      </w:r>
      <w:r>
        <w:tab/>
        <w:t>Directiva 2011/93/UE a Parlamentului European și a Consiliului din 13 decembrie 2011 privind combaterea abuzului sexual asupra copiilor, a exploatării sexuale a copiilor și a pornografiei infantile și de înlocuire a Deciziei-cadru 2004/68/JAI a Consiliului (JO L 335, 17.12.2011, p. 1, ELI: http://data.europa.eu/eli/dir/2011/93/oj.</w:t>
      </w:r>
    </w:p>
  </w:footnote>
  <w:footnote w:id="44">
    <w:p>
      <w:pPr>
        <w:pStyle w:val="FootnoteText"/>
      </w:pPr>
      <w:r>
        <w:rPr>
          <w:rStyle w:val="FootnoteReference"/>
        </w:rPr>
        <w:footnoteRef/>
      </w:r>
      <w:r>
        <w:tab/>
        <w:t xml:space="preserve">Regulamentul (UE) 2022/2560 al Parlamentului European și al Consiliului din 14 decembrie 2022 privind subvențiile străine care denaturează piața internă (JO L 330, 23.12.2022, p. 1, ELI: http://data.europa.eu/eli/reg/2022/2560/oj). </w:t>
      </w:r>
    </w:p>
  </w:footnote>
  <w:footnote w:id="45">
    <w:p>
      <w:pPr>
        <w:pStyle w:val="FootnoteText"/>
      </w:pPr>
      <w:r>
        <w:rPr>
          <w:rStyle w:val="FootnoteReference"/>
        </w:rPr>
        <w:footnoteRef/>
      </w:r>
      <w:r>
        <w:tab/>
        <w:t>Recomandarea Consiliului din 22 mai 2017 privind Cadrul european al calificărilor pentru învățarea pe tot parcursul vieții și de abrogare a Recomandării Parlamentului European și a Consiliului din 23 aprilie 2008 privind stabilirea Cadrului european al calificărilor pentru învățarea de-a lungul vieții (JO C 189, 15.6.2017, p. 15).</w:t>
      </w:r>
    </w:p>
  </w:footnote>
  <w:footnote w:id="46">
    <w:p>
      <w:pPr>
        <w:pStyle w:val="FootnoteText"/>
        <w:jc w:val="left"/>
      </w:pPr>
      <w:r>
        <w:rPr>
          <w:rStyle w:val="FootnoteReference"/>
        </w:rPr>
        <w:footnoteRef/>
      </w:r>
      <w:r>
        <w:tab/>
        <w:t xml:space="preserve">Acord privind aspectele legate de comerț ale drepturilor de proprietate intelectuală (TRIPS), prevăzut în anexa 1C la Acordul de instituire a Organizației Mondiale a Comerțului, JO L 336, 23.12.1994, p. 214, ELI: http://data.europa.eu/eli/agree_internation/1994/800(16)/oj. </w:t>
      </w:r>
    </w:p>
  </w:footnote>
  <w:footnote w:id="47">
    <w:p>
      <w:pPr>
        <w:pStyle w:val="FootnoteText"/>
      </w:pPr>
      <w:r>
        <w:rPr>
          <w:rStyle w:val="FootnoteReference"/>
        </w:rPr>
        <w:footnoteRef/>
      </w:r>
      <w:r>
        <w:tab/>
        <w:t xml:space="preserve">Regulamentul (UE) 2024/2747 al Parlamentului European și al Consiliului din 9 octombrie 2024 de instituire a unui cadru de măsuri privind situațiile de urgență pe piața internă și reziliența pieței interne și de modificare a Regulamentului (CE) nr. 2679/98 al Consiliului (Regulamentul privind situațiile de urgență pe piața internă și reziliența pieței interne) (JO L, 2024/2747, 8.11.2024, ELI: http://data.europa.eu/eli/reg/2024/2747/oj). </w:t>
      </w:r>
    </w:p>
  </w:footnote>
  <w:footnote w:id="48">
    <w:p>
      <w:pPr>
        <w:pStyle w:val="FootnoteText"/>
      </w:pPr>
      <w:r>
        <w:rPr>
          <w:rStyle w:val="FootnoteReference"/>
        </w:rPr>
        <w:footnoteRef/>
      </w:r>
      <w:r>
        <w:tab/>
        <w:t xml:space="preserve">Regulamentul (UE) 2022/2372 al Consiliului din 24 octombrie 2022 privind un cadru de măsuri pentru asigurarea furnizării contramăsurilor medicale necesare în situații de criză în cazul unei urgențe de sănătate publică la nivelul Uniunii (JO L 314, 6.12.2022, p. 64, ELI: http://data.europa.eu/eli/reg/2022/2372/oj). </w:t>
      </w:r>
    </w:p>
  </w:footnote>
  <w:footnote w:id="49">
    <w:p>
      <w:pPr>
        <w:pStyle w:val="FootnoteText"/>
      </w:pPr>
      <w:r>
        <w:rPr>
          <w:rStyle w:val="FootnoteReference"/>
        </w:rPr>
        <w:footnoteRef/>
      </w:r>
      <w:r>
        <w:tab/>
        <w:t xml:space="preserve">Regulamentul (UE) 2022/2371 al Parlamentului European și al Consiliului din 23 noiembrie 2022 privind amenințările transfrontaliere grave pentru sănătate și de abrogare a Deciziei nr. 1082/2013/UE (JO L 314, 6.12.2022, p. 26, ELI: http://data.europa.eu/eli/reg/2022/2371/oj). </w:t>
      </w:r>
    </w:p>
  </w:footnote>
  <w:footnote w:id="50">
    <w:p>
      <w:pPr>
        <w:pStyle w:val="FootnoteText"/>
      </w:pPr>
      <w:r>
        <w:rPr>
          <w:rStyle w:val="FootnoteReference"/>
        </w:rPr>
        <w:footnoteRef/>
      </w:r>
      <w:r>
        <w:tab/>
        <w:t xml:space="preserve">Directiva 2011/7/UE a Parlamentului European și a Consiliului din 16 februarie 2011 privind combaterea întârzierii în efectuarea plăților în tranzacțiile comerciale (JO L 48, 23.2.2011, p. 1, ELI: http://data.europa.eu/eli/dir/2011/7/oj). </w:t>
      </w:r>
    </w:p>
  </w:footnote>
  <w:footnote w:id="51">
    <w:p>
      <w:pPr>
        <w:pStyle w:val="FootnoteText"/>
      </w:pPr>
      <w:r>
        <w:rPr>
          <w:rStyle w:val="FootnoteReference"/>
        </w:rPr>
        <w:footnoteRef/>
      </w:r>
      <w:r>
        <w:tab/>
        <w:t>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(JO L, 2024/2847, 20.11.2024, ELI: http://data.europa.eu/eli/reg/2024/2847/oj).</w:t>
      </w:r>
    </w:p>
  </w:footnote>
  <w:footnote w:id="52">
    <w:p>
      <w:pPr>
        <w:pStyle w:val="FootnoteText"/>
      </w:pPr>
      <w:r>
        <w:rPr>
          <w:rStyle w:val="FootnoteReference"/>
        </w:rPr>
        <w:footnoteRef/>
      </w:r>
      <w:r>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http://data.europa.eu/eli/dir/2022/2555/oj).</w:t>
      </w:r>
    </w:p>
  </w:footnote>
  <w:footnote w:id="53">
    <w:p>
      <w:pPr>
        <w:pStyle w:val="FootnoteText"/>
      </w:pPr>
      <w:r>
        <w:rPr>
          <w:rStyle w:val="FootnoteReference"/>
        </w:rPr>
        <w:t>+</w:t>
      </w:r>
      <w:r>
        <w:tab/>
        <w:t>JO: a se introduce în text numărul, data, titlul și referința JO a prezentului regulament (Actul european privind inovarea) în nota de subsol.</w:t>
      </w:r>
    </w:p>
  </w:footnote>
  <w:footnote w:id="54">
    <w:p>
      <w:pPr>
        <w:pStyle w:val="FootnoteText"/>
      </w:pPr>
      <w:r>
        <w:rPr>
          <w:rStyle w:val="FootnoteReference"/>
        </w:rPr>
        <w:footnoteRef/>
      </w:r>
      <w:r>
        <w:tab/>
        <w:t>Astfel cum se menționează la articolul 58 alineatul (2) litera (a) sau (b) din Regulamentul financiar.</w:t>
      </w:r>
    </w:p>
  </w:footnote>
  <w:footnote w:id="55">
    <w:p>
      <w:pPr>
        <w:pStyle w:val="FootnoteText"/>
        <w:jc w:val="left"/>
        <w:rPr>
          <w:szCs w:val="24"/>
        </w:rPr>
      </w:pPr>
      <w:r>
        <w:rPr>
          <w:rStyle w:val="FootnoteReference"/>
        </w:rPr>
        <w:footnoteRef/>
      </w:r>
      <w:r>
        <w:tab/>
        <w:t xml:space="preserve">Explicații detaliate privind metodele de execuție a bugetului, precum și trimiterile la Regulamentul financiar sunt disponibile pe site-ul BUDGpedia: </w:t>
      </w:r>
      <w:hyperlink r:id="rId25" w:history="1">
        <w:r>
          <w:rPr>
            <w:rStyle w:val="Hyperlink"/>
          </w:rPr>
          <w:t>https://myintracomm.ec.europa.eu/corp/budget/financial-rules/budget-implementation/Pages/implementation-methods.aspx</w:t>
        </w:r>
      </w:hyperlink>
      <w:r>
        <w:rPr>
          <w:rStyle w:val="Hyperlink"/>
        </w:rPr>
        <w:t>.</w:t>
      </w:r>
    </w:p>
  </w:footnote>
  <w:footnote w:id="56">
    <w:p>
      <w:pPr>
        <w:pStyle w:val="FootnoteText"/>
        <w:rPr>
          <w:szCs w:val="24"/>
        </w:rPr>
      </w:pPr>
      <w:r>
        <w:rPr>
          <w:rStyle w:val="FootnoteReference"/>
        </w:rPr>
        <w:footnoteRef/>
      </w:r>
      <w:r>
        <w:tab/>
        <w:t>Dif. = credite diferențiate / Nedif. = credite nediferențiate.</w:t>
      </w:r>
    </w:p>
  </w:footnote>
  <w:footnote w:id="57">
    <w:p>
      <w:pPr>
        <w:pStyle w:val="FootnoteText"/>
        <w:rPr>
          <w:szCs w:val="24"/>
        </w:rPr>
      </w:pPr>
      <w:r>
        <w:rPr>
          <w:rStyle w:val="FootnoteReference"/>
        </w:rPr>
        <w:footnoteRef/>
      </w:r>
      <w:r>
        <w:tab/>
        <w:t xml:space="preserve">AELS: Asociația Europeană a Liberului Schimb. </w:t>
      </w:r>
    </w:p>
  </w:footnote>
  <w:footnote w:id="58">
    <w:p>
      <w:pPr>
        <w:pStyle w:val="FootnoteText"/>
        <w:rPr>
          <w:szCs w:val="24"/>
        </w:rPr>
      </w:pPr>
      <w:r>
        <w:rPr>
          <w:rStyle w:val="FootnoteReference"/>
        </w:rPr>
        <w:footnoteRef/>
      </w:r>
      <w:r>
        <w:tab/>
        <w:t>Țările candidate și, după caz, candidații potențiali din Balcanii de Vest.</w:t>
      </w:r>
    </w:p>
  </w:footnote>
  <w:footnote w:id="59">
    <w:p>
      <w:pPr>
        <w:pStyle w:val="FootnoteText"/>
      </w:pPr>
      <w:r>
        <w:rPr>
          <w:rStyle w:val="FootnoteReference"/>
        </w:rPr>
        <w:footnoteRef/>
      </w:r>
      <w:r>
        <w:tab/>
      </w:r>
      <w:r>
        <w:rPr>
          <w:color w:val="000000"/>
          <w:sz w:val="18"/>
        </w:rPr>
        <w:t>Asistență tehnică și/sau administrativă și cheltuieli de sprijin pentru punerea în aplicare a programelor și/sau a acțiunilor UE (fostele linii „BA”), cercetare indirectă și cercetare directă.</w:t>
      </w:r>
    </w:p>
  </w:footnote>
  <w:footnote w:id="60">
    <w:p>
      <w:pPr>
        <w:pStyle w:val="FootnoteText"/>
      </w:pPr>
      <w:r>
        <w:rPr>
          <w:rStyle w:val="FootnoteReference"/>
        </w:rPr>
        <w:footnoteRef/>
      </w:r>
      <w:r>
        <w:tab/>
        <w:t>Vă rugăm să precizați după tabel câte ENI din numărul indicat sunt deja alocate gestionării acțiunii și/sau pot fi redistribuite în cadrul DG-ului pe care îl reprezentați și care este valoarea nevoilor dumneavoastră nete.</w:t>
      </w:r>
    </w:p>
  </w:footnote>
  <w:footnote w:id="61">
    <w:p>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10 % pentru costurile de colectare, astfel cum se propune în COM(2025)574.</w:t>
      </w:r>
    </w:p>
  </w:footnote>
  <w:footnote w:id="62">
    <w:p>
      <w:pPr>
        <w:pStyle w:val="FootnoteText"/>
      </w:pPr>
      <w:r>
        <w:rPr>
          <w:rStyle w:val="FootnoteReference"/>
        </w:rPr>
        <w:footnoteRef/>
      </w:r>
      <w:r>
        <w:tab/>
        <w:t>Regulamentul (UE) 2024/903 al Parlamentului European și al Consiliului din 13 martie 2024 de stabilire a unor măsuri pentru un nivel ridicat de interoperabilitate a sectorului public în întreaga Uniune (Regulamentul privind Europa interoperabilă) (JO L, 2024/903, 22.3.2024, ELI: http://data.europa.eu/eli/reg/2024/903/oj).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416090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862FEC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C224A9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B212F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0CD61188"/>
    <w:multiLevelType w:val="hybridMultilevel"/>
    <w:tmpl w:val="74346CE8"/>
    <w:name w:val="Point3"/>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F0AC5"/>
    <w:multiLevelType w:val="multilevel"/>
    <w:tmpl w:val="EC262F90"/>
    <w:name w:val="ListNumber2Numbering"/>
    <w:lvl w:ilvl="0">
      <w:start w:val="1"/>
      <w:numFmt w:val="decimal"/>
      <w:pStyle w:val="ListNumber2"/>
      <w:lvlText w:val="(%1)"/>
      <w:lvlJc w:val="left"/>
      <w:pPr>
        <w:tabs>
          <w:tab w:val="num" w:pos="1276"/>
        </w:tabs>
        <w:ind w:left="1276" w:hanging="709"/>
      </w:pPr>
    </w:lvl>
    <w:lvl w:ilvl="1">
      <w:start w:val="1"/>
      <w:numFmt w:val="lowerLetter"/>
      <w:pStyle w:val="ListNumber2Level2"/>
      <w:lvlText w:val="(%2)"/>
      <w:lvlJc w:val="left"/>
      <w:pPr>
        <w:tabs>
          <w:tab w:val="num" w:pos="1984"/>
        </w:tabs>
        <w:ind w:left="1984" w:hanging="708"/>
      </w:pPr>
    </w:lvl>
    <w:lvl w:ilvl="2">
      <w:start w:val="1"/>
      <w:numFmt w:val="bullet"/>
      <w:pStyle w:val="ListNumber2Level3"/>
      <w:lvlText w:val="–"/>
      <w:lvlJc w:val="left"/>
      <w:pPr>
        <w:tabs>
          <w:tab w:val="num" w:pos="2693"/>
        </w:tabs>
        <w:ind w:left="2693" w:hanging="709"/>
      </w:pPr>
      <w:rPr>
        <w:rFonts w:ascii="Times New Roman" w:hAnsi="Times New Roman"/>
      </w:rPr>
    </w:lvl>
    <w:lvl w:ilvl="3">
      <w:start w:val="1"/>
      <w:numFmt w:val="bullet"/>
      <w:pStyle w:val="ListNumber2Level4"/>
      <w:lvlText w:val=""/>
      <w:lvlJc w:val="left"/>
      <w:pPr>
        <w:tabs>
          <w:tab w:val="num" w:pos="3402"/>
        </w:tabs>
        <w:ind w:left="340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B8818A4"/>
    <w:multiLevelType w:val="hybridMultilevel"/>
    <w:tmpl w:val="1354E9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5"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5AA6F90"/>
    <w:multiLevelType w:val="hybridMultilevel"/>
    <w:tmpl w:val="4CEC5CC2"/>
    <w:lvl w:ilvl="0" w:tplc="D6F27A8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9A9192C"/>
    <w:multiLevelType w:val="hybridMultilevel"/>
    <w:tmpl w:val="CB7E3B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num>
  <w:num w:numId="2">
    <w:abstractNumId w:val="3"/>
  </w:num>
  <w:num w:numId="3">
    <w:abstractNumId w:val="2"/>
  </w:num>
  <w:num w:numId="4">
    <w:abstractNumId w:val="1"/>
  </w:num>
  <w:num w:numId="5">
    <w:abstractNumId w:val="0"/>
  </w:num>
  <w:num w:numId="6">
    <w:abstractNumId w:val="14"/>
  </w:num>
  <w:num w:numId="7">
    <w:abstractNumId w:val="11"/>
  </w:num>
  <w:num w:numId="8">
    <w:abstractNumId w:val="9"/>
  </w:num>
  <w:num w:numId="9">
    <w:abstractNumId w:val="11"/>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4"/>
  </w:num>
  <w:num w:numId="17">
    <w:abstractNumId w:val="15"/>
  </w:num>
  <w:num w:numId="18">
    <w:abstractNumId w:val="24"/>
  </w:num>
  <w:num w:numId="19">
    <w:abstractNumId w:val="23"/>
  </w:num>
  <w:num w:numId="20">
    <w:abstractNumId w:val="33"/>
  </w:num>
  <w:num w:numId="21">
    <w:abstractNumId w:val="7"/>
  </w:num>
  <w:num w:numId="22">
    <w:abstractNumId w:val="17"/>
  </w:num>
  <w:num w:numId="23">
    <w:abstractNumId w:val="8"/>
  </w:num>
  <w:num w:numId="24">
    <w:abstractNumId w:val="16"/>
  </w:num>
  <w:num w:numId="25">
    <w:abstractNumId w:val="25"/>
  </w:num>
  <w:num w:numId="26">
    <w:abstractNumId w:val="6"/>
  </w:num>
  <w:num w:numId="27">
    <w:abstractNumId w:val="34"/>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31"/>
  </w:num>
  <w:num w:numId="34">
    <w:abstractNumId w:val="5"/>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1"/>
    </w:lvlOverride>
  </w:num>
  <w:num w:numId="43">
    <w:abstractNumId w:val="11"/>
  </w:num>
  <w:num w:numId="44">
    <w:abstractNumId w:val="10"/>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1"/>
    <w:lvlOverride w:ilvl="0">
      <w:startOverride w:val="1"/>
    </w:lvlOverride>
  </w:num>
  <w:num w:numId="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
    <w:lvlOverride w:ilvl="0">
      <w:startOverride w:val="1"/>
    </w:lvlOverride>
  </w:num>
  <w:num w:numId="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1"/>
    <w:lvlOverride w:ilvl="0">
      <w:startOverride w:val="1"/>
    </w:lvlOverride>
  </w:num>
  <w:num w:numId="81">
    <w:abstractNumId w:val="11"/>
    <w:lvlOverride w:ilvl="0">
      <w:startOverride w:val="1"/>
    </w:lvlOverride>
  </w:num>
  <w:num w:numId="82">
    <w:abstractNumId w:val="11"/>
    <w:lvlOverride w:ilvl="0">
      <w:startOverride w:val="1"/>
    </w:lvlOverride>
  </w:num>
  <w:num w:numId="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2"/>
    <w:lvlOverride w:ilvl="0">
      <w:startOverride w:val="1"/>
    </w:lvlOverride>
  </w:num>
  <w:num w:numId="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
    <w:lvlOverride w:ilvl="0">
      <w:startOverride w:val="29"/>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97">
    <w:abstractNumId w:val="10"/>
  </w:num>
  <w:num w:numId="98">
    <w:abstractNumId w:val="10"/>
    <w:lvlOverride w:ilvl="0">
      <w:startOverride w:val="5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
    <w:lvlOverride w:ilvl="0">
      <w:startOverride w:val="3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
    <w:lvlOverride w:ilvl="0">
      <w:startOverride w:val="3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
  </w:num>
  <w:num w:numId="103">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
  </w:num>
  <w:num w:numId="105">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
  </w:num>
  <w:num w:numId="107">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
  </w:num>
  <w:num w:numId="109">
    <w:abstractNumId w:val="10"/>
  </w:num>
  <w:num w:numId="11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0"/>
  </w:num>
  <w:num w:numId="11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0"/>
  </w:num>
  <w:num w:numId="11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0"/>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0"/>
  </w:num>
  <w:num w:numId="11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
  </w:num>
  <w:num w:numId="12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
  </w:num>
  <w:num w:numId="12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0"/>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0"/>
  </w:num>
  <w:num w:numId="12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0"/>
  </w:num>
  <w:num w:numId="12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
  </w:num>
  <w:num w:numId="13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0"/>
  </w:num>
  <w:num w:numId="13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
  </w:num>
  <w:num w:numId="13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
  </w:num>
  <w:num w:numId="13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0"/>
  </w:num>
  <w:num w:numId="13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0"/>
  </w:num>
  <w:num w:numId="14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
  </w:num>
  <w:num w:numId="14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0"/>
  </w:num>
  <w:num w:numId="14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0"/>
  </w:num>
  <w:num w:numId="14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0"/>
  </w:num>
  <w:num w:numId="14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0"/>
  </w:num>
  <w:num w:numId="15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0"/>
  </w:num>
  <w:num w:numId="15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0"/>
  </w:num>
  <w:num w:numId="15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0"/>
  </w:num>
  <w:num w:numId="15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0"/>
  </w:num>
  <w:num w:numId="15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0"/>
  </w:num>
  <w:num w:numId="16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0"/>
  </w:num>
  <w:num w:numId="16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0"/>
  </w:num>
  <w:num w:numId="16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0"/>
  </w:num>
  <w:num w:numId="16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0"/>
  </w:num>
  <w:num w:numId="16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0"/>
    <w:lvlOverride w:ilvl="0">
      <w:startOverride w:val="58"/>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0"/>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0"/>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0"/>
    <w:lvlOverride w:ilvl="0">
      <w:startOverride w:val="2"/>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35"/>
    <w:lvlOverride w:ilvl="0">
      <w:startOverride w:val="1"/>
    </w:lvlOverride>
  </w:num>
  <w:num w:numId="178">
    <w:abstractNumId w:val="29"/>
  </w:num>
  <w:num w:numId="179">
    <w:abstractNumId w:val="19"/>
  </w:num>
  <w:num w:numId="180">
    <w:abstractNumId w:val="32"/>
  </w:num>
  <w:num w:numId="181">
    <w:abstractNumId w:val="13"/>
  </w:num>
  <w:num w:numId="182">
    <w:abstractNumId w:val="20"/>
  </w:num>
  <w:num w:numId="183">
    <w:abstractNumId w:val="21"/>
  </w:num>
  <w:num w:numId="184">
    <w:abstractNumId w:val="11"/>
  </w:num>
  <w:num w:numId="185">
    <w:abstractNumId w:val="30"/>
  </w:num>
  <w:num w:numId="186">
    <w:abstractNumId w:val="10"/>
  </w:num>
  <w:num w:numId="187">
    <w:abstractNumId w:val="22"/>
  </w:num>
  <w:num w:numId="188">
    <w:abstractNumId w:val="27"/>
  </w:num>
  <w:num w:numId="189">
    <w:abstractNumId w:val="28"/>
  </w:num>
  <w:num w:numId="190">
    <w:abstractNumId w:val="12"/>
  </w:num>
  <w:num w:numId="191">
    <w:abstractNumId w:val="26"/>
  </w:num>
  <w:num w:numId="192">
    <w:abstractNumId w:val="35"/>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9-23 08:59: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528"/>
    <w:docVar w:name="LW_CORRIGENDUM" w:val="&lt;UNUSED&gt;"/>
    <w:docVar w:name="LW_COVERPAGE_EXISTS" w:val="True"/>
    <w:docVar w:name="LW_COVERPAGE_GUID" w:val="6761C514-7EAF-4A75-A119-5B0C183FD264"/>
    <w:docVar w:name="LW_COVERPAGE_TYPE" w:val="1"/>
    <w:docVar w:name="LW_CROSSREFERENCE" w:val="{SEC(2026) 567 final} - {SWD(2026) 567 final} - {SWD(2026) 568 final}"/>
    <w:docVar w:name="LW_DocType" w:val="COM"/>
    <w:docVar w:name="LW_EMISSION" w:val="9.9.2026"/>
    <w:docVar w:name="LW_EMISSION_ISODATE" w:val="2026-09-09"/>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64"/>
    <w:docVar w:name="LW_REF.II.NEW.CP_YEAR" w:val="2026"/>
    <w:docVar w:name="LW_REF.INST.NEW" w:val="COM"/>
    <w:docVar w:name="LW_REF.INST.NEW_ADOPTED" w:val="final"/>
    <w:docVar w:name="LW_REF.INST.NEW_TEXT" w:val="(2026) 5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unui cadru de m\u259?suri pentru consolidarea ecosistemului de inovare al Uniunii \u537?i de modificare a Regulamentului (UE) 2017/1001_x000b_(Actul european privind inovarea)"/>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D3DBF04-D953-48D0-8057-7C9C8458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3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5"/>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styleId="ListBullet">
    <w:name w:val="List Bullet"/>
    <w:basedOn w:val="Normal"/>
    <w:uiPriority w:val="99"/>
    <w:unhideWhenUsed/>
    <w:pPr>
      <w:numPr>
        <w:numId w:val="2"/>
      </w:numPr>
      <w:contextualSpacing/>
    </w:pPr>
  </w:style>
  <w:style w:type="paragraph" w:styleId="ListBullet2">
    <w:name w:val="List Bullet 2"/>
    <w:basedOn w:val="Normal"/>
    <w:uiPriority w:val="99"/>
    <w:unhideWhenUsed/>
    <w:pPr>
      <w:numPr>
        <w:numId w:val="3"/>
      </w:numPr>
      <w:contextualSpacing/>
    </w:p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5"/>
      </w:numPr>
      <w:contextualSpacing/>
    </w:pPr>
  </w:style>
  <w:style w:type="paragraph" w:styleId="ListParagraph">
    <w:name w:val="List Paragraph"/>
    <w:aliases w:val="Bullet List Paragraph,List Paragraph1,Dot pt,F5 List Paragraph,No Spacing1,List Paragraph Char Char Char,Indicator Text,Colorful List - Accent 11,Numbered Para 1,Bullet Points,List Paragraph2,MAIN CONTENT,Normal numbered,3,Tasks"/>
    <w:basedOn w:val="Normal"/>
    <w:link w:val="ListParagraphChar"/>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egalNumPar">
    <w:name w:val="LegalNumPar"/>
    <w:basedOn w:val="Normal"/>
    <w:pPr>
      <w:numPr>
        <w:numId w:val="6"/>
      </w:numPr>
      <w:spacing w:line="360" w:lineRule="auto"/>
    </w:pPr>
  </w:style>
  <w:style w:type="paragraph" w:customStyle="1" w:styleId="LegalNumPar2">
    <w:name w:val="LegalNumPar2"/>
    <w:basedOn w:val="Normal"/>
    <w:pPr>
      <w:numPr>
        <w:ilvl w:val="1"/>
        <w:numId w:val="6"/>
      </w:numPr>
      <w:spacing w:line="360" w:lineRule="auto"/>
    </w:pPr>
  </w:style>
  <w:style w:type="paragraph" w:customStyle="1" w:styleId="LegalNumPar3">
    <w:name w:val="LegalNumPar3"/>
    <w:basedOn w:val="Normal"/>
    <w:pPr>
      <w:numPr>
        <w:ilvl w:val="2"/>
        <w:numId w:val="6"/>
      </w:numPr>
      <w:spacing w:line="360" w:lineRule="auto"/>
    </w:p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styleId="ListNumber2">
    <w:name w:val="List Number 2"/>
    <w:basedOn w:val="Normal"/>
    <w:uiPriority w:val="30"/>
    <w:pPr>
      <w:numPr>
        <w:numId w:val="8"/>
      </w:numPr>
      <w:spacing w:before="0" w:after="240"/>
    </w:pPr>
    <w:rPr>
      <w:rFonts w:eastAsia="Times New Roman"/>
      <w:szCs w:val="20"/>
      <w:lang w:eastAsia="en-IE"/>
      <w14:ligatures w14:val="standardContextual"/>
    </w:rPr>
  </w:style>
  <w:style w:type="paragraph" w:customStyle="1" w:styleId="ListNumber2Level2">
    <w:name w:val="List Number 2 (Level 2)"/>
    <w:basedOn w:val="Normal"/>
    <w:uiPriority w:val="30"/>
    <w:unhideWhenUsed/>
    <w:pPr>
      <w:numPr>
        <w:ilvl w:val="1"/>
        <w:numId w:val="8"/>
      </w:numPr>
      <w:spacing w:before="0" w:after="240"/>
    </w:pPr>
    <w:rPr>
      <w:rFonts w:eastAsia="Times New Roman"/>
      <w:szCs w:val="20"/>
      <w:lang w:eastAsia="en-IE"/>
      <w14:ligatures w14:val="standardContextual"/>
    </w:rPr>
  </w:style>
  <w:style w:type="paragraph" w:customStyle="1" w:styleId="ListNumber2Level3">
    <w:name w:val="List Number 2 (Level 3)"/>
    <w:basedOn w:val="Normal"/>
    <w:uiPriority w:val="30"/>
    <w:unhideWhenUsed/>
    <w:pPr>
      <w:numPr>
        <w:ilvl w:val="2"/>
        <w:numId w:val="8"/>
      </w:numPr>
      <w:spacing w:before="0" w:after="240"/>
    </w:pPr>
    <w:rPr>
      <w:rFonts w:eastAsia="Times New Roman"/>
      <w:szCs w:val="20"/>
      <w:lang w:eastAsia="en-IE"/>
      <w14:ligatures w14:val="standardContextual"/>
    </w:rPr>
  </w:style>
  <w:style w:type="paragraph" w:customStyle="1" w:styleId="ListNumber2Level4">
    <w:name w:val="List Number 2 (Level 4)"/>
    <w:basedOn w:val="Normal"/>
    <w:uiPriority w:val="30"/>
    <w:unhideWhenUsed/>
    <w:pPr>
      <w:numPr>
        <w:ilvl w:val="3"/>
        <w:numId w:val="8"/>
      </w:numPr>
      <w:spacing w:before="0" w:after="240"/>
    </w:pPr>
    <w:rPr>
      <w:rFonts w:eastAsia="Times New Roman"/>
      <w:szCs w:val="20"/>
      <w:lang w:eastAsia="en-IE"/>
      <w14:ligatures w14:val="standardContextual"/>
    </w:rPr>
  </w:style>
  <w:style w:type="character" w:customStyle="1" w:styleId="oj-super">
    <w:name w:val="oj-super"/>
    <w:basedOn w:val="DefaultParagraphFont"/>
    <w:rPr>
      <w:sz w:val="17"/>
      <w:szCs w:val="17"/>
      <w:vertAlign w:val="superscript"/>
    </w:rPr>
  </w:style>
  <w:style w:type="character" w:customStyle="1" w:styleId="ListParagraphChar">
    <w:name w:val="List Paragraph Char"/>
    <w:aliases w:val="Bullet List Paragraph Char,List Paragraph1 Char,Dot pt Char,F5 List Paragraph Char,No Spacing1 Char,List Paragraph Char Char Char Char,Indicator Text Char,Colorful List - Accent 11 Char,Numbered Para 1 Char,Bullet Points Char,3 Char"/>
    <w:link w:val="ListParagraph"/>
    <w:uiPriority w:val="34"/>
    <w:qFormat/>
    <w:locked/>
    <w:rPr>
      <w:kern w:val="2"/>
      <w14:ligatures w14:val="standardContextual"/>
    </w:rPr>
  </w:style>
  <w:style w:type="paragraph" w:styleId="NormalWeb">
    <w:name w:val="Normal (Web)"/>
    <w:basedOn w:val="Normal"/>
    <w:uiPriority w:val="99"/>
    <w:unhideWhenUsed/>
    <w:pPr>
      <w:spacing w:before="100" w:beforeAutospacing="1" w:after="100" w:afterAutospacing="1"/>
      <w:jc w:val="left"/>
    </w:pPr>
    <w:rPr>
      <w:rFonts w:eastAsia="Times New Roman"/>
      <w:szCs w:val="24"/>
      <w:lang w:eastAsia="en-IE"/>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cf01">
    <w:name w:val="cf01"/>
    <w:basedOn w:val="DefaultParagraphFont"/>
    <w:rPr>
      <w:rFonts w:ascii="Segoe UI" w:hAnsi="Segoe UI" w:cs="Segoe UI" w:hint="default"/>
      <w:i/>
      <w:iCs/>
      <w:color w:val="333333"/>
      <w:sz w:val="18"/>
      <w:szCs w:val="18"/>
      <w:shd w:val="clear" w:color="auto" w:fill="FFFFFF"/>
    </w:rPr>
  </w:style>
  <w:style w:type="character" w:customStyle="1" w:styleId="cf21">
    <w:name w:val="cf21"/>
    <w:basedOn w:val="DefaultParagraphFont"/>
    <w:rPr>
      <w:rFonts w:ascii="Segoe UI" w:hAnsi="Segoe UI" w:cs="Segoe UI" w:hint="default"/>
      <w:color w:val="333333"/>
      <w:sz w:val="18"/>
      <w:szCs w:val="18"/>
      <w:shd w:val="clear" w:color="auto" w:fill="FFFFFF"/>
    </w:rPr>
  </w:style>
  <w:style w:type="paragraph" w:customStyle="1" w:styleId="z1qcye">
    <w:name w:val="z1qcye"/>
    <w:basedOn w:val="Normal"/>
    <w:pPr>
      <w:spacing w:before="100" w:beforeAutospacing="1" w:after="100" w:afterAutospacing="1"/>
      <w:jc w:val="left"/>
    </w:pPr>
    <w:rPr>
      <w:rFonts w:eastAsia="Times New Roman"/>
      <w:szCs w:val="24"/>
      <w:lang w:eastAsia="en-IE"/>
      <w14:ligatures w14:val="standardContextual"/>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iCs/>
      <w:color w:val="272727" w:themeColor="text1" w:themeTint="D8"/>
      <w:sz w:val="24"/>
      <w:lang w:val="ro-RO"/>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color w:val="272727" w:themeColor="text1" w:themeTint="D8"/>
      <w:sz w:val="24"/>
      <w:lang w:val="ro-RO"/>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lang w:val="ro-RO"/>
    </w:rPr>
  </w:style>
  <w:style w:type="character" w:customStyle="1" w:styleId="SubtitleChar">
    <w:name w:val="Subtitle Char"/>
    <w:basedOn w:val="DefaultParagraphFont"/>
    <w:link w:val="Subtitle"/>
    <w:uiPriority w:val="11"/>
    <w:rPr>
      <w:rFonts w:ascii="Times New Roman" w:eastAsiaTheme="majorEastAsia" w:hAnsi="Times New Roman" w:cstheme="majorBidi"/>
      <w:color w:val="595959" w:themeColor="text1" w:themeTint="A6"/>
      <w:spacing w:val="15"/>
      <w:sz w:val="28"/>
      <w:szCs w:val="28"/>
      <w:lang w:val="ro-RO"/>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1">
    <w:name w:val="Subtitle Char1"/>
    <w:basedOn w:val="DefaultParagraphFont"/>
    <w:uiPriority w:val="11"/>
    <w:rPr>
      <w:rFonts w:eastAsiaTheme="minorEastAsia"/>
      <w:color w:val="5A5A5A" w:themeColor="text1" w:themeTint="A5"/>
      <w:spacing w:val="15"/>
      <w:lang w:val="ro-RO"/>
    </w:rPr>
  </w:style>
  <w:style w:type="character" w:customStyle="1" w:styleId="QuoteChar">
    <w:name w:val="Quote Char"/>
    <w:basedOn w:val="DefaultParagraphFont"/>
    <w:link w:val="Quote"/>
    <w:uiPriority w:val="29"/>
    <w:rPr>
      <w:rFonts w:ascii="Times New Roman" w:hAnsi="Times New Roman" w:cs="Times New Roman"/>
      <w:i/>
      <w:iCs/>
      <w:color w:val="404040" w:themeColor="text1" w:themeTint="BF"/>
      <w:sz w:val="24"/>
      <w:lang w:val="ro-RO"/>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1">
    <w:name w:val="Quote Char1"/>
    <w:basedOn w:val="DefaultParagraphFont"/>
    <w:uiPriority w:val="29"/>
    <w:rPr>
      <w:rFonts w:ascii="Times New Roman" w:hAnsi="Times New Roman" w:cs="Times New Roman"/>
      <w:i/>
      <w:iCs/>
      <w:color w:val="404040" w:themeColor="text1" w:themeTint="BF"/>
      <w:sz w:val="24"/>
      <w:lang w:val="ro-RO"/>
    </w:rPr>
  </w:style>
  <w:style w:type="character" w:customStyle="1" w:styleId="IntenseQuoteChar">
    <w:name w:val="Intense Quote Char"/>
    <w:basedOn w:val="DefaultParagraphFont"/>
    <w:link w:val="IntenseQuote"/>
    <w:uiPriority w:val="30"/>
    <w:rPr>
      <w:rFonts w:ascii="Times New Roman" w:hAnsi="Times New Roman" w:cs="Times New Roman"/>
      <w:i/>
      <w:iCs/>
      <w:color w:val="365F91" w:themeColor="accent1" w:themeShade="BF"/>
      <w:sz w:val="24"/>
      <w:lang w:val="ro-RO"/>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uiPriority w:val="30"/>
    <w:rPr>
      <w:rFonts w:ascii="Times New Roman" w:hAnsi="Times New Roman" w:cs="Times New Roman"/>
      <w:i/>
      <w:iCs/>
      <w:color w:val="4F81BD" w:themeColor="accent1"/>
      <w:sz w:val="24"/>
      <w:lang w:val="ro-RO"/>
    </w:rPr>
  </w:style>
  <w:style w:type="paragraph" w:styleId="ListNumber">
    <w:name w:val="List Number"/>
    <w:basedOn w:val="Normal"/>
    <w:pPr>
      <w:numPr>
        <w:numId w:val="20"/>
      </w:numPr>
    </w:pPr>
    <w:rPr>
      <w:rFonts w:eastAsia="Times New Roman"/>
      <w:lang w:eastAsia="de-DE"/>
    </w:rPr>
  </w:style>
  <w:style w:type="paragraph" w:customStyle="1" w:styleId="ListBullet1">
    <w:name w:val="List Bullet 1"/>
    <w:basedOn w:val="Normal"/>
    <w:pPr>
      <w:numPr>
        <w:numId w:val="16"/>
      </w:numPr>
    </w:pPr>
    <w:rPr>
      <w:rFonts w:eastAsia="Times New Roman"/>
      <w:lang w:eastAsia="de-DE"/>
    </w:rPr>
  </w:style>
  <w:style w:type="paragraph" w:customStyle="1" w:styleId="ListDash">
    <w:name w:val="List Dash"/>
    <w:basedOn w:val="Normal"/>
    <w:pPr>
      <w:numPr>
        <w:numId w:val="17"/>
      </w:numPr>
    </w:pPr>
    <w:rPr>
      <w:rFonts w:eastAsia="Times New Roman"/>
      <w:lang w:eastAsia="de-DE"/>
    </w:rPr>
  </w:style>
  <w:style w:type="paragraph" w:customStyle="1" w:styleId="ListDash1">
    <w:name w:val="List Dash 1"/>
    <w:basedOn w:val="Normal"/>
    <w:pPr>
      <w:numPr>
        <w:numId w:val="18"/>
      </w:numPr>
      <w:tabs>
        <w:tab w:val="clear" w:pos="1134"/>
      </w:tabs>
    </w:pPr>
    <w:rPr>
      <w:rFonts w:eastAsia="Times New Roman"/>
      <w:lang w:eastAsia="de-DE"/>
    </w:rPr>
  </w:style>
  <w:style w:type="paragraph" w:customStyle="1" w:styleId="ListDash2">
    <w:name w:val="List Dash 2"/>
    <w:basedOn w:val="Normal"/>
    <w:pPr>
      <w:numPr>
        <w:numId w:val="19"/>
      </w:numPr>
    </w:pPr>
    <w:rPr>
      <w:rFonts w:eastAsia="Times New Roman"/>
      <w:lang w:eastAsia="de-DE"/>
    </w:rPr>
  </w:style>
  <w:style w:type="paragraph" w:customStyle="1" w:styleId="ListNumberLevel2">
    <w:name w:val="List Number (Level 2)"/>
    <w:basedOn w:val="Normal"/>
    <w:pPr>
      <w:numPr>
        <w:ilvl w:val="1"/>
        <w:numId w:val="20"/>
      </w:numPr>
    </w:pPr>
    <w:rPr>
      <w:rFonts w:eastAsia="Times New Roman"/>
      <w:lang w:eastAsia="de-DE"/>
    </w:rPr>
  </w:style>
  <w:style w:type="paragraph" w:customStyle="1" w:styleId="ListNumberLevel3">
    <w:name w:val="List Number (Level 3)"/>
    <w:basedOn w:val="Normal"/>
    <w:pPr>
      <w:numPr>
        <w:ilvl w:val="2"/>
        <w:numId w:val="20"/>
      </w:numPr>
    </w:pPr>
    <w:rPr>
      <w:rFonts w:eastAsia="Times New Roman"/>
      <w:lang w:eastAsia="de-DE"/>
    </w:rPr>
  </w:style>
  <w:style w:type="paragraph" w:customStyle="1" w:styleId="ListNumberLevel4">
    <w:name w:val="List Number (Level 4)"/>
    <w:basedOn w:val="Normal"/>
    <w:pPr>
      <w:numPr>
        <w:ilvl w:val="3"/>
        <w:numId w:val="20"/>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pPr>
      <w:numPr>
        <w:numId w:val="24"/>
      </w:numPr>
      <w:tabs>
        <w:tab w:val="clear" w:pos="1560"/>
      </w:tabs>
    </w:pPr>
    <w:rPr>
      <w:rFonts w:eastAsia="Times New Roman"/>
      <w:lang w:eastAsia="en-GB"/>
    </w:rPr>
  </w:style>
  <w:style w:type="paragraph" w:styleId="ListNumber4">
    <w:name w:val="List Number 4"/>
    <w:basedOn w:val="Normal"/>
    <w:pPr>
      <w:numPr>
        <w:numId w:val="25"/>
      </w:numPr>
    </w:pPr>
    <w:rPr>
      <w:rFonts w:eastAsia="Times New Roman"/>
      <w:lang w:eastAsia="en-GB"/>
    </w:rPr>
  </w:style>
  <w:style w:type="paragraph" w:customStyle="1" w:styleId="ListDash3">
    <w:name w:val="List Dash 3"/>
    <w:basedOn w:val="Normal"/>
    <w:pPr>
      <w:numPr>
        <w:numId w:val="21"/>
      </w:numPr>
      <w:tabs>
        <w:tab w:val="clear" w:pos="1134"/>
      </w:tabs>
    </w:pPr>
    <w:rPr>
      <w:rFonts w:eastAsia="Times New Roman"/>
      <w:lang w:eastAsia="en-GB"/>
    </w:rPr>
  </w:style>
  <w:style w:type="paragraph" w:customStyle="1" w:styleId="ListDash4">
    <w:name w:val="List Dash 4"/>
    <w:basedOn w:val="Normal"/>
    <w:pPr>
      <w:numPr>
        <w:numId w:val="22"/>
      </w:numPr>
    </w:pPr>
    <w:rPr>
      <w:rFonts w:eastAsia="Times New Roman"/>
      <w:lang w:eastAsia="en-GB"/>
    </w:rPr>
  </w:style>
  <w:style w:type="paragraph" w:customStyle="1" w:styleId="ListNumber1">
    <w:name w:val="List Number 1"/>
    <w:basedOn w:val="Text1"/>
    <w:pPr>
      <w:numPr>
        <w:numId w:val="23"/>
      </w:numPr>
      <w:tabs>
        <w:tab w:val="clear" w:pos="1560"/>
      </w:tabs>
    </w:pPr>
    <w:rPr>
      <w:rFonts w:eastAsia="Times New Roman"/>
      <w:lang w:eastAsia="en-GB"/>
    </w:rPr>
  </w:style>
  <w:style w:type="paragraph" w:customStyle="1" w:styleId="ListNumber1Level2">
    <w:name w:val="List Number 1 (Level 2)"/>
    <w:basedOn w:val="Text1"/>
    <w:pPr>
      <w:numPr>
        <w:ilvl w:val="1"/>
        <w:numId w:val="23"/>
      </w:numPr>
      <w:tabs>
        <w:tab w:val="clear" w:pos="2268"/>
      </w:tabs>
    </w:pPr>
    <w:rPr>
      <w:rFonts w:eastAsia="Times New Roman"/>
      <w:lang w:eastAsia="en-GB"/>
    </w:rPr>
  </w:style>
  <w:style w:type="paragraph" w:customStyle="1" w:styleId="ListNumber3Level2">
    <w:name w:val="List Number 3 (Level 2)"/>
    <w:basedOn w:val="Text3"/>
    <w:pPr>
      <w:numPr>
        <w:ilvl w:val="1"/>
        <w:numId w:val="24"/>
      </w:numPr>
      <w:tabs>
        <w:tab w:val="clear" w:pos="2268"/>
      </w:tabs>
    </w:pPr>
    <w:rPr>
      <w:rFonts w:eastAsia="Times New Roman"/>
      <w:lang w:eastAsia="en-GB"/>
    </w:rPr>
  </w:style>
  <w:style w:type="paragraph" w:customStyle="1" w:styleId="ListNumber4Level2">
    <w:name w:val="List Number 4 (Level 2)"/>
    <w:basedOn w:val="Text4"/>
    <w:pPr>
      <w:numPr>
        <w:ilvl w:val="1"/>
        <w:numId w:val="25"/>
      </w:numPr>
    </w:pPr>
    <w:rPr>
      <w:rFonts w:eastAsia="Times New Roman"/>
      <w:lang w:eastAsia="en-GB"/>
    </w:rPr>
  </w:style>
  <w:style w:type="paragraph" w:customStyle="1" w:styleId="ListNumber1Level3">
    <w:name w:val="List Number 1 (Level 3)"/>
    <w:basedOn w:val="Text1"/>
    <w:pPr>
      <w:numPr>
        <w:ilvl w:val="2"/>
        <w:numId w:val="23"/>
      </w:numPr>
      <w:tabs>
        <w:tab w:val="clear" w:pos="2977"/>
      </w:tabs>
    </w:pPr>
    <w:rPr>
      <w:rFonts w:eastAsia="Times New Roman"/>
      <w:lang w:eastAsia="en-GB"/>
    </w:rPr>
  </w:style>
  <w:style w:type="paragraph" w:customStyle="1" w:styleId="ListNumber3Level3">
    <w:name w:val="List Number 3 (Level 3)"/>
    <w:basedOn w:val="Text3"/>
    <w:pPr>
      <w:numPr>
        <w:ilvl w:val="2"/>
        <w:numId w:val="24"/>
      </w:numPr>
      <w:tabs>
        <w:tab w:val="clear" w:pos="2977"/>
      </w:tabs>
    </w:pPr>
    <w:rPr>
      <w:rFonts w:eastAsia="Times New Roman"/>
      <w:lang w:eastAsia="en-GB"/>
    </w:rPr>
  </w:style>
  <w:style w:type="paragraph" w:customStyle="1" w:styleId="ListNumber4Level3">
    <w:name w:val="List Number 4 (Level 3)"/>
    <w:basedOn w:val="Text4"/>
    <w:pPr>
      <w:numPr>
        <w:ilvl w:val="2"/>
        <w:numId w:val="25"/>
      </w:numPr>
    </w:pPr>
    <w:rPr>
      <w:rFonts w:eastAsia="Times New Roman"/>
      <w:lang w:eastAsia="en-GB"/>
    </w:rPr>
  </w:style>
  <w:style w:type="paragraph" w:customStyle="1" w:styleId="ListNumber1Level4">
    <w:name w:val="List Number 1 (Level 4)"/>
    <w:basedOn w:val="Text1"/>
    <w:pPr>
      <w:numPr>
        <w:ilvl w:val="3"/>
        <w:numId w:val="23"/>
      </w:numPr>
      <w:tabs>
        <w:tab w:val="clear" w:pos="3686"/>
      </w:tabs>
    </w:pPr>
    <w:rPr>
      <w:rFonts w:eastAsia="Times New Roman"/>
      <w:lang w:eastAsia="en-GB"/>
    </w:rPr>
  </w:style>
  <w:style w:type="paragraph" w:customStyle="1" w:styleId="ListNumber3Level4">
    <w:name w:val="List Number 3 (Level 4)"/>
    <w:basedOn w:val="Text3"/>
    <w:pPr>
      <w:numPr>
        <w:ilvl w:val="3"/>
        <w:numId w:val="24"/>
      </w:numPr>
      <w:tabs>
        <w:tab w:val="clear" w:pos="3686"/>
      </w:tabs>
    </w:pPr>
    <w:rPr>
      <w:rFonts w:eastAsia="Times New Roman"/>
      <w:lang w:eastAsia="en-GB"/>
    </w:rPr>
  </w:style>
  <w:style w:type="paragraph" w:customStyle="1" w:styleId="ListNumber4Level4">
    <w:name w:val="List Number 4 (Level 4)"/>
    <w:basedOn w:val="Text4"/>
    <w:pPr>
      <w:numPr>
        <w:ilvl w:val="3"/>
        <w:numId w:val="2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character" w:customStyle="1" w:styleId="TOCHeadingChar">
    <w:name w:val="TOC Heading Char"/>
    <w:uiPriority w:val="39"/>
    <w:rPr>
      <w:rFonts w:ascii="Times New Roman" w:hAnsi="Times New Roman" w:cs="Times New Roman"/>
      <w:b/>
      <w:sz w:val="28"/>
      <w:lang w:val="ro-RO"/>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character" w:styleId="Strong">
    <w:name w:val="Strong"/>
    <w:basedOn w:val="DefaultParagraphFont"/>
    <w:uiPriority w:val="22"/>
    <w:qFormat/>
    <w:rPr>
      <w:b/>
      <w:bCs/>
    </w:rPr>
  </w:style>
  <w:style w:type="character" w:styleId="Emphasis">
    <w:name w:val="Emphasis"/>
    <w:basedOn w:val="DefaultParagraphFont"/>
    <w:qFormat/>
    <w:rPr>
      <w:i/>
      <w:iCs/>
    </w:rPr>
  </w:style>
  <w:style w:type="character" w:styleId="PageNumber">
    <w:name w:val="page number"/>
  </w:style>
  <w:style w:type="paragraph" w:customStyle="1" w:styleId="Refer">
    <w:name w:val="Refer"/>
    <w:basedOn w:val="Normal"/>
    <w:pPr>
      <w:ind w:left="72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8"/>
      </w:numPr>
    </w:pPr>
  </w:style>
  <w:style w:type="paragraph" w:customStyle="1" w:styleId="Tiret1">
    <w:name w:val="Tiret 1"/>
    <w:basedOn w:val="Point1"/>
    <w:pPr>
      <w:numPr>
        <w:numId w:val="179"/>
      </w:numPr>
    </w:pPr>
  </w:style>
  <w:style w:type="paragraph" w:customStyle="1" w:styleId="Tiret2">
    <w:name w:val="Tiret 2"/>
    <w:basedOn w:val="Point2"/>
    <w:pPr>
      <w:numPr>
        <w:numId w:val="180"/>
      </w:numPr>
    </w:pPr>
  </w:style>
  <w:style w:type="paragraph" w:customStyle="1" w:styleId="Tiret3">
    <w:name w:val="Tiret 3"/>
    <w:basedOn w:val="Point3"/>
    <w:pPr>
      <w:numPr>
        <w:numId w:val="181"/>
      </w:numPr>
    </w:pPr>
  </w:style>
  <w:style w:type="paragraph" w:customStyle="1" w:styleId="Tiret4">
    <w:name w:val="Tiret 4"/>
    <w:basedOn w:val="Point4"/>
    <w:pPr>
      <w:numPr>
        <w:numId w:val="182"/>
      </w:numPr>
    </w:pPr>
  </w:style>
  <w:style w:type="paragraph" w:customStyle="1" w:styleId="Tiret5">
    <w:name w:val="Tiret 5"/>
    <w:basedOn w:val="Point5"/>
    <w:pPr>
      <w:numPr>
        <w:numId w:val="18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4"/>
      </w:numPr>
    </w:pPr>
  </w:style>
  <w:style w:type="paragraph" w:customStyle="1" w:styleId="NumPar2">
    <w:name w:val="NumPar 2"/>
    <w:basedOn w:val="Normal"/>
    <w:next w:val="Text1"/>
    <w:pPr>
      <w:numPr>
        <w:ilvl w:val="1"/>
        <w:numId w:val="184"/>
      </w:numPr>
    </w:pPr>
  </w:style>
  <w:style w:type="paragraph" w:customStyle="1" w:styleId="NumPar3">
    <w:name w:val="NumPar 3"/>
    <w:basedOn w:val="Normal"/>
    <w:next w:val="Text1"/>
    <w:pPr>
      <w:numPr>
        <w:ilvl w:val="2"/>
        <w:numId w:val="184"/>
      </w:numPr>
    </w:pPr>
  </w:style>
  <w:style w:type="paragraph" w:customStyle="1" w:styleId="NumPar4">
    <w:name w:val="NumPar 4"/>
    <w:basedOn w:val="Normal"/>
    <w:next w:val="Text1"/>
    <w:pPr>
      <w:numPr>
        <w:ilvl w:val="3"/>
        <w:numId w:val="184"/>
      </w:numPr>
    </w:pPr>
  </w:style>
  <w:style w:type="paragraph" w:customStyle="1" w:styleId="NumPar5">
    <w:name w:val="NumPar 5"/>
    <w:basedOn w:val="Normal"/>
    <w:next w:val="Text2"/>
    <w:pPr>
      <w:numPr>
        <w:ilvl w:val="4"/>
        <w:numId w:val="184"/>
      </w:numPr>
    </w:pPr>
  </w:style>
  <w:style w:type="paragraph" w:customStyle="1" w:styleId="NumPar6">
    <w:name w:val="NumPar 6"/>
    <w:basedOn w:val="Normal"/>
    <w:next w:val="Text2"/>
    <w:pPr>
      <w:numPr>
        <w:ilvl w:val="5"/>
        <w:numId w:val="184"/>
      </w:numPr>
    </w:pPr>
  </w:style>
  <w:style w:type="paragraph" w:customStyle="1" w:styleId="NumPar7">
    <w:name w:val="NumPar 7"/>
    <w:basedOn w:val="Normal"/>
    <w:next w:val="Text2"/>
    <w:pPr>
      <w:numPr>
        <w:ilvl w:val="6"/>
        <w:numId w:val="18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6"/>
      </w:numPr>
    </w:pPr>
  </w:style>
  <w:style w:type="paragraph" w:customStyle="1" w:styleId="Point1number">
    <w:name w:val="Point 1 (number)"/>
    <w:basedOn w:val="Normal"/>
    <w:pPr>
      <w:numPr>
        <w:ilvl w:val="2"/>
        <w:numId w:val="186"/>
      </w:numPr>
    </w:pPr>
  </w:style>
  <w:style w:type="paragraph" w:customStyle="1" w:styleId="Point2number">
    <w:name w:val="Point 2 (number)"/>
    <w:basedOn w:val="Normal"/>
    <w:pPr>
      <w:numPr>
        <w:ilvl w:val="4"/>
        <w:numId w:val="186"/>
      </w:numPr>
    </w:pPr>
  </w:style>
  <w:style w:type="paragraph" w:customStyle="1" w:styleId="Point3number">
    <w:name w:val="Point 3 (number)"/>
    <w:basedOn w:val="Normal"/>
    <w:pPr>
      <w:numPr>
        <w:ilvl w:val="6"/>
        <w:numId w:val="186"/>
      </w:numPr>
    </w:pPr>
  </w:style>
  <w:style w:type="paragraph" w:customStyle="1" w:styleId="Point0letter">
    <w:name w:val="Point 0 (letter)"/>
    <w:basedOn w:val="Normal"/>
    <w:pPr>
      <w:numPr>
        <w:ilvl w:val="1"/>
        <w:numId w:val="186"/>
      </w:numPr>
    </w:pPr>
  </w:style>
  <w:style w:type="paragraph" w:customStyle="1" w:styleId="Point1letter">
    <w:name w:val="Point 1 (letter)"/>
    <w:basedOn w:val="Normal"/>
    <w:pPr>
      <w:numPr>
        <w:ilvl w:val="3"/>
        <w:numId w:val="186"/>
      </w:numPr>
    </w:pPr>
  </w:style>
  <w:style w:type="paragraph" w:customStyle="1" w:styleId="Point2letter">
    <w:name w:val="Point 2 (letter)"/>
    <w:basedOn w:val="Normal"/>
    <w:pPr>
      <w:numPr>
        <w:ilvl w:val="5"/>
        <w:numId w:val="186"/>
      </w:numPr>
    </w:pPr>
  </w:style>
  <w:style w:type="paragraph" w:customStyle="1" w:styleId="Point3letter">
    <w:name w:val="Point 3 (letter)"/>
    <w:basedOn w:val="Normal"/>
    <w:pPr>
      <w:numPr>
        <w:ilvl w:val="7"/>
        <w:numId w:val="186"/>
      </w:numPr>
    </w:pPr>
  </w:style>
  <w:style w:type="paragraph" w:customStyle="1" w:styleId="Point4letter">
    <w:name w:val="Point 4 (letter)"/>
    <w:basedOn w:val="Normal"/>
    <w:pPr>
      <w:numPr>
        <w:ilvl w:val="8"/>
        <w:numId w:val="186"/>
      </w:numPr>
    </w:pPr>
  </w:style>
  <w:style w:type="paragraph" w:customStyle="1" w:styleId="Bullet0">
    <w:name w:val="Bullet 0"/>
    <w:basedOn w:val="Normal"/>
    <w:pPr>
      <w:numPr>
        <w:numId w:val="187"/>
      </w:numPr>
    </w:pPr>
  </w:style>
  <w:style w:type="paragraph" w:customStyle="1" w:styleId="Bullet1">
    <w:name w:val="Bullet 1"/>
    <w:basedOn w:val="Normal"/>
    <w:pPr>
      <w:numPr>
        <w:numId w:val="188"/>
      </w:numPr>
    </w:pPr>
  </w:style>
  <w:style w:type="paragraph" w:customStyle="1" w:styleId="Bullet2">
    <w:name w:val="Bullet 2"/>
    <w:basedOn w:val="Normal"/>
    <w:pPr>
      <w:numPr>
        <w:numId w:val="189"/>
      </w:numPr>
    </w:pPr>
  </w:style>
  <w:style w:type="paragraph" w:customStyle="1" w:styleId="Bullet3">
    <w:name w:val="Bullet 3"/>
    <w:basedOn w:val="Normal"/>
    <w:pPr>
      <w:numPr>
        <w:numId w:val="190"/>
      </w:numPr>
    </w:pPr>
  </w:style>
  <w:style w:type="paragraph" w:customStyle="1" w:styleId="Bullet4">
    <w:name w:val="Bullet 4"/>
    <w:basedOn w:val="Normal"/>
    <w:pPr>
      <w:numPr>
        <w:numId w:val="19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909">
      <w:bodyDiv w:val="1"/>
      <w:marLeft w:val="0"/>
      <w:marRight w:val="0"/>
      <w:marTop w:val="0"/>
      <w:marBottom w:val="0"/>
      <w:divBdr>
        <w:top w:val="none" w:sz="0" w:space="0" w:color="auto"/>
        <w:left w:val="none" w:sz="0" w:space="0" w:color="auto"/>
        <w:bottom w:val="none" w:sz="0" w:space="0" w:color="auto"/>
        <w:right w:val="none" w:sz="0" w:space="0" w:color="auto"/>
      </w:divBdr>
    </w:div>
    <w:div w:id="63525585">
      <w:bodyDiv w:val="1"/>
      <w:marLeft w:val="0"/>
      <w:marRight w:val="0"/>
      <w:marTop w:val="0"/>
      <w:marBottom w:val="0"/>
      <w:divBdr>
        <w:top w:val="none" w:sz="0" w:space="0" w:color="auto"/>
        <w:left w:val="none" w:sz="0" w:space="0" w:color="auto"/>
        <w:bottom w:val="none" w:sz="0" w:space="0" w:color="auto"/>
        <w:right w:val="none" w:sz="0" w:space="0" w:color="auto"/>
      </w:divBdr>
    </w:div>
    <w:div w:id="90441762">
      <w:bodyDiv w:val="1"/>
      <w:marLeft w:val="0"/>
      <w:marRight w:val="0"/>
      <w:marTop w:val="0"/>
      <w:marBottom w:val="0"/>
      <w:divBdr>
        <w:top w:val="none" w:sz="0" w:space="0" w:color="auto"/>
        <w:left w:val="none" w:sz="0" w:space="0" w:color="auto"/>
        <w:bottom w:val="none" w:sz="0" w:space="0" w:color="auto"/>
        <w:right w:val="none" w:sz="0" w:space="0" w:color="auto"/>
      </w:divBdr>
    </w:div>
    <w:div w:id="168718881">
      <w:bodyDiv w:val="1"/>
      <w:marLeft w:val="0"/>
      <w:marRight w:val="0"/>
      <w:marTop w:val="0"/>
      <w:marBottom w:val="0"/>
      <w:divBdr>
        <w:top w:val="none" w:sz="0" w:space="0" w:color="auto"/>
        <w:left w:val="none" w:sz="0" w:space="0" w:color="auto"/>
        <w:bottom w:val="none" w:sz="0" w:space="0" w:color="auto"/>
        <w:right w:val="none" w:sz="0" w:space="0" w:color="auto"/>
      </w:divBdr>
    </w:div>
    <w:div w:id="178397787">
      <w:bodyDiv w:val="1"/>
      <w:marLeft w:val="0"/>
      <w:marRight w:val="0"/>
      <w:marTop w:val="0"/>
      <w:marBottom w:val="0"/>
      <w:divBdr>
        <w:top w:val="none" w:sz="0" w:space="0" w:color="auto"/>
        <w:left w:val="none" w:sz="0" w:space="0" w:color="auto"/>
        <w:bottom w:val="none" w:sz="0" w:space="0" w:color="auto"/>
        <w:right w:val="none" w:sz="0" w:space="0" w:color="auto"/>
      </w:divBdr>
    </w:div>
    <w:div w:id="197015658">
      <w:bodyDiv w:val="1"/>
      <w:marLeft w:val="0"/>
      <w:marRight w:val="0"/>
      <w:marTop w:val="0"/>
      <w:marBottom w:val="0"/>
      <w:divBdr>
        <w:top w:val="none" w:sz="0" w:space="0" w:color="auto"/>
        <w:left w:val="none" w:sz="0" w:space="0" w:color="auto"/>
        <w:bottom w:val="none" w:sz="0" w:space="0" w:color="auto"/>
        <w:right w:val="none" w:sz="0" w:space="0" w:color="auto"/>
      </w:divBdr>
    </w:div>
    <w:div w:id="295840562">
      <w:bodyDiv w:val="1"/>
      <w:marLeft w:val="0"/>
      <w:marRight w:val="0"/>
      <w:marTop w:val="0"/>
      <w:marBottom w:val="0"/>
      <w:divBdr>
        <w:top w:val="none" w:sz="0" w:space="0" w:color="auto"/>
        <w:left w:val="none" w:sz="0" w:space="0" w:color="auto"/>
        <w:bottom w:val="none" w:sz="0" w:space="0" w:color="auto"/>
        <w:right w:val="none" w:sz="0" w:space="0" w:color="auto"/>
      </w:divBdr>
    </w:div>
    <w:div w:id="338896006">
      <w:bodyDiv w:val="1"/>
      <w:marLeft w:val="0"/>
      <w:marRight w:val="0"/>
      <w:marTop w:val="0"/>
      <w:marBottom w:val="0"/>
      <w:divBdr>
        <w:top w:val="none" w:sz="0" w:space="0" w:color="auto"/>
        <w:left w:val="none" w:sz="0" w:space="0" w:color="auto"/>
        <w:bottom w:val="none" w:sz="0" w:space="0" w:color="auto"/>
        <w:right w:val="none" w:sz="0" w:space="0" w:color="auto"/>
      </w:divBdr>
    </w:div>
    <w:div w:id="381751305">
      <w:bodyDiv w:val="1"/>
      <w:marLeft w:val="0"/>
      <w:marRight w:val="0"/>
      <w:marTop w:val="0"/>
      <w:marBottom w:val="0"/>
      <w:divBdr>
        <w:top w:val="none" w:sz="0" w:space="0" w:color="auto"/>
        <w:left w:val="none" w:sz="0" w:space="0" w:color="auto"/>
        <w:bottom w:val="none" w:sz="0" w:space="0" w:color="auto"/>
        <w:right w:val="none" w:sz="0" w:space="0" w:color="auto"/>
      </w:divBdr>
      <w:divsChild>
        <w:div w:id="772018960">
          <w:marLeft w:val="0"/>
          <w:marRight w:val="0"/>
          <w:marTop w:val="0"/>
          <w:marBottom w:val="0"/>
          <w:divBdr>
            <w:top w:val="none" w:sz="0" w:space="0" w:color="auto"/>
            <w:left w:val="none" w:sz="0" w:space="0" w:color="auto"/>
            <w:bottom w:val="none" w:sz="0" w:space="0" w:color="auto"/>
            <w:right w:val="none" w:sz="0" w:space="0" w:color="auto"/>
          </w:divBdr>
        </w:div>
        <w:div w:id="1596357334">
          <w:marLeft w:val="0"/>
          <w:marRight w:val="0"/>
          <w:marTop w:val="0"/>
          <w:marBottom w:val="0"/>
          <w:divBdr>
            <w:top w:val="none" w:sz="0" w:space="0" w:color="auto"/>
            <w:left w:val="none" w:sz="0" w:space="0" w:color="auto"/>
            <w:bottom w:val="none" w:sz="0" w:space="0" w:color="auto"/>
            <w:right w:val="none" w:sz="0" w:space="0" w:color="auto"/>
          </w:divBdr>
        </w:div>
      </w:divsChild>
    </w:div>
    <w:div w:id="445391103">
      <w:bodyDiv w:val="1"/>
      <w:marLeft w:val="0"/>
      <w:marRight w:val="0"/>
      <w:marTop w:val="0"/>
      <w:marBottom w:val="0"/>
      <w:divBdr>
        <w:top w:val="none" w:sz="0" w:space="0" w:color="auto"/>
        <w:left w:val="none" w:sz="0" w:space="0" w:color="auto"/>
        <w:bottom w:val="none" w:sz="0" w:space="0" w:color="auto"/>
        <w:right w:val="none" w:sz="0" w:space="0" w:color="auto"/>
      </w:divBdr>
      <w:divsChild>
        <w:div w:id="47071000">
          <w:marLeft w:val="0"/>
          <w:marRight w:val="0"/>
          <w:marTop w:val="0"/>
          <w:marBottom w:val="0"/>
          <w:divBdr>
            <w:top w:val="none" w:sz="0" w:space="0" w:color="auto"/>
            <w:left w:val="none" w:sz="0" w:space="0" w:color="auto"/>
            <w:bottom w:val="none" w:sz="0" w:space="0" w:color="auto"/>
            <w:right w:val="none" w:sz="0" w:space="0" w:color="auto"/>
          </w:divBdr>
        </w:div>
        <w:div w:id="278070753">
          <w:marLeft w:val="0"/>
          <w:marRight w:val="0"/>
          <w:marTop w:val="0"/>
          <w:marBottom w:val="0"/>
          <w:divBdr>
            <w:top w:val="none" w:sz="0" w:space="0" w:color="auto"/>
            <w:left w:val="none" w:sz="0" w:space="0" w:color="auto"/>
            <w:bottom w:val="none" w:sz="0" w:space="0" w:color="auto"/>
            <w:right w:val="none" w:sz="0" w:space="0" w:color="auto"/>
          </w:divBdr>
        </w:div>
      </w:divsChild>
    </w:div>
    <w:div w:id="469323778">
      <w:bodyDiv w:val="1"/>
      <w:marLeft w:val="0"/>
      <w:marRight w:val="0"/>
      <w:marTop w:val="0"/>
      <w:marBottom w:val="0"/>
      <w:divBdr>
        <w:top w:val="none" w:sz="0" w:space="0" w:color="auto"/>
        <w:left w:val="none" w:sz="0" w:space="0" w:color="auto"/>
        <w:bottom w:val="none" w:sz="0" w:space="0" w:color="auto"/>
        <w:right w:val="none" w:sz="0" w:space="0" w:color="auto"/>
      </w:divBdr>
    </w:div>
    <w:div w:id="521480533">
      <w:bodyDiv w:val="1"/>
      <w:marLeft w:val="0"/>
      <w:marRight w:val="0"/>
      <w:marTop w:val="0"/>
      <w:marBottom w:val="0"/>
      <w:divBdr>
        <w:top w:val="none" w:sz="0" w:space="0" w:color="auto"/>
        <w:left w:val="none" w:sz="0" w:space="0" w:color="auto"/>
        <w:bottom w:val="none" w:sz="0" w:space="0" w:color="auto"/>
        <w:right w:val="none" w:sz="0" w:space="0" w:color="auto"/>
      </w:divBdr>
      <w:divsChild>
        <w:div w:id="946549544">
          <w:marLeft w:val="0"/>
          <w:marRight w:val="0"/>
          <w:marTop w:val="0"/>
          <w:marBottom w:val="0"/>
          <w:divBdr>
            <w:top w:val="none" w:sz="0" w:space="0" w:color="auto"/>
            <w:left w:val="none" w:sz="0" w:space="0" w:color="auto"/>
            <w:bottom w:val="none" w:sz="0" w:space="0" w:color="auto"/>
            <w:right w:val="none" w:sz="0" w:space="0" w:color="auto"/>
          </w:divBdr>
          <w:divsChild>
            <w:div w:id="4091949">
              <w:marLeft w:val="0"/>
              <w:marRight w:val="0"/>
              <w:marTop w:val="0"/>
              <w:marBottom w:val="0"/>
              <w:divBdr>
                <w:top w:val="none" w:sz="0" w:space="0" w:color="auto"/>
                <w:left w:val="none" w:sz="0" w:space="0" w:color="auto"/>
                <w:bottom w:val="none" w:sz="0" w:space="0" w:color="auto"/>
                <w:right w:val="none" w:sz="0" w:space="0" w:color="auto"/>
              </w:divBdr>
            </w:div>
            <w:div w:id="32123546">
              <w:marLeft w:val="0"/>
              <w:marRight w:val="0"/>
              <w:marTop w:val="0"/>
              <w:marBottom w:val="0"/>
              <w:divBdr>
                <w:top w:val="none" w:sz="0" w:space="0" w:color="auto"/>
                <w:left w:val="none" w:sz="0" w:space="0" w:color="auto"/>
                <w:bottom w:val="none" w:sz="0" w:space="0" w:color="auto"/>
                <w:right w:val="none" w:sz="0" w:space="0" w:color="auto"/>
              </w:divBdr>
            </w:div>
            <w:div w:id="226114588">
              <w:marLeft w:val="0"/>
              <w:marRight w:val="0"/>
              <w:marTop w:val="0"/>
              <w:marBottom w:val="0"/>
              <w:divBdr>
                <w:top w:val="none" w:sz="0" w:space="0" w:color="auto"/>
                <w:left w:val="none" w:sz="0" w:space="0" w:color="auto"/>
                <w:bottom w:val="none" w:sz="0" w:space="0" w:color="auto"/>
                <w:right w:val="none" w:sz="0" w:space="0" w:color="auto"/>
              </w:divBdr>
            </w:div>
            <w:div w:id="615212462">
              <w:marLeft w:val="0"/>
              <w:marRight w:val="0"/>
              <w:marTop w:val="0"/>
              <w:marBottom w:val="0"/>
              <w:divBdr>
                <w:top w:val="none" w:sz="0" w:space="0" w:color="auto"/>
                <w:left w:val="none" w:sz="0" w:space="0" w:color="auto"/>
                <w:bottom w:val="none" w:sz="0" w:space="0" w:color="auto"/>
                <w:right w:val="none" w:sz="0" w:space="0" w:color="auto"/>
              </w:divBdr>
            </w:div>
            <w:div w:id="633876611">
              <w:marLeft w:val="0"/>
              <w:marRight w:val="0"/>
              <w:marTop w:val="0"/>
              <w:marBottom w:val="0"/>
              <w:divBdr>
                <w:top w:val="none" w:sz="0" w:space="0" w:color="auto"/>
                <w:left w:val="none" w:sz="0" w:space="0" w:color="auto"/>
                <w:bottom w:val="none" w:sz="0" w:space="0" w:color="auto"/>
                <w:right w:val="none" w:sz="0" w:space="0" w:color="auto"/>
              </w:divBdr>
            </w:div>
            <w:div w:id="892698322">
              <w:marLeft w:val="0"/>
              <w:marRight w:val="0"/>
              <w:marTop w:val="0"/>
              <w:marBottom w:val="0"/>
              <w:divBdr>
                <w:top w:val="none" w:sz="0" w:space="0" w:color="auto"/>
                <w:left w:val="none" w:sz="0" w:space="0" w:color="auto"/>
                <w:bottom w:val="none" w:sz="0" w:space="0" w:color="auto"/>
                <w:right w:val="none" w:sz="0" w:space="0" w:color="auto"/>
              </w:divBdr>
            </w:div>
            <w:div w:id="1278298382">
              <w:marLeft w:val="0"/>
              <w:marRight w:val="0"/>
              <w:marTop w:val="0"/>
              <w:marBottom w:val="0"/>
              <w:divBdr>
                <w:top w:val="none" w:sz="0" w:space="0" w:color="auto"/>
                <w:left w:val="none" w:sz="0" w:space="0" w:color="auto"/>
                <w:bottom w:val="none" w:sz="0" w:space="0" w:color="auto"/>
                <w:right w:val="none" w:sz="0" w:space="0" w:color="auto"/>
              </w:divBdr>
            </w:div>
            <w:div w:id="1437285443">
              <w:marLeft w:val="0"/>
              <w:marRight w:val="0"/>
              <w:marTop w:val="0"/>
              <w:marBottom w:val="0"/>
              <w:divBdr>
                <w:top w:val="none" w:sz="0" w:space="0" w:color="auto"/>
                <w:left w:val="none" w:sz="0" w:space="0" w:color="auto"/>
                <w:bottom w:val="none" w:sz="0" w:space="0" w:color="auto"/>
                <w:right w:val="none" w:sz="0" w:space="0" w:color="auto"/>
              </w:divBdr>
            </w:div>
            <w:div w:id="1657490747">
              <w:marLeft w:val="0"/>
              <w:marRight w:val="0"/>
              <w:marTop w:val="0"/>
              <w:marBottom w:val="0"/>
              <w:divBdr>
                <w:top w:val="none" w:sz="0" w:space="0" w:color="auto"/>
                <w:left w:val="none" w:sz="0" w:space="0" w:color="auto"/>
                <w:bottom w:val="none" w:sz="0" w:space="0" w:color="auto"/>
                <w:right w:val="none" w:sz="0" w:space="0" w:color="auto"/>
              </w:divBdr>
            </w:div>
            <w:div w:id="1801337715">
              <w:marLeft w:val="0"/>
              <w:marRight w:val="0"/>
              <w:marTop w:val="0"/>
              <w:marBottom w:val="0"/>
              <w:divBdr>
                <w:top w:val="none" w:sz="0" w:space="0" w:color="auto"/>
                <w:left w:val="none" w:sz="0" w:space="0" w:color="auto"/>
                <w:bottom w:val="none" w:sz="0" w:space="0" w:color="auto"/>
                <w:right w:val="none" w:sz="0" w:space="0" w:color="auto"/>
              </w:divBdr>
            </w:div>
          </w:divsChild>
        </w:div>
        <w:div w:id="1667703207">
          <w:marLeft w:val="0"/>
          <w:marRight w:val="0"/>
          <w:marTop w:val="0"/>
          <w:marBottom w:val="0"/>
          <w:divBdr>
            <w:top w:val="none" w:sz="0" w:space="0" w:color="auto"/>
            <w:left w:val="none" w:sz="0" w:space="0" w:color="auto"/>
            <w:bottom w:val="none" w:sz="0" w:space="0" w:color="auto"/>
            <w:right w:val="none" w:sz="0" w:space="0" w:color="auto"/>
          </w:divBdr>
          <w:divsChild>
            <w:div w:id="185171574">
              <w:marLeft w:val="0"/>
              <w:marRight w:val="0"/>
              <w:marTop w:val="0"/>
              <w:marBottom w:val="0"/>
              <w:divBdr>
                <w:top w:val="none" w:sz="0" w:space="0" w:color="auto"/>
                <w:left w:val="none" w:sz="0" w:space="0" w:color="auto"/>
                <w:bottom w:val="none" w:sz="0" w:space="0" w:color="auto"/>
                <w:right w:val="none" w:sz="0" w:space="0" w:color="auto"/>
              </w:divBdr>
            </w:div>
            <w:div w:id="297686139">
              <w:marLeft w:val="0"/>
              <w:marRight w:val="0"/>
              <w:marTop w:val="0"/>
              <w:marBottom w:val="0"/>
              <w:divBdr>
                <w:top w:val="none" w:sz="0" w:space="0" w:color="auto"/>
                <w:left w:val="none" w:sz="0" w:space="0" w:color="auto"/>
                <w:bottom w:val="none" w:sz="0" w:space="0" w:color="auto"/>
                <w:right w:val="none" w:sz="0" w:space="0" w:color="auto"/>
              </w:divBdr>
            </w:div>
            <w:div w:id="396783611">
              <w:marLeft w:val="0"/>
              <w:marRight w:val="0"/>
              <w:marTop w:val="0"/>
              <w:marBottom w:val="0"/>
              <w:divBdr>
                <w:top w:val="none" w:sz="0" w:space="0" w:color="auto"/>
                <w:left w:val="none" w:sz="0" w:space="0" w:color="auto"/>
                <w:bottom w:val="none" w:sz="0" w:space="0" w:color="auto"/>
                <w:right w:val="none" w:sz="0" w:space="0" w:color="auto"/>
              </w:divBdr>
            </w:div>
            <w:div w:id="406920818">
              <w:marLeft w:val="0"/>
              <w:marRight w:val="0"/>
              <w:marTop w:val="0"/>
              <w:marBottom w:val="0"/>
              <w:divBdr>
                <w:top w:val="none" w:sz="0" w:space="0" w:color="auto"/>
                <w:left w:val="none" w:sz="0" w:space="0" w:color="auto"/>
                <w:bottom w:val="none" w:sz="0" w:space="0" w:color="auto"/>
                <w:right w:val="none" w:sz="0" w:space="0" w:color="auto"/>
              </w:divBdr>
            </w:div>
            <w:div w:id="595792021">
              <w:marLeft w:val="0"/>
              <w:marRight w:val="0"/>
              <w:marTop w:val="0"/>
              <w:marBottom w:val="0"/>
              <w:divBdr>
                <w:top w:val="none" w:sz="0" w:space="0" w:color="auto"/>
                <w:left w:val="none" w:sz="0" w:space="0" w:color="auto"/>
                <w:bottom w:val="none" w:sz="0" w:space="0" w:color="auto"/>
                <w:right w:val="none" w:sz="0" w:space="0" w:color="auto"/>
              </w:divBdr>
            </w:div>
            <w:div w:id="726806426">
              <w:marLeft w:val="0"/>
              <w:marRight w:val="0"/>
              <w:marTop w:val="0"/>
              <w:marBottom w:val="0"/>
              <w:divBdr>
                <w:top w:val="none" w:sz="0" w:space="0" w:color="auto"/>
                <w:left w:val="none" w:sz="0" w:space="0" w:color="auto"/>
                <w:bottom w:val="none" w:sz="0" w:space="0" w:color="auto"/>
                <w:right w:val="none" w:sz="0" w:space="0" w:color="auto"/>
              </w:divBdr>
            </w:div>
            <w:div w:id="934363882">
              <w:marLeft w:val="0"/>
              <w:marRight w:val="0"/>
              <w:marTop w:val="0"/>
              <w:marBottom w:val="0"/>
              <w:divBdr>
                <w:top w:val="none" w:sz="0" w:space="0" w:color="auto"/>
                <w:left w:val="none" w:sz="0" w:space="0" w:color="auto"/>
                <w:bottom w:val="none" w:sz="0" w:space="0" w:color="auto"/>
                <w:right w:val="none" w:sz="0" w:space="0" w:color="auto"/>
              </w:divBdr>
            </w:div>
            <w:div w:id="955603209">
              <w:marLeft w:val="0"/>
              <w:marRight w:val="0"/>
              <w:marTop w:val="0"/>
              <w:marBottom w:val="0"/>
              <w:divBdr>
                <w:top w:val="none" w:sz="0" w:space="0" w:color="auto"/>
                <w:left w:val="none" w:sz="0" w:space="0" w:color="auto"/>
                <w:bottom w:val="none" w:sz="0" w:space="0" w:color="auto"/>
                <w:right w:val="none" w:sz="0" w:space="0" w:color="auto"/>
              </w:divBdr>
            </w:div>
            <w:div w:id="995645462">
              <w:marLeft w:val="0"/>
              <w:marRight w:val="0"/>
              <w:marTop w:val="0"/>
              <w:marBottom w:val="0"/>
              <w:divBdr>
                <w:top w:val="none" w:sz="0" w:space="0" w:color="auto"/>
                <w:left w:val="none" w:sz="0" w:space="0" w:color="auto"/>
                <w:bottom w:val="none" w:sz="0" w:space="0" w:color="auto"/>
                <w:right w:val="none" w:sz="0" w:space="0" w:color="auto"/>
              </w:divBdr>
            </w:div>
            <w:div w:id="997271163">
              <w:marLeft w:val="0"/>
              <w:marRight w:val="0"/>
              <w:marTop w:val="0"/>
              <w:marBottom w:val="0"/>
              <w:divBdr>
                <w:top w:val="none" w:sz="0" w:space="0" w:color="auto"/>
                <w:left w:val="none" w:sz="0" w:space="0" w:color="auto"/>
                <w:bottom w:val="none" w:sz="0" w:space="0" w:color="auto"/>
                <w:right w:val="none" w:sz="0" w:space="0" w:color="auto"/>
              </w:divBdr>
            </w:div>
            <w:div w:id="1225991158">
              <w:marLeft w:val="0"/>
              <w:marRight w:val="0"/>
              <w:marTop w:val="0"/>
              <w:marBottom w:val="0"/>
              <w:divBdr>
                <w:top w:val="none" w:sz="0" w:space="0" w:color="auto"/>
                <w:left w:val="none" w:sz="0" w:space="0" w:color="auto"/>
                <w:bottom w:val="none" w:sz="0" w:space="0" w:color="auto"/>
                <w:right w:val="none" w:sz="0" w:space="0" w:color="auto"/>
              </w:divBdr>
            </w:div>
            <w:div w:id="1261134613">
              <w:marLeft w:val="0"/>
              <w:marRight w:val="0"/>
              <w:marTop w:val="0"/>
              <w:marBottom w:val="0"/>
              <w:divBdr>
                <w:top w:val="none" w:sz="0" w:space="0" w:color="auto"/>
                <w:left w:val="none" w:sz="0" w:space="0" w:color="auto"/>
                <w:bottom w:val="none" w:sz="0" w:space="0" w:color="auto"/>
                <w:right w:val="none" w:sz="0" w:space="0" w:color="auto"/>
              </w:divBdr>
            </w:div>
            <w:div w:id="1262954178">
              <w:marLeft w:val="0"/>
              <w:marRight w:val="0"/>
              <w:marTop w:val="0"/>
              <w:marBottom w:val="0"/>
              <w:divBdr>
                <w:top w:val="none" w:sz="0" w:space="0" w:color="auto"/>
                <w:left w:val="none" w:sz="0" w:space="0" w:color="auto"/>
                <w:bottom w:val="none" w:sz="0" w:space="0" w:color="auto"/>
                <w:right w:val="none" w:sz="0" w:space="0" w:color="auto"/>
              </w:divBdr>
            </w:div>
            <w:div w:id="1434863479">
              <w:marLeft w:val="0"/>
              <w:marRight w:val="0"/>
              <w:marTop w:val="0"/>
              <w:marBottom w:val="0"/>
              <w:divBdr>
                <w:top w:val="none" w:sz="0" w:space="0" w:color="auto"/>
                <w:left w:val="none" w:sz="0" w:space="0" w:color="auto"/>
                <w:bottom w:val="none" w:sz="0" w:space="0" w:color="auto"/>
                <w:right w:val="none" w:sz="0" w:space="0" w:color="auto"/>
              </w:divBdr>
            </w:div>
            <w:div w:id="1677227642">
              <w:marLeft w:val="0"/>
              <w:marRight w:val="0"/>
              <w:marTop w:val="0"/>
              <w:marBottom w:val="0"/>
              <w:divBdr>
                <w:top w:val="none" w:sz="0" w:space="0" w:color="auto"/>
                <w:left w:val="none" w:sz="0" w:space="0" w:color="auto"/>
                <w:bottom w:val="none" w:sz="0" w:space="0" w:color="auto"/>
                <w:right w:val="none" w:sz="0" w:space="0" w:color="auto"/>
              </w:divBdr>
            </w:div>
            <w:div w:id="1758821981">
              <w:marLeft w:val="0"/>
              <w:marRight w:val="0"/>
              <w:marTop w:val="0"/>
              <w:marBottom w:val="0"/>
              <w:divBdr>
                <w:top w:val="none" w:sz="0" w:space="0" w:color="auto"/>
                <w:left w:val="none" w:sz="0" w:space="0" w:color="auto"/>
                <w:bottom w:val="none" w:sz="0" w:space="0" w:color="auto"/>
                <w:right w:val="none" w:sz="0" w:space="0" w:color="auto"/>
              </w:divBdr>
            </w:div>
            <w:div w:id="1781297131">
              <w:marLeft w:val="0"/>
              <w:marRight w:val="0"/>
              <w:marTop w:val="0"/>
              <w:marBottom w:val="0"/>
              <w:divBdr>
                <w:top w:val="none" w:sz="0" w:space="0" w:color="auto"/>
                <w:left w:val="none" w:sz="0" w:space="0" w:color="auto"/>
                <w:bottom w:val="none" w:sz="0" w:space="0" w:color="auto"/>
                <w:right w:val="none" w:sz="0" w:space="0" w:color="auto"/>
              </w:divBdr>
            </w:div>
            <w:div w:id="1817838125">
              <w:marLeft w:val="0"/>
              <w:marRight w:val="0"/>
              <w:marTop w:val="0"/>
              <w:marBottom w:val="0"/>
              <w:divBdr>
                <w:top w:val="none" w:sz="0" w:space="0" w:color="auto"/>
                <w:left w:val="none" w:sz="0" w:space="0" w:color="auto"/>
                <w:bottom w:val="none" w:sz="0" w:space="0" w:color="auto"/>
                <w:right w:val="none" w:sz="0" w:space="0" w:color="auto"/>
              </w:divBdr>
            </w:div>
            <w:div w:id="1923756260">
              <w:marLeft w:val="0"/>
              <w:marRight w:val="0"/>
              <w:marTop w:val="0"/>
              <w:marBottom w:val="0"/>
              <w:divBdr>
                <w:top w:val="none" w:sz="0" w:space="0" w:color="auto"/>
                <w:left w:val="none" w:sz="0" w:space="0" w:color="auto"/>
                <w:bottom w:val="none" w:sz="0" w:space="0" w:color="auto"/>
                <w:right w:val="none" w:sz="0" w:space="0" w:color="auto"/>
              </w:divBdr>
            </w:div>
            <w:div w:id="2071266878">
              <w:marLeft w:val="0"/>
              <w:marRight w:val="0"/>
              <w:marTop w:val="0"/>
              <w:marBottom w:val="0"/>
              <w:divBdr>
                <w:top w:val="none" w:sz="0" w:space="0" w:color="auto"/>
                <w:left w:val="none" w:sz="0" w:space="0" w:color="auto"/>
                <w:bottom w:val="none" w:sz="0" w:space="0" w:color="auto"/>
                <w:right w:val="none" w:sz="0" w:space="0" w:color="auto"/>
              </w:divBdr>
            </w:div>
          </w:divsChild>
        </w:div>
        <w:div w:id="1931739487">
          <w:marLeft w:val="0"/>
          <w:marRight w:val="0"/>
          <w:marTop w:val="0"/>
          <w:marBottom w:val="0"/>
          <w:divBdr>
            <w:top w:val="none" w:sz="0" w:space="0" w:color="auto"/>
            <w:left w:val="none" w:sz="0" w:space="0" w:color="auto"/>
            <w:bottom w:val="none" w:sz="0" w:space="0" w:color="auto"/>
            <w:right w:val="none" w:sz="0" w:space="0" w:color="auto"/>
          </w:divBdr>
          <w:divsChild>
            <w:div w:id="110900461">
              <w:marLeft w:val="0"/>
              <w:marRight w:val="0"/>
              <w:marTop w:val="0"/>
              <w:marBottom w:val="0"/>
              <w:divBdr>
                <w:top w:val="none" w:sz="0" w:space="0" w:color="auto"/>
                <w:left w:val="none" w:sz="0" w:space="0" w:color="auto"/>
                <w:bottom w:val="none" w:sz="0" w:space="0" w:color="auto"/>
                <w:right w:val="none" w:sz="0" w:space="0" w:color="auto"/>
              </w:divBdr>
            </w:div>
            <w:div w:id="278800921">
              <w:marLeft w:val="0"/>
              <w:marRight w:val="0"/>
              <w:marTop w:val="0"/>
              <w:marBottom w:val="0"/>
              <w:divBdr>
                <w:top w:val="none" w:sz="0" w:space="0" w:color="auto"/>
                <w:left w:val="none" w:sz="0" w:space="0" w:color="auto"/>
                <w:bottom w:val="none" w:sz="0" w:space="0" w:color="auto"/>
                <w:right w:val="none" w:sz="0" w:space="0" w:color="auto"/>
              </w:divBdr>
            </w:div>
            <w:div w:id="3966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3347">
      <w:bodyDiv w:val="1"/>
      <w:marLeft w:val="0"/>
      <w:marRight w:val="0"/>
      <w:marTop w:val="0"/>
      <w:marBottom w:val="0"/>
      <w:divBdr>
        <w:top w:val="none" w:sz="0" w:space="0" w:color="auto"/>
        <w:left w:val="none" w:sz="0" w:space="0" w:color="auto"/>
        <w:bottom w:val="none" w:sz="0" w:space="0" w:color="auto"/>
        <w:right w:val="none" w:sz="0" w:space="0" w:color="auto"/>
      </w:divBdr>
    </w:div>
    <w:div w:id="648096258">
      <w:bodyDiv w:val="1"/>
      <w:marLeft w:val="0"/>
      <w:marRight w:val="0"/>
      <w:marTop w:val="0"/>
      <w:marBottom w:val="0"/>
      <w:divBdr>
        <w:top w:val="none" w:sz="0" w:space="0" w:color="auto"/>
        <w:left w:val="none" w:sz="0" w:space="0" w:color="auto"/>
        <w:bottom w:val="none" w:sz="0" w:space="0" w:color="auto"/>
        <w:right w:val="none" w:sz="0" w:space="0" w:color="auto"/>
      </w:divBdr>
    </w:div>
    <w:div w:id="748573741">
      <w:bodyDiv w:val="1"/>
      <w:marLeft w:val="0"/>
      <w:marRight w:val="0"/>
      <w:marTop w:val="0"/>
      <w:marBottom w:val="0"/>
      <w:divBdr>
        <w:top w:val="none" w:sz="0" w:space="0" w:color="auto"/>
        <w:left w:val="none" w:sz="0" w:space="0" w:color="auto"/>
        <w:bottom w:val="none" w:sz="0" w:space="0" w:color="auto"/>
        <w:right w:val="none" w:sz="0" w:space="0" w:color="auto"/>
      </w:divBdr>
    </w:div>
    <w:div w:id="769281955">
      <w:bodyDiv w:val="1"/>
      <w:marLeft w:val="0"/>
      <w:marRight w:val="0"/>
      <w:marTop w:val="0"/>
      <w:marBottom w:val="0"/>
      <w:divBdr>
        <w:top w:val="none" w:sz="0" w:space="0" w:color="auto"/>
        <w:left w:val="none" w:sz="0" w:space="0" w:color="auto"/>
        <w:bottom w:val="none" w:sz="0" w:space="0" w:color="auto"/>
        <w:right w:val="none" w:sz="0" w:space="0" w:color="auto"/>
      </w:divBdr>
    </w:div>
    <w:div w:id="807943566">
      <w:bodyDiv w:val="1"/>
      <w:marLeft w:val="0"/>
      <w:marRight w:val="0"/>
      <w:marTop w:val="0"/>
      <w:marBottom w:val="0"/>
      <w:divBdr>
        <w:top w:val="none" w:sz="0" w:space="0" w:color="auto"/>
        <w:left w:val="none" w:sz="0" w:space="0" w:color="auto"/>
        <w:bottom w:val="none" w:sz="0" w:space="0" w:color="auto"/>
        <w:right w:val="none" w:sz="0" w:space="0" w:color="auto"/>
      </w:divBdr>
    </w:div>
    <w:div w:id="819034767">
      <w:bodyDiv w:val="1"/>
      <w:marLeft w:val="0"/>
      <w:marRight w:val="0"/>
      <w:marTop w:val="0"/>
      <w:marBottom w:val="0"/>
      <w:divBdr>
        <w:top w:val="none" w:sz="0" w:space="0" w:color="auto"/>
        <w:left w:val="none" w:sz="0" w:space="0" w:color="auto"/>
        <w:bottom w:val="none" w:sz="0" w:space="0" w:color="auto"/>
        <w:right w:val="none" w:sz="0" w:space="0" w:color="auto"/>
      </w:divBdr>
    </w:div>
    <w:div w:id="830607443">
      <w:bodyDiv w:val="1"/>
      <w:marLeft w:val="0"/>
      <w:marRight w:val="0"/>
      <w:marTop w:val="0"/>
      <w:marBottom w:val="0"/>
      <w:divBdr>
        <w:top w:val="none" w:sz="0" w:space="0" w:color="auto"/>
        <w:left w:val="none" w:sz="0" w:space="0" w:color="auto"/>
        <w:bottom w:val="none" w:sz="0" w:space="0" w:color="auto"/>
        <w:right w:val="none" w:sz="0" w:space="0" w:color="auto"/>
      </w:divBdr>
    </w:div>
    <w:div w:id="863523124">
      <w:bodyDiv w:val="1"/>
      <w:marLeft w:val="0"/>
      <w:marRight w:val="0"/>
      <w:marTop w:val="0"/>
      <w:marBottom w:val="0"/>
      <w:divBdr>
        <w:top w:val="none" w:sz="0" w:space="0" w:color="auto"/>
        <w:left w:val="none" w:sz="0" w:space="0" w:color="auto"/>
        <w:bottom w:val="none" w:sz="0" w:space="0" w:color="auto"/>
        <w:right w:val="none" w:sz="0" w:space="0" w:color="auto"/>
      </w:divBdr>
    </w:div>
    <w:div w:id="942762366">
      <w:bodyDiv w:val="1"/>
      <w:marLeft w:val="0"/>
      <w:marRight w:val="0"/>
      <w:marTop w:val="0"/>
      <w:marBottom w:val="0"/>
      <w:divBdr>
        <w:top w:val="none" w:sz="0" w:space="0" w:color="auto"/>
        <w:left w:val="none" w:sz="0" w:space="0" w:color="auto"/>
        <w:bottom w:val="none" w:sz="0" w:space="0" w:color="auto"/>
        <w:right w:val="none" w:sz="0" w:space="0" w:color="auto"/>
      </w:divBdr>
    </w:div>
    <w:div w:id="951133785">
      <w:bodyDiv w:val="1"/>
      <w:marLeft w:val="0"/>
      <w:marRight w:val="0"/>
      <w:marTop w:val="0"/>
      <w:marBottom w:val="0"/>
      <w:divBdr>
        <w:top w:val="none" w:sz="0" w:space="0" w:color="auto"/>
        <w:left w:val="none" w:sz="0" w:space="0" w:color="auto"/>
        <w:bottom w:val="none" w:sz="0" w:space="0" w:color="auto"/>
        <w:right w:val="none" w:sz="0" w:space="0" w:color="auto"/>
      </w:divBdr>
      <w:divsChild>
        <w:div w:id="410591637">
          <w:marLeft w:val="0"/>
          <w:marRight w:val="0"/>
          <w:marTop w:val="0"/>
          <w:marBottom w:val="0"/>
          <w:divBdr>
            <w:top w:val="none" w:sz="0" w:space="0" w:color="auto"/>
            <w:left w:val="none" w:sz="0" w:space="0" w:color="auto"/>
            <w:bottom w:val="none" w:sz="0" w:space="0" w:color="auto"/>
            <w:right w:val="none" w:sz="0" w:space="0" w:color="auto"/>
          </w:divBdr>
        </w:div>
        <w:div w:id="1299841329">
          <w:marLeft w:val="0"/>
          <w:marRight w:val="0"/>
          <w:marTop w:val="0"/>
          <w:marBottom w:val="0"/>
          <w:divBdr>
            <w:top w:val="none" w:sz="0" w:space="0" w:color="auto"/>
            <w:left w:val="none" w:sz="0" w:space="0" w:color="auto"/>
            <w:bottom w:val="none" w:sz="0" w:space="0" w:color="auto"/>
            <w:right w:val="none" w:sz="0" w:space="0" w:color="auto"/>
          </w:divBdr>
        </w:div>
        <w:div w:id="1953442048">
          <w:marLeft w:val="0"/>
          <w:marRight w:val="0"/>
          <w:marTop w:val="0"/>
          <w:marBottom w:val="0"/>
          <w:divBdr>
            <w:top w:val="none" w:sz="0" w:space="0" w:color="auto"/>
            <w:left w:val="none" w:sz="0" w:space="0" w:color="auto"/>
            <w:bottom w:val="none" w:sz="0" w:space="0" w:color="auto"/>
            <w:right w:val="none" w:sz="0" w:space="0" w:color="auto"/>
          </w:divBdr>
        </w:div>
      </w:divsChild>
    </w:div>
    <w:div w:id="986473780">
      <w:bodyDiv w:val="1"/>
      <w:marLeft w:val="0"/>
      <w:marRight w:val="0"/>
      <w:marTop w:val="0"/>
      <w:marBottom w:val="0"/>
      <w:divBdr>
        <w:top w:val="none" w:sz="0" w:space="0" w:color="auto"/>
        <w:left w:val="none" w:sz="0" w:space="0" w:color="auto"/>
        <w:bottom w:val="none" w:sz="0" w:space="0" w:color="auto"/>
        <w:right w:val="none" w:sz="0" w:space="0" w:color="auto"/>
      </w:divBdr>
    </w:div>
    <w:div w:id="991526611">
      <w:bodyDiv w:val="1"/>
      <w:marLeft w:val="0"/>
      <w:marRight w:val="0"/>
      <w:marTop w:val="0"/>
      <w:marBottom w:val="0"/>
      <w:divBdr>
        <w:top w:val="none" w:sz="0" w:space="0" w:color="auto"/>
        <w:left w:val="none" w:sz="0" w:space="0" w:color="auto"/>
        <w:bottom w:val="none" w:sz="0" w:space="0" w:color="auto"/>
        <w:right w:val="none" w:sz="0" w:space="0" w:color="auto"/>
      </w:divBdr>
      <w:divsChild>
        <w:div w:id="1607273349">
          <w:marLeft w:val="0"/>
          <w:marRight w:val="0"/>
          <w:marTop w:val="0"/>
          <w:marBottom w:val="0"/>
          <w:divBdr>
            <w:top w:val="none" w:sz="0" w:space="0" w:color="auto"/>
            <w:left w:val="none" w:sz="0" w:space="0" w:color="auto"/>
            <w:bottom w:val="none" w:sz="0" w:space="0" w:color="auto"/>
            <w:right w:val="none" w:sz="0" w:space="0" w:color="auto"/>
          </w:divBdr>
        </w:div>
        <w:div w:id="1655986938">
          <w:marLeft w:val="0"/>
          <w:marRight w:val="0"/>
          <w:marTop w:val="0"/>
          <w:marBottom w:val="0"/>
          <w:divBdr>
            <w:top w:val="none" w:sz="0" w:space="0" w:color="auto"/>
            <w:left w:val="none" w:sz="0" w:space="0" w:color="auto"/>
            <w:bottom w:val="none" w:sz="0" w:space="0" w:color="auto"/>
            <w:right w:val="none" w:sz="0" w:space="0" w:color="auto"/>
          </w:divBdr>
        </w:div>
      </w:divsChild>
    </w:div>
    <w:div w:id="1055356652">
      <w:bodyDiv w:val="1"/>
      <w:marLeft w:val="0"/>
      <w:marRight w:val="0"/>
      <w:marTop w:val="0"/>
      <w:marBottom w:val="0"/>
      <w:divBdr>
        <w:top w:val="none" w:sz="0" w:space="0" w:color="auto"/>
        <w:left w:val="none" w:sz="0" w:space="0" w:color="auto"/>
        <w:bottom w:val="none" w:sz="0" w:space="0" w:color="auto"/>
        <w:right w:val="none" w:sz="0" w:space="0" w:color="auto"/>
      </w:divBdr>
    </w:div>
    <w:div w:id="1061053639">
      <w:bodyDiv w:val="1"/>
      <w:marLeft w:val="0"/>
      <w:marRight w:val="0"/>
      <w:marTop w:val="0"/>
      <w:marBottom w:val="0"/>
      <w:divBdr>
        <w:top w:val="none" w:sz="0" w:space="0" w:color="auto"/>
        <w:left w:val="none" w:sz="0" w:space="0" w:color="auto"/>
        <w:bottom w:val="none" w:sz="0" w:space="0" w:color="auto"/>
        <w:right w:val="none" w:sz="0" w:space="0" w:color="auto"/>
      </w:divBdr>
    </w:div>
    <w:div w:id="1119763148">
      <w:bodyDiv w:val="1"/>
      <w:marLeft w:val="0"/>
      <w:marRight w:val="0"/>
      <w:marTop w:val="0"/>
      <w:marBottom w:val="0"/>
      <w:divBdr>
        <w:top w:val="none" w:sz="0" w:space="0" w:color="auto"/>
        <w:left w:val="none" w:sz="0" w:space="0" w:color="auto"/>
        <w:bottom w:val="none" w:sz="0" w:space="0" w:color="auto"/>
        <w:right w:val="none" w:sz="0" w:space="0" w:color="auto"/>
      </w:divBdr>
    </w:div>
    <w:div w:id="1152528673">
      <w:bodyDiv w:val="1"/>
      <w:marLeft w:val="0"/>
      <w:marRight w:val="0"/>
      <w:marTop w:val="0"/>
      <w:marBottom w:val="0"/>
      <w:divBdr>
        <w:top w:val="none" w:sz="0" w:space="0" w:color="auto"/>
        <w:left w:val="none" w:sz="0" w:space="0" w:color="auto"/>
        <w:bottom w:val="none" w:sz="0" w:space="0" w:color="auto"/>
        <w:right w:val="none" w:sz="0" w:space="0" w:color="auto"/>
      </w:divBdr>
    </w:div>
    <w:div w:id="1179393741">
      <w:bodyDiv w:val="1"/>
      <w:marLeft w:val="0"/>
      <w:marRight w:val="0"/>
      <w:marTop w:val="0"/>
      <w:marBottom w:val="0"/>
      <w:divBdr>
        <w:top w:val="none" w:sz="0" w:space="0" w:color="auto"/>
        <w:left w:val="none" w:sz="0" w:space="0" w:color="auto"/>
        <w:bottom w:val="none" w:sz="0" w:space="0" w:color="auto"/>
        <w:right w:val="none" w:sz="0" w:space="0" w:color="auto"/>
      </w:divBdr>
      <w:divsChild>
        <w:div w:id="2046786055">
          <w:marLeft w:val="0"/>
          <w:marRight w:val="0"/>
          <w:marTop w:val="0"/>
          <w:marBottom w:val="0"/>
          <w:divBdr>
            <w:top w:val="none" w:sz="0" w:space="0" w:color="auto"/>
            <w:left w:val="none" w:sz="0" w:space="0" w:color="auto"/>
            <w:bottom w:val="none" w:sz="0" w:space="0" w:color="auto"/>
            <w:right w:val="none" w:sz="0" w:space="0" w:color="auto"/>
          </w:divBdr>
        </w:div>
        <w:div w:id="2090686492">
          <w:marLeft w:val="0"/>
          <w:marRight w:val="0"/>
          <w:marTop w:val="0"/>
          <w:marBottom w:val="0"/>
          <w:divBdr>
            <w:top w:val="none" w:sz="0" w:space="0" w:color="auto"/>
            <w:left w:val="none" w:sz="0" w:space="0" w:color="auto"/>
            <w:bottom w:val="none" w:sz="0" w:space="0" w:color="auto"/>
            <w:right w:val="none" w:sz="0" w:space="0" w:color="auto"/>
          </w:divBdr>
        </w:div>
      </w:divsChild>
    </w:div>
    <w:div w:id="1185825072">
      <w:bodyDiv w:val="1"/>
      <w:marLeft w:val="0"/>
      <w:marRight w:val="0"/>
      <w:marTop w:val="0"/>
      <w:marBottom w:val="0"/>
      <w:divBdr>
        <w:top w:val="none" w:sz="0" w:space="0" w:color="auto"/>
        <w:left w:val="none" w:sz="0" w:space="0" w:color="auto"/>
        <w:bottom w:val="none" w:sz="0" w:space="0" w:color="auto"/>
        <w:right w:val="none" w:sz="0" w:space="0" w:color="auto"/>
      </w:divBdr>
      <w:divsChild>
        <w:div w:id="273444495">
          <w:marLeft w:val="0"/>
          <w:marRight w:val="0"/>
          <w:marTop w:val="0"/>
          <w:marBottom w:val="0"/>
          <w:divBdr>
            <w:top w:val="none" w:sz="0" w:space="0" w:color="auto"/>
            <w:left w:val="none" w:sz="0" w:space="0" w:color="auto"/>
            <w:bottom w:val="none" w:sz="0" w:space="0" w:color="auto"/>
            <w:right w:val="none" w:sz="0" w:space="0" w:color="auto"/>
          </w:divBdr>
        </w:div>
        <w:div w:id="313681115">
          <w:marLeft w:val="0"/>
          <w:marRight w:val="0"/>
          <w:marTop w:val="0"/>
          <w:marBottom w:val="0"/>
          <w:divBdr>
            <w:top w:val="none" w:sz="0" w:space="0" w:color="auto"/>
            <w:left w:val="none" w:sz="0" w:space="0" w:color="auto"/>
            <w:bottom w:val="none" w:sz="0" w:space="0" w:color="auto"/>
            <w:right w:val="none" w:sz="0" w:space="0" w:color="auto"/>
          </w:divBdr>
        </w:div>
        <w:div w:id="687020916">
          <w:marLeft w:val="0"/>
          <w:marRight w:val="0"/>
          <w:marTop w:val="0"/>
          <w:marBottom w:val="0"/>
          <w:divBdr>
            <w:top w:val="none" w:sz="0" w:space="0" w:color="auto"/>
            <w:left w:val="none" w:sz="0" w:space="0" w:color="auto"/>
            <w:bottom w:val="none" w:sz="0" w:space="0" w:color="auto"/>
            <w:right w:val="none" w:sz="0" w:space="0" w:color="auto"/>
          </w:divBdr>
        </w:div>
        <w:div w:id="801312063">
          <w:marLeft w:val="0"/>
          <w:marRight w:val="0"/>
          <w:marTop w:val="0"/>
          <w:marBottom w:val="0"/>
          <w:divBdr>
            <w:top w:val="none" w:sz="0" w:space="0" w:color="auto"/>
            <w:left w:val="none" w:sz="0" w:space="0" w:color="auto"/>
            <w:bottom w:val="none" w:sz="0" w:space="0" w:color="auto"/>
            <w:right w:val="none" w:sz="0" w:space="0" w:color="auto"/>
          </w:divBdr>
        </w:div>
        <w:div w:id="1167405441">
          <w:marLeft w:val="0"/>
          <w:marRight w:val="0"/>
          <w:marTop w:val="0"/>
          <w:marBottom w:val="0"/>
          <w:divBdr>
            <w:top w:val="none" w:sz="0" w:space="0" w:color="auto"/>
            <w:left w:val="none" w:sz="0" w:space="0" w:color="auto"/>
            <w:bottom w:val="none" w:sz="0" w:space="0" w:color="auto"/>
            <w:right w:val="none" w:sz="0" w:space="0" w:color="auto"/>
          </w:divBdr>
        </w:div>
        <w:div w:id="1384058611">
          <w:marLeft w:val="0"/>
          <w:marRight w:val="0"/>
          <w:marTop w:val="0"/>
          <w:marBottom w:val="0"/>
          <w:divBdr>
            <w:top w:val="none" w:sz="0" w:space="0" w:color="auto"/>
            <w:left w:val="none" w:sz="0" w:space="0" w:color="auto"/>
            <w:bottom w:val="none" w:sz="0" w:space="0" w:color="auto"/>
            <w:right w:val="none" w:sz="0" w:space="0" w:color="auto"/>
          </w:divBdr>
        </w:div>
      </w:divsChild>
    </w:div>
    <w:div w:id="1218787236">
      <w:bodyDiv w:val="1"/>
      <w:marLeft w:val="0"/>
      <w:marRight w:val="0"/>
      <w:marTop w:val="0"/>
      <w:marBottom w:val="0"/>
      <w:divBdr>
        <w:top w:val="none" w:sz="0" w:space="0" w:color="auto"/>
        <w:left w:val="none" w:sz="0" w:space="0" w:color="auto"/>
        <w:bottom w:val="none" w:sz="0" w:space="0" w:color="auto"/>
        <w:right w:val="none" w:sz="0" w:space="0" w:color="auto"/>
      </w:divBdr>
      <w:divsChild>
        <w:div w:id="1236668317">
          <w:marLeft w:val="0"/>
          <w:marRight w:val="0"/>
          <w:marTop w:val="0"/>
          <w:marBottom w:val="0"/>
          <w:divBdr>
            <w:top w:val="none" w:sz="0" w:space="0" w:color="auto"/>
            <w:left w:val="none" w:sz="0" w:space="0" w:color="auto"/>
            <w:bottom w:val="none" w:sz="0" w:space="0" w:color="auto"/>
            <w:right w:val="none" w:sz="0" w:space="0" w:color="auto"/>
          </w:divBdr>
        </w:div>
        <w:div w:id="1383795498">
          <w:marLeft w:val="0"/>
          <w:marRight w:val="0"/>
          <w:marTop w:val="0"/>
          <w:marBottom w:val="0"/>
          <w:divBdr>
            <w:top w:val="none" w:sz="0" w:space="0" w:color="auto"/>
            <w:left w:val="none" w:sz="0" w:space="0" w:color="auto"/>
            <w:bottom w:val="none" w:sz="0" w:space="0" w:color="auto"/>
            <w:right w:val="none" w:sz="0" w:space="0" w:color="auto"/>
          </w:divBdr>
        </w:div>
        <w:div w:id="1445617654">
          <w:marLeft w:val="0"/>
          <w:marRight w:val="0"/>
          <w:marTop w:val="0"/>
          <w:marBottom w:val="0"/>
          <w:divBdr>
            <w:top w:val="none" w:sz="0" w:space="0" w:color="auto"/>
            <w:left w:val="none" w:sz="0" w:space="0" w:color="auto"/>
            <w:bottom w:val="none" w:sz="0" w:space="0" w:color="auto"/>
            <w:right w:val="none" w:sz="0" w:space="0" w:color="auto"/>
          </w:divBdr>
        </w:div>
      </w:divsChild>
    </w:div>
    <w:div w:id="1220096103">
      <w:bodyDiv w:val="1"/>
      <w:marLeft w:val="0"/>
      <w:marRight w:val="0"/>
      <w:marTop w:val="0"/>
      <w:marBottom w:val="0"/>
      <w:divBdr>
        <w:top w:val="none" w:sz="0" w:space="0" w:color="auto"/>
        <w:left w:val="none" w:sz="0" w:space="0" w:color="auto"/>
        <w:bottom w:val="none" w:sz="0" w:space="0" w:color="auto"/>
        <w:right w:val="none" w:sz="0" w:space="0" w:color="auto"/>
      </w:divBdr>
    </w:div>
    <w:div w:id="1236359872">
      <w:bodyDiv w:val="1"/>
      <w:marLeft w:val="0"/>
      <w:marRight w:val="0"/>
      <w:marTop w:val="0"/>
      <w:marBottom w:val="0"/>
      <w:divBdr>
        <w:top w:val="none" w:sz="0" w:space="0" w:color="auto"/>
        <w:left w:val="none" w:sz="0" w:space="0" w:color="auto"/>
        <w:bottom w:val="none" w:sz="0" w:space="0" w:color="auto"/>
        <w:right w:val="none" w:sz="0" w:space="0" w:color="auto"/>
      </w:divBdr>
    </w:div>
    <w:div w:id="1238907619">
      <w:bodyDiv w:val="1"/>
      <w:marLeft w:val="0"/>
      <w:marRight w:val="0"/>
      <w:marTop w:val="0"/>
      <w:marBottom w:val="0"/>
      <w:divBdr>
        <w:top w:val="none" w:sz="0" w:space="0" w:color="auto"/>
        <w:left w:val="none" w:sz="0" w:space="0" w:color="auto"/>
        <w:bottom w:val="none" w:sz="0" w:space="0" w:color="auto"/>
        <w:right w:val="none" w:sz="0" w:space="0" w:color="auto"/>
      </w:divBdr>
    </w:div>
    <w:div w:id="1413966075">
      <w:bodyDiv w:val="1"/>
      <w:marLeft w:val="0"/>
      <w:marRight w:val="0"/>
      <w:marTop w:val="0"/>
      <w:marBottom w:val="0"/>
      <w:divBdr>
        <w:top w:val="none" w:sz="0" w:space="0" w:color="auto"/>
        <w:left w:val="none" w:sz="0" w:space="0" w:color="auto"/>
        <w:bottom w:val="none" w:sz="0" w:space="0" w:color="auto"/>
        <w:right w:val="none" w:sz="0" w:space="0" w:color="auto"/>
      </w:divBdr>
    </w:div>
    <w:div w:id="1466046807">
      <w:bodyDiv w:val="1"/>
      <w:marLeft w:val="0"/>
      <w:marRight w:val="0"/>
      <w:marTop w:val="0"/>
      <w:marBottom w:val="0"/>
      <w:divBdr>
        <w:top w:val="none" w:sz="0" w:space="0" w:color="auto"/>
        <w:left w:val="none" w:sz="0" w:space="0" w:color="auto"/>
        <w:bottom w:val="none" w:sz="0" w:space="0" w:color="auto"/>
        <w:right w:val="none" w:sz="0" w:space="0" w:color="auto"/>
      </w:divBdr>
    </w:div>
    <w:div w:id="1551307512">
      <w:bodyDiv w:val="1"/>
      <w:marLeft w:val="0"/>
      <w:marRight w:val="0"/>
      <w:marTop w:val="0"/>
      <w:marBottom w:val="0"/>
      <w:divBdr>
        <w:top w:val="none" w:sz="0" w:space="0" w:color="auto"/>
        <w:left w:val="none" w:sz="0" w:space="0" w:color="auto"/>
        <w:bottom w:val="none" w:sz="0" w:space="0" w:color="auto"/>
        <w:right w:val="none" w:sz="0" w:space="0" w:color="auto"/>
      </w:divBdr>
      <w:divsChild>
        <w:div w:id="563485940">
          <w:marLeft w:val="0"/>
          <w:marRight w:val="0"/>
          <w:marTop w:val="0"/>
          <w:marBottom w:val="0"/>
          <w:divBdr>
            <w:top w:val="none" w:sz="0" w:space="0" w:color="auto"/>
            <w:left w:val="none" w:sz="0" w:space="0" w:color="auto"/>
            <w:bottom w:val="none" w:sz="0" w:space="0" w:color="auto"/>
            <w:right w:val="none" w:sz="0" w:space="0" w:color="auto"/>
          </w:divBdr>
          <w:divsChild>
            <w:div w:id="123624537">
              <w:marLeft w:val="0"/>
              <w:marRight w:val="0"/>
              <w:marTop w:val="0"/>
              <w:marBottom w:val="0"/>
              <w:divBdr>
                <w:top w:val="none" w:sz="0" w:space="0" w:color="auto"/>
                <w:left w:val="none" w:sz="0" w:space="0" w:color="auto"/>
                <w:bottom w:val="none" w:sz="0" w:space="0" w:color="auto"/>
                <w:right w:val="none" w:sz="0" w:space="0" w:color="auto"/>
              </w:divBdr>
            </w:div>
            <w:div w:id="242884280">
              <w:marLeft w:val="0"/>
              <w:marRight w:val="0"/>
              <w:marTop w:val="0"/>
              <w:marBottom w:val="0"/>
              <w:divBdr>
                <w:top w:val="none" w:sz="0" w:space="0" w:color="auto"/>
                <w:left w:val="none" w:sz="0" w:space="0" w:color="auto"/>
                <w:bottom w:val="none" w:sz="0" w:space="0" w:color="auto"/>
                <w:right w:val="none" w:sz="0" w:space="0" w:color="auto"/>
              </w:divBdr>
            </w:div>
            <w:div w:id="1754086178">
              <w:marLeft w:val="0"/>
              <w:marRight w:val="0"/>
              <w:marTop w:val="0"/>
              <w:marBottom w:val="0"/>
              <w:divBdr>
                <w:top w:val="none" w:sz="0" w:space="0" w:color="auto"/>
                <w:left w:val="none" w:sz="0" w:space="0" w:color="auto"/>
                <w:bottom w:val="none" w:sz="0" w:space="0" w:color="auto"/>
                <w:right w:val="none" w:sz="0" w:space="0" w:color="auto"/>
              </w:divBdr>
            </w:div>
          </w:divsChild>
        </w:div>
        <w:div w:id="1488546062">
          <w:marLeft w:val="0"/>
          <w:marRight w:val="0"/>
          <w:marTop w:val="0"/>
          <w:marBottom w:val="0"/>
          <w:divBdr>
            <w:top w:val="none" w:sz="0" w:space="0" w:color="auto"/>
            <w:left w:val="none" w:sz="0" w:space="0" w:color="auto"/>
            <w:bottom w:val="none" w:sz="0" w:space="0" w:color="auto"/>
            <w:right w:val="none" w:sz="0" w:space="0" w:color="auto"/>
          </w:divBdr>
          <w:divsChild>
            <w:div w:id="367997990">
              <w:marLeft w:val="0"/>
              <w:marRight w:val="0"/>
              <w:marTop w:val="0"/>
              <w:marBottom w:val="0"/>
              <w:divBdr>
                <w:top w:val="none" w:sz="0" w:space="0" w:color="auto"/>
                <w:left w:val="none" w:sz="0" w:space="0" w:color="auto"/>
                <w:bottom w:val="none" w:sz="0" w:space="0" w:color="auto"/>
                <w:right w:val="none" w:sz="0" w:space="0" w:color="auto"/>
              </w:divBdr>
            </w:div>
            <w:div w:id="606041581">
              <w:marLeft w:val="0"/>
              <w:marRight w:val="0"/>
              <w:marTop w:val="0"/>
              <w:marBottom w:val="0"/>
              <w:divBdr>
                <w:top w:val="none" w:sz="0" w:space="0" w:color="auto"/>
                <w:left w:val="none" w:sz="0" w:space="0" w:color="auto"/>
                <w:bottom w:val="none" w:sz="0" w:space="0" w:color="auto"/>
                <w:right w:val="none" w:sz="0" w:space="0" w:color="auto"/>
              </w:divBdr>
            </w:div>
            <w:div w:id="671181080">
              <w:marLeft w:val="0"/>
              <w:marRight w:val="0"/>
              <w:marTop w:val="0"/>
              <w:marBottom w:val="0"/>
              <w:divBdr>
                <w:top w:val="none" w:sz="0" w:space="0" w:color="auto"/>
                <w:left w:val="none" w:sz="0" w:space="0" w:color="auto"/>
                <w:bottom w:val="none" w:sz="0" w:space="0" w:color="auto"/>
                <w:right w:val="none" w:sz="0" w:space="0" w:color="auto"/>
              </w:divBdr>
            </w:div>
            <w:div w:id="679622038">
              <w:marLeft w:val="0"/>
              <w:marRight w:val="0"/>
              <w:marTop w:val="0"/>
              <w:marBottom w:val="0"/>
              <w:divBdr>
                <w:top w:val="none" w:sz="0" w:space="0" w:color="auto"/>
                <w:left w:val="none" w:sz="0" w:space="0" w:color="auto"/>
                <w:bottom w:val="none" w:sz="0" w:space="0" w:color="auto"/>
                <w:right w:val="none" w:sz="0" w:space="0" w:color="auto"/>
              </w:divBdr>
            </w:div>
            <w:div w:id="731195183">
              <w:marLeft w:val="0"/>
              <w:marRight w:val="0"/>
              <w:marTop w:val="0"/>
              <w:marBottom w:val="0"/>
              <w:divBdr>
                <w:top w:val="none" w:sz="0" w:space="0" w:color="auto"/>
                <w:left w:val="none" w:sz="0" w:space="0" w:color="auto"/>
                <w:bottom w:val="none" w:sz="0" w:space="0" w:color="auto"/>
                <w:right w:val="none" w:sz="0" w:space="0" w:color="auto"/>
              </w:divBdr>
            </w:div>
            <w:div w:id="767778074">
              <w:marLeft w:val="0"/>
              <w:marRight w:val="0"/>
              <w:marTop w:val="0"/>
              <w:marBottom w:val="0"/>
              <w:divBdr>
                <w:top w:val="none" w:sz="0" w:space="0" w:color="auto"/>
                <w:left w:val="none" w:sz="0" w:space="0" w:color="auto"/>
                <w:bottom w:val="none" w:sz="0" w:space="0" w:color="auto"/>
                <w:right w:val="none" w:sz="0" w:space="0" w:color="auto"/>
              </w:divBdr>
            </w:div>
            <w:div w:id="1113943879">
              <w:marLeft w:val="0"/>
              <w:marRight w:val="0"/>
              <w:marTop w:val="0"/>
              <w:marBottom w:val="0"/>
              <w:divBdr>
                <w:top w:val="none" w:sz="0" w:space="0" w:color="auto"/>
                <w:left w:val="none" w:sz="0" w:space="0" w:color="auto"/>
                <w:bottom w:val="none" w:sz="0" w:space="0" w:color="auto"/>
                <w:right w:val="none" w:sz="0" w:space="0" w:color="auto"/>
              </w:divBdr>
            </w:div>
            <w:div w:id="1539925759">
              <w:marLeft w:val="0"/>
              <w:marRight w:val="0"/>
              <w:marTop w:val="0"/>
              <w:marBottom w:val="0"/>
              <w:divBdr>
                <w:top w:val="none" w:sz="0" w:space="0" w:color="auto"/>
                <w:left w:val="none" w:sz="0" w:space="0" w:color="auto"/>
                <w:bottom w:val="none" w:sz="0" w:space="0" w:color="auto"/>
                <w:right w:val="none" w:sz="0" w:space="0" w:color="auto"/>
              </w:divBdr>
            </w:div>
            <w:div w:id="1636257469">
              <w:marLeft w:val="0"/>
              <w:marRight w:val="0"/>
              <w:marTop w:val="0"/>
              <w:marBottom w:val="0"/>
              <w:divBdr>
                <w:top w:val="none" w:sz="0" w:space="0" w:color="auto"/>
                <w:left w:val="none" w:sz="0" w:space="0" w:color="auto"/>
                <w:bottom w:val="none" w:sz="0" w:space="0" w:color="auto"/>
                <w:right w:val="none" w:sz="0" w:space="0" w:color="auto"/>
              </w:divBdr>
            </w:div>
            <w:div w:id="1780251625">
              <w:marLeft w:val="0"/>
              <w:marRight w:val="0"/>
              <w:marTop w:val="0"/>
              <w:marBottom w:val="0"/>
              <w:divBdr>
                <w:top w:val="none" w:sz="0" w:space="0" w:color="auto"/>
                <w:left w:val="none" w:sz="0" w:space="0" w:color="auto"/>
                <w:bottom w:val="none" w:sz="0" w:space="0" w:color="auto"/>
                <w:right w:val="none" w:sz="0" w:space="0" w:color="auto"/>
              </w:divBdr>
            </w:div>
          </w:divsChild>
        </w:div>
        <w:div w:id="2021422049">
          <w:marLeft w:val="0"/>
          <w:marRight w:val="0"/>
          <w:marTop w:val="0"/>
          <w:marBottom w:val="0"/>
          <w:divBdr>
            <w:top w:val="none" w:sz="0" w:space="0" w:color="auto"/>
            <w:left w:val="none" w:sz="0" w:space="0" w:color="auto"/>
            <w:bottom w:val="none" w:sz="0" w:space="0" w:color="auto"/>
            <w:right w:val="none" w:sz="0" w:space="0" w:color="auto"/>
          </w:divBdr>
          <w:divsChild>
            <w:div w:id="178813864">
              <w:marLeft w:val="0"/>
              <w:marRight w:val="0"/>
              <w:marTop w:val="0"/>
              <w:marBottom w:val="0"/>
              <w:divBdr>
                <w:top w:val="none" w:sz="0" w:space="0" w:color="auto"/>
                <w:left w:val="none" w:sz="0" w:space="0" w:color="auto"/>
                <w:bottom w:val="none" w:sz="0" w:space="0" w:color="auto"/>
                <w:right w:val="none" w:sz="0" w:space="0" w:color="auto"/>
              </w:divBdr>
            </w:div>
            <w:div w:id="238516238">
              <w:marLeft w:val="0"/>
              <w:marRight w:val="0"/>
              <w:marTop w:val="0"/>
              <w:marBottom w:val="0"/>
              <w:divBdr>
                <w:top w:val="none" w:sz="0" w:space="0" w:color="auto"/>
                <w:left w:val="none" w:sz="0" w:space="0" w:color="auto"/>
                <w:bottom w:val="none" w:sz="0" w:space="0" w:color="auto"/>
                <w:right w:val="none" w:sz="0" w:space="0" w:color="auto"/>
              </w:divBdr>
            </w:div>
            <w:div w:id="280456952">
              <w:marLeft w:val="0"/>
              <w:marRight w:val="0"/>
              <w:marTop w:val="0"/>
              <w:marBottom w:val="0"/>
              <w:divBdr>
                <w:top w:val="none" w:sz="0" w:space="0" w:color="auto"/>
                <w:left w:val="none" w:sz="0" w:space="0" w:color="auto"/>
                <w:bottom w:val="none" w:sz="0" w:space="0" w:color="auto"/>
                <w:right w:val="none" w:sz="0" w:space="0" w:color="auto"/>
              </w:divBdr>
            </w:div>
            <w:div w:id="382296688">
              <w:marLeft w:val="0"/>
              <w:marRight w:val="0"/>
              <w:marTop w:val="0"/>
              <w:marBottom w:val="0"/>
              <w:divBdr>
                <w:top w:val="none" w:sz="0" w:space="0" w:color="auto"/>
                <w:left w:val="none" w:sz="0" w:space="0" w:color="auto"/>
                <w:bottom w:val="none" w:sz="0" w:space="0" w:color="auto"/>
                <w:right w:val="none" w:sz="0" w:space="0" w:color="auto"/>
              </w:divBdr>
            </w:div>
            <w:div w:id="453138157">
              <w:marLeft w:val="0"/>
              <w:marRight w:val="0"/>
              <w:marTop w:val="0"/>
              <w:marBottom w:val="0"/>
              <w:divBdr>
                <w:top w:val="none" w:sz="0" w:space="0" w:color="auto"/>
                <w:left w:val="none" w:sz="0" w:space="0" w:color="auto"/>
                <w:bottom w:val="none" w:sz="0" w:space="0" w:color="auto"/>
                <w:right w:val="none" w:sz="0" w:space="0" w:color="auto"/>
              </w:divBdr>
            </w:div>
            <w:div w:id="596252917">
              <w:marLeft w:val="0"/>
              <w:marRight w:val="0"/>
              <w:marTop w:val="0"/>
              <w:marBottom w:val="0"/>
              <w:divBdr>
                <w:top w:val="none" w:sz="0" w:space="0" w:color="auto"/>
                <w:left w:val="none" w:sz="0" w:space="0" w:color="auto"/>
                <w:bottom w:val="none" w:sz="0" w:space="0" w:color="auto"/>
                <w:right w:val="none" w:sz="0" w:space="0" w:color="auto"/>
              </w:divBdr>
            </w:div>
            <w:div w:id="609438698">
              <w:marLeft w:val="0"/>
              <w:marRight w:val="0"/>
              <w:marTop w:val="0"/>
              <w:marBottom w:val="0"/>
              <w:divBdr>
                <w:top w:val="none" w:sz="0" w:space="0" w:color="auto"/>
                <w:left w:val="none" w:sz="0" w:space="0" w:color="auto"/>
                <w:bottom w:val="none" w:sz="0" w:space="0" w:color="auto"/>
                <w:right w:val="none" w:sz="0" w:space="0" w:color="auto"/>
              </w:divBdr>
            </w:div>
            <w:div w:id="671178041">
              <w:marLeft w:val="0"/>
              <w:marRight w:val="0"/>
              <w:marTop w:val="0"/>
              <w:marBottom w:val="0"/>
              <w:divBdr>
                <w:top w:val="none" w:sz="0" w:space="0" w:color="auto"/>
                <w:left w:val="none" w:sz="0" w:space="0" w:color="auto"/>
                <w:bottom w:val="none" w:sz="0" w:space="0" w:color="auto"/>
                <w:right w:val="none" w:sz="0" w:space="0" w:color="auto"/>
              </w:divBdr>
            </w:div>
            <w:div w:id="680546306">
              <w:marLeft w:val="0"/>
              <w:marRight w:val="0"/>
              <w:marTop w:val="0"/>
              <w:marBottom w:val="0"/>
              <w:divBdr>
                <w:top w:val="none" w:sz="0" w:space="0" w:color="auto"/>
                <w:left w:val="none" w:sz="0" w:space="0" w:color="auto"/>
                <w:bottom w:val="none" w:sz="0" w:space="0" w:color="auto"/>
                <w:right w:val="none" w:sz="0" w:space="0" w:color="auto"/>
              </w:divBdr>
            </w:div>
            <w:div w:id="758018713">
              <w:marLeft w:val="0"/>
              <w:marRight w:val="0"/>
              <w:marTop w:val="0"/>
              <w:marBottom w:val="0"/>
              <w:divBdr>
                <w:top w:val="none" w:sz="0" w:space="0" w:color="auto"/>
                <w:left w:val="none" w:sz="0" w:space="0" w:color="auto"/>
                <w:bottom w:val="none" w:sz="0" w:space="0" w:color="auto"/>
                <w:right w:val="none" w:sz="0" w:space="0" w:color="auto"/>
              </w:divBdr>
            </w:div>
            <w:div w:id="898591446">
              <w:marLeft w:val="0"/>
              <w:marRight w:val="0"/>
              <w:marTop w:val="0"/>
              <w:marBottom w:val="0"/>
              <w:divBdr>
                <w:top w:val="none" w:sz="0" w:space="0" w:color="auto"/>
                <w:left w:val="none" w:sz="0" w:space="0" w:color="auto"/>
                <w:bottom w:val="none" w:sz="0" w:space="0" w:color="auto"/>
                <w:right w:val="none" w:sz="0" w:space="0" w:color="auto"/>
              </w:divBdr>
            </w:div>
            <w:div w:id="1275407002">
              <w:marLeft w:val="0"/>
              <w:marRight w:val="0"/>
              <w:marTop w:val="0"/>
              <w:marBottom w:val="0"/>
              <w:divBdr>
                <w:top w:val="none" w:sz="0" w:space="0" w:color="auto"/>
                <w:left w:val="none" w:sz="0" w:space="0" w:color="auto"/>
                <w:bottom w:val="none" w:sz="0" w:space="0" w:color="auto"/>
                <w:right w:val="none" w:sz="0" w:space="0" w:color="auto"/>
              </w:divBdr>
            </w:div>
            <w:div w:id="1349679381">
              <w:marLeft w:val="0"/>
              <w:marRight w:val="0"/>
              <w:marTop w:val="0"/>
              <w:marBottom w:val="0"/>
              <w:divBdr>
                <w:top w:val="none" w:sz="0" w:space="0" w:color="auto"/>
                <w:left w:val="none" w:sz="0" w:space="0" w:color="auto"/>
                <w:bottom w:val="none" w:sz="0" w:space="0" w:color="auto"/>
                <w:right w:val="none" w:sz="0" w:space="0" w:color="auto"/>
              </w:divBdr>
            </w:div>
            <w:div w:id="1472822922">
              <w:marLeft w:val="0"/>
              <w:marRight w:val="0"/>
              <w:marTop w:val="0"/>
              <w:marBottom w:val="0"/>
              <w:divBdr>
                <w:top w:val="none" w:sz="0" w:space="0" w:color="auto"/>
                <w:left w:val="none" w:sz="0" w:space="0" w:color="auto"/>
                <w:bottom w:val="none" w:sz="0" w:space="0" w:color="auto"/>
                <w:right w:val="none" w:sz="0" w:space="0" w:color="auto"/>
              </w:divBdr>
            </w:div>
            <w:div w:id="1508404544">
              <w:marLeft w:val="0"/>
              <w:marRight w:val="0"/>
              <w:marTop w:val="0"/>
              <w:marBottom w:val="0"/>
              <w:divBdr>
                <w:top w:val="none" w:sz="0" w:space="0" w:color="auto"/>
                <w:left w:val="none" w:sz="0" w:space="0" w:color="auto"/>
                <w:bottom w:val="none" w:sz="0" w:space="0" w:color="auto"/>
                <w:right w:val="none" w:sz="0" w:space="0" w:color="auto"/>
              </w:divBdr>
            </w:div>
            <w:div w:id="1516459703">
              <w:marLeft w:val="0"/>
              <w:marRight w:val="0"/>
              <w:marTop w:val="0"/>
              <w:marBottom w:val="0"/>
              <w:divBdr>
                <w:top w:val="none" w:sz="0" w:space="0" w:color="auto"/>
                <w:left w:val="none" w:sz="0" w:space="0" w:color="auto"/>
                <w:bottom w:val="none" w:sz="0" w:space="0" w:color="auto"/>
                <w:right w:val="none" w:sz="0" w:space="0" w:color="auto"/>
              </w:divBdr>
            </w:div>
            <w:div w:id="1520781104">
              <w:marLeft w:val="0"/>
              <w:marRight w:val="0"/>
              <w:marTop w:val="0"/>
              <w:marBottom w:val="0"/>
              <w:divBdr>
                <w:top w:val="none" w:sz="0" w:space="0" w:color="auto"/>
                <w:left w:val="none" w:sz="0" w:space="0" w:color="auto"/>
                <w:bottom w:val="none" w:sz="0" w:space="0" w:color="auto"/>
                <w:right w:val="none" w:sz="0" w:space="0" w:color="auto"/>
              </w:divBdr>
            </w:div>
            <w:div w:id="1799833095">
              <w:marLeft w:val="0"/>
              <w:marRight w:val="0"/>
              <w:marTop w:val="0"/>
              <w:marBottom w:val="0"/>
              <w:divBdr>
                <w:top w:val="none" w:sz="0" w:space="0" w:color="auto"/>
                <w:left w:val="none" w:sz="0" w:space="0" w:color="auto"/>
                <w:bottom w:val="none" w:sz="0" w:space="0" w:color="auto"/>
                <w:right w:val="none" w:sz="0" w:space="0" w:color="auto"/>
              </w:divBdr>
            </w:div>
            <w:div w:id="1803377739">
              <w:marLeft w:val="0"/>
              <w:marRight w:val="0"/>
              <w:marTop w:val="0"/>
              <w:marBottom w:val="0"/>
              <w:divBdr>
                <w:top w:val="none" w:sz="0" w:space="0" w:color="auto"/>
                <w:left w:val="none" w:sz="0" w:space="0" w:color="auto"/>
                <w:bottom w:val="none" w:sz="0" w:space="0" w:color="auto"/>
                <w:right w:val="none" w:sz="0" w:space="0" w:color="auto"/>
              </w:divBdr>
            </w:div>
            <w:div w:id="205372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55670">
      <w:bodyDiv w:val="1"/>
      <w:marLeft w:val="0"/>
      <w:marRight w:val="0"/>
      <w:marTop w:val="0"/>
      <w:marBottom w:val="0"/>
      <w:divBdr>
        <w:top w:val="none" w:sz="0" w:space="0" w:color="auto"/>
        <w:left w:val="none" w:sz="0" w:space="0" w:color="auto"/>
        <w:bottom w:val="none" w:sz="0" w:space="0" w:color="auto"/>
        <w:right w:val="none" w:sz="0" w:space="0" w:color="auto"/>
      </w:divBdr>
    </w:div>
    <w:div w:id="1610696779">
      <w:bodyDiv w:val="1"/>
      <w:marLeft w:val="0"/>
      <w:marRight w:val="0"/>
      <w:marTop w:val="0"/>
      <w:marBottom w:val="0"/>
      <w:divBdr>
        <w:top w:val="none" w:sz="0" w:space="0" w:color="auto"/>
        <w:left w:val="none" w:sz="0" w:space="0" w:color="auto"/>
        <w:bottom w:val="none" w:sz="0" w:space="0" w:color="auto"/>
        <w:right w:val="none" w:sz="0" w:space="0" w:color="auto"/>
      </w:divBdr>
    </w:div>
    <w:div w:id="1637762612">
      <w:bodyDiv w:val="1"/>
      <w:marLeft w:val="0"/>
      <w:marRight w:val="0"/>
      <w:marTop w:val="0"/>
      <w:marBottom w:val="0"/>
      <w:divBdr>
        <w:top w:val="none" w:sz="0" w:space="0" w:color="auto"/>
        <w:left w:val="none" w:sz="0" w:space="0" w:color="auto"/>
        <w:bottom w:val="none" w:sz="0" w:space="0" w:color="auto"/>
        <w:right w:val="none" w:sz="0" w:space="0" w:color="auto"/>
      </w:divBdr>
    </w:div>
    <w:div w:id="1801846847">
      <w:bodyDiv w:val="1"/>
      <w:marLeft w:val="0"/>
      <w:marRight w:val="0"/>
      <w:marTop w:val="0"/>
      <w:marBottom w:val="0"/>
      <w:divBdr>
        <w:top w:val="none" w:sz="0" w:space="0" w:color="auto"/>
        <w:left w:val="none" w:sz="0" w:space="0" w:color="auto"/>
        <w:bottom w:val="none" w:sz="0" w:space="0" w:color="auto"/>
        <w:right w:val="none" w:sz="0" w:space="0" w:color="auto"/>
      </w:divBdr>
      <w:divsChild>
        <w:div w:id="1052926471">
          <w:marLeft w:val="0"/>
          <w:marRight w:val="0"/>
          <w:marTop w:val="0"/>
          <w:marBottom w:val="0"/>
          <w:divBdr>
            <w:top w:val="none" w:sz="0" w:space="0" w:color="auto"/>
            <w:left w:val="none" w:sz="0" w:space="0" w:color="auto"/>
            <w:bottom w:val="none" w:sz="0" w:space="0" w:color="auto"/>
            <w:right w:val="none" w:sz="0" w:space="0" w:color="auto"/>
          </w:divBdr>
        </w:div>
        <w:div w:id="1128401009">
          <w:marLeft w:val="0"/>
          <w:marRight w:val="0"/>
          <w:marTop w:val="0"/>
          <w:marBottom w:val="0"/>
          <w:divBdr>
            <w:top w:val="none" w:sz="0" w:space="0" w:color="auto"/>
            <w:left w:val="none" w:sz="0" w:space="0" w:color="auto"/>
            <w:bottom w:val="none" w:sz="0" w:space="0" w:color="auto"/>
            <w:right w:val="none" w:sz="0" w:space="0" w:color="auto"/>
          </w:divBdr>
        </w:div>
      </w:divsChild>
    </w:div>
    <w:div w:id="1811049614">
      <w:bodyDiv w:val="1"/>
      <w:marLeft w:val="0"/>
      <w:marRight w:val="0"/>
      <w:marTop w:val="0"/>
      <w:marBottom w:val="0"/>
      <w:divBdr>
        <w:top w:val="none" w:sz="0" w:space="0" w:color="auto"/>
        <w:left w:val="none" w:sz="0" w:space="0" w:color="auto"/>
        <w:bottom w:val="none" w:sz="0" w:space="0" w:color="auto"/>
        <w:right w:val="none" w:sz="0" w:space="0" w:color="auto"/>
      </w:divBdr>
    </w:div>
    <w:div w:id="1837914149">
      <w:bodyDiv w:val="1"/>
      <w:marLeft w:val="0"/>
      <w:marRight w:val="0"/>
      <w:marTop w:val="0"/>
      <w:marBottom w:val="0"/>
      <w:divBdr>
        <w:top w:val="none" w:sz="0" w:space="0" w:color="auto"/>
        <w:left w:val="none" w:sz="0" w:space="0" w:color="auto"/>
        <w:bottom w:val="none" w:sz="0" w:space="0" w:color="auto"/>
        <w:right w:val="none" w:sz="0" w:space="0" w:color="auto"/>
      </w:divBdr>
    </w:div>
    <w:div w:id="1907448492">
      <w:bodyDiv w:val="1"/>
      <w:marLeft w:val="0"/>
      <w:marRight w:val="0"/>
      <w:marTop w:val="0"/>
      <w:marBottom w:val="0"/>
      <w:divBdr>
        <w:top w:val="none" w:sz="0" w:space="0" w:color="auto"/>
        <w:left w:val="none" w:sz="0" w:space="0" w:color="auto"/>
        <w:bottom w:val="none" w:sz="0" w:space="0" w:color="auto"/>
        <w:right w:val="none" w:sz="0" w:space="0" w:color="auto"/>
      </w:divBdr>
    </w:div>
    <w:div w:id="1907523149">
      <w:bodyDiv w:val="1"/>
      <w:marLeft w:val="0"/>
      <w:marRight w:val="0"/>
      <w:marTop w:val="0"/>
      <w:marBottom w:val="0"/>
      <w:divBdr>
        <w:top w:val="none" w:sz="0" w:space="0" w:color="auto"/>
        <w:left w:val="none" w:sz="0" w:space="0" w:color="auto"/>
        <w:bottom w:val="none" w:sz="0" w:space="0" w:color="auto"/>
        <w:right w:val="none" w:sz="0" w:space="0" w:color="auto"/>
      </w:divBdr>
    </w:div>
    <w:div w:id="1934628765">
      <w:bodyDiv w:val="1"/>
      <w:marLeft w:val="0"/>
      <w:marRight w:val="0"/>
      <w:marTop w:val="0"/>
      <w:marBottom w:val="0"/>
      <w:divBdr>
        <w:top w:val="none" w:sz="0" w:space="0" w:color="auto"/>
        <w:left w:val="none" w:sz="0" w:space="0" w:color="auto"/>
        <w:bottom w:val="none" w:sz="0" w:space="0" w:color="auto"/>
        <w:right w:val="none" w:sz="0" w:space="0" w:color="auto"/>
      </w:divBdr>
      <w:divsChild>
        <w:div w:id="212352167">
          <w:marLeft w:val="0"/>
          <w:marRight w:val="0"/>
          <w:marTop w:val="0"/>
          <w:marBottom w:val="0"/>
          <w:divBdr>
            <w:top w:val="none" w:sz="0" w:space="0" w:color="auto"/>
            <w:left w:val="none" w:sz="0" w:space="0" w:color="auto"/>
            <w:bottom w:val="none" w:sz="0" w:space="0" w:color="auto"/>
            <w:right w:val="none" w:sz="0" w:space="0" w:color="auto"/>
          </w:divBdr>
        </w:div>
        <w:div w:id="465973948">
          <w:marLeft w:val="0"/>
          <w:marRight w:val="0"/>
          <w:marTop w:val="0"/>
          <w:marBottom w:val="0"/>
          <w:divBdr>
            <w:top w:val="none" w:sz="0" w:space="0" w:color="auto"/>
            <w:left w:val="none" w:sz="0" w:space="0" w:color="auto"/>
            <w:bottom w:val="none" w:sz="0" w:space="0" w:color="auto"/>
            <w:right w:val="none" w:sz="0" w:space="0" w:color="auto"/>
          </w:divBdr>
        </w:div>
        <w:div w:id="750927009">
          <w:marLeft w:val="0"/>
          <w:marRight w:val="0"/>
          <w:marTop w:val="0"/>
          <w:marBottom w:val="0"/>
          <w:divBdr>
            <w:top w:val="none" w:sz="0" w:space="0" w:color="auto"/>
            <w:left w:val="none" w:sz="0" w:space="0" w:color="auto"/>
            <w:bottom w:val="none" w:sz="0" w:space="0" w:color="auto"/>
            <w:right w:val="none" w:sz="0" w:space="0" w:color="auto"/>
          </w:divBdr>
        </w:div>
        <w:div w:id="1170486071">
          <w:marLeft w:val="0"/>
          <w:marRight w:val="0"/>
          <w:marTop w:val="0"/>
          <w:marBottom w:val="0"/>
          <w:divBdr>
            <w:top w:val="none" w:sz="0" w:space="0" w:color="auto"/>
            <w:left w:val="none" w:sz="0" w:space="0" w:color="auto"/>
            <w:bottom w:val="none" w:sz="0" w:space="0" w:color="auto"/>
            <w:right w:val="none" w:sz="0" w:space="0" w:color="auto"/>
          </w:divBdr>
        </w:div>
        <w:div w:id="1332486370">
          <w:marLeft w:val="0"/>
          <w:marRight w:val="0"/>
          <w:marTop w:val="0"/>
          <w:marBottom w:val="0"/>
          <w:divBdr>
            <w:top w:val="none" w:sz="0" w:space="0" w:color="auto"/>
            <w:left w:val="none" w:sz="0" w:space="0" w:color="auto"/>
            <w:bottom w:val="none" w:sz="0" w:space="0" w:color="auto"/>
            <w:right w:val="none" w:sz="0" w:space="0" w:color="auto"/>
          </w:divBdr>
        </w:div>
        <w:div w:id="1810857224">
          <w:marLeft w:val="0"/>
          <w:marRight w:val="0"/>
          <w:marTop w:val="0"/>
          <w:marBottom w:val="0"/>
          <w:divBdr>
            <w:top w:val="none" w:sz="0" w:space="0" w:color="auto"/>
            <w:left w:val="none" w:sz="0" w:space="0" w:color="auto"/>
            <w:bottom w:val="none" w:sz="0" w:space="0" w:color="auto"/>
            <w:right w:val="none" w:sz="0" w:space="0" w:color="auto"/>
          </w:divBdr>
        </w:div>
      </w:divsChild>
    </w:div>
    <w:div w:id="1973712856">
      <w:bodyDiv w:val="1"/>
      <w:marLeft w:val="0"/>
      <w:marRight w:val="0"/>
      <w:marTop w:val="0"/>
      <w:marBottom w:val="0"/>
      <w:divBdr>
        <w:top w:val="none" w:sz="0" w:space="0" w:color="auto"/>
        <w:left w:val="none" w:sz="0" w:space="0" w:color="auto"/>
        <w:bottom w:val="none" w:sz="0" w:space="0" w:color="auto"/>
        <w:right w:val="none" w:sz="0" w:space="0" w:color="auto"/>
      </w:divBdr>
    </w:div>
    <w:div w:id="1996251888">
      <w:bodyDiv w:val="1"/>
      <w:marLeft w:val="0"/>
      <w:marRight w:val="0"/>
      <w:marTop w:val="0"/>
      <w:marBottom w:val="0"/>
      <w:divBdr>
        <w:top w:val="none" w:sz="0" w:space="0" w:color="auto"/>
        <w:left w:val="none" w:sz="0" w:space="0" w:color="auto"/>
        <w:bottom w:val="none" w:sz="0" w:space="0" w:color="auto"/>
        <w:right w:val="none" w:sz="0" w:space="0" w:color="auto"/>
      </w:divBdr>
      <w:divsChild>
        <w:div w:id="411782772">
          <w:marLeft w:val="0"/>
          <w:marRight w:val="0"/>
          <w:marTop w:val="0"/>
          <w:marBottom w:val="0"/>
          <w:divBdr>
            <w:top w:val="none" w:sz="0" w:space="0" w:color="auto"/>
            <w:left w:val="none" w:sz="0" w:space="0" w:color="auto"/>
            <w:bottom w:val="none" w:sz="0" w:space="0" w:color="auto"/>
            <w:right w:val="none" w:sz="0" w:space="0" w:color="auto"/>
          </w:divBdr>
        </w:div>
        <w:div w:id="1011640034">
          <w:marLeft w:val="0"/>
          <w:marRight w:val="0"/>
          <w:marTop w:val="0"/>
          <w:marBottom w:val="0"/>
          <w:divBdr>
            <w:top w:val="none" w:sz="0" w:space="0" w:color="auto"/>
            <w:left w:val="none" w:sz="0" w:space="0" w:color="auto"/>
            <w:bottom w:val="none" w:sz="0" w:space="0" w:color="auto"/>
            <w:right w:val="none" w:sz="0" w:space="0" w:color="auto"/>
          </w:divBdr>
        </w:div>
        <w:div w:id="1303195351">
          <w:marLeft w:val="0"/>
          <w:marRight w:val="0"/>
          <w:marTop w:val="0"/>
          <w:marBottom w:val="0"/>
          <w:divBdr>
            <w:top w:val="none" w:sz="0" w:space="0" w:color="auto"/>
            <w:left w:val="none" w:sz="0" w:space="0" w:color="auto"/>
            <w:bottom w:val="none" w:sz="0" w:space="0" w:color="auto"/>
            <w:right w:val="none" w:sz="0" w:space="0" w:color="auto"/>
          </w:divBdr>
        </w:div>
      </w:divsChild>
    </w:div>
    <w:div w:id="2036539512">
      <w:bodyDiv w:val="1"/>
      <w:marLeft w:val="0"/>
      <w:marRight w:val="0"/>
      <w:marTop w:val="0"/>
      <w:marBottom w:val="0"/>
      <w:divBdr>
        <w:top w:val="none" w:sz="0" w:space="0" w:color="auto"/>
        <w:left w:val="none" w:sz="0" w:space="0" w:color="auto"/>
        <w:bottom w:val="none" w:sz="0" w:space="0" w:color="auto"/>
        <w:right w:val="none" w:sz="0" w:space="0" w:color="auto"/>
      </w:divBdr>
    </w:div>
    <w:div w:id="2039116258">
      <w:bodyDiv w:val="1"/>
      <w:marLeft w:val="0"/>
      <w:marRight w:val="0"/>
      <w:marTop w:val="0"/>
      <w:marBottom w:val="0"/>
      <w:divBdr>
        <w:top w:val="none" w:sz="0" w:space="0" w:color="auto"/>
        <w:left w:val="none" w:sz="0" w:space="0" w:color="auto"/>
        <w:bottom w:val="none" w:sz="0" w:space="0" w:color="auto"/>
        <w:right w:val="none" w:sz="0" w:space="0" w:color="auto"/>
      </w:divBdr>
    </w:div>
    <w:div w:id="2047678609">
      <w:bodyDiv w:val="1"/>
      <w:marLeft w:val="0"/>
      <w:marRight w:val="0"/>
      <w:marTop w:val="0"/>
      <w:marBottom w:val="0"/>
      <w:divBdr>
        <w:top w:val="none" w:sz="0" w:space="0" w:color="auto"/>
        <w:left w:val="none" w:sz="0" w:space="0" w:color="auto"/>
        <w:bottom w:val="none" w:sz="0" w:space="0" w:color="auto"/>
        <w:right w:val="none" w:sz="0" w:space="0" w:color="auto"/>
      </w:divBdr>
    </w:div>
    <w:div w:id="2091392358">
      <w:bodyDiv w:val="1"/>
      <w:marLeft w:val="0"/>
      <w:marRight w:val="0"/>
      <w:marTop w:val="0"/>
      <w:marBottom w:val="0"/>
      <w:divBdr>
        <w:top w:val="none" w:sz="0" w:space="0" w:color="auto"/>
        <w:left w:val="none" w:sz="0" w:space="0" w:color="auto"/>
        <w:bottom w:val="none" w:sz="0" w:space="0" w:color="auto"/>
        <w:right w:val="none" w:sz="0" w:space="0" w:color="auto"/>
      </w:divBdr>
    </w:div>
    <w:div w:id="2129735424">
      <w:bodyDiv w:val="1"/>
      <w:marLeft w:val="0"/>
      <w:marRight w:val="0"/>
      <w:marTop w:val="0"/>
      <w:marBottom w:val="0"/>
      <w:divBdr>
        <w:top w:val="none" w:sz="0" w:space="0" w:color="auto"/>
        <w:left w:val="none" w:sz="0" w:space="0" w:color="auto"/>
        <w:bottom w:val="none" w:sz="0" w:space="0" w:color="auto"/>
        <w:right w:val="none" w:sz="0" w:space="0" w:color="auto"/>
      </w:divBdr>
    </w:div>
    <w:div w:id="213713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ro/publication-detail/-/publication/b690e2af-d0bd-11f0-8da2-01aa75ed71a1/language-en" TargetMode="External"/><Relationship Id="rId13" Type="http://schemas.openxmlformats.org/officeDocument/2006/relationships/hyperlink" Target="http://data.europa.eu/eli/dir/2014/23/oj" TargetMode="External"/><Relationship Id="rId18" Type="http://schemas.openxmlformats.org/officeDocument/2006/relationships/hyperlink" Target="https://eur-lex.europa.eu/eli/reg/2016/679/oj/eng" TargetMode="External"/><Relationship Id="rId3" Type="http://schemas.openxmlformats.org/officeDocument/2006/relationships/hyperlink" Target="https://research-and-innovation.ec.europa.eu/strategy/support-policy-making/shaping-eu-research-and-innovation-policy/new-european-innovation-agenda/innovation-procurement/benchmarking-innovation-procurement-investments-and-policy-frameworks-across-europe_en" TargetMode="External"/><Relationship Id="rId21" Type="http://schemas.openxmlformats.org/officeDocument/2006/relationships/hyperlink" Target="http://data.europa.eu/eli/reco/2023/2113/oj" TargetMode="External"/><Relationship Id="rId7" Type="http://schemas.openxmlformats.org/officeDocument/2006/relationships/hyperlink" Target="https://ec.europa.eu/info/law/better-regulation/have-your-say/initiatives/14593-European-Innovation-Act/public-consultation_ro" TargetMode="External"/><Relationship Id="rId12" Type="http://schemas.openxmlformats.org/officeDocument/2006/relationships/hyperlink" Target="https://www.eca.europa.eu/ECAPublications/SR-2023-28/SR-2023-28_RO.pdf" TargetMode="External"/><Relationship Id="rId17" Type="http://schemas.openxmlformats.org/officeDocument/2006/relationships/hyperlink" Target="https://data.europa.eu/doi/10.2777/4586624" TargetMode="External"/><Relationship Id="rId25" Type="http://schemas.openxmlformats.org/officeDocument/2006/relationships/hyperlink" Target="https://myintracomm.ec.europa.eu/corp/budget/financial-rules/budget-implementation/Pages/implementation-methods.aspx" TargetMode="External"/><Relationship Id="rId2" Type="http://schemas.openxmlformats.org/officeDocument/2006/relationships/hyperlink" Target="https://eur-lex.europa.eu/legal-content/RO/TXT/?uri=CELEX%3A52007DC0799&amp;qid=1712920496109" TargetMode="External"/><Relationship Id="rId16" Type="http://schemas.openxmlformats.org/officeDocument/2006/relationships/hyperlink" Target="http://data.europa.eu/eli/dir/2009/81/oj" TargetMode="External"/><Relationship Id="rId20" Type="http://schemas.openxmlformats.org/officeDocument/2006/relationships/hyperlink" Target="http://data.europa.eu/eli/reg/2008/213/oj" TargetMode="External"/><Relationship Id="rId1" Type="http://schemas.openxmlformats.org/officeDocument/2006/relationships/hyperlink" Target="https://eur-lex.europa.eu/legal-content/RO/TXT/?uri=celex:52025DC0270" TargetMode="External"/><Relationship Id="rId6" Type="http://schemas.openxmlformats.org/officeDocument/2006/relationships/hyperlink" Target="https://www.eib.org/attachments/lucalli/20240354_investment_report_2024_en.pdf" TargetMode="External"/><Relationship Id="rId11" Type="http://schemas.openxmlformats.org/officeDocument/2006/relationships/hyperlink" Target="https://www.eca.europa.eu/en/publications?ref=sr-2023-28" TargetMode="External"/><Relationship Id="rId24" Type="http://schemas.openxmlformats.org/officeDocument/2006/relationships/hyperlink" Target="http://data.europa.eu/eli/dec_framw/2008/841/oj" TargetMode="External"/><Relationship Id="rId5" Type="http://schemas.openxmlformats.org/officeDocument/2006/relationships/hyperlink" Target="https://www.eib.org/attachments/lucalli/20240354_investment_report_2024_en.pdf" TargetMode="External"/><Relationship Id="rId15" Type="http://schemas.openxmlformats.org/officeDocument/2006/relationships/hyperlink" Target="http://data.europa.eu/eli/dir/2014/25/oj" TargetMode="External"/><Relationship Id="rId23" Type="http://schemas.openxmlformats.org/officeDocument/2006/relationships/hyperlink" Target="http://data.europa.eu/eli/reg_impl/2019/1780/oj" TargetMode="External"/><Relationship Id="rId10" Type="http://schemas.openxmlformats.org/officeDocument/2006/relationships/hyperlink" Target="https://www.eca.europa.eu/en/publications?ref=sr-2023-28" TargetMode="External"/><Relationship Id="rId19" Type="http://schemas.openxmlformats.org/officeDocument/2006/relationships/hyperlink" Target="http://data.europa.eu/eli/reg/2017/1001/oj" TargetMode="External"/><Relationship Id="rId4" Type="http://schemas.openxmlformats.org/officeDocument/2006/relationships/hyperlink" Target="https://ec.europa.eu/commission/presscorner/detail/en/ip_24_3505" TargetMode="External"/><Relationship Id="rId9" Type="http://schemas.openxmlformats.org/officeDocument/2006/relationships/hyperlink" Target="https://data.europa.eu/doi/10.2777/4586624" TargetMode="External"/><Relationship Id="rId14" Type="http://schemas.openxmlformats.org/officeDocument/2006/relationships/hyperlink" Target="http://data.europa.eu/eli/dir/2014/24/oj" TargetMode="External"/><Relationship Id="rId22" Type="http://schemas.openxmlformats.org/officeDocument/2006/relationships/hyperlink" Target="http://data.europa.eu/eli/reg/2024/12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258CE-B698-4A7F-A0A5-4AE451FEE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392</TotalTime>
  <Pages>7</Pages>
  <Words>50578</Words>
  <Characters>288300</Characters>
  <Application>Microsoft Office Word</Application>
  <DocSecurity>0</DocSecurity>
  <Lines>2402</Lines>
  <Paragraphs>676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338202</CharactersWithSpaces>
  <SharedDoc>false</SharedDoc>
  <HLinks>
    <vt:vector size="546" baseType="variant">
      <vt:variant>
        <vt:i4>1441844</vt:i4>
      </vt:variant>
      <vt:variant>
        <vt:i4>374</vt:i4>
      </vt:variant>
      <vt:variant>
        <vt:i4>0</vt:i4>
      </vt:variant>
      <vt:variant>
        <vt:i4>5</vt:i4>
      </vt:variant>
      <vt:variant>
        <vt:lpwstr/>
      </vt:variant>
      <vt:variant>
        <vt:lpwstr>_Toc239673878</vt:lpwstr>
      </vt:variant>
      <vt:variant>
        <vt:i4>1441844</vt:i4>
      </vt:variant>
      <vt:variant>
        <vt:i4>368</vt:i4>
      </vt:variant>
      <vt:variant>
        <vt:i4>0</vt:i4>
      </vt:variant>
      <vt:variant>
        <vt:i4>5</vt:i4>
      </vt:variant>
      <vt:variant>
        <vt:lpwstr/>
      </vt:variant>
      <vt:variant>
        <vt:lpwstr>_Toc239673877</vt:lpwstr>
      </vt:variant>
      <vt:variant>
        <vt:i4>1441844</vt:i4>
      </vt:variant>
      <vt:variant>
        <vt:i4>362</vt:i4>
      </vt:variant>
      <vt:variant>
        <vt:i4>0</vt:i4>
      </vt:variant>
      <vt:variant>
        <vt:i4>5</vt:i4>
      </vt:variant>
      <vt:variant>
        <vt:lpwstr/>
      </vt:variant>
      <vt:variant>
        <vt:lpwstr>_Toc239673876</vt:lpwstr>
      </vt:variant>
      <vt:variant>
        <vt:i4>1441844</vt:i4>
      </vt:variant>
      <vt:variant>
        <vt:i4>356</vt:i4>
      </vt:variant>
      <vt:variant>
        <vt:i4>0</vt:i4>
      </vt:variant>
      <vt:variant>
        <vt:i4>5</vt:i4>
      </vt:variant>
      <vt:variant>
        <vt:lpwstr/>
      </vt:variant>
      <vt:variant>
        <vt:lpwstr>_Toc239673875</vt:lpwstr>
      </vt:variant>
      <vt:variant>
        <vt:i4>1441844</vt:i4>
      </vt:variant>
      <vt:variant>
        <vt:i4>350</vt:i4>
      </vt:variant>
      <vt:variant>
        <vt:i4>0</vt:i4>
      </vt:variant>
      <vt:variant>
        <vt:i4>5</vt:i4>
      </vt:variant>
      <vt:variant>
        <vt:lpwstr/>
      </vt:variant>
      <vt:variant>
        <vt:lpwstr>_Toc239673874</vt:lpwstr>
      </vt:variant>
      <vt:variant>
        <vt:i4>1441844</vt:i4>
      </vt:variant>
      <vt:variant>
        <vt:i4>344</vt:i4>
      </vt:variant>
      <vt:variant>
        <vt:i4>0</vt:i4>
      </vt:variant>
      <vt:variant>
        <vt:i4>5</vt:i4>
      </vt:variant>
      <vt:variant>
        <vt:lpwstr/>
      </vt:variant>
      <vt:variant>
        <vt:lpwstr>_Toc239673873</vt:lpwstr>
      </vt:variant>
      <vt:variant>
        <vt:i4>1441844</vt:i4>
      </vt:variant>
      <vt:variant>
        <vt:i4>338</vt:i4>
      </vt:variant>
      <vt:variant>
        <vt:i4>0</vt:i4>
      </vt:variant>
      <vt:variant>
        <vt:i4>5</vt:i4>
      </vt:variant>
      <vt:variant>
        <vt:lpwstr/>
      </vt:variant>
      <vt:variant>
        <vt:lpwstr>_Toc239673872</vt:lpwstr>
      </vt:variant>
      <vt:variant>
        <vt:i4>1441844</vt:i4>
      </vt:variant>
      <vt:variant>
        <vt:i4>332</vt:i4>
      </vt:variant>
      <vt:variant>
        <vt:i4>0</vt:i4>
      </vt:variant>
      <vt:variant>
        <vt:i4>5</vt:i4>
      </vt:variant>
      <vt:variant>
        <vt:lpwstr/>
      </vt:variant>
      <vt:variant>
        <vt:lpwstr>_Toc239673871</vt:lpwstr>
      </vt:variant>
      <vt:variant>
        <vt:i4>1441844</vt:i4>
      </vt:variant>
      <vt:variant>
        <vt:i4>326</vt:i4>
      </vt:variant>
      <vt:variant>
        <vt:i4>0</vt:i4>
      </vt:variant>
      <vt:variant>
        <vt:i4>5</vt:i4>
      </vt:variant>
      <vt:variant>
        <vt:lpwstr/>
      </vt:variant>
      <vt:variant>
        <vt:lpwstr>_Toc239673870</vt:lpwstr>
      </vt:variant>
      <vt:variant>
        <vt:i4>1507380</vt:i4>
      </vt:variant>
      <vt:variant>
        <vt:i4>320</vt:i4>
      </vt:variant>
      <vt:variant>
        <vt:i4>0</vt:i4>
      </vt:variant>
      <vt:variant>
        <vt:i4>5</vt:i4>
      </vt:variant>
      <vt:variant>
        <vt:lpwstr/>
      </vt:variant>
      <vt:variant>
        <vt:lpwstr>_Toc239673869</vt:lpwstr>
      </vt:variant>
      <vt:variant>
        <vt:i4>1507380</vt:i4>
      </vt:variant>
      <vt:variant>
        <vt:i4>314</vt:i4>
      </vt:variant>
      <vt:variant>
        <vt:i4>0</vt:i4>
      </vt:variant>
      <vt:variant>
        <vt:i4>5</vt:i4>
      </vt:variant>
      <vt:variant>
        <vt:lpwstr/>
      </vt:variant>
      <vt:variant>
        <vt:lpwstr>_Toc239673868</vt:lpwstr>
      </vt:variant>
      <vt:variant>
        <vt:i4>1507380</vt:i4>
      </vt:variant>
      <vt:variant>
        <vt:i4>308</vt:i4>
      </vt:variant>
      <vt:variant>
        <vt:i4>0</vt:i4>
      </vt:variant>
      <vt:variant>
        <vt:i4>5</vt:i4>
      </vt:variant>
      <vt:variant>
        <vt:lpwstr/>
      </vt:variant>
      <vt:variant>
        <vt:lpwstr>_Toc239673867</vt:lpwstr>
      </vt:variant>
      <vt:variant>
        <vt:i4>1507380</vt:i4>
      </vt:variant>
      <vt:variant>
        <vt:i4>302</vt:i4>
      </vt:variant>
      <vt:variant>
        <vt:i4>0</vt:i4>
      </vt:variant>
      <vt:variant>
        <vt:i4>5</vt:i4>
      </vt:variant>
      <vt:variant>
        <vt:lpwstr/>
      </vt:variant>
      <vt:variant>
        <vt:lpwstr>_Toc239673866</vt:lpwstr>
      </vt:variant>
      <vt:variant>
        <vt:i4>1507380</vt:i4>
      </vt:variant>
      <vt:variant>
        <vt:i4>296</vt:i4>
      </vt:variant>
      <vt:variant>
        <vt:i4>0</vt:i4>
      </vt:variant>
      <vt:variant>
        <vt:i4>5</vt:i4>
      </vt:variant>
      <vt:variant>
        <vt:lpwstr/>
      </vt:variant>
      <vt:variant>
        <vt:lpwstr>_Toc239673865</vt:lpwstr>
      </vt:variant>
      <vt:variant>
        <vt:i4>1507380</vt:i4>
      </vt:variant>
      <vt:variant>
        <vt:i4>290</vt:i4>
      </vt:variant>
      <vt:variant>
        <vt:i4>0</vt:i4>
      </vt:variant>
      <vt:variant>
        <vt:i4>5</vt:i4>
      </vt:variant>
      <vt:variant>
        <vt:lpwstr/>
      </vt:variant>
      <vt:variant>
        <vt:lpwstr>_Toc239673864</vt:lpwstr>
      </vt:variant>
      <vt:variant>
        <vt:i4>1507380</vt:i4>
      </vt:variant>
      <vt:variant>
        <vt:i4>284</vt:i4>
      </vt:variant>
      <vt:variant>
        <vt:i4>0</vt:i4>
      </vt:variant>
      <vt:variant>
        <vt:i4>5</vt:i4>
      </vt:variant>
      <vt:variant>
        <vt:lpwstr/>
      </vt:variant>
      <vt:variant>
        <vt:lpwstr>_Toc239673863</vt:lpwstr>
      </vt:variant>
      <vt:variant>
        <vt:i4>1507380</vt:i4>
      </vt:variant>
      <vt:variant>
        <vt:i4>278</vt:i4>
      </vt:variant>
      <vt:variant>
        <vt:i4>0</vt:i4>
      </vt:variant>
      <vt:variant>
        <vt:i4>5</vt:i4>
      </vt:variant>
      <vt:variant>
        <vt:lpwstr/>
      </vt:variant>
      <vt:variant>
        <vt:lpwstr>_Toc239673862</vt:lpwstr>
      </vt:variant>
      <vt:variant>
        <vt:i4>1507380</vt:i4>
      </vt:variant>
      <vt:variant>
        <vt:i4>272</vt:i4>
      </vt:variant>
      <vt:variant>
        <vt:i4>0</vt:i4>
      </vt:variant>
      <vt:variant>
        <vt:i4>5</vt:i4>
      </vt:variant>
      <vt:variant>
        <vt:lpwstr/>
      </vt:variant>
      <vt:variant>
        <vt:lpwstr>_Toc239673861</vt:lpwstr>
      </vt:variant>
      <vt:variant>
        <vt:i4>1507380</vt:i4>
      </vt:variant>
      <vt:variant>
        <vt:i4>266</vt:i4>
      </vt:variant>
      <vt:variant>
        <vt:i4>0</vt:i4>
      </vt:variant>
      <vt:variant>
        <vt:i4>5</vt:i4>
      </vt:variant>
      <vt:variant>
        <vt:lpwstr/>
      </vt:variant>
      <vt:variant>
        <vt:lpwstr>_Toc239673860</vt:lpwstr>
      </vt:variant>
      <vt:variant>
        <vt:i4>1310772</vt:i4>
      </vt:variant>
      <vt:variant>
        <vt:i4>260</vt:i4>
      </vt:variant>
      <vt:variant>
        <vt:i4>0</vt:i4>
      </vt:variant>
      <vt:variant>
        <vt:i4>5</vt:i4>
      </vt:variant>
      <vt:variant>
        <vt:lpwstr/>
      </vt:variant>
      <vt:variant>
        <vt:lpwstr>_Toc239673859</vt:lpwstr>
      </vt:variant>
      <vt:variant>
        <vt:i4>1310772</vt:i4>
      </vt:variant>
      <vt:variant>
        <vt:i4>254</vt:i4>
      </vt:variant>
      <vt:variant>
        <vt:i4>0</vt:i4>
      </vt:variant>
      <vt:variant>
        <vt:i4>5</vt:i4>
      </vt:variant>
      <vt:variant>
        <vt:lpwstr/>
      </vt:variant>
      <vt:variant>
        <vt:lpwstr>_Toc239673858</vt:lpwstr>
      </vt:variant>
      <vt:variant>
        <vt:i4>1310772</vt:i4>
      </vt:variant>
      <vt:variant>
        <vt:i4>248</vt:i4>
      </vt:variant>
      <vt:variant>
        <vt:i4>0</vt:i4>
      </vt:variant>
      <vt:variant>
        <vt:i4>5</vt:i4>
      </vt:variant>
      <vt:variant>
        <vt:lpwstr/>
      </vt:variant>
      <vt:variant>
        <vt:lpwstr>_Toc239673857</vt:lpwstr>
      </vt:variant>
      <vt:variant>
        <vt:i4>1310772</vt:i4>
      </vt:variant>
      <vt:variant>
        <vt:i4>242</vt:i4>
      </vt:variant>
      <vt:variant>
        <vt:i4>0</vt:i4>
      </vt:variant>
      <vt:variant>
        <vt:i4>5</vt:i4>
      </vt:variant>
      <vt:variant>
        <vt:lpwstr/>
      </vt:variant>
      <vt:variant>
        <vt:lpwstr>_Toc239673856</vt:lpwstr>
      </vt:variant>
      <vt:variant>
        <vt:i4>1310772</vt:i4>
      </vt:variant>
      <vt:variant>
        <vt:i4>236</vt:i4>
      </vt:variant>
      <vt:variant>
        <vt:i4>0</vt:i4>
      </vt:variant>
      <vt:variant>
        <vt:i4>5</vt:i4>
      </vt:variant>
      <vt:variant>
        <vt:lpwstr/>
      </vt:variant>
      <vt:variant>
        <vt:lpwstr>_Toc239673855</vt:lpwstr>
      </vt:variant>
      <vt:variant>
        <vt:i4>1310772</vt:i4>
      </vt:variant>
      <vt:variant>
        <vt:i4>230</vt:i4>
      </vt:variant>
      <vt:variant>
        <vt:i4>0</vt:i4>
      </vt:variant>
      <vt:variant>
        <vt:i4>5</vt:i4>
      </vt:variant>
      <vt:variant>
        <vt:lpwstr/>
      </vt:variant>
      <vt:variant>
        <vt:lpwstr>_Toc239673854</vt:lpwstr>
      </vt:variant>
      <vt:variant>
        <vt:i4>1310772</vt:i4>
      </vt:variant>
      <vt:variant>
        <vt:i4>224</vt:i4>
      </vt:variant>
      <vt:variant>
        <vt:i4>0</vt:i4>
      </vt:variant>
      <vt:variant>
        <vt:i4>5</vt:i4>
      </vt:variant>
      <vt:variant>
        <vt:lpwstr/>
      </vt:variant>
      <vt:variant>
        <vt:lpwstr>_Toc239673853</vt:lpwstr>
      </vt:variant>
      <vt:variant>
        <vt:i4>1310772</vt:i4>
      </vt:variant>
      <vt:variant>
        <vt:i4>218</vt:i4>
      </vt:variant>
      <vt:variant>
        <vt:i4>0</vt:i4>
      </vt:variant>
      <vt:variant>
        <vt:i4>5</vt:i4>
      </vt:variant>
      <vt:variant>
        <vt:lpwstr/>
      </vt:variant>
      <vt:variant>
        <vt:lpwstr>_Toc239673852</vt:lpwstr>
      </vt:variant>
      <vt:variant>
        <vt:i4>1310772</vt:i4>
      </vt:variant>
      <vt:variant>
        <vt:i4>212</vt:i4>
      </vt:variant>
      <vt:variant>
        <vt:i4>0</vt:i4>
      </vt:variant>
      <vt:variant>
        <vt:i4>5</vt:i4>
      </vt:variant>
      <vt:variant>
        <vt:lpwstr/>
      </vt:variant>
      <vt:variant>
        <vt:lpwstr>_Toc239673851</vt:lpwstr>
      </vt:variant>
      <vt:variant>
        <vt:i4>1310772</vt:i4>
      </vt:variant>
      <vt:variant>
        <vt:i4>206</vt:i4>
      </vt:variant>
      <vt:variant>
        <vt:i4>0</vt:i4>
      </vt:variant>
      <vt:variant>
        <vt:i4>5</vt:i4>
      </vt:variant>
      <vt:variant>
        <vt:lpwstr/>
      </vt:variant>
      <vt:variant>
        <vt:lpwstr>_Toc239673850</vt:lpwstr>
      </vt:variant>
      <vt:variant>
        <vt:i4>1376308</vt:i4>
      </vt:variant>
      <vt:variant>
        <vt:i4>200</vt:i4>
      </vt:variant>
      <vt:variant>
        <vt:i4>0</vt:i4>
      </vt:variant>
      <vt:variant>
        <vt:i4>5</vt:i4>
      </vt:variant>
      <vt:variant>
        <vt:lpwstr/>
      </vt:variant>
      <vt:variant>
        <vt:lpwstr>_Toc239673849</vt:lpwstr>
      </vt:variant>
      <vt:variant>
        <vt:i4>1376308</vt:i4>
      </vt:variant>
      <vt:variant>
        <vt:i4>194</vt:i4>
      </vt:variant>
      <vt:variant>
        <vt:i4>0</vt:i4>
      </vt:variant>
      <vt:variant>
        <vt:i4>5</vt:i4>
      </vt:variant>
      <vt:variant>
        <vt:lpwstr/>
      </vt:variant>
      <vt:variant>
        <vt:lpwstr>_Toc239673848</vt:lpwstr>
      </vt:variant>
      <vt:variant>
        <vt:i4>1376308</vt:i4>
      </vt:variant>
      <vt:variant>
        <vt:i4>188</vt:i4>
      </vt:variant>
      <vt:variant>
        <vt:i4>0</vt:i4>
      </vt:variant>
      <vt:variant>
        <vt:i4>5</vt:i4>
      </vt:variant>
      <vt:variant>
        <vt:lpwstr/>
      </vt:variant>
      <vt:variant>
        <vt:lpwstr>_Toc239673847</vt:lpwstr>
      </vt:variant>
      <vt:variant>
        <vt:i4>1376308</vt:i4>
      </vt:variant>
      <vt:variant>
        <vt:i4>182</vt:i4>
      </vt:variant>
      <vt:variant>
        <vt:i4>0</vt:i4>
      </vt:variant>
      <vt:variant>
        <vt:i4>5</vt:i4>
      </vt:variant>
      <vt:variant>
        <vt:lpwstr/>
      </vt:variant>
      <vt:variant>
        <vt:lpwstr>_Toc239673846</vt:lpwstr>
      </vt:variant>
      <vt:variant>
        <vt:i4>1376308</vt:i4>
      </vt:variant>
      <vt:variant>
        <vt:i4>176</vt:i4>
      </vt:variant>
      <vt:variant>
        <vt:i4>0</vt:i4>
      </vt:variant>
      <vt:variant>
        <vt:i4>5</vt:i4>
      </vt:variant>
      <vt:variant>
        <vt:lpwstr/>
      </vt:variant>
      <vt:variant>
        <vt:lpwstr>_Toc239673845</vt:lpwstr>
      </vt:variant>
      <vt:variant>
        <vt:i4>1376308</vt:i4>
      </vt:variant>
      <vt:variant>
        <vt:i4>170</vt:i4>
      </vt:variant>
      <vt:variant>
        <vt:i4>0</vt:i4>
      </vt:variant>
      <vt:variant>
        <vt:i4>5</vt:i4>
      </vt:variant>
      <vt:variant>
        <vt:lpwstr/>
      </vt:variant>
      <vt:variant>
        <vt:lpwstr>_Toc239673844</vt:lpwstr>
      </vt:variant>
      <vt:variant>
        <vt:i4>1376308</vt:i4>
      </vt:variant>
      <vt:variant>
        <vt:i4>164</vt:i4>
      </vt:variant>
      <vt:variant>
        <vt:i4>0</vt:i4>
      </vt:variant>
      <vt:variant>
        <vt:i4>5</vt:i4>
      </vt:variant>
      <vt:variant>
        <vt:lpwstr/>
      </vt:variant>
      <vt:variant>
        <vt:lpwstr>_Toc239673843</vt:lpwstr>
      </vt:variant>
      <vt:variant>
        <vt:i4>1376308</vt:i4>
      </vt:variant>
      <vt:variant>
        <vt:i4>158</vt:i4>
      </vt:variant>
      <vt:variant>
        <vt:i4>0</vt:i4>
      </vt:variant>
      <vt:variant>
        <vt:i4>5</vt:i4>
      </vt:variant>
      <vt:variant>
        <vt:lpwstr/>
      </vt:variant>
      <vt:variant>
        <vt:lpwstr>_Toc239673842</vt:lpwstr>
      </vt:variant>
      <vt:variant>
        <vt:i4>1376308</vt:i4>
      </vt:variant>
      <vt:variant>
        <vt:i4>152</vt:i4>
      </vt:variant>
      <vt:variant>
        <vt:i4>0</vt:i4>
      </vt:variant>
      <vt:variant>
        <vt:i4>5</vt:i4>
      </vt:variant>
      <vt:variant>
        <vt:lpwstr/>
      </vt:variant>
      <vt:variant>
        <vt:lpwstr>_Toc239673841</vt:lpwstr>
      </vt:variant>
      <vt:variant>
        <vt:i4>1376308</vt:i4>
      </vt:variant>
      <vt:variant>
        <vt:i4>146</vt:i4>
      </vt:variant>
      <vt:variant>
        <vt:i4>0</vt:i4>
      </vt:variant>
      <vt:variant>
        <vt:i4>5</vt:i4>
      </vt:variant>
      <vt:variant>
        <vt:lpwstr/>
      </vt:variant>
      <vt:variant>
        <vt:lpwstr>_Toc239673840</vt:lpwstr>
      </vt:variant>
      <vt:variant>
        <vt:i4>1179700</vt:i4>
      </vt:variant>
      <vt:variant>
        <vt:i4>140</vt:i4>
      </vt:variant>
      <vt:variant>
        <vt:i4>0</vt:i4>
      </vt:variant>
      <vt:variant>
        <vt:i4>5</vt:i4>
      </vt:variant>
      <vt:variant>
        <vt:lpwstr/>
      </vt:variant>
      <vt:variant>
        <vt:lpwstr>_Toc239673839</vt:lpwstr>
      </vt:variant>
      <vt:variant>
        <vt:i4>1179700</vt:i4>
      </vt:variant>
      <vt:variant>
        <vt:i4>134</vt:i4>
      </vt:variant>
      <vt:variant>
        <vt:i4>0</vt:i4>
      </vt:variant>
      <vt:variant>
        <vt:i4>5</vt:i4>
      </vt:variant>
      <vt:variant>
        <vt:lpwstr/>
      </vt:variant>
      <vt:variant>
        <vt:lpwstr>_Toc239673838</vt:lpwstr>
      </vt:variant>
      <vt:variant>
        <vt:i4>1179700</vt:i4>
      </vt:variant>
      <vt:variant>
        <vt:i4>128</vt:i4>
      </vt:variant>
      <vt:variant>
        <vt:i4>0</vt:i4>
      </vt:variant>
      <vt:variant>
        <vt:i4>5</vt:i4>
      </vt:variant>
      <vt:variant>
        <vt:lpwstr/>
      </vt:variant>
      <vt:variant>
        <vt:lpwstr>_Toc239673837</vt:lpwstr>
      </vt:variant>
      <vt:variant>
        <vt:i4>1179700</vt:i4>
      </vt:variant>
      <vt:variant>
        <vt:i4>122</vt:i4>
      </vt:variant>
      <vt:variant>
        <vt:i4>0</vt:i4>
      </vt:variant>
      <vt:variant>
        <vt:i4>5</vt:i4>
      </vt:variant>
      <vt:variant>
        <vt:lpwstr/>
      </vt:variant>
      <vt:variant>
        <vt:lpwstr>_Toc239673836</vt:lpwstr>
      </vt:variant>
      <vt:variant>
        <vt:i4>1179700</vt:i4>
      </vt:variant>
      <vt:variant>
        <vt:i4>116</vt:i4>
      </vt:variant>
      <vt:variant>
        <vt:i4>0</vt:i4>
      </vt:variant>
      <vt:variant>
        <vt:i4>5</vt:i4>
      </vt:variant>
      <vt:variant>
        <vt:lpwstr/>
      </vt:variant>
      <vt:variant>
        <vt:lpwstr>_Toc239673835</vt:lpwstr>
      </vt:variant>
      <vt:variant>
        <vt:i4>1179700</vt:i4>
      </vt:variant>
      <vt:variant>
        <vt:i4>110</vt:i4>
      </vt:variant>
      <vt:variant>
        <vt:i4>0</vt:i4>
      </vt:variant>
      <vt:variant>
        <vt:i4>5</vt:i4>
      </vt:variant>
      <vt:variant>
        <vt:lpwstr/>
      </vt:variant>
      <vt:variant>
        <vt:lpwstr>_Toc239673834</vt:lpwstr>
      </vt:variant>
      <vt:variant>
        <vt:i4>1179700</vt:i4>
      </vt:variant>
      <vt:variant>
        <vt:i4>104</vt:i4>
      </vt:variant>
      <vt:variant>
        <vt:i4>0</vt:i4>
      </vt:variant>
      <vt:variant>
        <vt:i4>5</vt:i4>
      </vt:variant>
      <vt:variant>
        <vt:lpwstr/>
      </vt:variant>
      <vt:variant>
        <vt:lpwstr>_Toc239673833</vt:lpwstr>
      </vt:variant>
      <vt:variant>
        <vt:i4>1179700</vt:i4>
      </vt:variant>
      <vt:variant>
        <vt:i4>98</vt:i4>
      </vt:variant>
      <vt:variant>
        <vt:i4>0</vt:i4>
      </vt:variant>
      <vt:variant>
        <vt:i4>5</vt:i4>
      </vt:variant>
      <vt:variant>
        <vt:lpwstr/>
      </vt:variant>
      <vt:variant>
        <vt:lpwstr>_Toc239673832</vt:lpwstr>
      </vt:variant>
      <vt:variant>
        <vt:i4>1179700</vt:i4>
      </vt:variant>
      <vt:variant>
        <vt:i4>92</vt:i4>
      </vt:variant>
      <vt:variant>
        <vt:i4>0</vt:i4>
      </vt:variant>
      <vt:variant>
        <vt:i4>5</vt:i4>
      </vt:variant>
      <vt:variant>
        <vt:lpwstr/>
      </vt:variant>
      <vt:variant>
        <vt:lpwstr>_Toc239673831</vt:lpwstr>
      </vt:variant>
      <vt:variant>
        <vt:i4>1179700</vt:i4>
      </vt:variant>
      <vt:variant>
        <vt:i4>86</vt:i4>
      </vt:variant>
      <vt:variant>
        <vt:i4>0</vt:i4>
      </vt:variant>
      <vt:variant>
        <vt:i4>5</vt:i4>
      </vt:variant>
      <vt:variant>
        <vt:lpwstr/>
      </vt:variant>
      <vt:variant>
        <vt:lpwstr>_Toc239673830</vt:lpwstr>
      </vt:variant>
      <vt:variant>
        <vt:i4>1245236</vt:i4>
      </vt:variant>
      <vt:variant>
        <vt:i4>80</vt:i4>
      </vt:variant>
      <vt:variant>
        <vt:i4>0</vt:i4>
      </vt:variant>
      <vt:variant>
        <vt:i4>5</vt:i4>
      </vt:variant>
      <vt:variant>
        <vt:lpwstr/>
      </vt:variant>
      <vt:variant>
        <vt:lpwstr>_Toc239673829</vt:lpwstr>
      </vt:variant>
      <vt:variant>
        <vt:i4>1245236</vt:i4>
      </vt:variant>
      <vt:variant>
        <vt:i4>74</vt:i4>
      </vt:variant>
      <vt:variant>
        <vt:i4>0</vt:i4>
      </vt:variant>
      <vt:variant>
        <vt:i4>5</vt:i4>
      </vt:variant>
      <vt:variant>
        <vt:lpwstr/>
      </vt:variant>
      <vt:variant>
        <vt:lpwstr>_Toc239673828</vt:lpwstr>
      </vt:variant>
      <vt:variant>
        <vt:i4>1245236</vt:i4>
      </vt:variant>
      <vt:variant>
        <vt:i4>68</vt:i4>
      </vt:variant>
      <vt:variant>
        <vt:i4>0</vt:i4>
      </vt:variant>
      <vt:variant>
        <vt:i4>5</vt:i4>
      </vt:variant>
      <vt:variant>
        <vt:lpwstr/>
      </vt:variant>
      <vt:variant>
        <vt:lpwstr>_Toc239673827</vt:lpwstr>
      </vt:variant>
      <vt:variant>
        <vt:i4>1245236</vt:i4>
      </vt:variant>
      <vt:variant>
        <vt:i4>62</vt:i4>
      </vt:variant>
      <vt:variant>
        <vt:i4>0</vt:i4>
      </vt:variant>
      <vt:variant>
        <vt:i4>5</vt:i4>
      </vt:variant>
      <vt:variant>
        <vt:lpwstr/>
      </vt:variant>
      <vt:variant>
        <vt:lpwstr>_Toc239673826</vt:lpwstr>
      </vt:variant>
      <vt:variant>
        <vt:i4>1245236</vt:i4>
      </vt:variant>
      <vt:variant>
        <vt:i4>56</vt:i4>
      </vt:variant>
      <vt:variant>
        <vt:i4>0</vt:i4>
      </vt:variant>
      <vt:variant>
        <vt:i4>5</vt:i4>
      </vt:variant>
      <vt:variant>
        <vt:lpwstr/>
      </vt:variant>
      <vt:variant>
        <vt:lpwstr>_Toc239673825</vt:lpwstr>
      </vt:variant>
      <vt:variant>
        <vt:i4>1245236</vt:i4>
      </vt:variant>
      <vt:variant>
        <vt:i4>50</vt:i4>
      </vt:variant>
      <vt:variant>
        <vt:i4>0</vt:i4>
      </vt:variant>
      <vt:variant>
        <vt:i4>5</vt:i4>
      </vt:variant>
      <vt:variant>
        <vt:lpwstr/>
      </vt:variant>
      <vt:variant>
        <vt:lpwstr>_Toc239673824</vt:lpwstr>
      </vt:variant>
      <vt:variant>
        <vt:i4>1245236</vt:i4>
      </vt:variant>
      <vt:variant>
        <vt:i4>44</vt:i4>
      </vt:variant>
      <vt:variant>
        <vt:i4>0</vt:i4>
      </vt:variant>
      <vt:variant>
        <vt:i4>5</vt:i4>
      </vt:variant>
      <vt:variant>
        <vt:lpwstr/>
      </vt:variant>
      <vt:variant>
        <vt:lpwstr>_Toc239673823</vt:lpwstr>
      </vt:variant>
      <vt:variant>
        <vt:i4>1245236</vt:i4>
      </vt:variant>
      <vt:variant>
        <vt:i4>38</vt:i4>
      </vt:variant>
      <vt:variant>
        <vt:i4>0</vt:i4>
      </vt:variant>
      <vt:variant>
        <vt:i4>5</vt:i4>
      </vt:variant>
      <vt:variant>
        <vt:lpwstr/>
      </vt:variant>
      <vt:variant>
        <vt:lpwstr>_Toc239673822</vt:lpwstr>
      </vt:variant>
      <vt:variant>
        <vt:i4>1245236</vt:i4>
      </vt:variant>
      <vt:variant>
        <vt:i4>32</vt:i4>
      </vt:variant>
      <vt:variant>
        <vt:i4>0</vt:i4>
      </vt:variant>
      <vt:variant>
        <vt:i4>5</vt:i4>
      </vt:variant>
      <vt:variant>
        <vt:lpwstr/>
      </vt:variant>
      <vt:variant>
        <vt:lpwstr>_Toc239673821</vt:lpwstr>
      </vt:variant>
      <vt:variant>
        <vt:i4>1245236</vt:i4>
      </vt:variant>
      <vt:variant>
        <vt:i4>26</vt:i4>
      </vt:variant>
      <vt:variant>
        <vt:i4>0</vt:i4>
      </vt:variant>
      <vt:variant>
        <vt:i4>5</vt:i4>
      </vt:variant>
      <vt:variant>
        <vt:lpwstr/>
      </vt:variant>
      <vt:variant>
        <vt:lpwstr>_Toc239673820</vt:lpwstr>
      </vt:variant>
      <vt:variant>
        <vt:i4>1048628</vt:i4>
      </vt:variant>
      <vt:variant>
        <vt:i4>20</vt:i4>
      </vt:variant>
      <vt:variant>
        <vt:i4>0</vt:i4>
      </vt:variant>
      <vt:variant>
        <vt:i4>5</vt:i4>
      </vt:variant>
      <vt:variant>
        <vt:lpwstr/>
      </vt:variant>
      <vt:variant>
        <vt:lpwstr>_Toc239673819</vt:lpwstr>
      </vt:variant>
      <vt:variant>
        <vt:i4>1048628</vt:i4>
      </vt:variant>
      <vt:variant>
        <vt:i4>14</vt:i4>
      </vt:variant>
      <vt:variant>
        <vt:i4>0</vt:i4>
      </vt:variant>
      <vt:variant>
        <vt:i4>5</vt:i4>
      </vt:variant>
      <vt:variant>
        <vt:lpwstr/>
      </vt:variant>
      <vt:variant>
        <vt:lpwstr>_Toc239673818</vt:lpwstr>
      </vt:variant>
      <vt:variant>
        <vt:i4>1048628</vt:i4>
      </vt:variant>
      <vt:variant>
        <vt:i4>8</vt:i4>
      </vt:variant>
      <vt:variant>
        <vt:i4>0</vt:i4>
      </vt:variant>
      <vt:variant>
        <vt:i4>5</vt:i4>
      </vt:variant>
      <vt:variant>
        <vt:lpwstr/>
      </vt:variant>
      <vt:variant>
        <vt:lpwstr>_Toc239673817</vt:lpwstr>
      </vt:variant>
      <vt:variant>
        <vt:i4>1048628</vt:i4>
      </vt:variant>
      <vt:variant>
        <vt:i4>2</vt:i4>
      </vt:variant>
      <vt:variant>
        <vt:i4>0</vt:i4>
      </vt:variant>
      <vt:variant>
        <vt:i4>5</vt:i4>
      </vt:variant>
      <vt:variant>
        <vt:lpwstr/>
      </vt:variant>
      <vt:variant>
        <vt:lpwstr>_Toc239673816</vt:lpwstr>
      </vt:variant>
      <vt:variant>
        <vt:i4>262150</vt:i4>
      </vt:variant>
      <vt:variant>
        <vt:i4>69</vt:i4>
      </vt:variant>
      <vt:variant>
        <vt:i4>0</vt:i4>
      </vt:variant>
      <vt:variant>
        <vt:i4>5</vt:i4>
      </vt:variant>
      <vt:variant>
        <vt:lpwstr>https://myintracomm.ec.europa.eu/corp/budget/financial-rules/budget-implementation/Pages/implementation-methods.aspx</vt:lpwstr>
      </vt:variant>
      <vt:variant>
        <vt:lpwstr/>
      </vt:variant>
      <vt:variant>
        <vt:i4>196728</vt:i4>
      </vt:variant>
      <vt:variant>
        <vt:i4>63</vt:i4>
      </vt:variant>
      <vt:variant>
        <vt:i4>0</vt:i4>
      </vt:variant>
      <vt:variant>
        <vt:i4>5</vt:i4>
      </vt:variant>
      <vt:variant>
        <vt:lpwstr>http://data.europa.eu/eli/dec_framw/2008/841/oj</vt:lpwstr>
      </vt:variant>
      <vt:variant>
        <vt:lpwstr/>
      </vt:variant>
      <vt:variant>
        <vt:i4>1572917</vt:i4>
      </vt:variant>
      <vt:variant>
        <vt:i4>60</vt:i4>
      </vt:variant>
      <vt:variant>
        <vt:i4>0</vt:i4>
      </vt:variant>
      <vt:variant>
        <vt:i4>5</vt:i4>
      </vt:variant>
      <vt:variant>
        <vt:lpwstr>http://data.europa.eu/eli/reg_impl/2019/1780/oj</vt:lpwstr>
      </vt:variant>
      <vt:variant>
        <vt:lpwstr/>
      </vt:variant>
      <vt:variant>
        <vt:i4>6815852</vt:i4>
      </vt:variant>
      <vt:variant>
        <vt:i4>57</vt:i4>
      </vt:variant>
      <vt:variant>
        <vt:i4>0</vt:i4>
      </vt:variant>
      <vt:variant>
        <vt:i4>5</vt:i4>
      </vt:variant>
      <vt:variant>
        <vt:lpwstr>http://data.europa.eu/eli/reg/2024/1252/oj</vt:lpwstr>
      </vt:variant>
      <vt:variant>
        <vt:lpwstr/>
      </vt:variant>
      <vt:variant>
        <vt:i4>3080232</vt:i4>
      </vt:variant>
      <vt:variant>
        <vt:i4>54</vt:i4>
      </vt:variant>
      <vt:variant>
        <vt:i4>0</vt:i4>
      </vt:variant>
      <vt:variant>
        <vt:i4>5</vt:i4>
      </vt:variant>
      <vt:variant>
        <vt:lpwstr>http://data.europa.eu/eli/reco/2023/2113/oj</vt:lpwstr>
      </vt:variant>
      <vt:variant>
        <vt:lpwstr/>
      </vt:variant>
      <vt:variant>
        <vt:i4>4915231</vt:i4>
      </vt:variant>
      <vt:variant>
        <vt:i4>51</vt:i4>
      </vt:variant>
      <vt:variant>
        <vt:i4>0</vt:i4>
      </vt:variant>
      <vt:variant>
        <vt:i4>5</vt:i4>
      </vt:variant>
      <vt:variant>
        <vt:lpwstr>http://data.europa.eu/eli/reg/2008/213/oj</vt:lpwstr>
      </vt:variant>
      <vt:variant>
        <vt:lpwstr/>
      </vt:variant>
      <vt:variant>
        <vt:i4>7209070</vt:i4>
      </vt:variant>
      <vt:variant>
        <vt:i4>48</vt:i4>
      </vt:variant>
      <vt:variant>
        <vt:i4>0</vt:i4>
      </vt:variant>
      <vt:variant>
        <vt:i4>5</vt:i4>
      </vt:variant>
      <vt:variant>
        <vt:lpwstr>http://data.europa.eu/eli/reg/2017/1001/oj</vt:lpwstr>
      </vt:variant>
      <vt:variant>
        <vt:lpwstr/>
      </vt:variant>
      <vt:variant>
        <vt:i4>1900637</vt:i4>
      </vt:variant>
      <vt:variant>
        <vt:i4>45</vt:i4>
      </vt:variant>
      <vt:variant>
        <vt:i4>0</vt:i4>
      </vt:variant>
      <vt:variant>
        <vt:i4>5</vt:i4>
      </vt:variant>
      <vt:variant>
        <vt:lpwstr>https://eur-lex.europa.eu/eli/reg/2016/679/oj/eng</vt:lpwstr>
      </vt:variant>
      <vt:variant>
        <vt:lpwstr/>
      </vt:variant>
      <vt:variant>
        <vt:i4>3211300</vt:i4>
      </vt:variant>
      <vt:variant>
        <vt:i4>42</vt:i4>
      </vt:variant>
      <vt:variant>
        <vt:i4>0</vt:i4>
      </vt:variant>
      <vt:variant>
        <vt:i4>5</vt:i4>
      </vt:variant>
      <vt:variant>
        <vt:lpwstr>https://data.europa.eu/doi/10.2777/4586624</vt:lpwstr>
      </vt:variant>
      <vt:variant>
        <vt:lpwstr/>
      </vt:variant>
      <vt:variant>
        <vt:i4>5570652</vt:i4>
      </vt:variant>
      <vt:variant>
        <vt:i4>39</vt:i4>
      </vt:variant>
      <vt:variant>
        <vt:i4>0</vt:i4>
      </vt:variant>
      <vt:variant>
        <vt:i4>5</vt:i4>
      </vt:variant>
      <vt:variant>
        <vt:lpwstr>http://data.europa.eu/eli/dir/2009/81/oj</vt:lpwstr>
      </vt:variant>
      <vt:variant>
        <vt:lpwstr/>
      </vt:variant>
      <vt:variant>
        <vt:i4>5374041</vt:i4>
      </vt:variant>
      <vt:variant>
        <vt:i4>36</vt:i4>
      </vt:variant>
      <vt:variant>
        <vt:i4>0</vt:i4>
      </vt:variant>
      <vt:variant>
        <vt:i4>5</vt:i4>
      </vt:variant>
      <vt:variant>
        <vt:lpwstr>http://data.europa.eu/eli/dir/2014/25/oj</vt:lpwstr>
      </vt:variant>
      <vt:variant>
        <vt:lpwstr/>
      </vt:variant>
      <vt:variant>
        <vt:i4>5374040</vt:i4>
      </vt:variant>
      <vt:variant>
        <vt:i4>33</vt:i4>
      </vt:variant>
      <vt:variant>
        <vt:i4>0</vt:i4>
      </vt:variant>
      <vt:variant>
        <vt:i4>5</vt:i4>
      </vt:variant>
      <vt:variant>
        <vt:lpwstr>http://data.europa.eu/eli/dir/2014/24/oj</vt:lpwstr>
      </vt:variant>
      <vt:variant>
        <vt:lpwstr/>
      </vt:variant>
      <vt:variant>
        <vt:i4>5374047</vt:i4>
      </vt:variant>
      <vt:variant>
        <vt:i4>30</vt:i4>
      </vt:variant>
      <vt:variant>
        <vt:i4>0</vt:i4>
      </vt:variant>
      <vt:variant>
        <vt:i4>5</vt:i4>
      </vt:variant>
      <vt:variant>
        <vt:lpwstr>http://data.europa.eu/eli/dir/2014/23/oj</vt:lpwstr>
      </vt:variant>
      <vt:variant>
        <vt:lpwstr/>
      </vt:variant>
      <vt:variant>
        <vt:i4>4849766</vt:i4>
      </vt:variant>
      <vt:variant>
        <vt:i4>27</vt:i4>
      </vt:variant>
      <vt:variant>
        <vt:i4>0</vt:i4>
      </vt:variant>
      <vt:variant>
        <vt:i4>5</vt:i4>
      </vt:variant>
      <vt:variant>
        <vt:lpwstr>https://www.eca.europa.eu/ECAPublications/SR-2023-28/SR-2023-28_EN.pdf</vt:lpwstr>
      </vt:variant>
      <vt:variant>
        <vt:lpwstr/>
      </vt:variant>
      <vt:variant>
        <vt:i4>4653147</vt:i4>
      </vt:variant>
      <vt:variant>
        <vt:i4>24</vt:i4>
      </vt:variant>
      <vt:variant>
        <vt:i4>0</vt:i4>
      </vt:variant>
      <vt:variant>
        <vt:i4>5</vt:i4>
      </vt:variant>
      <vt:variant>
        <vt:lpwstr>https://www.eca.europa.eu/en/publications?ref=sr-2023-28</vt:lpwstr>
      </vt:variant>
      <vt:variant>
        <vt:lpwstr/>
      </vt:variant>
      <vt:variant>
        <vt:i4>3211300</vt:i4>
      </vt:variant>
      <vt:variant>
        <vt:i4>21</vt:i4>
      </vt:variant>
      <vt:variant>
        <vt:i4>0</vt:i4>
      </vt:variant>
      <vt:variant>
        <vt:i4>5</vt:i4>
      </vt:variant>
      <vt:variant>
        <vt:lpwstr>https://data.europa.eu/doi/10.2777/4586624</vt:lpwstr>
      </vt:variant>
      <vt:variant>
        <vt:lpwstr/>
      </vt:variant>
      <vt:variant>
        <vt:i4>1310788</vt:i4>
      </vt:variant>
      <vt:variant>
        <vt:i4>18</vt:i4>
      </vt:variant>
      <vt:variant>
        <vt:i4>0</vt:i4>
      </vt:variant>
      <vt:variant>
        <vt:i4>5</vt:i4>
      </vt:variant>
      <vt:variant>
        <vt:lpwstr>https://op.europa.eu/en/publication-detail/-/publication/b690e2af-d0bd-11f0-8da2-01aa75ed71a1/language-en</vt:lpwstr>
      </vt:variant>
      <vt:variant>
        <vt:lpwstr/>
      </vt:variant>
      <vt:variant>
        <vt:i4>5963903</vt:i4>
      </vt:variant>
      <vt:variant>
        <vt:i4>15</vt:i4>
      </vt:variant>
      <vt:variant>
        <vt:i4>0</vt:i4>
      </vt:variant>
      <vt:variant>
        <vt:i4>5</vt:i4>
      </vt:variant>
      <vt:variant>
        <vt:lpwstr>https://ec.europa.eu/info/law/better-regulation/have-your-say/initiatives/14593-European-Innovation-Act/public-consultation_en</vt:lpwstr>
      </vt:variant>
      <vt:variant>
        <vt:lpwstr/>
      </vt:variant>
      <vt:variant>
        <vt:i4>2883699</vt:i4>
      </vt:variant>
      <vt:variant>
        <vt:i4>12</vt:i4>
      </vt:variant>
      <vt:variant>
        <vt:i4>0</vt:i4>
      </vt:variant>
      <vt:variant>
        <vt:i4>5</vt:i4>
      </vt:variant>
      <vt:variant>
        <vt:lpwstr>https://www.eib.org/attachments/lucalli/20240354_investment_report_2024_en.pdf</vt:lpwstr>
      </vt:variant>
      <vt:variant>
        <vt:lpwstr/>
      </vt:variant>
      <vt:variant>
        <vt:i4>8323168</vt:i4>
      </vt:variant>
      <vt:variant>
        <vt:i4>9</vt:i4>
      </vt:variant>
      <vt:variant>
        <vt:i4>0</vt:i4>
      </vt:variant>
      <vt:variant>
        <vt:i4>5</vt:i4>
      </vt:variant>
      <vt:variant>
        <vt:lpwstr>https://ec.europa.eu/commission/presscorner/detail/en/ip_24_3505</vt:lpwstr>
      </vt:variant>
      <vt:variant>
        <vt:lpwstr/>
      </vt:variant>
      <vt:variant>
        <vt:i4>7405613</vt:i4>
      </vt:variant>
      <vt:variant>
        <vt:i4>6</vt:i4>
      </vt:variant>
      <vt:variant>
        <vt:i4>0</vt:i4>
      </vt:variant>
      <vt:variant>
        <vt:i4>5</vt:i4>
      </vt:variant>
      <vt:variant>
        <vt:lpwstr>https://research-and-innovation.ec.europa.eu/strategy/support-policy-making/shaping-eu-research-and-innovation-policy/new-european-innovation-agenda/innovation-procurement/benchmarking-innovation-procurement-investments-and-policy-frameworks-across-europe_en</vt:lpwstr>
      </vt:variant>
      <vt:variant>
        <vt:lpwstr/>
      </vt:variant>
      <vt:variant>
        <vt:i4>131082</vt:i4>
      </vt:variant>
      <vt:variant>
        <vt:i4>3</vt:i4>
      </vt:variant>
      <vt:variant>
        <vt:i4>0</vt:i4>
      </vt:variant>
      <vt:variant>
        <vt:i4>5</vt:i4>
      </vt:variant>
      <vt:variant>
        <vt:lpwstr>https://eur-lex.europa.eu/legal-content/EN/TXT/?uri=CELEX%3A52007DC0799&amp;qid=1712920496109</vt:lpwstr>
      </vt:variant>
      <vt:variant>
        <vt:lpwstr/>
      </vt:variant>
      <vt:variant>
        <vt:i4>458771</vt:i4>
      </vt:variant>
      <vt:variant>
        <vt:i4>0</vt:i4>
      </vt:variant>
      <vt:variant>
        <vt:i4>0</vt:i4>
      </vt:variant>
      <vt:variant>
        <vt:i4>5</vt:i4>
      </vt:variant>
      <vt:variant>
        <vt:lpwstr>https://eur-lex.europa.eu/legal-content/EN/TXT/?uri=celex:52025DC0270</vt:lpwstr>
      </vt:variant>
      <vt:variant>
        <vt:lpwstr/>
      </vt:variant>
      <vt:variant>
        <vt:i4>655431</vt:i4>
      </vt:variant>
      <vt:variant>
        <vt:i4>22</vt:i4>
      </vt:variant>
      <vt:variant>
        <vt:i4>0</vt:i4>
      </vt:variant>
      <vt:variant>
        <vt:i4>5</vt:i4>
      </vt:variant>
      <vt:variant>
        <vt:lpwstr>C:\Program Files\LegisWrite\Dqc\Help\ModifiedStyles.html</vt:lpwstr>
      </vt:variant>
      <vt:variant>
        <vt:lpwstr>1</vt:lpwstr>
      </vt:variant>
      <vt:variant>
        <vt:i4>655431</vt:i4>
      </vt:variant>
      <vt:variant>
        <vt:i4>17</vt:i4>
      </vt:variant>
      <vt:variant>
        <vt:i4>0</vt:i4>
      </vt:variant>
      <vt:variant>
        <vt:i4>5</vt:i4>
      </vt:variant>
      <vt:variant>
        <vt:lpwstr>C:\Program Files\LegisWrite\Dqc\Help\ModifiedStyles.html</vt:lpwstr>
      </vt:variant>
      <vt:variant>
        <vt:lpwstr>1</vt:lpwstr>
      </vt:variant>
      <vt:variant>
        <vt:i4>655431</vt:i4>
      </vt:variant>
      <vt:variant>
        <vt:i4>12</vt:i4>
      </vt:variant>
      <vt:variant>
        <vt:i4>0</vt:i4>
      </vt:variant>
      <vt:variant>
        <vt:i4>5</vt:i4>
      </vt:variant>
      <vt:variant>
        <vt:lpwstr>C:\Program Files\LegisWrite\Dqc\Help\ModifiedStyles.html</vt:lpwstr>
      </vt:variant>
      <vt:variant>
        <vt:lpwstr>1</vt:lpwstr>
      </vt:variant>
      <vt:variant>
        <vt:i4>655431</vt:i4>
      </vt:variant>
      <vt:variant>
        <vt:i4>7</vt:i4>
      </vt:variant>
      <vt:variant>
        <vt:i4>0</vt:i4>
      </vt:variant>
      <vt:variant>
        <vt:i4>5</vt:i4>
      </vt:variant>
      <vt:variant>
        <vt:lpwstr>C:\Program Files\LegisWrite\Dqc\Help\ModifiedStyles.html</vt:lpwstr>
      </vt:variant>
      <vt:variant>
        <vt:lpwstr>1</vt:lpwstr>
      </vt:variant>
      <vt:variant>
        <vt:i4>655431</vt:i4>
      </vt:variant>
      <vt:variant>
        <vt:i4>2</vt:i4>
      </vt:variant>
      <vt:variant>
        <vt:i4>0</vt:i4>
      </vt:variant>
      <vt:variant>
        <vt:i4>5</vt:i4>
      </vt:variant>
      <vt:variant>
        <vt:lpwstr>C:\Program Files\LegisWrite\Dqc\Help\ModifiedStyles.html</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35</cp:revision>
  <dcterms:created xsi:type="dcterms:W3CDTF">2026-09-09T10:50:00Z</dcterms:created>
  <dcterms:modified xsi:type="dcterms:W3CDTF">2026-09-23T06:59:00Z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2026-09-08T16:21:45Z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60773369-0f1c-428e-ac89-dd1769ac6c1b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