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F50D7B-891F-4138-B0DD-6C01BFC16F2B" style="width:455.25pt;height:357.75pt">
            <v:imagedata r:id="rId8" o:title=""/>
          </v:shape>
        </w:pict>
      </w:r>
    </w:p>
    <w:p>
      <w:pPr>
        <w:tabs>
          <w:tab w:val="left" w:pos="2039"/>
        </w:tabs>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Motivele și obiectivele propunerii</w:t>
      </w:r>
    </w:p>
    <w:p>
      <w:pPr>
        <w:pBdr>
          <w:top w:val="nil"/>
          <w:left w:val="nil"/>
          <w:bottom w:val="nil"/>
          <w:right w:val="nil"/>
          <w:between w:val="nil"/>
          <w:bar w:val="nil"/>
        </w:pBdr>
        <w:spacing w:before="0" w:after="240"/>
        <w:rPr>
          <w:rFonts w:eastAsia="Arial Unicode MS"/>
          <w:noProof/>
        </w:rPr>
      </w:pPr>
      <w:r>
        <w:rPr>
          <w:noProof/>
        </w:rPr>
        <w:t>În întreaga Europă, se pune un accent politic puternic pe competitivitate și pe reglementarea favorabilă inovării, stimulându-se totodată accesul întreprinderilor pe piața mondială. Uniunea Europeană dorește să rămână un loc în care inovația radicală poate apărea și se pot dezvolta la scară largă, menținând în același timp standarde ridicate de siguranță, încredere și echitate. Totodată, întreprinderile inovatoare care doresc să se extindă în Europa pot fi împiedicate de reglementări care nu sunt suficient de flexibile</w:t>
      </w:r>
      <w:r>
        <w:rPr>
          <w:rStyle w:val="FootnoteReference"/>
          <w:noProof/>
        </w:rPr>
        <w:footnoteReference w:id="1"/>
      </w:r>
      <w:r>
        <w:rPr>
          <w:noProof/>
        </w:rPr>
        <w:t xml:space="preserve">, ceea ce creează anumite provocări pentru inovatori. Fragmentarea existentă la nivelul statelor membre în domenii în care nu există o legislație armonizată la nivelul UE creează, de asemenea, condiții de concurență inechitabile și costuri de asigurare a conformității mai mari pentru inovatorii care doresc să testeze soluții în condiții reale în diferite state membre. </w:t>
      </w:r>
    </w:p>
    <w:p>
      <w:pPr>
        <w:pBdr>
          <w:top w:val="nil"/>
          <w:left w:val="nil"/>
          <w:bottom w:val="nil"/>
          <w:right w:val="nil"/>
          <w:between w:val="nil"/>
          <w:bar w:val="nil"/>
        </w:pBdr>
        <w:spacing w:before="0" w:after="240"/>
        <w:rPr>
          <w:rFonts w:eastAsia="Arial Unicode MS"/>
          <w:noProof/>
        </w:rPr>
      </w:pPr>
      <w:r>
        <w:rPr>
          <w:noProof/>
        </w:rPr>
        <w:t>Ca răspuns, Comisia a adoptat Strategia UE privind start-upurile și întreprinderile în fază de extindere</w:t>
      </w:r>
      <w:r>
        <w:rPr>
          <w:rStyle w:val="FootnoteReference"/>
          <w:noProof/>
        </w:rPr>
        <w:footnoteReference w:id="2"/>
      </w:r>
      <w:r>
        <w:rPr>
          <w:noProof/>
        </w:rPr>
        <w:t xml:space="preserve"> în mai 2025, prezentând planuri de sporire a agilității Uniunii în materie de reglementare. Printre alte măsuri, spațiile de testare în materie de reglementare pot oferi întreprinderilor, inclusiv IMM-urilor, start-upurilor și altor părți interesate, medii de testare și pot accelera intrarea pe piață. În același timp, autoritățile de reglementare pot înțelege mai bine nevoile inovațiilor emergente și pot adapta normele pentru a răspunde mai eficient provocărilor cu care se confruntă. Spațiile de testare în materie de reglementare sunt instituite, de obicei, de la caz la caz, cu un domeniu de aplicare clar. Este important de remarcat faptul că acest instrument de experimentare nu se referă la dereglementare. Dimpotrivă, obiectivul său este de a crea un spațiu sigur în care inovarea și învățarea în materie de reglementare să poată evolua în paralel. Spațiile de testare în materie de reglementare oferă o modalitate practică de a învăța prin exercițiu și permit obținerea unor perspective directe asupra inovării emergente – inclusiv asupra riscurilor și a impactului acestora. Ele pot, de asemenea, să reducă barierele la intrarea pe piață pentru inovatori și pot îmbunătăți comunicarea și coordonarea între diferitele autorități publice și inovatori, în special în ceea ce privește inovarea transsectorială. </w:t>
      </w:r>
    </w:p>
    <w:p>
      <w:pPr>
        <w:pBdr>
          <w:top w:val="nil"/>
          <w:left w:val="nil"/>
          <w:bottom w:val="nil"/>
          <w:right w:val="nil"/>
          <w:between w:val="nil"/>
          <w:bar w:val="nil"/>
        </w:pBdr>
        <w:spacing w:before="0" w:after="240"/>
        <w:rPr>
          <w:rFonts w:eastAsia="Arial Unicode MS"/>
          <w:noProof/>
        </w:rPr>
      </w:pPr>
      <w:r>
        <w:rPr>
          <w:noProof/>
        </w:rPr>
        <w:t>În 2025, Comisia a realizat, de asemenea, un sondaj în rândul statelor membre cu privire la experiența lor națională în ceea ce privește spațiile de testare în materie de reglementare</w:t>
      </w:r>
      <w:r>
        <w:rPr>
          <w:rStyle w:val="FootnoteReference"/>
          <w:noProof/>
        </w:rPr>
        <w:footnoteReference w:id="3"/>
      </w:r>
      <w:r>
        <w:rPr>
          <w:noProof/>
        </w:rPr>
        <w:t>. Informațiile colective din partea statelor membre respondente au subliniat necesitatea unui sprijin politic, a unei comunicări deschise, a unei alocări adecvate a resurselor și a unor cadre flexibile și bine definite pentru succesul spațiului de testare în materie de reglementare. Colaborarea continuă, ajustările iterative și implicarea strânsă a părților interesate rămân esențiale pentru valorificarea deplină a potențialului spațiilor de testare în materie de reglementare. Împreună, aceste informații indică necesitatea unor cadre procedurale clare, a unei colaborări strânse cu părțile interesate, a unei proiectări flexibile, a unei comunicări eficace și a alinierii strategice la obiective economice și sociale mai ample.</w:t>
      </w:r>
    </w:p>
    <w:p>
      <w:pPr>
        <w:pBdr>
          <w:top w:val="nil"/>
          <w:left w:val="nil"/>
          <w:bottom w:val="nil"/>
          <w:right w:val="nil"/>
          <w:between w:val="nil"/>
          <w:bar w:val="nil"/>
        </w:pBdr>
        <w:spacing w:before="0" w:after="240"/>
        <w:rPr>
          <w:noProof/>
        </w:rPr>
      </w:pPr>
      <w:bookmarkStart w:id="0" w:name="_Hlk235114079"/>
      <w:r>
        <w:rPr>
          <w:noProof/>
        </w:rPr>
        <w:lastRenderedPageBreak/>
        <w:t>Obiectivul prezentei propuneri de recomandare a Consiliului este de a contribui la un mediu în care inovarea și reglementarea să stimuleze creșterea, competitivitatea și reziliența în întreaga UE. Propunerea stabilește un cadru de referință comun al UE pentru spațiile de testare în materie de reglementare în domenii în care nu există legislație a Uniunii, incluzând o definiție și principii privind instituirea, supravegherea și utilizarea transfrontalieră a acestora. Cadrul va contribui la o înțelegere comună a acestui instrument de experimentare în materie de reglementare în întreaga Uniune, permițând utilizarea sa într-un mod mai eficace și mai eficient, pe baza experiențelor existente, a bunelor practici ale statelor membre și a inițiativelor deja existente. În practică, acesta clarifică, de asemenea, accesul la spațiile de testare în materie de reglementare și contribuie la reducerea fragmentării între statele membre. Propunerea Comisiei promovează învățarea în materie de reglementare și va consolida și mai mult dialogul cu statele membre în viitor. Pentru inovatori, spațiile de testare în materie de reglementare puse în aplicare în mod corespunzător pot îmbunătăți claritatea în materie de reglementare și pot facilita dezvoltarea de soluții inovatoare, cum ar fi tehnologiile, produsele, serviciile și modelele de afaceri.</w:t>
      </w:r>
      <w:bookmarkEnd w:id="0"/>
    </w:p>
    <w:p>
      <w:pPr>
        <w:pStyle w:val="ManualHeading2"/>
        <w:rPr>
          <w:rFonts w:eastAsia="Arial Unicode MS"/>
          <w:noProof/>
          <w:color w:val="000000"/>
          <w:u w:color="000000"/>
          <w:bdr w:val="nil"/>
        </w:rPr>
      </w:pPr>
      <w:r>
        <w:rPr>
          <w:noProof/>
          <w:color w:val="000000"/>
          <w:u w:color="000000"/>
          <w:bdr w:val="nil"/>
        </w:rPr>
        <w:t>•</w:t>
      </w:r>
      <w:r>
        <w:rPr>
          <w:noProof/>
          <w:color w:val="000000"/>
          <w:u w:color="000000"/>
          <w:bdr w:val="nil"/>
        </w:rPr>
        <w:tab/>
      </w:r>
      <w:r>
        <w:rPr>
          <w:noProof/>
        </w:rPr>
        <w:t>Coerența cu dispozițiile de politică deja existente în domeniul de politică vizat</w:t>
      </w:r>
    </w:p>
    <w:p>
      <w:pPr>
        <w:pBdr>
          <w:top w:val="nil"/>
          <w:left w:val="nil"/>
          <w:bottom w:val="nil"/>
          <w:right w:val="nil"/>
          <w:between w:val="nil"/>
          <w:bar w:val="nil"/>
        </w:pBdr>
        <w:spacing w:before="0" w:after="240"/>
        <w:rPr>
          <w:rFonts w:eastAsia="Arial Unicode MS"/>
          <w:noProof/>
        </w:rPr>
      </w:pPr>
      <w:r>
        <w:rPr>
          <w:noProof/>
        </w:rPr>
        <w:t>În concluziile Consiliului din 30 septembrie 2025 referitoare la „Importanța cercetării și inovării pentru Strategia UE privind start-upurile și întreprinderile în fază de extindere”</w:t>
      </w:r>
      <w:r>
        <w:rPr>
          <w:rStyle w:val="FootnoteReference"/>
          <w:noProof/>
        </w:rPr>
        <w:footnoteReference w:id="4"/>
      </w:r>
      <w:r>
        <w:rPr>
          <w:noProof/>
        </w:rPr>
        <w:t xml:space="preserve">, s-a recunoscut importanța pe care spațiile de testare în materie de reglementare o au pentru facilitarea intrării pe piață a inovațiilor prin sprijinirea start-upurilor și a întreprinderilor în fază de extindere inovatoare în dezvoltarea și testarea de noi idei, prin evaluarea conformității noilor soluții cu reglementările, prin îmbunătățirea învățării în materie de reglementare, precum și prin emiterea de recomandări pentru depășirea obstacolelor în materie de reglementare. Pentru a asigura punerea în aplicare rapidă și eficace a spațiilor de testare în materie de reglementare, prezentele concluzii ale Consiliului au încurajat Uniunea să elaboreze norme clare și eficiente în ceea ce privește spațiile de testare în materie de reglementare din viitorul Act european pentru inovare, inclusiv în ceea ce privește spațiile de testare în materie de reglementare de la nivelul întregii Uniuni. </w:t>
      </w:r>
    </w:p>
    <w:p>
      <w:pPr>
        <w:pBdr>
          <w:top w:val="nil"/>
          <w:left w:val="nil"/>
          <w:bottom w:val="nil"/>
          <w:right w:val="nil"/>
          <w:between w:val="nil"/>
          <w:bar w:val="nil"/>
        </w:pBdr>
        <w:spacing w:before="0" w:after="240"/>
        <w:rPr>
          <w:rFonts w:eastAsia="Arial Unicode MS"/>
          <w:noProof/>
        </w:rPr>
      </w:pPr>
      <w:r>
        <w:rPr>
          <w:noProof/>
        </w:rPr>
        <w:t>Prezenta propunere de recomandare a Consiliului este adoptată împreună cu propunerea de Act european pentru inovare</w:t>
      </w:r>
      <w:r>
        <w:rPr>
          <w:rStyle w:val="FootnoteReference"/>
          <w:rFonts w:eastAsia="Arial Unicode MS"/>
          <w:noProof/>
        </w:rPr>
        <w:footnoteReference w:id="5"/>
      </w:r>
      <w:r>
        <w:rPr>
          <w:noProof/>
        </w:rPr>
        <w:t>.</w:t>
      </w:r>
    </w:p>
    <w:p>
      <w:pPr>
        <w:pBdr>
          <w:top w:val="nil"/>
          <w:left w:val="nil"/>
          <w:bottom w:val="nil"/>
          <w:right w:val="nil"/>
          <w:between w:val="nil"/>
          <w:bar w:val="nil"/>
        </w:pBdr>
        <w:spacing w:before="0" w:after="240"/>
        <w:rPr>
          <w:noProof/>
        </w:rPr>
      </w:pPr>
      <w:r>
        <w:rPr>
          <w:noProof/>
        </w:rPr>
        <w:t>Propunerea vine în continuarea Concluziilor Consiliului din 2020 privind rolul spațiilor de testare în materie de reglementare și al clauzelor de experimentare într-un cadru de reglementare al UE favorabil inovării, adaptat exigențelor viitorului, durabil și rezilient</w:t>
      </w:r>
      <w:r>
        <w:rPr>
          <w:rStyle w:val="FootnoteReference"/>
          <w:noProof/>
        </w:rPr>
        <w:footnoteReference w:id="6"/>
      </w:r>
      <w:r>
        <w:rPr>
          <w:noProof/>
        </w:rPr>
        <w:t>. În concluziile sale, Consiliul îndeamnă Comisia să organizeze, în cooperare cu statele membre, un schimb de informații și de bune practici privind spațiile de testare în materie de reglementare între statele membre și Comisie, în vederea:</w:t>
      </w:r>
    </w:p>
    <w:p>
      <w:pPr>
        <w:pStyle w:val="Point0"/>
        <w:rPr>
          <w:noProof/>
        </w:rPr>
      </w:pPr>
      <w:r>
        <w:rPr>
          <w:noProof/>
        </w:rPr>
        <w:t>(a)</w:t>
      </w:r>
      <w:r>
        <w:rPr>
          <w:noProof/>
        </w:rPr>
        <w:tab/>
        <w:t>stabilirii unei imagini de ansamblu a situației în ceea ce privește utilizarea spațiilor de testare în materie de reglementare în UE;</w:t>
      </w:r>
    </w:p>
    <w:p>
      <w:pPr>
        <w:pStyle w:val="Point0"/>
        <w:rPr>
          <w:noProof/>
        </w:rPr>
      </w:pPr>
      <w:r>
        <w:rPr>
          <w:noProof/>
        </w:rPr>
        <w:t>(b)</w:t>
      </w:r>
      <w:r>
        <w:rPr>
          <w:noProof/>
        </w:rPr>
        <w:tab/>
        <w:t>identificării experiențelor legate de temeiul juridic, a punerii în aplicare și a evaluării spațiilor de testare în materie de reglementare;</w:t>
      </w:r>
    </w:p>
    <w:p>
      <w:pPr>
        <w:pStyle w:val="Point0"/>
        <w:rPr>
          <w:noProof/>
        </w:rPr>
      </w:pPr>
      <w:r>
        <w:rPr>
          <w:noProof/>
        </w:rPr>
        <w:t>(c)</w:t>
      </w:r>
      <w:r>
        <w:rPr>
          <w:noProof/>
        </w:rPr>
        <w:tab/>
        <w:t>analizării modului în care învățarea din spațiile de testare în materie de reglementare la nivel național poate contribui la elaborarea de politici bazate pe date concrete la nivelul UE.</w:t>
      </w:r>
    </w:p>
    <w:p>
      <w:pPr>
        <w:pBdr>
          <w:top w:val="nil"/>
          <w:left w:val="nil"/>
          <w:bottom w:val="nil"/>
          <w:right w:val="nil"/>
          <w:between w:val="nil"/>
          <w:bar w:val="nil"/>
        </w:pBdr>
        <w:spacing w:before="0" w:after="240"/>
        <w:rPr>
          <w:rFonts w:eastAsia="Arial Unicode MS"/>
          <w:noProof/>
        </w:rPr>
      </w:pPr>
      <w:r>
        <w:rPr>
          <w:noProof/>
        </w:rPr>
        <w:t>Ca răspuns, Comisia a adoptat deja documentul de lucru al serviciilor Comisiei din 2023 privind învățarea în materie de reglementare în UE</w:t>
      </w:r>
      <w:r>
        <w:rPr>
          <w:rStyle w:val="FootnoteReference"/>
          <w:noProof/>
        </w:rPr>
        <w:footnoteReference w:id="7"/>
      </w:r>
      <w:r>
        <w:rPr>
          <w:noProof/>
        </w:rPr>
        <w:t>, una dintre acțiunile privind Noua agendă europeană de inovare (NEIA)</w:t>
      </w:r>
      <w:r>
        <w:rPr>
          <w:rStyle w:val="FootnoteReference"/>
          <w:noProof/>
        </w:rPr>
        <w:footnoteReference w:id="8"/>
      </w:r>
      <w:r>
        <w:rPr>
          <w:noProof/>
        </w:rPr>
        <w:t>, și a efectuat un sondaj de monitorizare a statelor membre în 2025 privind spațiile de testare în materie de reglementare.</w:t>
      </w:r>
    </w:p>
    <w:p>
      <w:pPr>
        <w:pStyle w:val="ManualHeading2"/>
        <w:rPr>
          <w:rFonts w:eastAsia="Arial Unicode MS"/>
          <w:noProof/>
        </w:rPr>
      </w:pPr>
      <w:r>
        <w:rPr>
          <w:noProof/>
          <w:u w:color="000000"/>
          <w:bdr w:val="nil"/>
        </w:rPr>
        <w:t>•</w:t>
      </w:r>
      <w:r>
        <w:rPr>
          <w:noProof/>
          <w:u w:color="000000"/>
          <w:bdr w:val="nil"/>
        </w:rPr>
        <w:tab/>
      </w:r>
      <w:r>
        <w:rPr>
          <w:noProof/>
        </w:rPr>
        <w:t>Coerența cu alte politici ale Uniunii</w:t>
      </w:r>
    </w:p>
    <w:p>
      <w:pPr>
        <w:pBdr>
          <w:top w:val="nil"/>
          <w:left w:val="nil"/>
          <w:bottom w:val="nil"/>
          <w:right w:val="nil"/>
          <w:between w:val="nil"/>
          <w:bar w:val="nil"/>
        </w:pBdr>
        <w:spacing w:before="0" w:after="240"/>
        <w:rPr>
          <w:rFonts w:eastAsia="Arial Unicode MS"/>
          <w:noProof/>
        </w:rPr>
      </w:pPr>
      <w:r>
        <w:rPr>
          <w:noProof/>
        </w:rPr>
        <w:t xml:space="preserve">Prezenta propunere recunoaște toate domeniile de politică în care Uniunea și statele membre au competență partajată. Aceasta ține seama de faptul că spațiile de testare în materie de reglementare au fost deja introduse în legislație sau fac parte din propunerile legislative în curs, inclusiv: </w:t>
      </w:r>
    </w:p>
    <w:p>
      <w:pPr>
        <w:pStyle w:val="Bullet0"/>
        <w:numPr>
          <w:ilvl w:val="0"/>
          <w:numId w:val="17"/>
        </w:numPr>
        <w:rPr>
          <w:noProof/>
        </w:rPr>
      </w:pPr>
      <w:r>
        <w:rPr>
          <w:b/>
          <w:noProof/>
        </w:rPr>
        <w:t>inteligența artificială</w:t>
      </w:r>
      <w:r>
        <w:rPr>
          <w:noProof/>
        </w:rPr>
        <w:t>, Regulamentul (UE) 2024/1689 („Regulamentul IA”)</w:t>
      </w:r>
      <w:r>
        <w:rPr>
          <w:rStyle w:val="FootnoteReference"/>
          <w:noProof/>
        </w:rPr>
        <w:footnoteReference w:id="9"/>
      </w:r>
      <w:r>
        <w:rPr>
          <w:noProof/>
        </w:rPr>
        <w:t xml:space="preserve"> impunând statelor membre să instituie cel puțin un spațiu de testare în materie de reglementare în acest domeniu care să asigure acoperire națională; </w:t>
      </w:r>
    </w:p>
    <w:p>
      <w:pPr>
        <w:pStyle w:val="Bullet0"/>
        <w:rPr>
          <w:noProof/>
        </w:rPr>
      </w:pPr>
      <w:r>
        <w:rPr>
          <w:b/>
          <w:noProof/>
        </w:rPr>
        <w:t>biotehnologia</w:t>
      </w:r>
      <w:r>
        <w:rPr>
          <w:noProof/>
        </w:rPr>
        <w:t>, ca urmare a propunerii Comisiei de act legislativ european privind biotehnologia din 2025</w:t>
      </w:r>
      <w:r>
        <w:rPr>
          <w:rStyle w:val="FootnoteReference"/>
          <w:noProof/>
        </w:rPr>
        <w:footnoteReference w:id="10"/>
      </w:r>
      <w:r>
        <w:rPr>
          <w:noProof/>
        </w:rPr>
        <w:t>, care a prezentat cinci cadre privind spațiul de testare în materie de reglementare și se bazează pe Cadrul strategic al UE pentru o bioeconomie competitivă și durabilă</w:t>
      </w:r>
      <w:r>
        <w:rPr>
          <w:rStyle w:val="FootnoteReference"/>
          <w:noProof/>
        </w:rPr>
        <w:footnoteReference w:id="11"/>
      </w:r>
      <w:r>
        <w:rPr>
          <w:noProof/>
        </w:rPr>
        <w:t>,</w:t>
      </w:r>
    </w:p>
    <w:p>
      <w:pPr>
        <w:pStyle w:val="Bullet0"/>
        <w:rPr>
          <w:noProof/>
        </w:rPr>
      </w:pPr>
      <w:r>
        <w:rPr>
          <w:b/>
          <w:noProof/>
        </w:rPr>
        <w:t>securitatea cibernetică</w:t>
      </w:r>
      <w:r>
        <w:rPr>
          <w:noProof/>
        </w:rPr>
        <w:t>, domeniu în care Regulamentul privind reziliența cibernetică</w:t>
      </w:r>
      <w:r>
        <w:rPr>
          <w:rStyle w:val="FootnoteReference"/>
          <w:noProof/>
        </w:rPr>
        <w:footnoteReference w:id="12"/>
      </w:r>
      <w:r>
        <w:rPr>
          <w:noProof/>
        </w:rPr>
        <w:t>, adoptat în 2024, a introdus dispoziții privind spațiile de testare în materie de reglementare pentru produsele cu elemente digitale;</w:t>
      </w:r>
    </w:p>
    <w:p>
      <w:pPr>
        <w:pStyle w:val="Bullet0"/>
        <w:rPr>
          <w:noProof/>
        </w:rPr>
      </w:pPr>
      <w:r>
        <w:rPr>
          <w:b/>
          <w:noProof/>
        </w:rPr>
        <w:t>interoperabilitatea sectorului public</w:t>
      </w:r>
      <w:r>
        <w:rPr>
          <w:noProof/>
        </w:rPr>
        <w:t>, unde spațiile de testare transfrontaliere în materie de reglementare au fost introduse în Regulamentul privind Europa interoperabilă</w:t>
      </w:r>
      <w:r>
        <w:rPr>
          <w:rStyle w:val="FootnoteReference"/>
          <w:noProof/>
        </w:rPr>
        <w:footnoteReference w:id="13"/>
      </w:r>
      <w:r>
        <w:rPr>
          <w:noProof/>
        </w:rPr>
        <w:t xml:space="preserve">, adoptat în 2024;  </w:t>
      </w:r>
    </w:p>
    <w:p>
      <w:pPr>
        <w:pStyle w:val="Bullet0"/>
        <w:numPr>
          <w:ilvl w:val="0"/>
          <w:numId w:val="13"/>
        </w:numPr>
        <w:rPr>
          <w:noProof/>
        </w:rPr>
      </w:pPr>
      <w:r>
        <w:rPr>
          <w:b/>
          <w:noProof/>
        </w:rPr>
        <w:t>tranzițiile energetică, climatică și de mediu</w:t>
      </w:r>
      <w:r>
        <w:rPr>
          <w:noProof/>
        </w:rPr>
        <w:t>, în urma adoptării Regulamentului privind industria „zero net” din 2024</w:t>
      </w:r>
      <w:r>
        <w:rPr>
          <w:rStyle w:val="FootnoteReference"/>
          <w:noProof/>
        </w:rPr>
        <w:footnoteReference w:id="14"/>
      </w:r>
      <w:r>
        <w:rPr>
          <w:noProof/>
        </w:rPr>
        <w:t>, care include, de asemenea, dispoziții privind spațiile de testare în materie de reglementare. Contribuind la obiectivele Europei privind poziția de lider tehnologic în domeniul maritim, suveranitatea industrială și obiectivele dublei tranziții, Strategia maritimă industrială din 2026 „încurajează statele membre să sprijine în continuare adoptarea rapidă a inovării, inclusiv a bancurilor de testare și a experimentării în materie de reglementare”</w:t>
      </w:r>
      <w:r>
        <w:rPr>
          <w:rStyle w:val="FootnoteReference"/>
          <w:noProof/>
        </w:rPr>
        <w:footnoteReference w:id="15"/>
      </w:r>
      <w:r>
        <w:rPr>
          <w:noProof/>
        </w:rPr>
        <w:t>. În aceeași ordine de idei, potrivit Strategiei din 2026 pentru dezvoltarea și implementarea reactoarelor modulare mici (SMR) în Europa, Comisia „va sprijini statele membre în dezvoltarea unor spații de testare în materie de reglementare pentru SMR”, pe baza spațiilor de testare în materie de reglementare prevăzute în Regulamentul privind industria „zero net”</w:t>
      </w:r>
      <w:r>
        <w:rPr>
          <w:rStyle w:val="FootnoteReference"/>
          <w:rFonts w:eastAsia="Arial Unicode MS"/>
          <w:noProof/>
        </w:rPr>
        <w:footnoteReference w:id="16"/>
      </w:r>
      <w:r>
        <w:rPr>
          <w:noProof/>
        </w:rPr>
        <w:t>,</w:t>
      </w:r>
    </w:p>
    <w:p>
      <w:pPr>
        <w:pStyle w:val="Bullet0"/>
        <w:numPr>
          <w:ilvl w:val="0"/>
          <w:numId w:val="13"/>
        </w:numPr>
        <w:rPr>
          <w:noProof/>
        </w:rPr>
      </w:pPr>
      <w:r>
        <w:rPr>
          <w:b/>
          <w:noProof/>
        </w:rPr>
        <w:t>sectorul financiar</w:t>
      </w:r>
      <w:r>
        <w:rPr>
          <w:noProof/>
        </w:rPr>
        <w:t>, în care infrastructurile pieței bazate pe tehnologia registrelor distribuite au beneficiat de un regim-pilot prevăzut în Regulamentul (UE) 2022/858 („Regulamentul privind regimul-pilot bazat pe DLT”)</w:t>
      </w:r>
      <w:r>
        <w:rPr>
          <w:rStyle w:val="FootnoteReference"/>
          <w:rFonts w:eastAsia="Arial Unicode MS"/>
          <w:noProof/>
        </w:rPr>
        <w:footnoteReference w:id="17"/>
      </w:r>
      <w:r>
        <w:rPr>
          <w:noProof/>
        </w:rPr>
        <w:t xml:space="preserve">; </w:t>
      </w:r>
    </w:p>
    <w:p>
      <w:pPr>
        <w:pStyle w:val="Bullet0"/>
        <w:numPr>
          <w:ilvl w:val="0"/>
          <w:numId w:val="13"/>
        </w:numPr>
        <w:rPr>
          <w:noProof/>
        </w:rPr>
      </w:pPr>
      <w:r>
        <w:rPr>
          <w:b/>
          <w:noProof/>
        </w:rPr>
        <w:t>mobilitatea</w:t>
      </w:r>
      <w:r>
        <w:rPr>
          <w:noProof/>
        </w:rPr>
        <w:t>, întrucât spațiile de testare în materie de reglementare sunt abordate în Planul de acțiune industrială pentru sectorul european al autovehiculelor, cu scopul de a stimula pregătirea pieței și comercializarea vehiculelor autonome. În plus, acestea sunt incluse în propunerea Comisiei menită să faciliteze o dezvoltare mai rapidă și autonomă a unor soluții inovatoare de transport cu dublă utilizare, în condiții de cooperare între autoritățile civile și militare</w:t>
      </w:r>
      <w:r>
        <w:rPr>
          <w:rStyle w:val="FootnoteReference"/>
          <w:rFonts w:eastAsia="Arial Unicode MS"/>
          <w:noProof/>
        </w:rPr>
        <w:footnoteReference w:id="18"/>
      </w:r>
      <w:r>
        <w:rPr>
          <w:noProof/>
        </w:rPr>
        <w:t>,</w:t>
      </w:r>
    </w:p>
    <w:p>
      <w:pPr>
        <w:pStyle w:val="Bullet0"/>
        <w:numPr>
          <w:ilvl w:val="0"/>
          <w:numId w:val="13"/>
        </w:numPr>
        <w:rPr>
          <w:b/>
          <w:noProof/>
        </w:rPr>
      </w:pPr>
      <w:r>
        <w:rPr>
          <w:b/>
          <w:noProof/>
        </w:rPr>
        <w:t>științele vieții și sectorul farmaceutic</w:t>
      </w:r>
      <w:r>
        <w:rPr>
          <w:noProof/>
        </w:rPr>
        <w:t>, cu dispoziții privind spațiile de testare în materie de reglementare incluse în regulamentul convenit la nivel politic de stabilire a procedurilor la nivelul Uniunii privind autorizarea și supravegherea medicamentelor de uz uman și de stabilire a normelor care reglementează Agenția Europeană pentru Medicamente</w:t>
      </w:r>
      <w:r>
        <w:rPr>
          <w:rStyle w:val="FootnoteReference"/>
          <w:rFonts w:eastAsia="Arial Unicode MS"/>
          <w:noProof/>
        </w:rPr>
        <w:footnoteReference w:id="19"/>
      </w:r>
      <w:r>
        <w:rPr>
          <w:noProof/>
        </w:rPr>
        <w:t xml:space="preserve">, precum și în propunerea de revizuire a regulamentelor UE privind dispozitivele medicale și dispozitivele medicale pentru diagnostic </w:t>
      </w:r>
      <w:r>
        <w:rPr>
          <w:i/>
          <w:noProof/>
        </w:rPr>
        <w:t>in vitro</w:t>
      </w:r>
      <w:r>
        <w:rPr>
          <w:rStyle w:val="FootnoteReference"/>
          <w:noProof/>
        </w:rPr>
        <w:footnoteReference w:id="20"/>
      </w:r>
      <w:r>
        <w:rPr>
          <w:noProof/>
        </w:rPr>
        <w:t xml:space="preserve"> și în propunerea de act legislativ european privind biotehnologia, care abordează, de asemenea, spațiile de testare în materie de reglementare în domeniul lanțului alimentar</w:t>
      </w:r>
      <w:r>
        <w:rPr>
          <w:rStyle w:val="FootnoteReference"/>
          <w:noProof/>
        </w:rPr>
        <w:footnoteReference w:id="21"/>
      </w:r>
      <w:r>
        <w:rPr>
          <w:noProof/>
        </w:rPr>
        <w:t>.</w:t>
      </w:r>
      <w:r>
        <w:rPr>
          <w:b/>
          <w:noProof/>
        </w:rPr>
        <w:t xml:space="preserve"> </w:t>
      </w:r>
      <w:r>
        <w:rPr>
          <w:noProof/>
        </w:rPr>
        <w:t>Potrivit Strategiei Comisiei de poziționare a Uniunii ca cel mai atractiv loc din lume pentru științele vieții până în 2030, „sistemele de reglementare trebuie să reacționeze repede în privința tehnologiilor emergente și să țină pasul cu progresele științifice. Legislația viitoare ar trebui să integreze clauze de experimentare, derogări și utilizarea mediilor de testare, cum ar fi spațiile de testare în materie de reglementare”</w:t>
      </w:r>
      <w:r>
        <w:rPr>
          <w:rStyle w:val="FootnoteReference"/>
          <w:rFonts w:eastAsia="Arial Unicode MS"/>
          <w:noProof/>
        </w:rPr>
        <w:footnoteReference w:id="22"/>
      </w:r>
      <w:r>
        <w:rPr>
          <w:noProof/>
        </w:rPr>
        <w:t>.</w:t>
      </w:r>
    </w:p>
    <w:p>
      <w:pPr>
        <w:rPr>
          <w:rFonts w:eastAsia="Arial Unicode MS"/>
          <w:b/>
          <w:bCs/>
          <w:noProof/>
        </w:rPr>
      </w:pPr>
      <w:r>
        <w:rPr>
          <w:noProof/>
        </w:rPr>
        <w:t xml:space="preserve">Prezenta propunere se axează pe spațiile naționale de testare în materie de reglementare instituite de statele membre și nu aduce atingere dispozițiilor legislative existente ale Uniunii privind spațiile de testare în materie de reglementare sau propunerilor Comisiei de noi inițiative legislative. Propunerea încurajează statele membre să se bazeze pe cadrul legislativ existent în ceea ce privește spațiile de testare în materie de reglementare instituit în temeiul dreptului Uniunii, după caz.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u w:color="000000"/>
          <w:bdr w:val="nil"/>
        </w:rPr>
        <w:tab/>
        <w:t>Temeiul juridic</w:t>
      </w:r>
    </w:p>
    <w:p>
      <w:pPr>
        <w:spacing w:after="0"/>
        <w:rPr>
          <w:rFonts w:cstheme="minorHAnsi"/>
          <w:noProof/>
          <w:szCs w:val="24"/>
        </w:rPr>
      </w:pPr>
      <w:r>
        <w:rPr>
          <w:noProof/>
        </w:rPr>
        <w:t>Temeiul juridic al prezentei inițiative îl constituie articolul 173 alineatul (3) și articolul 292 din Tratatul privind funcționarea Uniunii Europene (TFUE). În conformitate cu articolul 292 din TFUE, Consiliul poate adopta recomandări și hotărăște, la propunerea Comisiei, în toate cazurile în care tratatele prevăd că trebuie să adopte acte la propunerea Comisiei.</w:t>
      </w:r>
      <w:r>
        <w:rPr>
          <w:noProof/>
        </w:rPr>
        <w:br/>
      </w:r>
    </w:p>
    <w:p>
      <w:pPr>
        <w:pBdr>
          <w:top w:val="nil"/>
          <w:left w:val="nil"/>
          <w:bottom w:val="nil"/>
          <w:right w:val="nil"/>
          <w:between w:val="nil"/>
          <w:bar w:val="nil"/>
        </w:pBdr>
        <w:spacing w:before="0" w:after="240"/>
        <w:rPr>
          <w:rFonts w:eastAsia="Arial Unicode MS"/>
          <w:noProof/>
          <w:color w:val="0000FF"/>
        </w:rPr>
      </w:pPr>
      <w:r>
        <w:rPr>
          <w:noProof/>
        </w:rPr>
        <w:t>În conformitate cu articolul 173 din TFUE, Uniunea și statele membre asigură condițiile necesare competitivității industriei Uniunii. Aceasta include și favorizarea unei exploatări mai bune a potențialului industrial al politicilor de inovare, cercetare și dezvoltare tehnologică. În special, în conformitate cu articolul 173 alineatul (3), Uniunea contribuie la realizarea obiectivelor menționate la articolul 173 alineatul (1) prin politicile și acțiunile pe care le desfășoară în temeiul altor dispoziții din tratate.</w:t>
      </w:r>
    </w:p>
    <w:p>
      <w:pPr>
        <w:pBdr>
          <w:top w:val="nil"/>
          <w:left w:val="nil"/>
          <w:bottom w:val="nil"/>
          <w:right w:val="nil"/>
          <w:between w:val="nil"/>
          <w:bar w:val="nil"/>
        </w:pBdr>
        <w:spacing w:before="0" w:after="240"/>
        <w:rPr>
          <w:rFonts w:eastAsia="Arial Unicode MS"/>
          <w:noProof/>
        </w:rPr>
      </w:pPr>
      <w:r>
        <w:rPr>
          <w:noProof/>
        </w:rPr>
        <w:t>Inițiativa nu propune nicio extindere a competenței de reglementare a Uniunii sau a angajamentelor cu caracter obligatoriu care revin statelor membre. Statele membre sunt cele care vor decide, în funcție de circumstanțele lor naționale, modul în care pun în aplicare prezenta recomandare a Consiliului, ținând seama de legislația aplicabilă relevantă a Uniunii.</w:t>
      </w:r>
    </w:p>
    <w:p>
      <w:pPr>
        <w:pStyle w:val="ManualHeading2"/>
        <w:rPr>
          <w:rFonts w:eastAsia="Arial Unicode MS"/>
          <w:noProof/>
          <w:u w:color="000000"/>
          <w:bdr w:val="nil"/>
        </w:rPr>
      </w:pPr>
      <w:r>
        <w:rPr>
          <w:noProof/>
          <w:u w:color="000000"/>
          <w:bdr w:val="nil"/>
        </w:rPr>
        <w:t>•</w:t>
      </w:r>
      <w:r>
        <w:rPr>
          <w:noProof/>
          <w:u w:color="000000"/>
          <w:bdr w:val="nil"/>
        </w:rPr>
        <w:tab/>
        <w:t xml:space="preserve">Subsidiaritatea (în cazul competențelor neexclusive) </w:t>
      </w:r>
    </w:p>
    <w:p>
      <w:pPr>
        <w:pBdr>
          <w:top w:val="nil"/>
          <w:left w:val="nil"/>
          <w:bottom w:val="nil"/>
          <w:right w:val="nil"/>
          <w:between w:val="nil"/>
          <w:bar w:val="nil"/>
        </w:pBdr>
        <w:spacing w:before="0" w:after="240"/>
        <w:rPr>
          <w:rFonts w:eastAsia="Arial Unicode MS"/>
          <w:noProof/>
        </w:rPr>
      </w:pPr>
      <w:r>
        <w:rPr>
          <w:noProof/>
        </w:rPr>
        <w:t>Prezenta propunere este în conformitate cu principiul subsidiarității, astfel cum este prevăzut la articolul 5 alineatul (3) din Tratatul privind Uniunea Europeană (TUE).</w:t>
      </w:r>
    </w:p>
    <w:p>
      <w:pPr>
        <w:pBdr>
          <w:top w:val="nil"/>
          <w:left w:val="nil"/>
          <w:bottom w:val="nil"/>
          <w:right w:val="nil"/>
          <w:between w:val="nil"/>
          <w:bar w:val="nil"/>
        </w:pBdr>
        <w:spacing w:before="0" w:after="240"/>
        <w:rPr>
          <w:rFonts w:eastAsia="Arial Unicode MS"/>
          <w:noProof/>
        </w:rPr>
      </w:pPr>
      <w:r>
        <w:rPr>
          <w:noProof/>
        </w:rPr>
        <w:t>Se preconizează că, în următorii ani, utilizarea spațiilor de testare în materie de reglementare, inclusiv a spațiilor de testare transfrontaliere în materie de reglementare, va crește în întreaga Uniune. În acest context în continuă evoluție, au început să apară interpretări și aplicații diferite ale conceptului de „spațiu de testare în materie de reglementare” în toate sectoarele și între statele membre. În domeniile nearmonizate, acțiunile întreprinse exclusiv de statele membre riscă să conducă la abordări divergente, generând costuri substanțiale de coordonare pentru statele membre care doresc să coopereze sau să dezvolte practici comune. Prin urmare, este necesară o abordare coordonată pentru a reduce la minimum costurile de tranzacție suportate de întreprinderile și autoritățile publice europene care utilizează acest instrument.</w:t>
      </w:r>
    </w:p>
    <w:p>
      <w:pPr>
        <w:pBdr>
          <w:top w:val="nil"/>
          <w:left w:val="nil"/>
          <w:bottom w:val="nil"/>
          <w:right w:val="nil"/>
          <w:between w:val="nil"/>
          <w:bar w:val="nil"/>
        </w:pBdr>
        <w:spacing w:before="0" w:after="240"/>
        <w:rPr>
          <w:rFonts w:eastAsia="Arial Unicode MS"/>
          <w:noProof/>
        </w:rPr>
      </w:pPr>
      <w:r>
        <w:rPr>
          <w:noProof/>
        </w:rPr>
        <w:t>Propunerea oferă un mijloc eficient de stabilire a unui cadru de referință comun al UE, reducând fragmentarea între statele membre și, în cele din urmă, sprijinind piața unică.</w:t>
      </w:r>
    </w:p>
    <w:p>
      <w:pPr>
        <w:pBdr>
          <w:top w:val="nil"/>
          <w:left w:val="nil"/>
          <w:bottom w:val="nil"/>
          <w:right w:val="nil"/>
          <w:between w:val="nil"/>
          <w:bar w:val="nil"/>
        </w:pBdr>
        <w:spacing w:before="0" w:after="240"/>
        <w:rPr>
          <w:rFonts w:eastAsia="Arial Unicode MS"/>
          <w:noProof/>
          <w:color w:val="0000FF"/>
        </w:rPr>
      </w:pPr>
      <w:r>
        <w:rPr>
          <w:noProof/>
        </w:rPr>
        <w:t>Prin promovarea unor condiții-cadru favorabile și a unei abordări comune a experimentării în materie de reglementare, prezenta propunere urmărește să încurajeze acțiunea colectivă. Aceasta urmărește obținerea unor rezultate mai bine orientate și mai eficace decât cele care ar putea fi obținute prin inițiative naționale izolate. O abordare comună ar facilita instituirea unor spații de testare în materie de reglementare la nivel transfrontalier de către mai multe state membre, menținând totodată un grad suficient de flexibilitate pentru a ține seama de diferitele grade de experiență și de pregătire ale statelor membre în ceea ce privește accelerarea inovării, precum și de legislația relevantă aplicabilă a Uniunii.</w:t>
      </w:r>
    </w:p>
    <w:p>
      <w:pPr>
        <w:pBdr>
          <w:top w:val="nil"/>
          <w:left w:val="nil"/>
          <w:bottom w:val="nil"/>
          <w:right w:val="nil"/>
          <w:between w:val="nil"/>
          <w:bar w:val="nil"/>
        </w:pBdr>
        <w:spacing w:before="0" w:after="240"/>
        <w:rPr>
          <w:rFonts w:eastAsia="Arial Unicode MS"/>
          <w:noProof/>
        </w:rPr>
      </w:pPr>
      <w:r>
        <w:rPr>
          <w:noProof/>
        </w:rPr>
        <w:t>Abordarea propusă este în concordanță cu logica pe care se întemeiază inițiativele legislative recente ale Uniunii, în special Regulamentul IA și Regulamentul privind Europa interoperabilă, ambele recunoscând faptul că spațiile de testare în materie de reglementare instituite exclusiv la nivel național nu pot asigura prin ele însele învățarea transfrontalieră în materie de reglementare, recunoașterea reciprocă a rezultatelor sau extinderea la scară largă a soluțiilor inovatoare în cadrul pieței unice.</w:t>
      </w:r>
    </w:p>
    <w:p>
      <w:pPr>
        <w:pBdr>
          <w:top w:val="nil"/>
          <w:left w:val="nil"/>
          <w:bottom w:val="nil"/>
          <w:right w:val="nil"/>
          <w:between w:val="nil"/>
          <w:bar w:val="nil"/>
        </w:pBdr>
        <w:spacing w:before="0" w:after="240"/>
        <w:rPr>
          <w:rFonts w:eastAsia="Arial Unicode MS"/>
          <w:noProof/>
        </w:rPr>
      </w:pPr>
      <w:r>
        <w:rPr>
          <w:noProof/>
        </w:rPr>
        <w:t>Prin urmare, propunerea generează valoare adăugată la nivelul Uniunii prin promovarea experimentării comune în materie de reglementare între jurisdicții și prin reducerea costurilor suportate de inovatori ca urmare a interacțiunii cu mai multe regimuri naționale, lăsând totodată statelor membre responsabilitatea pentru conceperea și utilizarea spațiilor naționale de testare în materie de reglementare.</w:t>
      </w:r>
    </w:p>
    <w:p>
      <w:pPr>
        <w:pStyle w:val="ManualHeading2"/>
        <w:rPr>
          <w:rFonts w:eastAsia="Arial Unicode MS"/>
          <w:noProof/>
          <w:u w:color="000000"/>
          <w:bdr w:val="nil"/>
        </w:rPr>
      </w:pPr>
      <w:r>
        <w:rPr>
          <w:noProof/>
          <w:u w:color="000000"/>
          <w:bdr w:val="nil"/>
        </w:rPr>
        <w:t>•</w:t>
      </w:r>
      <w:r>
        <w:rPr>
          <w:noProof/>
          <w:u w:color="000000"/>
          <w:bdr w:val="nil"/>
        </w:rPr>
        <w:tab/>
        <w:t>Proporționalitate</w:t>
      </w:r>
    </w:p>
    <w:p>
      <w:pPr>
        <w:pBdr>
          <w:top w:val="nil"/>
          <w:left w:val="nil"/>
          <w:bottom w:val="nil"/>
          <w:right w:val="nil"/>
          <w:between w:val="nil"/>
          <w:bar w:val="nil"/>
        </w:pBdr>
        <w:spacing w:before="0" w:after="240"/>
        <w:rPr>
          <w:rFonts w:eastAsia="Arial Unicode MS"/>
          <w:noProof/>
        </w:rPr>
      </w:pPr>
      <w:r>
        <w:rPr>
          <w:noProof/>
        </w:rPr>
        <w:t xml:space="preserve">Prezenta propunere este în conformitate cu principiul proporționalității, astfel cum este prevăzut la articolul 5 alineatul (4) din TUE. Nici conținutul și nici forma prezentei propuneri de Recomandare a Consiliului nu depășesc ceea ce este necesar pentru îndeplinirea obiectivului de atingere a unui nivel minim de coerență a abordării în întreaga Uniune. </w:t>
      </w:r>
    </w:p>
    <w:p>
      <w:pPr>
        <w:pBdr>
          <w:top w:val="nil"/>
          <w:left w:val="nil"/>
          <w:bottom w:val="nil"/>
          <w:right w:val="nil"/>
          <w:between w:val="nil"/>
          <w:bar w:val="nil"/>
        </w:pBdr>
        <w:spacing w:before="0" w:after="240"/>
        <w:rPr>
          <w:rFonts w:eastAsia="Arial Unicode MS"/>
          <w:noProof/>
        </w:rPr>
      </w:pPr>
      <w:r>
        <w:rPr>
          <w:noProof/>
        </w:rPr>
        <w:t xml:space="preserve">Este necesar ca statutul juridic al prezentei inițiative să asigure asumarea responsabilității și girarea ei de către statele membre. </w:t>
      </w:r>
    </w:p>
    <w:p>
      <w:pPr>
        <w:pBdr>
          <w:top w:val="nil"/>
          <w:left w:val="nil"/>
          <w:bottom w:val="nil"/>
          <w:right w:val="nil"/>
          <w:between w:val="nil"/>
          <w:bar w:val="nil"/>
        </w:pBdr>
        <w:spacing w:before="0" w:after="240"/>
        <w:rPr>
          <w:rFonts w:eastAsia="Arial Unicode MS"/>
          <w:noProof/>
        </w:rPr>
      </w:pPr>
      <w:r>
        <w:rPr>
          <w:noProof/>
        </w:rPr>
        <w:t>Recomandarea ajută statele membre și Uniunea să elaboreze și să pună în aplicare cadre privind spațiile de testare în materie de reglementare și să promoveze învățarea în materie de reglementare. Este esențial să existe un nivel minim de coerență a abordării în întreaga UE. Recomandarea subliniază importanța transparenței în ceea ce privește instituirea și punerea în aplicare, urmând principiul „cât mai deschis cu putință, dar atât de închis cât este necesar”. De asemenea, aceasta recomandă luarea în considerare a unor măsuri de gestionare a riscurilor în ceea ce privește experimentarea.</w:t>
      </w:r>
    </w:p>
    <w:p>
      <w:pPr>
        <w:pStyle w:val="ManualHeading2"/>
        <w:rPr>
          <w:rFonts w:eastAsia="Arial Unicode MS"/>
          <w:noProof/>
          <w:u w:color="000000"/>
          <w:bdr w:val="nil"/>
        </w:rPr>
      </w:pPr>
      <w:r>
        <w:rPr>
          <w:noProof/>
          <w:u w:color="000000"/>
          <w:bdr w:val="nil"/>
        </w:rPr>
        <w:t>•</w:t>
      </w:r>
      <w:r>
        <w:rPr>
          <w:noProof/>
          <w:u w:color="000000"/>
          <w:bdr w:val="nil"/>
        </w:rPr>
        <w:tab/>
        <w:t>Alegerea instrumentului</w:t>
      </w:r>
    </w:p>
    <w:p>
      <w:pPr>
        <w:pBdr>
          <w:top w:val="nil"/>
          <w:left w:val="nil"/>
          <w:bottom w:val="nil"/>
          <w:right w:val="nil"/>
          <w:between w:val="nil"/>
          <w:bar w:val="nil"/>
        </w:pBdr>
        <w:spacing w:before="0" w:after="240"/>
        <w:rPr>
          <w:noProof/>
          <w:szCs w:val="24"/>
        </w:rPr>
      </w:pPr>
      <w:r>
        <w:rPr>
          <w:noProof/>
        </w:rPr>
        <w:t>Propunerea de recomandare a Consiliului oferă orientări statelor membre cu privire la modul de definire a spațiilor de testare în materie de reglementare și de aprobare a unor principii comune în ceea ce privește instituirea, proiectarea și utilizarea acestora, inclusiv în context transfrontalier, precum și în ceea ce privește evaluarea și învățarea în materie de reglementare. Recomandarea prevede ca statele membre să își sprijine sectorul inovării și autoritățile publice, luând măsurile adecvate pentru a spori gradul de conștientizare.</w:t>
      </w:r>
    </w:p>
    <w:p>
      <w:pPr>
        <w:pBdr>
          <w:top w:val="nil"/>
          <w:left w:val="nil"/>
          <w:bottom w:val="nil"/>
          <w:right w:val="nil"/>
          <w:between w:val="nil"/>
          <w:bar w:val="nil"/>
        </w:pBdr>
        <w:spacing w:before="0" w:after="240"/>
        <w:rPr>
          <w:noProof/>
          <w:szCs w:val="24"/>
        </w:rPr>
      </w:pPr>
      <w:r>
        <w:rPr>
          <w:noProof/>
        </w:rPr>
        <w:t>Alegerea unei recomandări a Consiliului asigură implicarea activă și angajamentul politic al tuturor statelor membre, permițând, în același timp, un grad suficient de flexibilitate, având în vedere că statele membre pot porni de la situații diferite în ceea ce privește cadrele de reglementare, disponibilitatea resurselor și gradul de maturitate al ecosistemului de inovare.</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u w:color="000000"/>
          <w:bdr w:val="nil"/>
        </w:rPr>
        <w:tab/>
        <w:t xml:space="preserve">Evaluările </w:t>
      </w:r>
      <w:r>
        <w:rPr>
          <w:i/>
          <w:noProof/>
          <w:u w:color="000000"/>
          <w:bdr w:val="nil"/>
        </w:rPr>
        <w:t>ex post</w:t>
      </w:r>
      <w:r>
        <w:rPr>
          <w:noProof/>
          <w:u w:color="000000"/>
          <w:bdr w:val="nil"/>
        </w:rPr>
        <w:t>/verificarea adecvării legislației existente</w:t>
      </w:r>
    </w:p>
    <w:p>
      <w:pPr>
        <w:rPr>
          <w:noProof/>
        </w:rPr>
      </w:pPr>
      <w:r>
        <w:rPr>
          <w:noProof/>
        </w:rPr>
        <w:t>Aceasta este o inițiativă nouă, astfel încât nu a fost precedată de nicio evaluare.</w:t>
      </w:r>
    </w:p>
    <w:p>
      <w:pPr>
        <w:pStyle w:val="ManualHeading2"/>
        <w:rPr>
          <w:rFonts w:eastAsia="Arial Unicode MS"/>
          <w:noProof/>
          <w:u w:color="000000"/>
          <w:bdr w:val="nil"/>
        </w:rPr>
      </w:pPr>
      <w:r>
        <w:rPr>
          <w:noProof/>
          <w:u w:color="000000"/>
          <w:bdr w:val="nil"/>
        </w:rPr>
        <w:t>•</w:t>
      </w:r>
      <w:r>
        <w:rPr>
          <w:noProof/>
          <w:u w:color="000000"/>
          <w:bdr w:val="nil"/>
        </w:rPr>
        <w:tab/>
        <w:t>Consultarea cu părțile interesate</w:t>
      </w:r>
    </w:p>
    <w:p>
      <w:pPr>
        <w:pBdr>
          <w:top w:val="nil"/>
          <w:left w:val="nil"/>
          <w:bottom w:val="nil"/>
          <w:right w:val="nil"/>
          <w:between w:val="nil"/>
          <w:bar w:val="nil"/>
        </w:pBdr>
        <w:spacing w:before="0" w:after="240"/>
        <w:rPr>
          <w:noProof/>
          <w:szCs w:val="24"/>
        </w:rPr>
      </w:pPr>
      <w:r>
        <w:rPr>
          <w:noProof/>
        </w:rPr>
        <w:t>Prezenta inițiativă face obiectul unui plan cuprinzător de consultare cu părților interesate, derulat în cadrul Actului european pentru inovare.</w:t>
      </w:r>
    </w:p>
    <w:p>
      <w:pPr>
        <w:pBdr>
          <w:top w:val="nil"/>
          <w:left w:val="nil"/>
          <w:bottom w:val="nil"/>
          <w:right w:val="nil"/>
          <w:between w:val="nil"/>
          <w:bar w:val="nil"/>
        </w:pBdr>
        <w:spacing w:before="0" w:after="240"/>
        <w:rPr>
          <w:noProof/>
          <w:szCs w:val="24"/>
        </w:rPr>
      </w:pPr>
      <w:r>
        <w:rPr>
          <w:noProof/>
        </w:rPr>
        <w:t>Dintre respondenții la consultarea cu părțile interesate care au exprimat un aviz</w:t>
      </w:r>
      <w:r>
        <w:rPr>
          <w:rStyle w:val="FootnoteReference"/>
          <w:noProof/>
        </w:rPr>
        <w:footnoteReference w:id="23"/>
      </w:r>
      <w:r>
        <w:rPr>
          <w:noProof/>
        </w:rPr>
        <w:t xml:space="preserve"> cu privire la spațiile de testare în materie de reglementare, majoritatea au fost de acord că o definiție la nivelul UE a conceptului de „spațiu de testare în materie de reglementare” ar contribui la o mai bună înțelegere comună în întreaga Europă și că mai multe posibilități de „spații de testare în materie de reglementare la nivel transfrontalier în UE” ar facilita punerea lor în aplicare pe scară mai largă, precum și că ar trebui să existe spații de testare în materie de reglementare pentru tehnologiile nou apărute care să faciliteze adoptarea lor pe scară mai largă. </w:t>
      </w:r>
    </w:p>
    <w:p>
      <w:pPr>
        <w:pBdr>
          <w:top w:val="nil"/>
          <w:left w:val="nil"/>
          <w:bottom w:val="nil"/>
          <w:right w:val="nil"/>
          <w:between w:val="nil"/>
          <w:bar w:val="nil"/>
        </w:pBdr>
        <w:spacing w:before="0" w:after="240"/>
        <w:rPr>
          <w:noProof/>
          <w:szCs w:val="24"/>
        </w:rPr>
      </w:pPr>
      <w:r>
        <w:rPr>
          <w:noProof/>
        </w:rPr>
        <w:t>Respondenții care au declarat că au experiență în ceea ce privește participarea la spațiile de testare în materie de reglementare sau în instituirea acestora sunt în mai mare măsură de acord cu afirmațiile de mai sus decât cei care nu au o astfel de experiență.</w:t>
      </w:r>
    </w:p>
    <w:p>
      <w:pPr>
        <w:pBdr>
          <w:top w:val="nil"/>
          <w:left w:val="nil"/>
          <w:bottom w:val="nil"/>
          <w:right w:val="nil"/>
          <w:between w:val="nil"/>
          <w:bar w:val="nil"/>
        </w:pBdr>
        <w:spacing w:before="0" w:after="240"/>
        <w:rPr>
          <w:noProof/>
          <w:szCs w:val="24"/>
        </w:rPr>
      </w:pPr>
      <w:r>
        <w:rPr>
          <w:noProof/>
        </w:rPr>
        <w:t xml:space="preserve">În documentele de poziție transmise ca răspuns la cererea de contribuții referitoare la Actul european pentru inovare, părțile interesate au subliniat lipsa unor oportunități suficiente de testare a soluțiilor inovatoare, au identificat spațiile de testare în materie de reglementare ca fiind esențiale pentru depășirea oportunităților limitate de testare din Uniune și au descris finanțarea și procedurile de reglementare ale Uniunii ca fiind lente, redundante și inaccesibile. În alte observații, s-a susținut că sistemele de reglementare existente în statele membre sunt depășite și prea lente a ține pasul cu schimbările tehnologice, aplicând adesea norme vechi noilor tehnologii, cum ar fi IA și biotehnologia. </w:t>
      </w:r>
    </w:p>
    <w:p>
      <w:pPr>
        <w:pBdr>
          <w:top w:val="nil"/>
          <w:left w:val="nil"/>
          <w:bottom w:val="nil"/>
          <w:right w:val="nil"/>
          <w:between w:val="nil"/>
          <w:bar w:val="nil"/>
        </w:pBdr>
        <w:spacing w:before="0" w:after="240"/>
        <w:rPr>
          <w:noProof/>
          <w:szCs w:val="24"/>
        </w:rPr>
      </w:pPr>
      <w:r>
        <w:rPr>
          <w:noProof/>
        </w:rPr>
        <w:t>În cursul interviurilor cu părțile interesate, reprezentanții industriei, ai IMM-urilor și ai asociațiilor de start-upuri au purtat discuții constructive despre ideea armonizării spațiilor de testare în materie de reglementare pentru a permite produselor inovatoare să intre pe piață în condiții controlate, reducând timpul necesar introducerii pe piață. Reprezentanții sectorului financiar au propus crearea unei jurisdicții a spațiilor de testare pentru start-upuri, cu proceduri simplificate de înființare și autorizare și coduri comerciale armonizate, pentru a facilita desfășurarea activităților la nivel transfrontalier.</w:t>
      </w:r>
    </w:p>
    <w:p>
      <w:pPr>
        <w:pBdr>
          <w:top w:val="nil"/>
          <w:left w:val="nil"/>
          <w:bottom w:val="nil"/>
          <w:right w:val="nil"/>
          <w:between w:val="nil"/>
          <w:bar w:val="nil"/>
        </w:pBdr>
        <w:spacing w:before="0" w:after="240"/>
        <w:rPr>
          <w:rFonts w:eastAsia="Arial Unicode MS"/>
          <w:noProof/>
        </w:rPr>
      </w:pPr>
      <w:r>
        <w:rPr>
          <w:noProof/>
        </w:rPr>
        <w:t>În aprilie 2025, sondajul realizat de Comisie în rândul statelor membre cu privire la utilizarea la nivel național a spațiilor de testare în materie de reglementare a fost lansat în cadrul Grupului de lucru al Consiliului pentru competitivitate și creștere – o mai bună legiferare, în cadrul președinției poloneze a Consiliului Uniunii Europene. Acesta se bazează pe un sondaj similar realizat în 2021 de președinția slovenă a Consiliului. În septembrie 2025, cele mai recente date au fost prezentate aceluiași grup de lucru</w:t>
      </w:r>
      <w:r>
        <w:rPr>
          <w:rStyle w:val="FootnoteReference"/>
          <w:noProof/>
        </w:rPr>
        <w:footnoteReference w:id="24"/>
      </w:r>
      <w:r>
        <w:rPr>
          <w:noProof/>
        </w:rPr>
        <w:t xml:space="preserve"> în cadrul președinției daneze a Consiliului. În cursul discuției care a urmat prezentării, două state membre au furnizat date suplimentare privind practicile referitoare la spațiile de testare în materie de reglementare în contextul lor național și au fost acceptate alte răspunsuri până în ianuarie 2026. Raportul final publicat de Comisie în martie 2026 prezintă toate datele primite</w:t>
      </w:r>
      <w:r>
        <w:rPr>
          <w:rStyle w:val="FootnoteReference"/>
          <w:noProof/>
        </w:rPr>
        <w:footnoteReference w:id="25"/>
      </w:r>
      <w:r>
        <w:rPr>
          <w:noProof/>
        </w:rPr>
        <w:t>.</w:t>
      </w:r>
    </w:p>
    <w:p>
      <w:pPr>
        <w:pStyle w:val="ManualHeading2"/>
        <w:rPr>
          <w:rFonts w:eastAsia="Arial Unicode MS"/>
          <w:noProof/>
          <w:u w:color="000000"/>
          <w:bdr w:val="nil"/>
        </w:rPr>
      </w:pPr>
      <w:r>
        <w:rPr>
          <w:noProof/>
          <w:u w:color="000000"/>
          <w:bdr w:val="nil"/>
        </w:rPr>
        <w:t>•</w:t>
      </w:r>
      <w:r>
        <w:rPr>
          <w:noProof/>
          <w:u w:color="000000"/>
          <w:bdr w:val="nil"/>
        </w:rPr>
        <w:tab/>
        <w:t>Obținerea și utilizarea cunoștințelor de specialitate</w:t>
      </w:r>
    </w:p>
    <w:p>
      <w:pPr>
        <w:pBdr>
          <w:top w:val="nil"/>
          <w:left w:val="nil"/>
          <w:bottom w:val="nil"/>
          <w:right w:val="nil"/>
          <w:between w:val="nil"/>
          <w:bar w:val="nil"/>
        </w:pBdr>
        <w:spacing w:before="0" w:after="240"/>
        <w:rPr>
          <w:rFonts w:eastAsia="Arial Unicode MS"/>
          <w:noProof/>
        </w:rPr>
      </w:pPr>
      <w:r>
        <w:rPr>
          <w:noProof/>
        </w:rPr>
        <w:t>Pe lângă contribuțiile primite în cursul procesului de consultare, propunerea se bazează pe dovezi, rapoarte și studii ample colectate în ultimii ani. Printre principalele surse de dovezi se numără două sondaje în rândul statelor membre realizate de Comisie în 2021 și 2025, evaluarea din 2026 a situației actuale a principiului inovării în pregătirea legislației UE, precum și raportul bienal al Comisiei privind performanțele UE în domeniul științei, al cercetării și al inovării.</w:t>
      </w:r>
    </w:p>
    <w:p>
      <w:pPr>
        <w:pBdr>
          <w:top w:val="nil"/>
          <w:left w:val="nil"/>
          <w:bottom w:val="nil"/>
          <w:right w:val="nil"/>
          <w:between w:val="nil"/>
          <w:bar w:val="nil"/>
        </w:pBdr>
        <w:spacing w:before="0" w:after="240"/>
        <w:rPr>
          <w:rFonts w:eastAsia="Arial Unicode MS"/>
          <w:noProof/>
        </w:rPr>
      </w:pPr>
      <w:r>
        <w:rPr>
          <w:noProof/>
        </w:rPr>
        <w:t xml:space="preserve">În 2025, Comisia a efectuat un </w:t>
      </w:r>
      <w:r>
        <w:rPr>
          <w:b/>
          <w:noProof/>
        </w:rPr>
        <w:t>sondaj în rândul statelor membre</w:t>
      </w:r>
      <w:r>
        <w:rPr>
          <w:noProof/>
        </w:rPr>
        <w:t xml:space="preserve"> cu privire la utilizarea spațiilor de testare în materie de reglementare la nivel național</w:t>
      </w:r>
      <w:r>
        <w:rPr>
          <w:rStyle w:val="FootnoteReference"/>
          <w:noProof/>
        </w:rPr>
        <w:footnoteReference w:id="26"/>
      </w:r>
      <w:r>
        <w:rPr>
          <w:noProof/>
        </w:rPr>
        <w:t>. Acest al doilea sondaj a identificat 132 de spații de testare în materie de reglementare la nivel național, în 15 state membre, dar în principal în Germania și Franța (în creștere față de cele 40 identificate în sondajul din 2021). Prezentul raport arată diversitatea abordărilor din statele membre, de exemplu în ceea ce privește temeiul juridic (orizontal sau sectorial), limitările geografice ale cadrelor privind spațiile de testare în materie de reglementare (și anume, în unele cazuri, permiterea experimentării numai în anumite regiuni specifice), deschiderea către întreprinderile înregistrate în alte state membre, monitorizarea și evaluarea, precum și alte aspecte.</w:t>
      </w:r>
    </w:p>
    <w:p>
      <w:pPr>
        <w:pBdr>
          <w:top w:val="nil"/>
          <w:left w:val="nil"/>
          <w:bottom w:val="nil"/>
          <w:right w:val="nil"/>
          <w:between w:val="nil"/>
          <w:bar w:val="nil"/>
        </w:pBdr>
        <w:spacing w:before="0" w:after="240"/>
        <w:rPr>
          <w:rFonts w:eastAsia="Arial Unicode MS"/>
          <w:noProof/>
        </w:rPr>
      </w:pPr>
      <w:r>
        <w:rPr>
          <w:noProof/>
        </w:rPr>
        <w:t xml:space="preserve">Analizând includerea spațiilor de testare în materie de reglementare și a inovării în general în </w:t>
      </w:r>
      <w:r>
        <w:rPr>
          <w:b/>
          <w:noProof/>
        </w:rPr>
        <w:t>pregătirea legislației UE</w:t>
      </w:r>
      <w:r>
        <w:rPr>
          <w:noProof/>
        </w:rPr>
        <w:t>, potrivit celor constatate în cadrul unei evaluări din 2026</w:t>
      </w:r>
      <w:r>
        <w:rPr>
          <w:rStyle w:val="FootnoteReference"/>
          <w:noProof/>
        </w:rPr>
        <w:footnoteReference w:id="27"/>
      </w:r>
      <w:r>
        <w:rPr>
          <w:noProof/>
        </w:rPr>
        <w:t>, clauzele de experimentare, proiectele-pilot sau spațiile de testare în materie de reglementare apar în aproximativ 10-15 % din evaluările impactului efectuate în perioada 2020-2025, în principal în domenii de politică precum cel digital, financiar și al tehnologilor emergente. Potrivit experților, spațiile de testare în materie de reglementare par să fi pătruns pe agenda Comisiei Europene pentru o mai bună legiferare într-o măsură mai mare decât alte instrumente.</w:t>
      </w:r>
    </w:p>
    <w:p>
      <w:pPr>
        <w:pBdr>
          <w:top w:val="nil"/>
          <w:left w:val="nil"/>
          <w:bottom w:val="nil"/>
          <w:right w:val="nil"/>
          <w:between w:val="nil"/>
          <w:bar w:val="nil"/>
        </w:pBdr>
        <w:spacing w:before="0" w:after="240"/>
        <w:rPr>
          <w:rFonts w:eastAsia="Arial Unicode MS"/>
          <w:noProof/>
        </w:rPr>
      </w:pPr>
      <w:r>
        <w:rPr>
          <w:noProof/>
        </w:rPr>
        <w:t xml:space="preserve">În plus, în cele mai recente două ediții, raportul bienal al Comisiei privind </w:t>
      </w:r>
      <w:r>
        <w:rPr>
          <w:b/>
          <w:noProof/>
        </w:rPr>
        <w:t>performanța UE în domeniul științei, cercetării și inovării (SRIP)</w:t>
      </w:r>
      <w:r>
        <w:rPr>
          <w:noProof/>
        </w:rPr>
        <w:t xml:space="preserve"> a evidențiat oportunitățile oferite de spațiile de testare în materie de reglementare. În raportul din 2024 s-a subliniat că „un cadru de reglementare adaptabil și o strategie proactivă de standardizare rămân esențiale pentru promovarea activităților inovatoare”</w:t>
      </w:r>
      <w:r>
        <w:rPr>
          <w:rStyle w:val="FootnoteReference"/>
          <w:noProof/>
        </w:rPr>
        <w:footnoteReference w:id="28"/>
      </w:r>
      <w:r>
        <w:rPr>
          <w:noProof/>
        </w:rPr>
        <w:t>. Autorii explică faptul că accentul pus de UE pe spațiile de testare în materie de reglementare urmărește să raționalizeze integrarea cercetării pe piață, asigurând în același timp agilitatea legislativă necesară pentru a ține pasul cu progresele tehnologice rapide. În 2022, autorii au subliniat că „apariția unor noi practici, tehnologii și modele de afaceri, precum și accelerarea inovării impun abordări mai flexibile și experimentale în materie de reglementare, cum ar fi spațiile de testare în materie de reglementare”</w:t>
      </w:r>
      <w:r>
        <w:rPr>
          <w:rStyle w:val="FootnoteReference"/>
          <w:noProof/>
        </w:rPr>
        <w:footnoteReference w:id="29"/>
      </w:r>
      <w:r>
        <w:rPr>
          <w:noProof/>
        </w:rPr>
        <w:t>.</w:t>
      </w:r>
    </w:p>
    <w:p>
      <w:pPr>
        <w:pStyle w:val="ManualHeading2"/>
        <w:rPr>
          <w:rFonts w:eastAsia="Arial Unicode MS"/>
          <w:noProof/>
          <w:u w:color="000000"/>
          <w:bdr w:val="nil"/>
        </w:rPr>
      </w:pPr>
      <w:r>
        <w:rPr>
          <w:noProof/>
          <w:u w:color="000000"/>
          <w:bdr w:val="nil"/>
        </w:rPr>
        <w:t>•</w:t>
      </w:r>
      <w:r>
        <w:rPr>
          <w:noProof/>
          <w:u w:color="000000"/>
          <w:bdr w:val="nil"/>
        </w:rPr>
        <w:tab/>
        <w:t>Evaluarea impactului</w:t>
      </w:r>
    </w:p>
    <w:p>
      <w:pPr>
        <w:pBdr>
          <w:top w:val="nil"/>
          <w:left w:val="nil"/>
          <w:bottom w:val="nil"/>
          <w:right w:val="nil"/>
          <w:between w:val="nil"/>
          <w:bar w:val="nil"/>
        </w:pBdr>
        <w:spacing w:before="0" w:after="240"/>
        <w:rPr>
          <w:noProof/>
        </w:rPr>
      </w:pPr>
      <w:r>
        <w:rPr>
          <w:noProof/>
        </w:rPr>
        <w:t>Prezenta propunere nu necesită o evaluare individuală a impactului, având în vedere caracterul juridic neobligatoriu al instrumentului propus.</w:t>
      </w:r>
    </w:p>
    <w:p>
      <w:pPr>
        <w:pBdr>
          <w:top w:val="nil"/>
          <w:left w:val="nil"/>
          <w:bottom w:val="nil"/>
          <w:right w:val="nil"/>
          <w:between w:val="nil"/>
          <w:bar w:val="nil"/>
        </w:pBdr>
        <w:spacing w:before="0"/>
        <w:rPr>
          <w:noProof/>
        </w:rPr>
      </w:pPr>
      <w:r>
        <w:rPr>
          <w:noProof/>
        </w:rPr>
        <w:t>Cu toate acestea, fiecare dintre regulamentele și propunerile Uniunii care includ dispoziții privind spațiile de testare în materie de reglementare începând din iulie 2026 a fost însoțit de o evaluare a impactului sau de un document de lucru analitic al serviciilor Comisiei</w:t>
      </w:r>
      <w:r>
        <w:rPr>
          <w:rStyle w:val="FootnoteReference"/>
          <w:rFonts w:eastAsia="Arial Unicode MS"/>
          <w:noProof/>
        </w:rPr>
        <w:footnoteReference w:id="30"/>
      </w:r>
      <w:r>
        <w:rPr>
          <w:noProof/>
        </w:rPr>
        <w:t xml:space="preserve">. </w:t>
      </w:r>
    </w:p>
    <w:p>
      <w:pPr>
        <w:pStyle w:val="ManualHeading2"/>
        <w:rPr>
          <w:rFonts w:eastAsia="Arial Unicode MS"/>
          <w:noProof/>
          <w:u w:color="000000"/>
          <w:bdr w:val="nil"/>
        </w:rPr>
      </w:pPr>
      <w:r>
        <w:rPr>
          <w:noProof/>
          <w:u w:color="000000"/>
          <w:bdr w:val="nil"/>
        </w:rPr>
        <w:t>•</w:t>
      </w:r>
      <w:r>
        <w:rPr>
          <w:noProof/>
          <w:u w:color="000000"/>
          <w:bdr w:val="nil"/>
        </w:rPr>
        <w:tab/>
        <w:t>Drepturile fundamentale</w:t>
      </w:r>
    </w:p>
    <w:p>
      <w:pPr>
        <w:pBdr>
          <w:top w:val="nil"/>
          <w:left w:val="nil"/>
          <w:bottom w:val="nil"/>
          <w:right w:val="nil"/>
          <w:between w:val="nil"/>
          <w:bar w:val="nil"/>
        </w:pBdr>
        <w:spacing w:before="0" w:after="240"/>
        <w:rPr>
          <w:rFonts w:eastAsia="Arial Unicode MS"/>
          <w:noProof/>
        </w:rPr>
      </w:pPr>
      <w:r>
        <w:rPr>
          <w:noProof/>
        </w:rPr>
        <w:t>Unul dintre principalele obiective ale propunerii este de a sprijini statele membre și organizațiile care participă la spațiile de testare în materie de reglementare, asigurându-se că experimentările autorizate sprijină inovarea, menținând totodată încrederea și protejând drepturile și valorile fundamentale. Trebuie instituite garanții de natură etică și juridică (de exemplu, în domenii precum colectarea datelor, transparența, protecția drepturilor fundamentale, concurența loială), iar riscurile legate, de exemplu, de sănătate, siguranță sau drepturile fundamentale trebuie gestionate în mod corespunzător. Propunerea se bazează pe o abordare nediscriminatorie și promovează transparența spațiilor de testare în materie de reglementare.</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Având în vedere caracterul neobligatoriu al prezentei recomandări a Consiliului, este dificil să se estimeze variațiile costurilor pe care aceasta le-ar putea genera. Monitorizarea aplicării sale în statele membre și evaluarea punerii sale în aplicare pot permite estimarea costurilor în viitor.</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u w:color="000000"/>
          <w:bdr w:val="nil"/>
        </w:rPr>
        <w:t>•</w:t>
      </w:r>
      <w:r>
        <w:rPr>
          <w:noProof/>
          <w:u w:color="000000"/>
          <w:bdr w:val="nil"/>
        </w:rPr>
        <w:tab/>
        <w:t>Planuri de punere în aplicare și modalități de monitorizare, evaluare și raportare</w:t>
      </w:r>
    </w:p>
    <w:p>
      <w:pPr>
        <w:pBdr>
          <w:top w:val="nil"/>
          <w:left w:val="nil"/>
          <w:bottom w:val="nil"/>
          <w:right w:val="nil"/>
          <w:between w:val="nil"/>
          <w:bar w:val="nil"/>
        </w:pBdr>
        <w:spacing w:before="0" w:after="240"/>
        <w:rPr>
          <w:rFonts w:eastAsia="Arial Unicode MS"/>
          <w:noProof/>
        </w:rPr>
      </w:pPr>
      <w:r>
        <w:rPr>
          <w:noProof/>
        </w:rPr>
        <w:t>Pentru a sprijini statele membre și părțile interesate în punerea în aplicare a recomandării, vor fi utilizate pe deplin structurile de guvernanță existente, de exemplu Grupul de lucru pentru competitivitate și creștere al Consiliului.</w:t>
      </w:r>
    </w:p>
    <w:p>
      <w:pPr>
        <w:pBdr>
          <w:top w:val="nil"/>
          <w:left w:val="nil"/>
          <w:bottom w:val="nil"/>
          <w:right w:val="nil"/>
          <w:between w:val="nil"/>
          <w:bar w:val="nil"/>
        </w:pBdr>
        <w:spacing w:before="0" w:after="240"/>
        <w:rPr>
          <w:rFonts w:eastAsia="Arial Unicode MS"/>
          <w:noProof/>
        </w:rPr>
      </w:pPr>
      <w:r>
        <w:rPr>
          <w:noProof/>
        </w:rPr>
        <w:t>Propunerea subliniază importanța monitorizării, a evaluării și a raportării cu privire la învățarea în materie de reglementare care rezultă din spațiile de testare în materie de reglementare și ar trebui utilizată pentru a se asigura că legislația rămâne adecvată scopului urmărit.</w:t>
      </w:r>
    </w:p>
    <w:p>
      <w:pPr>
        <w:pStyle w:val="ManualHeading2"/>
        <w:rPr>
          <w:rFonts w:eastAsia="Arial Unicode MS"/>
          <w:noProof/>
          <w:u w:color="000000"/>
          <w:bdr w:val="nil"/>
        </w:rPr>
      </w:pPr>
      <w:r>
        <w:rPr>
          <w:noProof/>
          <w:u w:color="000000"/>
          <w:bdr w:val="nil"/>
        </w:rPr>
        <w:t>•</w:t>
      </w:r>
      <w:r>
        <w:rPr>
          <w:noProof/>
          <w:u w:color="000000"/>
          <w:bdr w:val="nil"/>
        </w:rPr>
        <w:tab/>
        <w:t>Documentele explicative (în cazul directivelor)</w:t>
      </w:r>
    </w:p>
    <w:p>
      <w:pPr>
        <w:pBdr>
          <w:top w:val="nil"/>
          <w:left w:val="nil"/>
          <w:bottom w:val="nil"/>
          <w:right w:val="nil"/>
          <w:between w:val="nil"/>
          <w:bar w:val="nil"/>
        </w:pBdr>
        <w:spacing w:before="0" w:after="240"/>
        <w:rPr>
          <w:rFonts w:eastAsia="Arial Unicode MS"/>
          <w:noProof/>
        </w:rPr>
      </w:pPr>
      <w:r>
        <w:rPr>
          <w:noProof/>
        </w:rPr>
        <w:t>Nu se aplică.</w:t>
      </w:r>
    </w:p>
    <w:p>
      <w:pPr>
        <w:pStyle w:val="ManualHeading2"/>
        <w:rPr>
          <w:rFonts w:eastAsia="Arial Unicode MS"/>
          <w:noProof/>
          <w:u w:color="000000"/>
          <w:bdr w:val="nil"/>
        </w:rPr>
      </w:pPr>
      <w:r>
        <w:rPr>
          <w:noProof/>
          <w:u w:color="000000"/>
          <w:bdr w:val="nil"/>
        </w:rPr>
        <w:t>•</w:t>
      </w:r>
      <w:r>
        <w:rPr>
          <w:noProof/>
          <w:u w:color="000000"/>
          <w:bdr w:val="nil"/>
        </w:rPr>
        <w:tab/>
        <w:t>Explicarea detaliată a dispozițiilor specifice ale propunerii</w:t>
      </w:r>
    </w:p>
    <w:p>
      <w:pPr>
        <w:pBdr>
          <w:top w:val="nil"/>
          <w:left w:val="nil"/>
          <w:bottom w:val="nil"/>
          <w:right w:val="nil"/>
          <w:between w:val="nil"/>
          <w:bar w:val="nil"/>
        </w:pBdr>
        <w:spacing w:before="0" w:after="240"/>
        <w:rPr>
          <w:noProof/>
        </w:rPr>
      </w:pPr>
      <w:r>
        <w:rPr>
          <w:noProof/>
        </w:rPr>
        <w:t xml:space="preserve">Propunerea de recomandare a Consiliului conține următoarele secțiuni: </w:t>
      </w:r>
    </w:p>
    <w:p>
      <w:pPr>
        <w:pStyle w:val="Tiret0"/>
        <w:numPr>
          <w:ilvl w:val="0"/>
          <w:numId w:val="5"/>
        </w:numPr>
        <w:rPr>
          <w:noProof/>
        </w:rPr>
      </w:pPr>
      <w:r>
        <w:rPr>
          <w:noProof/>
        </w:rPr>
        <w:t>După introducerea în considerente a chestiunii în cauză și a contextului politic al propunerii, se explică domeniul de aplicare al acesteia. Se propune o definiție a „spațiului de testare în materie de reglementare”, care se bazează pe elementele principale ale diferitelor definiții utilizate la nivel internațional. Sunt definiți și alți termeni relevanți, inclusiv experimentarea, mediul controlat, autoritatea competentă și spațiile de testare transfrontaliere în materie de reglementare.</w:t>
      </w:r>
    </w:p>
    <w:p>
      <w:pPr>
        <w:pStyle w:val="Tiret0"/>
        <w:numPr>
          <w:ilvl w:val="0"/>
          <w:numId w:val="5"/>
        </w:numPr>
        <w:rPr>
          <w:noProof/>
        </w:rPr>
      </w:pPr>
      <w:r>
        <w:rPr>
          <w:noProof/>
        </w:rPr>
        <w:t>În continuare, sunt propuse principii pentru instituirea spațiilor de testare în materie de reglementare, recomandându-se statelor membre să convină asupra acestor elemente minime pentru un cadru comun la nivelul Uniunii. Principiile sunt concepute astfel încât să poată fi utilizate pentru a sprijini formularea și conceperea unui spațiu de testare în materie de reglementare la orice nivel și în orice sector. Principiile au fost formulate pe baza celor mai bune practici disponibile și ținând seama de rezultatele sondajului efectuat în 2025 în rândul statelor membre</w:t>
      </w:r>
      <w:r>
        <w:rPr>
          <w:rStyle w:val="FootnoteReference"/>
          <w:noProof/>
        </w:rPr>
        <w:footnoteReference w:id="31"/>
      </w:r>
      <w:r>
        <w:rPr>
          <w:noProof/>
        </w:rPr>
        <w:t>.</w:t>
      </w:r>
    </w:p>
    <w:p>
      <w:pPr>
        <w:pStyle w:val="Tiret0"/>
        <w:numPr>
          <w:ilvl w:val="0"/>
          <w:numId w:val="5"/>
        </w:numPr>
        <w:rPr>
          <w:noProof/>
        </w:rPr>
      </w:pPr>
      <w:r>
        <w:rPr>
          <w:noProof/>
        </w:rPr>
        <w:t xml:space="preserve">La un punct separat, sunt prezentate aspectele minime asupra cărora ar trebui să existe un acord în cazul oricărui spațiu de testare transfrontalier în materie de reglementare pentru a ajuta întreprinderile inovatoare să se extindă în întreaga Uniune, întrucât acest lucru ar permite testarea la scară mai largă în diferitele state membre. Cooperarea dintre autoritățile competente în ceea ce privește spațiile de testare transfrontaliere în materie de reglementare poate facilita supravegherea coordonată, poate spori coerența în materie de reglementare și poate permite valorificarea sinergiilor transfrontaliere în materie de inovare. De asemenea, autoritățile pot promova învățarea comună și partajarea costurilor aferente instituirii, gestionării și supravegherii spațiilor de testare în materie de reglementare în cazul inovațiilor relevante pentru mai multe state membre. </w:t>
      </w:r>
    </w:p>
    <w:p>
      <w:pPr>
        <w:pStyle w:val="Tiret0"/>
        <w:numPr>
          <w:ilvl w:val="0"/>
          <w:numId w:val="5"/>
        </w:numPr>
        <w:rPr>
          <w:noProof/>
        </w:rPr>
      </w:pPr>
      <w:r>
        <w:rPr>
          <w:noProof/>
        </w:rPr>
        <w:t>În continuare, sunt enumerate durata și alte condiții de experimentare și participare la spațiile de testare în materie de reglementare care ar trebui stabilite. Pentru a asigura funcționarea eficace a spațiilor de testare în materie de reglementare, autoritățile competente ar trebui să utilizeze procese transparente și obiective care să reglementeze participarea, inclusiv criterii de eligibilitate, proceduri de depunere a cererilor și termene și condiții clare de participare, precum și condiții privind gestionarea drepturilor de proprietate intelectuală și a răspunderii, pentru a asigura un mediu previzibil care să sprijine dezvoltarea soluțiilor inovatoare. Orice măsuri de sprijin relevante pentru participanți, cum ar fi consilierea în materie de reglementare, formarea și, după caz, finanțarea, ar trebui, de asemenea, să fie clar definite în prealabil în condițiile de participare. Astfel, se asigură faptul că inovarea în spațiile de testare în materie de reglementare poate fi stimulată în mod adecvat și că soluțiile inovatoare rezultate la încheierea cu succes a experimentării în spațiul de testare în materie de reglementare pot fi direcționate către integrarea cu succes pe piața mai largă. În continuare, sunt prevăzute puncte specifice privind transparența și accesul nediscriminatoriu la spațiile de testare în materie de reglementare.</w:t>
      </w:r>
    </w:p>
    <w:p>
      <w:pPr>
        <w:pStyle w:val="Tiret0"/>
        <w:numPr>
          <w:ilvl w:val="0"/>
          <w:numId w:val="6"/>
        </w:numPr>
        <w:rPr>
          <w:noProof/>
        </w:rPr>
      </w:pPr>
      <w:r>
        <w:rPr>
          <w:noProof/>
        </w:rPr>
        <w:t xml:space="preserve">Recomandarea privind învățarea în materie de reglementare și acțiunile ulterioare subliniază că statele membre ar trebui să impună autorităților competente ca, după încheierea activității spațiului de testare în materie de reglementare, să analizeze informațiile disponibile și să evalueze necesitatea modificării cadrului de reglementare. De asemenea, aceasta prevede că participanții la spațiul de testare în materie de reglementare ar trebui să poată obține raportul de ieșire cu scopul de a accelera evaluarea conformității, standardizarea sau aprobarea pe piața națională a inovațiilor proprii care au fost testate în spațiul de testare în materie de reglementare.   </w:t>
      </w:r>
    </w:p>
    <w:p>
      <w:pPr>
        <w:pStyle w:val="Tiret0"/>
        <w:numPr>
          <w:ilvl w:val="0"/>
          <w:numId w:val="6"/>
        </w:numPr>
        <w:rPr>
          <w:noProof/>
        </w:rPr>
      </w:pPr>
      <w:r>
        <w:rPr>
          <w:noProof/>
        </w:rPr>
        <w:t>Secțiunea finală specifică modul în care sunt facilitate și monitorizate acțiunile întreprinse ca urmare a recomandării.</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2026/0267 (NLE)</w:t>
      </w:r>
    </w:p>
    <w:p>
      <w:pPr>
        <w:pStyle w:val="Statut"/>
        <w:rPr>
          <w:noProof/>
        </w:rPr>
      </w:pPr>
      <w:r>
        <w:rPr>
          <w:noProof/>
        </w:rPr>
        <w:t>Propunere de</w:t>
      </w:r>
    </w:p>
    <w:p>
      <w:pPr>
        <w:pStyle w:val="Typedudocument"/>
        <w:rPr>
          <w:noProof/>
        </w:rPr>
      </w:pPr>
      <w:r>
        <w:rPr>
          <w:noProof/>
        </w:rPr>
        <w:t>RECOMANDARE A CONSILIULUI</w:t>
      </w:r>
    </w:p>
    <w:p>
      <w:pPr>
        <w:pStyle w:val="Titreobjet"/>
        <w:rPr>
          <w:noProof/>
        </w:rPr>
      </w:pPr>
      <w:r>
        <w:rPr>
          <w:noProof/>
        </w:rPr>
        <w:t>de stabilire a unor principii comune privind spațiile de testare în materie de reglementare menite să sprijine inovarea și un cadru de reglementare adaptat exigențelor viitorului</w:t>
      </w:r>
    </w:p>
    <w:p>
      <w:pPr>
        <w:pStyle w:val="Institutionquiagit"/>
        <w:rPr>
          <w:noProof/>
        </w:rPr>
      </w:pPr>
      <w:r>
        <w:rPr>
          <w:noProof/>
        </w:rPr>
        <w:t>CONSILIUL UNIUNII EUROPENE,</w:t>
      </w:r>
    </w:p>
    <w:p>
      <w:pPr>
        <w:rPr>
          <w:noProof/>
        </w:rPr>
      </w:pPr>
      <w:r>
        <w:rPr>
          <w:noProof/>
        </w:rPr>
        <w:t>având în vedere Tratatul privind funcționarea Uniunii Europene, în special articolul 292, coroborat cu articolul 173 alineatul (3),</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Inovarea alimentează competitivitatea și prosperitatea Uniunii. Cu toate acestea, cadrele juridice existente în anumite domenii nu rezistă în timp în fața tehnologiilor emergente și în schimbare rapidă. Inovatorii se confruntă cu insecuritate juridică atunci când introduc pe piață noi produse și servicii care nu se încadrează perfect în cadrele de reglementare existente.</w:t>
      </w:r>
    </w:p>
    <w:p>
      <w:pPr>
        <w:pStyle w:val="ManualConsidrant"/>
        <w:rPr>
          <w:noProof/>
        </w:rPr>
      </w:pPr>
      <w:r>
        <w:rPr>
          <w:noProof/>
        </w:rPr>
        <w:t>(2)</w:t>
      </w:r>
      <w:r>
        <w:rPr>
          <w:noProof/>
        </w:rPr>
        <w:tab/>
        <w:t>Inovarea se bazează pe experimentare și testare. Spațiile de testare în materie de reglementare reprezintă o formă specifică de experimentare care poate ajuta Comisia și statele membre să evalueze dacă cerințele juridice existente rămân adecvate scopului sau trebuie adaptate ca urmare a evoluției rapide a tehnologiei. De obicei, acestea sunt instituite de la caz la caz, cu un domeniu de aplicare clar definit. Ele oferă o modalitate practică de a învăța prin exercițiu și permit obținerea unor perspective directe asupra inovării emergente – inclusiv asupra riscurilor și a impactului acestora. Ele pot, de asemenea, să reducă barierele la intrarea pe piață și pot îmbunătăți comunicarea și coordonarea între diferitele autorități publice și inovatori, în special în ceea ce privește inovarea transsectorială. Cu toate acestea, participarea la spațiile de testare în materie de reglementare nu ar trebui considerată o derogare permanentă de la cerințele de reglementare sau o cale alternativă la autorizațiile de reglementare din Uniune.</w:t>
      </w:r>
    </w:p>
    <w:p>
      <w:pPr>
        <w:pStyle w:val="ManualConsidrant"/>
        <w:rPr>
          <w:noProof/>
        </w:rPr>
      </w:pPr>
      <w:r>
        <w:rPr>
          <w:noProof/>
        </w:rPr>
        <w:t>(3)</w:t>
      </w:r>
      <w:r>
        <w:rPr>
          <w:noProof/>
        </w:rPr>
        <w:tab/>
        <w:t>În ultimii ani, spațiile de testare în materie de reglementare au fost promovate tot mai mult ca instrument de stimulare a inovării în întreaga Uniune, inclusiv prin concluzii ale Consiliului</w:t>
      </w:r>
      <w:r>
        <w:rPr>
          <w:rStyle w:val="FootnoteReference"/>
          <w:noProof/>
        </w:rPr>
        <w:footnoteReference w:id="32"/>
      </w:r>
      <w:r>
        <w:rPr>
          <w:noProof/>
        </w:rPr>
        <w:t xml:space="preserve"> care încurajează schimbul de cunoștințe privind cele mai bune practici, prin inițiative ale statelor membre și prin încorporarea dispozițiilor privind spațiile de testare în materie de reglementare în legislația esențială a Uniunii</w:t>
      </w:r>
      <w:r>
        <w:rPr>
          <w:rStyle w:val="FootnoteReference"/>
          <w:noProof/>
        </w:rPr>
        <w:footnoteReference w:id="33"/>
      </w:r>
      <w:r>
        <w:rPr>
          <w:noProof/>
        </w:rPr>
        <w:t>. Aceste inițiative au subliniat valoarea spațiilor de testare în materie de reglementare pentru sprijinirea întreprinderilor mici și mijlocii (IMM-uri), astfel cum sunt definite în Recomandarea 2003/361/CE a Comisiei</w:t>
      </w:r>
      <w:r>
        <w:rPr>
          <w:rStyle w:val="FootnoteReference"/>
          <w:noProof/>
        </w:rPr>
        <w:footnoteReference w:id="34"/>
      </w:r>
      <w:r>
        <w:rPr>
          <w:noProof/>
        </w:rPr>
        <w:t>, a start-upurilor inovatoare și a întreprinderilor inovatoare în curs de extindere, astfel cum sunt definite în Recomandarea (UE) 2026/720 a Comisiei</w:t>
      </w:r>
      <w:r>
        <w:rPr>
          <w:rStyle w:val="FootnoteReference"/>
          <w:noProof/>
        </w:rPr>
        <w:footnoteReference w:id="35"/>
      </w:r>
      <w:r>
        <w:rPr>
          <w:noProof/>
        </w:rPr>
        <w:t>, și pentru fundamentarea elaborării de politici bazate pe date concrete. Comisia și-a reafirmat angajamentul de a pregăti propuneri legislative care să conțină norme favorabile inovării și adaptate exigențelor viitorului, asigurând un echilibru între securitatea juridică și adaptabilitatea la evoluțiile tehnologice</w:t>
      </w:r>
      <w:r>
        <w:rPr>
          <w:rStyle w:val="FootnoteReference"/>
          <w:noProof/>
        </w:rPr>
        <w:footnoteReference w:id="36"/>
      </w:r>
      <w:r>
        <w:rPr>
          <w:noProof/>
        </w:rPr>
        <w:t>, fără a compromite nivelul ridicat de protecție a obiectivelor de interes public.</w:t>
      </w:r>
    </w:p>
    <w:p>
      <w:pPr>
        <w:pStyle w:val="ManualConsidrant"/>
        <w:rPr>
          <w:noProof/>
        </w:rPr>
      </w:pPr>
      <w:r>
        <w:rPr>
          <w:noProof/>
        </w:rPr>
        <w:t>(4)</w:t>
      </w:r>
      <w:r>
        <w:rPr>
          <w:noProof/>
        </w:rPr>
        <w:tab/>
        <w:t>Ca urmare a atenției sporite acordate spațiilor de testare în materie de reglementare, interpretările diferite în ceea ce privește scopul, domeniul de aplicare și conceptul acestora au devenit mai evidente. Definiția spațiilor de testare în materie de reglementare și condițiile de instituire și utilizare a acestora variază de la un stat membru la altul, ceea ce sporește complexitatea cu care se confruntă inovatorii. O înțelegere comună ar putea facilita dezvoltarea de soluții inovatoare pe piața internă și ar putea reduce barierele de reglementare generate de abordările naționale divergente în materie de experimentare. În același timp, o astfel de înțelegere ar permite un grad suficient de flexibilitate, ținând seama în același timp de nivelurile de pornire diferite, de capacitățile și diferențele sectoriale ale statelor membre, precum și de existența legislației Uniunii care definește spațiile de testare în materie de reglementare pentru sectoare specifice.</w:t>
      </w:r>
    </w:p>
    <w:p>
      <w:pPr>
        <w:pStyle w:val="ManualConsidrant"/>
        <w:rPr>
          <w:noProof/>
        </w:rPr>
      </w:pPr>
      <w:r>
        <w:rPr>
          <w:noProof/>
        </w:rPr>
        <w:t>(5)</w:t>
      </w:r>
      <w:r>
        <w:rPr>
          <w:noProof/>
        </w:rPr>
        <w:tab/>
        <w:t>Pentru a ajuta inovatorii și alte părți interesate să identifice oportunități de participare la spațiile de testare în materie de reglementare, este necesar să se stabilească principii comune și transparente în întreaga Uniune în ceea ce privește instituirea spațiilor de testare în materie de reglementare, condițiile de participare la acestea și rezultatele obținute. Astfel de principii ar contribui la consolidarea încrederii publice și ar facilita schimbul de cunoștințe între autoritățile competente din întreaga Uniune, menținând totodată condiții de concurență echitabile. Criteriile de participare și condițiile de funcționare ar trebui să fie transparente, obiective și proporționale, asigurându-se că spațiile de testare în materie de reglementare nu creează avantaje concurențiale nejustificate și nu împiedică libera circulație a mărfurilor în domeniile care au făcut obiectul armonizării la nivelul Uniunii.</w:t>
      </w:r>
    </w:p>
    <w:p>
      <w:pPr>
        <w:pStyle w:val="ManualConsidrant"/>
        <w:rPr>
          <w:noProof/>
        </w:rPr>
      </w:pPr>
      <w:r>
        <w:rPr>
          <w:noProof/>
        </w:rPr>
        <w:t>(6)</w:t>
      </w:r>
      <w:r>
        <w:rPr>
          <w:noProof/>
        </w:rPr>
        <w:tab/>
        <w:t>Pentru a asigura un mediu previzibil care să sprijine dezvoltarea de soluții inovatoare pe piața internă, autoritățile competente din statele membre ar trebui să utilizeze procese transparente și obiective pentru gestionarea spațiilor de testare în materie de reglementare, inclusiv criterii de eligibilitate, proceduri de depunere a cererilor, termene și condiții clare de participare și utilizare, precum și învățarea în materie de reglementare. Pentru a garanta securitatea juridică, orice posibilitate de acordare a unor derogări de la cerințele legale existente ar trebui să fie prevăzută în mod explicit, definită în mod clar și în concordanță cu legislația Uniunii.</w:t>
      </w:r>
    </w:p>
    <w:p>
      <w:pPr>
        <w:pStyle w:val="ManualConsidrant"/>
        <w:rPr>
          <w:noProof/>
        </w:rPr>
      </w:pPr>
      <w:r>
        <w:rPr>
          <w:noProof/>
        </w:rPr>
        <w:t>(7)</w:t>
      </w:r>
      <w:r>
        <w:rPr>
          <w:noProof/>
        </w:rPr>
        <w:tab/>
        <w:t>În vederea asigurării unei înțelegeri comune a spațiilor de testare în materie de reglementare, este necesar să se intensifice acțiunile de sensibilizare, să se armonizeze comunicarea și să se faciliteze învățarea reciprocă între statele membre și autoritățile competente din acestea, precum și să se contribuie la dezvoltarea unei abordări a învățării care să fie atât flexibilă, cât și agilă.</w:t>
      </w:r>
    </w:p>
    <w:p>
      <w:pPr>
        <w:pStyle w:val="ManualConsidrant"/>
        <w:rPr>
          <w:noProof/>
        </w:rPr>
      </w:pPr>
      <w:r>
        <w:rPr>
          <w:noProof/>
        </w:rPr>
        <w:t>(8)</w:t>
      </w:r>
      <w:r>
        <w:rPr>
          <w:noProof/>
        </w:rPr>
        <w:tab/>
        <w:t>Schimbul de informații cu organismele de evaluare a conformității, cu organizațiile de standardizare, cu autoritățile de supraveghere a pieței și cu alți actori relevanți cu privire la rezultatele unui spațiu de testare în materie de reglementare, de exemplu sub forma unor rapoarte de ieșire, ar putea contribui la accelerarea evaluării conformității, a standardizării sau a aprobării pe piața națională a soluțiilor inovatoare. Astfel, inovarea ar putea beneficia de un sprijin adecvat, iar soluțiile inovatoare rezultate la încheierea cu succes a experimentării în spațiul de testare în materie de reglementare ar putea fi direcționate către integrarea cu succes pe piață.</w:t>
      </w:r>
    </w:p>
    <w:p>
      <w:pPr>
        <w:pStyle w:val="ManualConsidrant"/>
        <w:rPr>
          <w:noProof/>
        </w:rPr>
      </w:pPr>
      <w:r>
        <w:rPr>
          <w:noProof/>
        </w:rPr>
        <w:t>(9)</w:t>
      </w:r>
      <w:r>
        <w:rPr>
          <w:noProof/>
        </w:rPr>
        <w:tab/>
        <w:t xml:space="preserve">Accesul nediscriminatoriu la spațiile de testare în materie de reglementare în întreaga Uniune ar promova concurența loială și ar încuraja participarea largă a tuturor părților interesate relevante, inclusiv a operatorilor economici, care pot oferi informații utile autorităților competente în scopul învățării în materie de reglementare. În ceea ce privește posibilitatea de a restricționa accesul sau de a acorda acces prioritar la spațiile de testare în materie de reglementare, care ar trebui să fie în conformitate cu obligațiile Uniunii prevăzute în acordurile internaționale aplicabile, se recomandă să se analizeze cu atenție necesitatea unei astfel de restricționări sau priorități pe baza unor elemente obiective, cum ar fi țara de înregistrare și dimensiunea entităților participante.  </w:t>
      </w:r>
    </w:p>
    <w:p>
      <w:pPr>
        <w:pStyle w:val="ManualConsidrant"/>
        <w:rPr>
          <w:noProof/>
        </w:rPr>
      </w:pPr>
      <w:r>
        <w:rPr>
          <w:noProof/>
        </w:rPr>
        <w:t>(10)</w:t>
      </w:r>
      <w:r>
        <w:rPr>
          <w:noProof/>
        </w:rPr>
        <w:tab/>
        <w:t>Spațiile de testare în materie de reglementare și probele generate prin experimentarea efectuată în cadrul acestora ar trebui să sprijine evoluția cadrelor de reglementare. Analizele sistematice ale informațiilor obținute din activitățile de experimentare ar trebui să sporească adaptabilitatea cadrelor de reglementare la circumstanțele în schimbare și la progresele tehnologice. Spațiile de testare în materie de reglementare ar trebui, de asemenea, să ofere o oportunitate pentru promovarea reglementării în cazul unui grad ridicat de incertitudine și al unor provocări perturbatoare, precum și atunci când se pregătesc noi politici.</w:t>
      </w:r>
    </w:p>
    <w:p>
      <w:pPr>
        <w:pStyle w:val="ManualConsidrant"/>
        <w:rPr>
          <w:noProof/>
        </w:rPr>
      </w:pPr>
      <w:r>
        <w:rPr>
          <w:noProof/>
        </w:rPr>
        <w:t>(11)</w:t>
      </w:r>
      <w:r>
        <w:rPr>
          <w:noProof/>
        </w:rPr>
        <w:tab/>
        <w:t>Având în vedere experiența dobândită din spațiile de testare în materie de reglementare existente la nivelul Uniunii și la nivel național, Consiliul salută intenția Comisiei de a monitoriza evoluțiile relevante și de a evalua, după caz, dacă ar putea fi necesare măsuri suplimentare la nivelul Uniunii. Orice astfel de măsuri ar trebui să fie favorabile inovării și concepute astfel încât să se evite sarcinile administrative inutile sau cerințele excesiv de prescriptive,</w:t>
      </w:r>
    </w:p>
    <w:p>
      <w:pPr>
        <w:pStyle w:val="Formuledadoption"/>
        <w:rPr>
          <w:noProof/>
        </w:rPr>
      </w:pPr>
      <w:r>
        <w:rPr>
          <w:noProof/>
        </w:rPr>
        <w:t>RECOMANDĂ:</w:t>
      </w:r>
    </w:p>
    <w:p>
      <w:pPr>
        <w:pStyle w:val="ManualNumPar1"/>
        <w:rPr>
          <w:noProof/>
        </w:rPr>
      </w:pPr>
      <w:r>
        <w:rPr>
          <w:noProof/>
        </w:rPr>
        <w:t>1.</w:t>
      </w:r>
      <w:r>
        <w:rPr>
          <w:noProof/>
        </w:rPr>
        <w:tab/>
        <w:t>În sensul prezentei recomandări, se aplică următoarele definiții:</w:t>
      </w:r>
    </w:p>
    <w:p>
      <w:pPr>
        <w:pStyle w:val="Point1"/>
        <w:rPr>
          <w:noProof/>
        </w:rPr>
      </w:pPr>
      <w:r>
        <w:rPr>
          <w:noProof/>
        </w:rPr>
        <w:t>(1)</w:t>
      </w:r>
      <w:r>
        <w:rPr>
          <w:noProof/>
        </w:rPr>
        <w:tab/>
        <w:t>„spațiu de testare în materie de reglementare” înseamnă un cadru structurat care permite participanților la spațiul de testare în materie de reglementare să experimenteze soluții inovatoare pentru o perioadă limitată de timp într-un mediu controlat, sub supravegherea uneia sau a mai multor autorități competente, și care are ca rezultat învățarea bazată pe dovezi în materie de reglementare;</w:t>
      </w:r>
    </w:p>
    <w:p>
      <w:pPr>
        <w:pStyle w:val="Point1"/>
        <w:rPr>
          <w:noProof/>
        </w:rPr>
      </w:pPr>
      <w:r>
        <w:rPr>
          <w:noProof/>
        </w:rPr>
        <w:t>(2)</w:t>
      </w:r>
      <w:r>
        <w:rPr>
          <w:noProof/>
        </w:rPr>
        <w:tab/>
        <w:t>„experimentare” înseamnă orice combinație de activități de dezvoltare, testare și validare a soluțiilor inovatoare în condiții reale într-un mediu controlat, înainte de a le pune la dispoziție sau de a le pune în funcțiune sau de a le utiliza într-un alt mod;</w:t>
      </w:r>
    </w:p>
    <w:p>
      <w:pPr>
        <w:pStyle w:val="Point1"/>
        <w:rPr>
          <w:noProof/>
        </w:rPr>
      </w:pPr>
      <w:r>
        <w:rPr>
          <w:noProof/>
        </w:rPr>
        <w:t>(3)</w:t>
      </w:r>
      <w:r>
        <w:rPr>
          <w:noProof/>
        </w:rPr>
        <w:tab/>
        <w:t>„mediu controlat” înseamnă un mediu fizic, digital sau hibrid în interiorul sau în afara unui laborator sau a unui mediu simulat în alt mod, în care poate avea experimentarea în spațiile de testare în materie de reglementare loc, sub supravegherea uneia sau a mai multor autorități competente și sub rezerva unor condiții, garanții și măsuri predefinite pentru abordarea și atenuarea riscurilor potențiale;</w:t>
      </w:r>
    </w:p>
    <w:p>
      <w:pPr>
        <w:pStyle w:val="Point1"/>
        <w:rPr>
          <w:noProof/>
        </w:rPr>
      </w:pPr>
      <w:r>
        <w:rPr>
          <w:noProof/>
        </w:rPr>
        <w:t>(4)</w:t>
      </w:r>
      <w:r>
        <w:rPr>
          <w:noProof/>
        </w:rPr>
        <w:tab/>
        <w:t>„autoritate competentă” înseamnă orice organism din sectorul public al unui stat membru, de la nivel național, regional sau local, căruia îi sunt încredințate, în temeiul dreptului Uniunii sau al dreptului intern, responsabilități de supraveghere sau de asigurare a respectării legislației care are legătură cu inovațiile care pot fi experimentate sau supravegheate într-un spațiu de testare în materie de reglementare sau care afectează aceste inovații;</w:t>
      </w:r>
    </w:p>
    <w:p>
      <w:pPr>
        <w:pStyle w:val="Point1"/>
        <w:rPr>
          <w:noProof/>
        </w:rPr>
      </w:pPr>
      <w:r>
        <w:rPr>
          <w:noProof/>
        </w:rPr>
        <w:t>(5)</w:t>
      </w:r>
      <w:r>
        <w:rPr>
          <w:noProof/>
        </w:rPr>
        <w:tab/>
        <w:t xml:space="preserve">„spațiu de testare transfrontalier în materie de reglementare” înseamnă un spațiu de testare în materie de reglementare instituit, utilizat sau supravegheat în comun de autorități competente din mai multe state membre. </w:t>
      </w:r>
    </w:p>
    <w:p>
      <w:pPr>
        <w:pStyle w:val="ManualNumPar1"/>
        <w:rPr>
          <w:noProof/>
        </w:rPr>
      </w:pPr>
      <w:r>
        <w:rPr>
          <w:noProof/>
        </w:rPr>
        <w:t>2.</w:t>
      </w:r>
      <w:r>
        <w:rPr>
          <w:noProof/>
        </w:rPr>
        <w:tab/>
        <w:t xml:space="preserve">La elaborarea dispozițiilor naționale privind spațiile de testare în materie de reglementare, statele membre ar trebui să aibă în vedere următoarele măsuri: </w:t>
      </w:r>
    </w:p>
    <w:p>
      <w:pPr>
        <w:pStyle w:val="Point1"/>
        <w:rPr>
          <w:noProof/>
        </w:rPr>
      </w:pPr>
      <w:r>
        <w:rPr>
          <w:noProof/>
        </w:rPr>
        <w:t>(a)</w:t>
      </w:r>
      <w:r>
        <w:rPr>
          <w:noProof/>
        </w:rPr>
        <w:tab/>
        <w:t>să evalueze dacă este necesar un spațiu de testare în materie de reglementare într-un anumit sector;</w:t>
      </w:r>
    </w:p>
    <w:p>
      <w:pPr>
        <w:pStyle w:val="Point1"/>
        <w:rPr>
          <w:noProof/>
        </w:rPr>
      </w:pPr>
      <w:r>
        <w:rPr>
          <w:noProof/>
        </w:rPr>
        <w:t>(b)</w:t>
      </w:r>
      <w:r>
        <w:rPr>
          <w:noProof/>
        </w:rPr>
        <w:tab/>
        <w:t>să aplice dispozițiile juridice în vigoare ale Uniunii privind instituirea și utilizarea spațiilor de testare în materie de reglementare, după caz;</w:t>
      </w:r>
    </w:p>
    <w:p>
      <w:pPr>
        <w:pStyle w:val="Point1"/>
        <w:rPr>
          <w:noProof/>
        </w:rPr>
      </w:pPr>
      <w:r>
        <w:rPr>
          <w:noProof/>
        </w:rPr>
        <w:t>(c)</w:t>
      </w:r>
      <w:r>
        <w:rPr>
          <w:noProof/>
        </w:rPr>
        <w:tab/>
        <w:t>să precizează motivele pentru care este necesară includerea unor dispoziții privind spațiile de testare în materie de reglementare în actul juridic național relevant și să definească în mod clar obiectivele spațiului de testare în materie de reglementare în cadrul actului respectiv;</w:t>
      </w:r>
    </w:p>
    <w:p>
      <w:pPr>
        <w:pStyle w:val="Point1"/>
        <w:rPr>
          <w:noProof/>
        </w:rPr>
      </w:pPr>
      <w:r>
        <w:rPr>
          <w:noProof/>
        </w:rPr>
        <w:t>(d)</w:t>
      </w:r>
      <w:r>
        <w:rPr>
          <w:noProof/>
        </w:rPr>
        <w:tab/>
        <w:t xml:space="preserve">în cazul în care sunt avute în vedere derogări de la cerințele legale existente, să se asigure că aceste derogări sunt prevăzute în mod explicit, definite în mod clar și justificate în mod corespunzător; </w:t>
      </w:r>
    </w:p>
    <w:p>
      <w:pPr>
        <w:pStyle w:val="Point1"/>
        <w:rPr>
          <w:noProof/>
        </w:rPr>
      </w:pPr>
      <w:r>
        <w:rPr>
          <w:noProof/>
        </w:rPr>
        <w:t>(e)</w:t>
      </w:r>
      <w:r>
        <w:rPr>
          <w:noProof/>
        </w:rPr>
        <w:tab/>
        <w:t xml:space="preserve">să se asigure că derogările de la dreptul derivat al Uniunii aplicabil sunt avute în vedere numai în cazul în care actele aplicabile ale Uniunii prevăd posibilitatea acordării unor astfel de derogări; </w:t>
      </w:r>
    </w:p>
    <w:p>
      <w:pPr>
        <w:pStyle w:val="Point1"/>
        <w:rPr>
          <w:noProof/>
        </w:rPr>
      </w:pPr>
      <w:r>
        <w:rPr>
          <w:noProof/>
        </w:rPr>
        <w:t>(f)</w:t>
      </w:r>
      <w:r>
        <w:rPr>
          <w:noProof/>
        </w:rPr>
        <w:tab/>
        <w:t xml:space="preserve">să prevadă în actul juridic național faptul că spațiile de testare în materie de reglementare pot fi instituite la inițiativa autorității sau a autorităților competente sau la cererea unui solicitant, în limitele competențelor conferite autorității sau autorităților respective în temeiul dreptului Uniunii și al dreptului intern; </w:t>
      </w:r>
    </w:p>
    <w:p>
      <w:pPr>
        <w:pStyle w:val="Point1"/>
        <w:rPr>
          <w:noProof/>
        </w:rPr>
      </w:pPr>
      <w:r>
        <w:rPr>
          <w:noProof/>
        </w:rPr>
        <w:t>(g)</w:t>
      </w:r>
      <w:r>
        <w:rPr>
          <w:noProof/>
        </w:rPr>
        <w:tab/>
        <w:t>să verifice, după caz, dacă instalațiile de testare, inclusiv cele acreditate pentru evaluările conformității în temeiul Regulamentului (CE) nr. 765/2008 al Parlamentului European și al Consiliului</w:t>
      </w:r>
      <w:r>
        <w:rPr>
          <w:rStyle w:val="FootnoteReference"/>
          <w:noProof/>
        </w:rPr>
        <w:footnoteReference w:id="37"/>
      </w:r>
      <w:r>
        <w:rPr>
          <w:noProof/>
        </w:rPr>
        <w:t xml:space="preserve">, ar putea fi puse la dispoziție pentru experimentare în spațiile de testare în materie de reglementare; </w:t>
      </w:r>
    </w:p>
    <w:p>
      <w:pPr>
        <w:pStyle w:val="Point1"/>
        <w:rPr>
          <w:noProof/>
        </w:rPr>
      </w:pPr>
      <w:r>
        <w:rPr>
          <w:noProof/>
        </w:rPr>
        <w:t>(h)</w:t>
      </w:r>
      <w:r>
        <w:rPr>
          <w:noProof/>
        </w:rPr>
        <w:tab/>
        <w:t>să coopereze cu infrastructurile de cercetare și cu infrastructurile tehnologice</w:t>
      </w:r>
      <w:r>
        <w:rPr>
          <w:rStyle w:val="FootnoteReference"/>
          <w:noProof/>
        </w:rPr>
        <w:footnoteReference w:id="38"/>
      </w:r>
      <w:r>
        <w:rPr>
          <w:noProof/>
        </w:rPr>
        <w:t xml:space="preserve"> pentru a oferi participanților la spațiile de testare în materie de reglementare acces la instalațiile și serviciile infrastructurilor respective, după caz.</w:t>
      </w:r>
    </w:p>
    <w:p>
      <w:pPr>
        <w:pStyle w:val="ManualNumPar1"/>
        <w:rPr>
          <w:noProof/>
        </w:rPr>
      </w:pPr>
      <w:r>
        <w:rPr>
          <w:noProof/>
        </w:rPr>
        <w:t>3.</w:t>
      </w:r>
      <w:r>
        <w:rPr>
          <w:noProof/>
        </w:rPr>
        <w:tab/>
        <w:t xml:space="preserve">Statele membre și autoritățile lor competente ar trebui să specifice condițiile în care este permisă experimentarea, care să acopere cel puțin următoarele aspecte:  </w:t>
      </w:r>
    </w:p>
    <w:p>
      <w:pPr>
        <w:pStyle w:val="Point1"/>
        <w:rPr>
          <w:noProof/>
        </w:rPr>
      </w:pPr>
      <w:r>
        <w:rPr>
          <w:noProof/>
        </w:rPr>
        <w:t>(1)</w:t>
      </w:r>
      <w:r>
        <w:rPr>
          <w:noProof/>
        </w:rPr>
        <w:tab/>
        <w:t xml:space="preserve">obiectivele și domeniul de aplicare al experimentării, care ar trebui să includă promovarea soluțiilor inovatoare care nu pot fi dezvoltate în conformitate cu normele aplicabile în prezent, precum și promovarea învățării în materie de reglementare; </w:t>
      </w:r>
    </w:p>
    <w:p>
      <w:pPr>
        <w:pStyle w:val="Point1"/>
        <w:rPr>
          <w:noProof/>
        </w:rPr>
      </w:pPr>
      <w:r>
        <w:rPr>
          <w:noProof/>
        </w:rPr>
        <w:t>(2)</w:t>
      </w:r>
      <w:r>
        <w:rPr>
          <w:noProof/>
        </w:rPr>
        <w:tab/>
        <w:t xml:space="preserve">tipurile de activități de experimentare a căror desfășurare este autorizată; </w:t>
      </w:r>
    </w:p>
    <w:p>
      <w:pPr>
        <w:pStyle w:val="Point1"/>
        <w:rPr>
          <w:noProof/>
        </w:rPr>
      </w:pPr>
      <w:r>
        <w:rPr>
          <w:noProof/>
        </w:rPr>
        <w:t>(3)</w:t>
      </w:r>
      <w:r>
        <w:rPr>
          <w:noProof/>
        </w:rPr>
        <w:tab/>
        <w:t xml:space="preserve">orice restricții privind experimentarea, inclusiv durata maximă a acesteia sau eventualele limitări geografice; </w:t>
      </w:r>
    </w:p>
    <w:p>
      <w:pPr>
        <w:pStyle w:val="Point1"/>
        <w:rPr>
          <w:noProof/>
        </w:rPr>
      </w:pPr>
      <w:r>
        <w:rPr>
          <w:noProof/>
        </w:rPr>
        <w:t>(4)</w:t>
      </w:r>
      <w:r>
        <w:rPr>
          <w:noProof/>
        </w:rPr>
        <w:tab/>
        <w:t>o evaluare a riscurilor potențiale, a măsurilor de atenuare și a garanțiilor necesare pentru a asigura protecția intereselor publice, a drepturilor fundamentale, a drepturilor garantate de constituțiile naționale și a drepturilor garantate de tratate, în special a celor referitoare la protecția siguranței persoanelor și a bunurilor, a consumatorilor și a mediului, precum și la sănătatea publică și ordinea publică, în conformitate, de asemenea, cu obligațiile internaționale și cu principiile de concurență loială;</w:t>
      </w:r>
    </w:p>
    <w:p>
      <w:pPr>
        <w:pStyle w:val="Point1"/>
        <w:rPr>
          <w:noProof/>
        </w:rPr>
      </w:pPr>
      <w:r>
        <w:rPr>
          <w:noProof/>
        </w:rPr>
        <w:t>(5)</w:t>
      </w:r>
      <w:r>
        <w:rPr>
          <w:noProof/>
        </w:rPr>
        <w:tab/>
        <w:t>condițiile de evaluare a experimentării;</w:t>
      </w:r>
    </w:p>
    <w:p>
      <w:pPr>
        <w:pStyle w:val="Point1"/>
        <w:rPr>
          <w:noProof/>
        </w:rPr>
      </w:pPr>
      <w:r>
        <w:rPr>
          <w:noProof/>
        </w:rPr>
        <w:t>(6)</w:t>
      </w:r>
      <w:r>
        <w:rPr>
          <w:noProof/>
        </w:rPr>
        <w:tab/>
        <w:t>condițiile de prelungire, reînnoire, suspendare, modificare sau încetare a experimentării, inclusiv raportarea incidentelor grave;</w:t>
      </w:r>
    </w:p>
    <w:p>
      <w:pPr>
        <w:pStyle w:val="Point1"/>
        <w:rPr>
          <w:noProof/>
        </w:rPr>
      </w:pPr>
      <w:r>
        <w:rPr>
          <w:noProof/>
        </w:rPr>
        <w:t>(7)</w:t>
      </w:r>
      <w:r>
        <w:rPr>
          <w:noProof/>
        </w:rPr>
        <w:tab/>
        <w:t>condițiile de aplicare a oricărei derogări de la legislația aplicabilă domeniului în care este propusă experimentarea.</w:t>
      </w:r>
    </w:p>
    <w:p>
      <w:pPr>
        <w:pStyle w:val="ManualNumPar1"/>
        <w:rPr>
          <w:noProof/>
        </w:rPr>
      </w:pPr>
      <w:r>
        <w:rPr>
          <w:noProof/>
        </w:rPr>
        <w:t>4.</w:t>
      </w:r>
      <w:r>
        <w:rPr>
          <w:noProof/>
        </w:rPr>
        <w:tab/>
        <w:t>Statele membre ar trebui să se asigure că durata experimentării într-un spațiu de testare în materie de reglementare este proporțională cu obiectivele sale și permite atingerea scopului preconizat și generarea unui nivel suficient de învățare în materie de reglementare.</w:t>
      </w:r>
    </w:p>
    <w:p>
      <w:pPr>
        <w:pStyle w:val="ManualNumPar1"/>
        <w:rPr>
          <w:noProof/>
        </w:rPr>
      </w:pPr>
      <w:r>
        <w:rPr>
          <w:noProof/>
        </w:rPr>
        <w:t>5.</w:t>
      </w:r>
      <w:r>
        <w:rPr>
          <w:noProof/>
        </w:rPr>
        <w:tab/>
        <w:t>Statele membre ar trebui să se asigure că participarea la spațiile de testare în materie de reglementare și utilizarea acestora fac obiectul unor condiții definite în mod clar care acoperă, în măsura în care este relevant, următoarele aspecte:</w:t>
      </w:r>
    </w:p>
    <w:p>
      <w:pPr>
        <w:pStyle w:val="Point1"/>
        <w:rPr>
          <w:noProof/>
        </w:rPr>
      </w:pPr>
      <w:r>
        <w:rPr>
          <w:noProof/>
        </w:rPr>
        <w:t>(a)</w:t>
      </w:r>
      <w:r>
        <w:rPr>
          <w:noProof/>
        </w:rPr>
        <w:tab/>
        <w:t>criteriile de eligibilitate, procedura de depunere a cererilor, criteriile și procedurile de selecție, condițiile de participare la spațiul de testare în materie de reglementare și de ieșire din acesta și, după caz, condițiile de acces la un mediu de experimentare specific, inclusiv orice condiții financiare aferente acestui acces, precum și modalitățile care reglementează acordarea consimțământului explicit și prealabil din partea persoanelor fizice participante;</w:t>
      </w:r>
    </w:p>
    <w:p>
      <w:pPr>
        <w:pStyle w:val="Point1"/>
        <w:rPr>
          <w:noProof/>
        </w:rPr>
      </w:pPr>
      <w:r>
        <w:rPr>
          <w:noProof/>
        </w:rPr>
        <w:t>(b)</w:t>
      </w:r>
      <w:r>
        <w:rPr>
          <w:noProof/>
        </w:rPr>
        <w:tab/>
        <w:t xml:space="preserve">răspunderea participanților și a altor părți implicate în spațiul de testare în materie de reglementare, în conformitate cu dreptul aplicabil al Uniunii și cu dreptul intern aplicabil, pentru orice prejudiciu cauzat terților, inclusiv utilizatorilor, subiecților testării și consumatorilor ca urmare a experimentării; </w:t>
      </w:r>
    </w:p>
    <w:p>
      <w:pPr>
        <w:pStyle w:val="Point1"/>
        <w:rPr>
          <w:noProof/>
        </w:rPr>
      </w:pPr>
      <w:r>
        <w:rPr>
          <w:noProof/>
        </w:rPr>
        <w:t>(c)</w:t>
      </w:r>
      <w:r>
        <w:rPr>
          <w:noProof/>
        </w:rPr>
        <w:tab/>
        <w:t xml:space="preserve">gestionarea drepturilor de proprietate intelectuală, protecția datelor și măsurile de garantare a dreptului la viață privată, precum și protecția informațiilor confidențiale; </w:t>
      </w:r>
    </w:p>
    <w:p>
      <w:pPr>
        <w:pStyle w:val="Point1"/>
        <w:rPr>
          <w:noProof/>
        </w:rPr>
      </w:pPr>
      <w:r>
        <w:rPr>
          <w:noProof/>
        </w:rPr>
        <w:t>(d)</w:t>
      </w:r>
      <w:r>
        <w:rPr>
          <w:noProof/>
        </w:rPr>
        <w:tab/>
        <w:t>orice dispoziții care precizează materialele și resursele pe care participanții sau autoritatea competentă ori ambele părți le vor pune la dispoziția proiectului derulat în cadrul spațiului de testare în materie de reglementare;</w:t>
      </w:r>
    </w:p>
    <w:p>
      <w:pPr>
        <w:pStyle w:val="Point1"/>
        <w:rPr>
          <w:noProof/>
        </w:rPr>
      </w:pPr>
      <w:r>
        <w:rPr>
          <w:noProof/>
        </w:rPr>
        <w:t>(e)</w:t>
      </w:r>
      <w:r>
        <w:rPr>
          <w:noProof/>
        </w:rPr>
        <w:tab/>
        <w:t>modalitățile de monitorizare, raportare, evaluare și schimb de cunoștințe; ca o condiție minimă, actorii care urmează să fie implicați în procesul de evaluare ar trebui să fie identificați în dispozițiile naționale privind spațiul de testare în materie de reglementare, precum și, dacă este cazul, în eventualele obligații de raportare;</w:t>
      </w:r>
    </w:p>
    <w:p>
      <w:pPr>
        <w:pStyle w:val="Point1"/>
        <w:rPr>
          <w:noProof/>
        </w:rPr>
      </w:pPr>
      <w:r>
        <w:rPr>
          <w:noProof/>
        </w:rPr>
        <w:t>(f)</w:t>
      </w:r>
      <w:r>
        <w:rPr>
          <w:noProof/>
        </w:rPr>
        <w:tab/>
        <w:t xml:space="preserve">o strategie de ieșire, inclusiv căi de implementare a soluțiilor inovatoare rezultate la încheierea cu succes a experimentării în spațiul de testare în materie de reglementare, precum și un proces pentru încetarea în condiții corespunzătoare a activităților de experimentare care produc rezultate nesatisfăcătoare sau au efecte potențial dăunătoare; </w:t>
      </w:r>
    </w:p>
    <w:p>
      <w:pPr>
        <w:pStyle w:val="Point1"/>
        <w:rPr>
          <w:noProof/>
        </w:rPr>
      </w:pPr>
      <w:r>
        <w:rPr>
          <w:noProof/>
        </w:rPr>
        <w:t>(g)</w:t>
      </w:r>
      <w:r>
        <w:rPr>
          <w:noProof/>
        </w:rPr>
        <w:tab/>
        <w:t>orice măsuri de sprijin relevante, inclusiv orientări și consiliere privind așteptările în materie de reglementare, activități de formare și de sporire a gradului de sensibilizare și, după caz, finanțare, adaptate la nevoile start-upurilor inovatoare, ale întreprinderilor inovatoare în fază de extindere, ale întreprinderilor mici și mijlocii (IMM-uri), ale potențialilor clienți proveniți din sectorul public sau privat sau ale altor utilizatori finali ai inovațiilor.</w:t>
      </w:r>
    </w:p>
    <w:p>
      <w:pPr>
        <w:pStyle w:val="ManualNumPar1"/>
        <w:rPr>
          <w:noProof/>
        </w:rPr>
      </w:pPr>
      <w:r>
        <w:rPr>
          <w:noProof/>
        </w:rPr>
        <w:t>6.</w:t>
      </w:r>
      <w:r>
        <w:rPr>
          <w:noProof/>
        </w:rPr>
        <w:tab/>
        <w:t>Statele membre și autoritățile lor competente sunt încurajate să instituie și să faciliteze participarea la spațiile de testare transfrontaliere în materie de reglementare. Atunci când instituie un spațiu transfrontalier de testare în materie de reglementare, autoritățile competente ar trebui să încheie un acord care să stabilească cel puțin următoarele aspecte:</w:t>
      </w:r>
    </w:p>
    <w:p>
      <w:pPr>
        <w:pStyle w:val="Point1"/>
        <w:rPr>
          <w:noProof/>
        </w:rPr>
      </w:pPr>
      <w:r>
        <w:rPr>
          <w:noProof/>
        </w:rPr>
        <w:t>(a)</w:t>
      </w:r>
      <w:r>
        <w:rPr>
          <w:noProof/>
        </w:rPr>
        <w:tab/>
        <w:t>condițiile în care este permisă experimentarea;</w:t>
      </w:r>
    </w:p>
    <w:p>
      <w:pPr>
        <w:pStyle w:val="Point1"/>
        <w:rPr>
          <w:noProof/>
        </w:rPr>
      </w:pPr>
      <w:r>
        <w:rPr>
          <w:noProof/>
        </w:rPr>
        <w:t xml:space="preserve">(b) </w:t>
      </w:r>
      <w:r>
        <w:rPr>
          <w:noProof/>
        </w:rPr>
        <w:tab/>
        <w:t xml:space="preserve">alocarea rolurilor și responsabilităților respective ale autorităților competente din diferite state membre în cea ce privește instituirea, utilizarea, supravegherea, monitorizarea spațiului de testare în materie de reglementare, precum și încetarea activității acestuia; </w:t>
      </w:r>
    </w:p>
    <w:p>
      <w:pPr>
        <w:pStyle w:val="Point1"/>
        <w:rPr>
          <w:noProof/>
        </w:rPr>
      </w:pPr>
      <w:r>
        <w:rPr>
          <w:noProof/>
        </w:rPr>
        <w:t>(c)</w:t>
      </w:r>
      <w:r>
        <w:rPr>
          <w:noProof/>
        </w:rPr>
        <w:tab/>
        <w:t>dispozițiile juridice și acordurile administrative aplicabile spațiului transfrontalier de testare în materie de reglementare (inclusiv cele enumerate la punctul 5), ținând seama de repartizarea rolurilor și responsabilităților respective între autoritățile competente relevante.</w:t>
      </w:r>
    </w:p>
    <w:p>
      <w:pPr>
        <w:pStyle w:val="ManualNumPar1"/>
        <w:rPr>
          <w:noProof/>
        </w:rPr>
      </w:pPr>
      <w:r>
        <w:rPr>
          <w:noProof/>
        </w:rPr>
        <w:t>7.</w:t>
      </w:r>
      <w:r>
        <w:rPr>
          <w:noProof/>
        </w:rPr>
        <w:tab/>
        <w:t xml:space="preserve">Statele membre ar trebui să se asigure că toate cererile de instituire a unor spații de testare în materie de reglementare și de participare la acestea sunt evaluate în mod transparent și nediscriminatoriu. </w:t>
      </w:r>
    </w:p>
    <w:p>
      <w:pPr>
        <w:pStyle w:val="ManualNumPar1"/>
        <w:rPr>
          <w:noProof/>
        </w:rPr>
      </w:pPr>
      <w:r>
        <w:rPr>
          <w:noProof/>
        </w:rPr>
        <w:t>8.</w:t>
      </w:r>
      <w:r>
        <w:rPr>
          <w:noProof/>
        </w:rPr>
        <w:tab/>
        <w:t>Cu toate acestea, sub rezerva obligațiilor Uniunii prevăzute în acordurile internaționale aplicabile, statele membre pot, în măsura în care este necesar și cu condiția să se ofere motive obiective:</w:t>
      </w:r>
    </w:p>
    <w:p>
      <w:pPr>
        <w:pStyle w:val="Point1"/>
        <w:rPr>
          <w:noProof/>
        </w:rPr>
      </w:pPr>
      <w:r>
        <w:rPr>
          <w:noProof/>
        </w:rPr>
        <w:t>(a)</w:t>
      </w:r>
      <w:r>
        <w:rPr>
          <w:noProof/>
        </w:rPr>
        <w:tab/>
        <w:t xml:space="preserve">să limiteze posibilitatea de a participa la spațiile de testare în materie de reglementare și să ofere această posibilitate exclusiv cetățenilor Uniunii și entităților stabilite în Uniune;  </w:t>
      </w:r>
    </w:p>
    <w:p>
      <w:pPr>
        <w:pStyle w:val="Point1"/>
        <w:rPr>
          <w:noProof/>
        </w:rPr>
      </w:pPr>
      <w:r>
        <w:rPr>
          <w:noProof/>
        </w:rPr>
        <w:t>(b)</w:t>
      </w:r>
      <w:r>
        <w:rPr>
          <w:noProof/>
        </w:rPr>
        <w:tab/>
        <w:t>să acorde prioritate IMM-urilor, start-upurilor inovatoare sau întreprinderilor inovatoare în faza de extindere stabilite în Uniune pentru participarea la un spațiu de testare în materie de reglementare; sau</w:t>
      </w:r>
    </w:p>
    <w:p>
      <w:pPr>
        <w:pStyle w:val="Point1"/>
        <w:rPr>
          <w:noProof/>
        </w:rPr>
      </w:pPr>
      <w:r>
        <w:rPr>
          <w:noProof/>
        </w:rPr>
        <w:t>(c)</w:t>
      </w:r>
      <w:r>
        <w:rPr>
          <w:noProof/>
        </w:rPr>
        <w:tab/>
        <w:t>să solicite participanților la un spațiu de testare în materie de reglementare să desfășoare în Uniune anumite activități de cercetare, dezvoltare și inovare necesare pentru experimentarea în spațiul de testare în materie de reglementare.</w:t>
      </w:r>
    </w:p>
    <w:p>
      <w:pPr>
        <w:pStyle w:val="ManualNumPar1"/>
        <w:rPr>
          <w:noProof/>
        </w:rPr>
      </w:pPr>
      <w:r>
        <w:rPr>
          <w:noProof/>
        </w:rPr>
        <w:t>9.</w:t>
      </w:r>
      <w:r>
        <w:rPr>
          <w:noProof/>
        </w:rPr>
        <w:tab/>
        <w:t xml:space="preserve">Cu sprijinul autorităților competente, statele membre ar trebui să colecteze și să analizeze rezultatele experimentării desfășurate în cadrul unui spațiu de testare în materie de reglementare, precum și învățămintele desprinse în urma acesteia. Pe baza acestei analize, statele membre ar trebui să evalueze necesitatea de a integra aceste învățăminte în cadrul național de reglementare aplicabil inovației care a făcut obiectul experimentării. </w:t>
      </w:r>
    </w:p>
    <w:p>
      <w:pPr>
        <w:pStyle w:val="ManualNumPar1"/>
        <w:rPr>
          <w:noProof/>
        </w:rPr>
      </w:pPr>
      <w:r>
        <w:rPr>
          <w:noProof/>
        </w:rPr>
        <w:t>10.</w:t>
      </w:r>
      <w:r>
        <w:rPr>
          <w:noProof/>
        </w:rPr>
        <w:tab/>
        <w:t>Statele membre ar trebui să impună autorităților competente ca, la cererea unui participant la un spațiu de testare în materie de reglementare, să emită un raport final în care să fie prezentate în detaliu activitățile desfășurate în spațiul de testare în materie de reglementare, rezultatele experimentării și rezultatele învățării, cu scopul de a accelera evaluarea conformității, standardizarea sau aprobarea pe piața națională a inovațiilor.</w:t>
      </w:r>
    </w:p>
    <w:p>
      <w:pPr>
        <w:pStyle w:val="ManualNumPar1"/>
        <w:rPr>
          <w:noProof/>
        </w:rPr>
      </w:pPr>
      <w:r>
        <w:rPr>
          <w:noProof/>
        </w:rPr>
        <w:t>11.</w:t>
      </w:r>
      <w:r>
        <w:rPr>
          <w:noProof/>
        </w:rPr>
        <w:tab/>
        <w:t>Statele membre ar trebui să pună la dispoziția publicului orice informații referitoare la instituirea spațiilor de testare în materie de reglementare și la rezultatele experimentării, asigurând, în același timp, protecția deplină a secretelor comerciale sau a altor informații confidențiale, inclusiv învățămintele desprinse în scopul învățării în materie de reglementare, cu excepția cazului în care acest lucru ar contraveni intereselor în materie de securitate națională sau intereselor de securitate ale Uniunii.</w:t>
      </w:r>
    </w:p>
    <w:p>
      <w:pPr>
        <w:pStyle w:val="ManualNumPar1"/>
        <w:rPr>
          <w:noProof/>
        </w:rPr>
      </w:pPr>
      <w:r>
        <w:rPr>
          <w:noProof/>
        </w:rPr>
        <w:t>12.</w:t>
      </w:r>
      <w:r>
        <w:rPr>
          <w:noProof/>
        </w:rPr>
        <w:tab/>
        <w:t>Se recomandă ca statele membre să pună în aplicare prezenta recomandare cât mai curând posibil.</w:t>
      </w:r>
    </w:p>
    <w:p>
      <w:pPr>
        <w:pStyle w:val="ManualNumPar1"/>
        <w:rPr>
          <w:noProof/>
        </w:rPr>
      </w:pPr>
      <w:r>
        <w:rPr>
          <w:noProof/>
        </w:rPr>
        <w:t>13.</w:t>
      </w:r>
      <w:r>
        <w:rPr>
          <w:noProof/>
        </w:rPr>
        <w:tab/>
        <w:t>Statele membre sunt invitate să monitorizeze, cu sprijinul Comisiei, progresele înregistrate în punerea în aplicare a prezentei recomandări.</w:t>
      </w:r>
    </w:p>
    <w:p>
      <w:pPr>
        <w:rPr>
          <w:noProof/>
        </w:rPr>
      </w:pPr>
    </w:p>
    <w:p>
      <w:pPr>
        <w:keepNext/>
        <w:keepLines/>
        <w:rPr>
          <w:noProof/>
        </w:rPr>
      </w:pP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Președinta</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pPr>
      <w:r>
        <w:rPr>
          <w:rStyle w:val="FootnoteReference"/>
        </w:rPr>
        <w:footnoteRef/>
      </w:r>
      <w:r>
        <w:tab/>
      </w:r>
      <w:r>
        <w:rPr>
          <w:i/>
          <w:iCs/>
        </w:rPr>
        <w:t>The Draghi report</w:t>
      </w:r>
      <w:r>
        <w:t xml:space="preserve">: </w:t>
      </w:r>
      <w:r>
        <w:rPr>
          <w:i/>
          <w:iCs/>
        </w:rPr>
        <w:t>A competitiveness strategy for Europe</w:t>
      </w:r>
      <w:r>
        <w:t xml:space="preserve"> (Raportul Draghi: O strategie privind competitivitatea pentru Europa), 2024, p. 6, </w:t>
      </w:r>
      <w:hyperlink r:id="rId1" w:anchor="paragraph_47059" w:history="1">
        <w:r>
          <w:rPr>
            <w:rStyle w:val="Hyperlink"/>
          </w:rPr>
          <w:t>https://commission.europa.eu/topics/competitiveness/draghi-report_en#paragraph_47059</w:t>
        </w:r>
      </w:hyperlink>
      <w:r>
        <w:t>.</w:t>
      </w:r>
    </w:p>
  </w:footnote>
  <w:footnote w:id="2">
    <w:p>
      <w:pPr>
        <w:pStyle w:val="FootnoteText"/>
      </w:pPr>
      <w:r>
        <w:rPr>
          <w:rStyle w:val="FootnoteReference"/>
        </w:rPr>
        <w:footnoteRef/>
      </w:r>
      <w:r>
        <w:tab/>
        <w:t xml:space="preserve">COM(2025) 270 final, </w:t>
      </w:r>
      <w:hyperlink r:id="rId2" w:history="1">
        <w:r>
          <w:rPr>
            <w:rStyle w:val="Hyperlink"/>
          </w:rPr>
          <w:t>https://eur-lex.europa.eu/legal-content/RO/TXT/?uri=celex:52025DC0270</w:t>
        </w:r>
      </w:hyperlink>
      <w:r>
        <w:rPr>
          <w:u w:val="single"/>
        </w:rPr>
        <w:t>.</w:t>
      </w:r>
      <w:r>
        <w:t xml:space="preserve">  </w:t>
      </w:r>
    </w:p>
  </w:footnote>
  <w:footnote w:id="3">
    <w:p>
      <w:pPr>
        <w:pStyle w:val="FootnoteText"/>
        <w:ind w:left="0" w:firstLine="0"/>
      </w:pPr>
      <w:r>
        <w:rPr>
          <w:rStyle w:val="FootnoteReference"/>
        </w:rPr>
        <w:footnoteRef/>
      </w:r>
      <w:r>
        <w:tab/>
        <w:t xml:space="preserve">Comisia Europeană: Direcția Generală Cercetare și Inovare, Vuorinen, H., Isakovic, S. M. și Bonel, E., </w:t>
      </w:r>
      <w:r>
        <w:rPr>
          <w:i/>
        </w:rPr>
        <w:t>Use of regulatory sandboxes in EU Member States – 2025 survey report</w:t>
      </w:r>
      <w:r>
        <w:t xml:space="preserve"> (Utilizarea spațiilor de testare în materie de reglementare în statele membre ale UE – Raport privind sondajul din 2025), Oficiul pentru Publicații al Uniunii Europene, 2026, </w:t>
      </w:r>
      <w:hyperlink r:id="rId3" w:tgtFrame="_blank" w:history="1">
        <w:r>
          <w:rPr>
            <w:rStyle w:val="Hyperlink"/>
          </w:rPr>
          <w:t>https://data.europa.eu/doi/10.2777/9535645</w:t>
        </w:r>
      </w:hyperlink>
      <w:r>
        <w:t>.</w:t>
      </w:r>
    </w:p>
  </w:footnote>
  <w:footnote w:id="4">
    <w:p>
      <w:pPr>
        <w:pStyle w:val="FootnoteText"/>
      </w:pPr>
      <w:r>
        <w:rPr>
          <w:rStyle w:val="FootnoteReference"/>
        </w:rPr>
        <w:footnoteRef/>
      </w:r>
      <w:r>
        <w:tab/>
        <w:t xml:space="preserve">Importanța cercetării și inovării pentru Strategia UE privind start-upurile și întreprinderile în fază de extindere – Concluzii ale Consiliului </w:t>
      </w:r>
      <w:hyperlink r:id="rId4" w:history="1">
        <w:r>
          <w:rPr>
            <w:rStyle w:val="Hyperlink"/>
          </w:rPr>
          <w:t>https://data.consilium.europa.eu/doc/document/ST-13357-2025-INIT/ro/pdf</w:t>
        </w:r>
      </w:hyperlink>
      <w:r>
        <w:t xml:space="preserve">. </w:t>
      </w:r>
    </w:p>
  </w:footnote>
  <w:footnote w:id="5">
    <w:p>
      <w:pPr>
        <w:pStyle w:val="FootnoteText"/>
      </w:pPr>
      <w:r>
        <w:rPr>
          <w:rStyle w:val="FootnoteReference"/>
        </w:rPr>
        <w:footnoteRef/>
      </w:r>
      <w:r>
        <w:tab/>
        <w:t xml:space="preserve">Propunere a Comisiei de REGULAMENT AL PARLAMENTULUI EUROPEAN ȘI AL CONSILIULUI – Actul european pentru inovare – COM(2026) 567. </w:t>
      </w:r>
    </w:p>
  </w:footnote>
  <w:footnote w:id="6">
    <w:p>
      <w:pPr>
        <w:pStyle w:val="FootnoteText"/>
      </w:pPr>
      <w:r>
        <w:rPr>
          <w:rStyle w:val="FootnoteReference"/>
        </w:rPr>
        <w:footnoteRef/>
      </w:r>
      <w:r>
        <w:tab/>
        <w:t xml:space="preserve">Concluziile Consiliului privind spațiile de testare în materie de reglementare și clauzele de experimentare drept instrumente ale unui cadru de reglementare rezilient și adaptat exigențelor viitorului, care face față provocărilor perturbatoare în era digitală, </w:t>
      </w:r>
      <w:hyperlink r:id="rId5" w:history="1">
        <w:r>
          <w:rPr>
            <w:rStyle w:val="Hyperlink"/>
          </w:rPr>
          <w:t>https://data.consilium.europa.eu/doc/document/ST-13026-2020-INIT/ro/pdf</w:t>
        </w:r>
      </w:hyperlink>
      <w:r>
        <w:t xml:space="preserve">. </w:t>
      </w:r>
    </w:p>
  </w:footnote>
  <w:footnote w:id="7">
    <w:p>
      <w:pPr>
        <w:pStyle w:val="FootnoteText"/>
        <w:jc w:val="left"/>
      </w:pPr>
      <w:r>
        <w:rPr>
          <w:rStyle w:val="FootnoteReference"/>
        </w:rPr>
        <w:footnoteRef/>
      </w:r>
      <w:r>
        <w:tab/>
        <w:t xml:space="preserve">SWD(2023) 277/2 final, </w:t>
      </w:r>
      <w:hyperlink r:id="rId6" w:history="1">
        <w:r>
          <w:rPr>
            <w:rStyle w:val="Hyperlink"/>
          </w:rPr>
          <w:t>https://research-and-innovation.ec.europa.eu/document/download/fc6f35cd-a8d6-4770-aefe-c09ca85cff8c_en?filename=swd_2023_277_f1.pdf</w:t>
        </w:r>
      </w:hyperlink>
      <w:r>
        <w:t xml:space="preserve">. </w:t>
      </w:r>
    </w:p>
  </w:footnote>
  <w:footnote w:id="8">
    <w:p>
      <w:pPr>
        <w:pStyle w:val="FootnoteText"/>
      </w:pPr>
      <w:r>
        <w:rPr>
          <w:rStyle w:val="FootnoteReference"/>
        </w:rPr>
        <w:footnoteRef/>
      </w:r>
      <w:r>
        <w:tab/>
        <w:t xml:space="preserve">Comunicarea Comisiei către Parlamentul European, Consiliu, Comitetul Economic și Social European și Comitetul Regiunilor – O nouă agendă europeană de inovare, COM/2022/332 final, </w:t>
      </w:r>
      <w:hyperlink r:id="rId7" w:history="1">
        <w:r>
          <w:rPr>
            <w:rStyle w:val="Hyperlink"/>
          </w:rPr>
          <w:t>https://eur-lex.europa.eu/legal-content/RO/TXT/?uri=CELEX:52022DC0332</w:t>
        </w:r>
      </w:hyperlink>
      <w:r>
        <w:t xml:space="preserve">. </w:t>
      </w:r>
    </w:p>
  </w:footnote>
  <w:footnote w:id="9">
    <w:p>
      <w:pPr>
        <w:pStyle w:val="FootnoteText"/>
      </w:pPr>
      <w:r>
        <w:rPr>
          <w:rStyle w:val="FootnoteReference"/>
        </w:rPr>
        <w:footnoteRef/>
      </w:r>
      <w:r>
        <w:tab/>
        <w:t xml:space="preserve">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8" w:history="1">
        <w:r>
          <w:rPr>
            <w:rStyle w:val="Hyperlink"/>
          </w:rPr>
          <w:t>http://data.europa.eu/eli/reg/2024/1689/oj</w:t>
        </w:r>
      </w:hyperlink>
      <w:r>
        <w:t>).</w:t>
      </w:r>
    </w:p>
  </w:footnote>
  <w:footnote w:id="10">
    <w:p>
      <w:pPr>
        <w:pStyle w:val="FootnoteText"/>
      </w:pPr>
      <w:r>
        <w:rPr>
          <w:rStyle w:val="FootnoteReference"/>
        </w:rPr>
        <w:footnoteRef/>
      </w:r>
      <w:r>
        <w:tab/>
        <w:t xml:space="preserve">Propunere de REGULAMENT AL PARLAMENTULUI EUROPEAN ȘI AL CONSILIULUI de stabilire a unui cadru de măsuri pentru consolidarea sectoarelor biotehnologiei și producției biotehnologice din Uniune, în special în domeniul sănătății, și de modificare a Regulamentelor (CE) nr. 178/2002, (CE) nr. 1394/2007, (UE) nr. 536/2014, (UE) 2019/6, (UE) 2024/795 și (UE) 2024/1938 (Actul legislativ european privind biotehnologiile), COM(2025) 1022 final, </w:t>
      </w:r>
      <w:hyperlink r:id="rId9" w:history="1">
        <w:r>
          <w:rPr>
            <w:rStyle w:val="Hyperlink"/>
          </w:rPr>
          <w:t>EUR-Lex - 52025PC1022(01) - RO - EUR-Lex</w:t>
        </w:r>
      </w:hyperlink>
      <w:r>
        <w:t>.</w:t>
      </w:r>
    </w:p>
  </w:footnote>
  <w:footnote w:id="11">
    <w:p>
      <w:pPr>
        <w:pStyle w:val="FootnoteText"/>
      </w:pPr>
      <w:r>
        <w:rPr>
          <w:rStyle w:val="FootnoteReference"/>
        </w:rPr>
        <w:footnoteRef/>
      </w:r>
      <w:r>
        <w:tab/>
        <w:t xml:space="preserve">Comunicarea Comisiei către Parlamentul European, Consiliu, Comitetul Economic și Social European și Comitetul Regiunilor – Un cadru strategic pentru o bioeconomie a UE competitivă și durabilă, COM(2025) 960 final, </w:t>
      </w:r>
      <w:hyperlink r:id="rId10" w:history="1">
        <w:r>
          <w:rPr>
            <w:rStyle w:val="Hyperlink"/>
          </w:rPr>
          <w:t>https://eur-lex.europa.eu/legal-content/RO/TXT/PDF/?uri=CELEX:52025DC0960</w:t>
        </w:r>
      </w:hyperlink>
      <w:r>
        <w:t xml:space="preserve">. </w:t>
      </w:r>
    </w:p>
  </w:footnote>
  <w:footnote w:id="12">
    <w:p>
      <w:pPr>
        <w:pStyle w:val="FootnoteText"/>
      </w:pPr>
      <w:r>
        <w:rPr>
          <w:rStyle w:val="FootnoteReference"/>
        </w:rPr>
        <w:footnoteRef/>
      </w:r>
      <w:r>
        <w:tab/>
        <w:t xml:space="preserve">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(Text cu relevanță pentru SEE), </w:t>
      </w:r>
      <w:hyperlink r:id="rId11">
        <w:r>
          <w:rPr>
            <w:rStyle w:val="Hyperlink"/>
          </w:rPr>
          <w:t>https://eur-lex.europa.eu/eli/reg/2024/2847/oj/eng</w:t>
        </w:r>
      </w:hyperlink>
      <w:r>
        <w:t>.</w:t>
      </w:r>
    </w:p>
  </w:footnote>
  <w:footnote w:id="13">
    <w:p>
      <w:pPr>
        <w:pStyle w:val="FootnoteText"/>
      </w:pPr>
      <w:r>
        <w:rPr>
          <w:rStyle w:val="FootnoteReference"/>
        </w:rPr>
        <w:footnoteRef/>
      </w:r>
      <w:r>
        <w:tab/>
        <w:t xml:space="preserve">Regulamentul (UE) 2024/903 al Parlamentului European și al Consiliului din 13 martie 2024 de stabilire a unor măsuri pentru un nivel ridicat de interoperabilitate a sectorului public în întreaga Uniune (Regulamentul privind Europa interoperabilă), </w:t>
      </w:r>
      <w:hyperlink r:id="rId12" w:history="1">
        <w:r>
          <w:rPr>
            <w:rStyle w:val="Hyperlink"/>
          </w:rPr>
          <w:t>Regulament - UE - 2024/903 - RO - EUR-Lex</w:t>
        </w:r>
      </w:hyperlink>
      <w:r>
        <w:t>.</w:t>
      </w:r>
    </w:p>
  </w:footnote>
  <w:footnote w:id="14">
    <w:p>
      <w:pPr>
        <w:pStyle w:val="FootnoteText"/>
      </w:pPr>
      <w:r>
        <w:rPr>
          <w:rStyle w:val="FootnoteReference"/>
        </w:rPr>
        <w:footnoteRef/>
      </w:r>
      <w:r>
        <w:tab/>
        <w:t xml:space="preserve">Regulamentul (UE) 2024/1735 al Parlamentului European și al Consiliului din 13 iunie 2024 de stabilire a unui cadru de măsuri pentru consolidarea ecosistemului european de producere de tehnologii „zero net” și de modificare a Regulamentului (UE) 2018/1724 (Text cu relevanță pentru SEE), </w:t>
      </w:r>
      <w:hyperlink r:id="rId13" w:history="1">
        <w:r>
          <w:rPr>
            <w:rStyle w:val="Hyperlink"/>
          </w:rPr>
          <w:t>Regulament - UE - 2024/1735 - RO - EUR-Lex</w:t>
        </w:r>
      </w:hyperlink>
      <w:r>
        <w:t>.</w:t>
      </w:r>
    </w:p>
  </w:footnote>
  <w:footnote w:id="15">
    <w:p>
      <w:pPr>
        <w:pStyle w:val="FootnoteText"/>
      </w:pPr>
      <w:r>
        <w:rPr>
          <w:rStyle w:val="FootnoteReference"/>
        </w:rPr>
        <w:footnoteRef/>
      </w:r>
      <w:r>
        <w:tab/>
        <w:t xml:space="preserve">Comunicarea Comisiei către Parlamentul European, Consiliu, Comitetul Economic și Social European și Comitetul Regiunilor privind Strategia maritimă industrială a UE, COM(2026) 111 final, </w:t>
      </w:r>
      <w:hyperlink r:id="rId14" w:history="1">
        <w:r>
          <w:rPr>
            <w:rStyle w:val="Hyperlink"/>
          </w:rPr>
          <w:t>https://eur-lex.europa.eu/legal-content/RO/TXT/?uri=celex:52026DC0111</w:t>
        </w:r>
      </w:hyperlink>
      <w:r>
        <w:t xml:space="preserve">. </w:t>
      </w:r>
    </w:p>
  </w:footnote>
  <w:footnote w:id="16">
    <w:p>
      <w:pPr>
        <w:pStyle w:val="FootnoteText"/>
      </w:pPr>
      <w:r>
        <w:rPr>
          <w:rStyle w:val="FootnoteReference"/>
        </w:rPr>
        <w:footnoteRef/>
      </w:r>
      <w:r>
        <w:tab/>
        <w:t xml:space="preserve">Comunicare a Comisiei către Parlamentul European, Consiliu, Comitetul Economic și Social European și Comitetul Regiunilor – Strategia pentru dezvoltarea și implementarea reactoarelor modulare mici (SMR) în Europa, COM(2026) 117 final, </w:t>
      </w:r>
      <w:hyperlink r:id="rId15" w:history="1">
        <w:r>
          <w:rPr>
            <w:rStyle w:val="Hyperlink"/>
          </w:rPr>
          <w:t>https://eur-lex.europa.eu/legal-content/RO/TXT/?uri=celex:52026DC0117</w:t>
        </w:r>
      </w:hyperlink>
      <w:r>
        <w:t xml:space="preserve">. </w:t>
      </w:r>
    </w:p>
  </w:footnote>
  <w:footnote w:id="17">
    <w:p>
      <w:pPr>
        <w:pStyle w:val="FootnoteText"/>
      </w:pPr>
      <w:r>
        <w:rPr>
          <w:rStyle w:val="FootnoteReference"/>
        </w:rPr>
        <w:footnoteRef/>
      </w:r>
      <w:r>
        <w:tab/>
        <w:t xml:space="preserve">Regulamentul (UE) 2022/858 al Parlamentului European și al Consiliului din 30 mai 2022 privind un regim-pilot pentru infrastructurile pieței bazate pe tehnologia registrelor distribuite, precum și de modificare a Regulamentelor (UE) nr. 600/2014 și (UE) nr. 909/2014 și a Directivei 2014/65/UE (Text cu relevanță pentru SEE), </w:t>
      </w:r>
      <w:hyperlink r:id="rId16" w:history="1">
        <w:r>
          <w:rPr>
            <w:rStyle w:val="Hyperlink"/>
          </w:rPr>
          <w:t>Regulament - 2022/858 - RO - DLT - EUR-Lex</w:t>
        </w:r>
      </w:hyperlink>
      <w:r>
        <w:t xml:space="preserve">. </w:t>
      </w:r>
    </w:p>
  </w:footnote>
  <w:footnote w:id="18">
    <w:p>
      <w:pPr>
        <w:pStyle w:val="FootnoteText"/>
      </w:pPr>
      <w:r>
        <w:rPr>
          <w:rStyle w:val="FootnoteReference"/>
        </w:rPr>
        <w:footnoteRef/>
      </w:r>
      <w:r>
        <w:tab/>
        <w:t xml:space="preserve">Propunere de REGULAMENT AL PARLAMENTULUI EUROPEAN ȘI AL CONSILIULUI privind stabilirea unui cadru de măsuri pentru facilitarea transportului de echipamente, de bunuri și de personal militar în întreaga Uniune, COM(2025) 847 final, </w:t>
      </w:r>
      <w:hyperlink r:id="rId17" w:history="1">
        <w:r>
          <w:rPr>
            <w:rStyle w:val="Hyperlink"/>
          </w:rPr>
          <w:t>https://eur-lex.europa.eu/legal-content/RO/TXT/?uri=celex:52025PC0847</w:t>
        </w:r>
      </w:hyperlink>
      <w:r>
        <w:t>.</w:t>
      </w:r>
    </w:p>
  </w:footnote>
  <w:footnote w:id="19">
    <w:p>
      <w:pPr>
        <w:pStyle w:val="FootnoteText"/>
      </w:pPr>
      <w:r>
        <w:rPr>
          <w:rStyle w:val="FootnoteReference"/>
        </w:rPr>
        <w:footnoteRef/>
      </w:r>
      <w:r>
        <w:tab/>
        <w:t xml:space="preserve">Propunere de REGULAMENT AL PARLAMENTULUI EUROPEAN ȘI AL CONSILIULUI 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 </w:t>
      </w:r>
      <w:hyperlink r:id="rId18" w:history="1">
        <w:r>
          <w:rPr>
            <w:rStyle w:val="Hyperlink"/>
          </w:rPr>
          <w:t>EUR-Lex - 52023PC0193 - RO - EUR-Lex</w:t>
        </w:r>
      </w:hyperlink>
      <w:r>
        <w:t>.</w:t>
      </w:r>
    </w:p>
  </w:footnote>
  <w:footnote w:id="20">
    <w:p>
      <w:pPr>
        <w:pStyle w:val="FootnoteText"/>
      </w:pPr>
      <w:r>
        <w:rPr>
          <w:rStyle w:val="FootnoteReference"/>
        </w:rPr>
        <w:footnoteRef/>
      </w:r>
      <w:r>
        <w:tab/>
        <w:t xml:space="preserve">Propunere de REGULAMENT AL PARLAMENTULUI EUROPEAN ȘI AL CONSILIULUI de modificare a Regulamentelor (UE) 2017/745 și (UE) 2017/746 în ceea ce privește simplificarea și reducerea sarcinii impuse de normele privind dispozitivele medicale și dispozitivele medicale pentru diagnostic in vitro și de modificare a Regulamentului (UE) 2022/123 în ceea ce privește sprijinul acordat de Agenția Europeană pentru Medicamente grupurilor de experți în domeniul dispozitivelor medicale și a Regulamentului (UE) 2024/1689 în ceea ce privește lista legislației de armonizare a Uniunii menționată în anexa I la acesta, EUR-Lex - 52025PC1023 - RO - EUR-Lex. </w:t>
      </w:r>
    </w:p>
  </w:footnote>
  <w:footnote w:id="21">
    <w:p>
      <w:pPr>
        <w:pStyle w:val="FootnoteText"/>
      </w:pPr>
      <w:r>
        <w:rPr>
          <w:rStyle w:val="FootnoteReference"/>
        </w:rPr>
        <w:footnoteRef/>
      </w:r>
      <w:r>
        <w:tab/>
        <w:t>Propunere de</w:t>
      </w:r>
      <w:r>
        <w:rPr>
          <w:sz w:val="24"/>
        </w:rPr>
        <w:t xml:space="preserve"> </w:t>
      </w:r>
      <w:r>
        <w:t>REGULAMENT AL PARLAMENTULUI EUROPEAN ȘI AL CONSILIULUI de stabilire a unui cadru de măsuri pentru consolidarea sectoarelor biotehnologiei și producției biotehnologice din Uniune, în special în domeniul sănătății, și de modificare a Regulamentelor (CE) nr. 178/2002, (CE) nr. 1394/2007, (UE) nr. 536/2014, (UE) 2019/6, (UE) 2024/795 și (UE) 2024/1938.</w:t>
      </w:r>
    </w:p>
  </w:footnote>
  <w:footnote w:id="22">
    <w:p>
      <w:pPr>
        <w:pStyle w:val="FootnoteText"/>
      </w:pPr>
      <w:r>
        <w:rPr>
          <w:rStyle w:val="FootnoteReference"/>
        </w:rPr>
        <w:footnoteRef/>
      </w:r>
      <w:r>
        <w:tab/>
        <w:t xml:space="preserve">Comunicarea Comisiei către Parlamentul European, Consiliu, Comitetul Economic și Social European și Comitetul Regiunilor, Pentru științele vieții, alegeți Europa – O strategie pentru a transforma UE în cel mai atractiv loc din lume pentru științele vieții până în 2030, COM(2025) 525 final, </w:t>
      </w:r>
      <w:hyperlink r:id="rId19" w:history="1">
        <w:r>
          <w:rPr>
            <w:rStyle w:val="Hyperlink"/>
          </w:rPr>
          <w:t>https://eur-lex.europa.eu/legal-content/RO/TXT/?uri=celex:52025DC0525</w:t>
        </w:r>
      </w:hyperlink>
      <w:r>
        <w:t>.</w:t>
      </w:r>
    </w:p>
  </w:footnote>
  <w:footnote w:id="23">
    <w:p>
      <w:pPr>
        <w:pStyle w:val="FootnoteText"/>
        <w:jc w:val="left"/>
      </w:pPr>
      <w:r>
        <w:rPr>
          <w:rStyle w:val="FootnoteReference"/>
        </w:rPr>
        <w:footnoteRef/>
      </w:r>
      <w:r>
        <w:tab/>
      </w:r>
      <w:hyperlink r:id="rId20" w:history="1">
        <w:r>
          <w:rPr>
            <w:rStyle w:val="Hyperlink"/>
          </w:rPr>
          <w:t>https://ec.europa.eu/info/law/better-regulation/have-your-say/initiatives/14593-European-Innovation-Act/public-consultation_ro</w:t>
        </w:r>
      </w:hyperlink>
      <w:r>
        <w:t xml:space="preserve">. </w:t>
      </w:r>
    </w:p>
  </w:footnote>
  <w:footnote w:id="24">
    <w:p>
      <w:pPr>
        <w:pStyle w:val="FootnoteText"/>
      </w:pPr>
      <w:r>
        <w:rPr>
          <w:rStyle w:val="FootnoteReference"/>
        </w:rPr>
        <w:footnoteRef/>
      </w:r>
      <w:r>
        <w:tab/>
      </w:r>
      <w:hyperlink r:id="rId21" w:history="1">
        <w:r>
          <w:rPr>
            <w:rStyle w:val="Hyperlink"/>
          </w:rPr>
          <w:t>https://data.consilium.europa.eu/doc/document/WK-12252-2025-INIT/en/pdf</w:t>
        </w:r>
      </w:hyperlink>
      <w:r>
        <w:t xml:space="preserve">. </w:t>
      </w:r>
    </w:p>
  </w:footnote>
  <w:footnote w:id="25">
    <w:p>
      <w:pPr>
        <w:pStyle w:val="FootnoteText"/>
        <w:ind w:left="0" w:firstLine="0"/>
      </w:pPr>
      <w:r>
        <w:rPr>
          <w:rStyle w:val="FootnoteReference"/>
        </w:rPr>
        <w:footnoteRef/>
      </w:r>
      <w:r>
        <w:tab/>
        <w:t xml:space="preserve">Comisia Europeană: Direcția Generală Cercetare și Inovare, Vuorinen, H., Isakovic, S. M. și Bonel, E., </w:t>
      </w:r>
      <w:r>
        <w:rPr>
          <w:i/>
        </w:rPr>
        <w:t>Use of regulatory sandboxes in EU Member States – 2025 survey report</w:t>
      </w:r>
      <w:r>
        <w:t xml:space="preserve"> (Utilizarea spațiilor de testare în materie de reglementare în statele membre ale UE – Raport privind sondajul din 2025), Oficiul pentru Publicații al Uniunii Europene, 2026, </w:t>
      </w:r>
      <w:hyperlink r:id="rId22" w:tgtFrame="_blank" w:history="1">
        <w:r>
          <w:rPr>
            <w:rStyle w:val="Hyperlink"/>
          </w:rPr>
          <w:t>https://data.europa.eu/doi/10.2777/9535645</w:t>
        </w:r>
      </w:hyperlink>
      <w:r>
        <w:t>.</w:t>
      </w:r>
    </w:p>
  </w:footnote>
  <w:footnote w:id="26">
    <w:p>
      <w:pPr>
        <w:pStyle w:val="FootnoteText"/>
        <w:ind w:left="0" w:firstLine="0"/>
      </w:pPr>
      <w:r>
        <w:rPr>
          <w:rStyle w:val="FootnoteReference"/>
        </w:rPr>
        <w:footnoteRef/>
      </w:r>
      <w:r>
        <w:tab/>
      </w:r>
      <w:r>
        <w:rPr>
          <w:i/>
        </w:rPr>
        <w:t>Ibidem</w:t>
      </w:r>
    </w:p>
  </w:footnote>
  <w:footnote w:id="27">
    <w:p>
      <w:pPr>
        <w:pStyle w:val="FootnoteText"/>
        <w:ind w:left="0" w:firstLine="0"/>
      </w:pPr>
      <w:r>
        <w:rPr>
          <w:rStyle w:val="FootnoteReference"/>
        </w:rPr>
        <w:footnoteRef/>
      </w:r>
      <w:r>
        <w:tab/>
        <w:t xml:space="preserve">Comisia Europeană: Direcția Generală Cercetare și Inovare, Renda, A., Dell’Aquila, M., Nyoka Rukudzo, I., Vu, H. et al., </w:t>
      </w:r>
      <w:r>
        <w:rPr>
          <w:i/>
        </w:rPr>
        <w:t>Assessment of the state of play of the innovation principle in the preparation of EU legislation</w:t>
      </w:r>
      <w:r>
        <w:t xml:space="preserve"> (Evaluarea situației actuale a aplicării principiului inovării în pregătirea legislației UE), Oficiul pentru Publicații al Uniunii Europene, 2026, </w:t>
      </w:r>
      <w:hyperlink r:id="rId23" w:tgtFrame="_blank" w:history="1">
        <w:r>
          <w:rPr>
            <w:rStyle w:val="Hyperlink"/>
          </w:rPr>
          <w:t>https://data.europa.eu/doi/10.2777/8779303</w:t>
        </w:r>
      </w:hyperlink>
      <w:r>
        <w:t>.</w:t>
      </w:r>
    </w:p>
  </w:footnote>
  <w:footnote w:id="28">
    <w:p>
      <w:pPr>
        <w:pStyle w:val="FootnoteText"/>
      </w:pPr>
      <w:r>
        <w:rPr>
          <w:rStyle w:val="FootnoteReference"/>
        </w:rPr>
        <w:footnoteRef/>
      </w:r>
      <w:r>
        <w:tab/>
        <w:t xml:space="preserve">SRIP, 2024, p. 349, </w:t>
      </w:r>
      <w:hyperlink r:id="rId24" w:history="1">
        <w:r>
          <w:rPr>
            <w:rStyle w:val="Hyperlink"/>
          </w:rPr>
          <w:t>https://ec.europa.eu/assets/rtd/srip/2024/ec_rtd_srip-report-2024-chap-05.pdf</w:t>
        </w:r>
      </w:hyperlink>
      <w:r>
        <w:t xml:space="preserve">. </w:t>
      </w:r>
    </w:p>
  </w:footnote>
  <w:footnote w:id="29">
    <w:p>
      <w:pPr>
        <w:pStyle w:val="FootnoteText"/>
      </w:pPr>
      <w:r>
        <w:rPr>
          <w:rStyle w:val="FootnoteReference"/>
        </w:rPr>
        <w:footnoteRef/>
      </w:r>
      <w:r>
        <w:tab/>
        <w:t xml:space="preserve">SRIP, 2022, p. 17, </w:t>
      </w:r>
      <w:hyperlink r:id="rId25" w:history="1">
        <w:r>
          <w:rPr>
            <w:rStyle w:val="Hyperlink"/>
          </w:rPr>
          <w:t>https://data.europa.eu/doi/10.2777/78826</w:t>
        </w:r>
      </w:hyperlink>
      <w:r>
        <w:t xml:space="preserve">. </w:t>
      </w:r>
    </w:p>
  </w:footnote>
  <w:footnote w:id="30">
    <w:p>
      <w:pPr>
        <w:pStyle w:val="FootnoteText"/>
      </w:pPr>
      <w:r>
        <w:rPr>
          <w:rStyle w:val="FootnoteReference"/>
        </w:rPr>
        <w:footnoteRef/>
      </w:r>
      <w:r>
        <w:tab/>
        <w:t>SWD/2020/201 final, SWD/2020/201 final, SWD/2022/721 final, SWD(2023) 219 final, SWD/2022/282 final, SWD(2023) 192 final, SWD/2025/1050 final, SWD(2026) 450 final.</w:t>
      </w:r>
    </w:p>
  </w:footnote>
  <w:footnote w:id="31">
    <w:p>
      <w:pPr>
        <w:pStyle w:val="FootnoteText"/>
        <w:ind w:left="0" w:firstLine="0"/>
      </w:pPr>
      <w:r>
        <w:rPr>
          <w:rStyle w:val="FootnoteReference"/>
        </w:rPr>
        <w:footnoteRef/>
      </w:r>
      <w:r>
        <w:tab/>
        <w:t xml:space="preserve">Comisia Europeană: Direcția Generală Cercetare și Inovare, Vuorinen, H., Isakovic, S. M. și Bonel, E., </w:t>
      </w:r>
      <w:r>
        <w:rPr>
          <w:i/>
        </w:rPr>
        <w:t>Use of regulatory sandboxes in EU Member States – 2025 survey report</w:t>
      </w:r>
      <w:r>
        <w:t xml:space="preserve"> (Utilizarea spațiilor de testare în materie de reglementare în statele membre ale UE – Raport privind sondajul din 2025), Oficiul pentru Publicații al Uniunii Europene, 2026, </w:t>
      </w:r>
      <w:hyperlink r:id="rId26" w:tgtFrame="_blank" w:history="1">
        <w:r>
          <w:rPr>
            <w:rStyle w:val="Hyperlink"/>
          </w:rPr>
          <w:t>https://data.europa.eu/doi/10.2777/9535645</w:t>
        </w:r>
      </w:hyperlink>
      <w:r>
        <w:t>.</w:t>
      </w:r>
    </w:p>
    <w:p>
      <w:pPr>
        <w:pStyle w:val="FootnoteText"/>
      </w:pPr>
    </w:p>
  </w:footnote>
  <w:footnote w:id="32">
    <w:p>
      <w:pPr>
        <w:pStyle w:val="FootnoteText"/>
      </w:pPr>
      <w:r>
        <w:rPr>
          <w:rStyle w:val="FootnoteReference"/>
        </w:rPr>
        <w:footnoteRef/>
      </w:r>
      <w:r>
        <w:tab/>
        <w:t xml:space="preserve">Concluziile Consiliului privind spațiile de testare în materie de reglementare și clauzele de experimentare drept instrumente ale unui cadru de reglementare rezilient și adaptat exigențelor viitorului, care face față provocărilor perturbatoare în era digitală, </w:t>
      </w:r>
      <w:hyperlink r:id="rId27" w:history="1">
        <w:r>
          <w:rPr>
            <w:rStyle w:val="Hyperlink"/>
          </w:rPr>
          <w:t>https://data.consilium.europa.eu/doc/document/ST-13026-2020-INIT/ro/pdf</w:t>
        </w:r>
      </w:hyperlink>
      <w:r>
        <w:t>.</w:t>
      </w:r>
    </w:p>
  </w:footnote>
  <w:footnote w:id="33">
    <w:p>
      <w:pPr>
        <w:pStyle w:val="FootnoteText"/>
      </w:pPr>
      <w:r>
        <w:rPr>
          <w:rStyle w:val="FootnoteReference"/>
        </w:rPr>
        <w:footnoteRef/>
      </w:r>
      <w:r>
        <w:tab/>
        <w:t xml:space="preserve">Regulamentul (UE) 2024/903 al Parlamentului European și al Consiliului din 13 martie 2024 de stabilire a unor măsuri pentru un nivel ridicat de interoperabilitate a sectorului public în întreaga Uniune (Regulamentul privind Europa interoperabilă) (JO L, 2024/903, 22.3.2024, ELI: </w:t>
      </w:r>
      <w:hyperlink r:id="rId28" w:history="1">
        <w:r>
          <w:rPr>
            <w:rStyle w:val="Hyperlink"/>
          </w:rPr>
          <w:t>http://data.europa.eu/eli/reg/2024/903/oj</w:t>
        </w:r>
      </w:hyperlink>
      <w:r>
        <w:t xml:space="preserv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29" w:history="1">
        <w:r>
          <w:rPr>
            <w:rStyle w:val="Hyperlink"/>
          </w:rPr>
          <w:t>http://data.europa.eu/eli/reg/2024/1689/oj</w:t>
        </w:r>
      </w:hyperlink>
      <w:r>
        <w:t xml:space="preserve">), 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30" w:history="1">
        <w:r>
          <w:rPr>
            <w:rStyle w:val="Hyperlink"/>
          </w:rPr>
          <w:t>http://data.europa.eu/eli/reg/2024/1735/oj</w:t>
        </w:r>
      </w:hyperlink>
      <w:r>
        <w:t xml:space="preserve">), 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w:t>
      </w:r>
      <w:hyperlink r:id="rId31" w:history="1">
        <w:r>
          <w:rPr>
            <w:rStyle w:val="Hyperlink"/>
          </w:rPr>
          <w:t>http://data.europa.eu/eli/reg/2024/2847/oj</w:t>
        </w:r>
      </w:hyperlink>
      <w:r>
        <w:t xml:space="preserve">). A se vedea, de asemenea, Regulamentul (UE) 2022/858 al Parlamentului European și al Consiliului din 30 mai 2022 privind un regim-pilot pentru infrastructurile pieței bazate pe tehnologia registrelor distribuite, precum și de modificare a Regulamentelor (UE) nr. 600/2014 și (UE) nr. 909/2014 și a Directivei 2014/65/UE (JO L 151, 2.6.2022, p. 1, ELI: http://data.europa.eu/eli/reg/2022/858/oj). </w:t>
      </w:r>
    </w:p>
  </w:footnote>
  <w:footnote w:id="34">
    <w:p>
      <w:pPr>
        <w:pStyle w:val="FootnoteText"/>
      </w:pPr>
      <w:r>
        <w:rPr>
          <w:rStyle w:val="FootnoteReference"/>
        </w:rPr>
        <w:footnoteRef/>
      </w:r>
      <w:r>
        <w:tab/>
        <w:t xml:space="preserve">Recomandarea 2003/361/CE a Comisiei din 6 mai 2003 privind definirea microîntreprinderilor și a întreprinderilor mici și mijlocii (JO L 124, 20.5.2003, p. 36, ELI: </w:t>
      </w:r>
      <w:hyperlink r:id="rId32" w:history="1">
        <w:r>
          <w:rPr>
            <w:rStyle w:val="Hyperlink"/>
          </w:rPr>
          <w:t>http://data.europa.eu/eli/reco/2003/361/oj</w:t>
        </w:r>
      </w:hyperlink>
      <w:r>
        <w:t>).</w:t>
      </w:r>
    </w:p>
  </w:footnote>
  <w:footnote w:id="35">
    <w:p>
      <w:pPr>
        <w:pStyle w:val="FootnoteText"/>
      </w:pPr>
      <w:r>
        <w:rPr>
          <w:rStyle w:val="FootnoteReference"/>
        </w:rPr>
        <w:footnoteRef/>
      </w:r>
      <w:r>
        <w:tab/>
        <w:t xml:space="preserve">Recomandarea (UE) 2026/720 a Comisiei din 18 martie 2026 privind definiția întreprinderilor inovatoare, a start-upurilor inovatoare și a întreprinderilor inovatoare în fază de extindere (JO L, 2026/720, 24.3.2026, ELI: </w:t>
      </w:r>
      <w:hyperlink r:id="rId33" w:history="1">
        <w:r>
          <w:rPr>
            <w:rStyle w:val="Hyperlink"/>
          </w:rPr>
          <w:t>http://data.europa.eu/eli/reco/2026/720/oj</w:t>
        </w:r>
      </w:hyperlink>
      <w:r>
        <w:t>).</w:t>
      </w:r>
    </w:p>
  </w:footnote>
  <w:footnote w:id="36">
    <w:p>
      <w:pPr>
        <w:pStyle w:val="FootnoteText"/>
      </w:pPr>
      <w:r>
        <w:rPr>
          <w:rStyle w:val="FootnoteReference"/>
        </w:rPr>
        <w:footnoteRef/>
      </w:r>
      <w:r>
        <w:tab/>
        <w:t xml:space="preserve">Comunicarea Comisiei către Parlamentul European, Consiliul European, Consiliu, Comitetul Economic și Social European și Comitetul Regiunilor – Un cadru de reglementare al UE mai simplu, mai clar și mai bine aplicat, COM(2026) 380 final, </w:t>
      </w:r>
      <w:hyperlink r:id="rId34" w:history="1">
        <w:r>
          <w:rPr>
            <w:rStyle w:val="Hyperlink"/>
          </w:rPr>
          <w:t>EUR-Lex - 52026DC0380 - RO - EUR-Lex</w:t>
        </w:r>
      </w:hyperlink>
      <w:r>
        <w:t xml:space="preserve">. </w:t>
      </w:r>
    </w:p>
  </w:footnote>
  <w:footnote w:id="37">
    <w:p>
      <w:pPr>
        <w:pStyle w:val="FootnoteText"/>
      </w:pPr>
      <w:r>
        <w:rPr>
          <w:rStyle w:val="FootnoteReference"/>
        </w:rPr>
        <w:footnoteRef/>
      </w:r>
      <w:r>
        <w:tab/>
        <w:t xml:space="preserve">Regulamentul (CE) nr. 765/2008 al Parlamentului European și al Consiliului din 9 iulie 2008 de stabilire a cerințelor de acreditare și de supraveghere a pieței în ceea ce privește comercializarea produselor și de abrogare a Regulamentului (CEE) nr. 339/93 (JO L 218, 13.8.2008, p. 30, </w:t>
      </w:r>
      <w:hyperlink r:id="rId35" w:history="1">
        <w:r>
          <w:rPr>
            <w:rStyle w:val="Hyperlink"/>
          </w:rPr>
          <w:t>ELI:</w:t>
        </w:r>
      </w:hyperlink>
      <w:hyperlink r:id="rId36" w:history="1">
        <w:r>
          <w:rPr>
            <w:rStyle w:val="Hyperlink"/>
          </w:rPr>
          <w:t xml:space="preserve"> http://data.europa.eu/eli/reg/2008/765/oj</w:t>
        </w:r>
      </w:hyperlink>
      <w:r>
        <w:t>).</w:t>
      </w:r>
    </w:p>
  </w:footnote>
  <w:footnote w:id="38">
    <w:p>
      <w:pPr>
        <w:pStyle w:val="FootnoteText"/>
      </w:pPr>
      <w:r>
        <w:rPr>
          <w:rStyle w:val="FootnoteReference"/>
        </w:rPr>
        <w:footnoteRef/>
      </w:r>
      <w:r>
        <w:tab/>
        <w:t xml:space="preserve">Strategia europeană privind infrastructurile de cercetare și tehnologie, </w:t>
      </w:r>
      <w:hyperlink r:id="rId37" w:history="1">
        <w:r>
          <w:rPr>
            <w:rStyle w:val="Hyperlink"/>
          </w:rPr>
          <w:t>https://research-and-innovation.ec.europa.eu/strategy/strategy-research-and-innovation/our-digital-future/european-strategy-research-and-technology-infrastructures_en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D7C3EA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340D4F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604B4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BCE43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lvlOverride w:ilvl="0">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11"/>
    <w:lvlOverride w:ilvl="0">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num>
  <w:num w:numId="18">
    <w:abstractNumId w:val="15"/>
  </w:num>
  <w:num w:numId="19">
    <w:abstractNumId w:val="8"/>
  </w:num>
  <w:num w:numId="20">
    <w:abstractNumId w:val="17"/>
  </w:num>
  <w:num w:numId="21">
    <w:abstractNumId w:val="7"/>
  </w:num>
  <w:num w:numId="22">
    <w:abstractNumId w:val="9"/>
  </w:num>
  <w:num w:numId="23">
    <w:abstractNumId w:val="10"/>
  </w:num>
  <w:num w:numId="24">
    <w:abstractNumId w:val="5"/>
  </w:num>
  <w:num w:numId="25">
    <w:abstractNumId w:val="16"/>
  </w:num>
  <w:num w:numId="26">
    <w:abstractNumId w:val="4"/>
  </w:num>
  <w:num w:numId="27">
    <w:abstractNumId w:val="11"/>
  </w:num>
  <w:num w:numId="28">
    <w:abstractNumId w:val="13"/>
  </w:num>
  <w:num w:numId="29">
    <w:abstractNumId w:val="14"/>
  </w:num>
  <w:num w:numId="30">
    <w:abstractNumId w:val="6"/>
  </w:num>
  <w:num w:numId="31">
    <w:abstractNumId w:val="12"/>
  </w:num>
  <w:num w:numId="32">
    <w:abstractNumId w:val="18"/>
  </w:num>
  <w:num w:numId="33">
    <w:abstractNumId w:val="15"/>
  </w:num>
  <w:num w:numId="34">
    <w:abstractNumId w:val="8"/>
  </w:num>
  <w:num w:numId="35">
    <w:abstractNumId w:val="17"/>
  </w:num>
  <w:num w:numId="36">
    <w:abstractNumId w:val="7"/>
  </w:num>
  <w:num w:numId="37">
    <w:abstractNumId w:val="9"/>
  </w:num>
  <w:num w:numId="38">
    <w:abstractNumId w:val="10"/>
  </w:num>
  <w:num w:numId="39">
    <w:abstractNumId w:val="5"/>
  </w:num>
  <w:num w:numId="40">
    <w:abstractNumId w:val="16"/>
  </w:num>
  <w:num w:numId="41">
    <w:abstractNumId w:val="4"/>
  </w:num>
  <w:num w:numId="42">
    <w:abstractNumId w:val="11"/>
  </w:num>
  <w:num w:numId="43">
    <w:abstractNumId w:val="13"/>
  </w:num>
  <w:num w:numId="44">
    <w:abstractNumId w:val="14"/>
  </w:num>
  <w:num w:numId="45">
    <w:abstractNumId w:val="6"/>
  </w:num>
  <w:num w:numId="46">
    <w:abstractNumId w:val="12"/>
  </w:num>
  <w:num w:numId="47">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6 09:06: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0F50D7B-891F-4138-B0DD-6C01BFC16F2B"/>
    <w:docVar w:name="LW_COVERPAGE_TYPE" w:val="1"/>
    <w:docVar w:name="LW_CreatedUtc" w:val="2026-05-20T07:10:24.4110619Z"/>
    <w:docVar w:name="LW_CROSSREFERENCE" w:val="&lt;UNUSED&gt;"/>
    <w:docVar w:name="LW_DocType" w:val="COM"/>
    <w:docVar w:name="LW_EMISSION" w:val="9.9.2026"/>
    <w:docVar w:name="LW_EMISSION_ISODATE" w:val="2026-09-09"/>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67"/>
    <w:docVar w:name="LW_REF.II.NEW.CP_YEAR" w:val="2026"/>
    <w:docVar w:name="LW_REF.INST.NEW" w:val="COM"/>
    <w:docVar w:name="LW_REF.INST.NEW_ADOPTED" w:val="final"/>
    <w:docVar w:name="LW_REF.INST.NEW_TEXT" w:val="(2026) 5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unor principii comune privind spa\u539?iile de testare în materie de reglementare menite s\u259? sprijine inovarea \u537?i un cadru de reglementare adaptat exigen\u539?elor viitorului"/>
    <w:docVar w:name="LW_TYPE.DOC.CP" w:val="RECOMAND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490006C-12FC-4EF6-88CC-B4CB6620B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NormalWeb">
    <w:name w:val="Normal (Web)"/>
    <w:basedOn w:val="Normal"/>
    <w:uiPriority w:val="99"/>
    <w:unhideWhenUsed/>
    <w:rPr>
      <w:szCs w:val="24"/>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aliases w:val="Bullet List Paragraph,List Paragraph1,Dot pt,F5 List Paragraph,No Spacing1,List Paragraph Char Char Char,Indicator Text,Colorful List - Accent 11,Numbered Para 1,Bullet Points,List Paragraph2,MAIN CONTENT,Normal numbered,3,Tasks,EC,Bullet"/>
    <w:basedOn w:val="Normal"/>
    <w:link w:val="ListParagraphChar"/>
    <w:uiPriority w:val="34"/>
    <w:qFormat/>
    <w:pPr>
      <w:ind w:left="720"/>
      <w:contextualSpacing/>
    </w:pPr>
  </w:style>
  <w:style w:type="character" w:customStyle="1" w:styleId="ListParagraphChar">
    <w:name w:val="List Paragraph Char"/>
    <w:aliases w:val="Bullet List Paragraph Char,List Paragraph1 Char,Dot pt Char,F5 List Paragraph Char,No Spacing1 Char,List Paragraph Char Char Char Char,Indicator Text Char,Colorful List - Accent 11 Char,Numbered Para 1 Char,Bullet Points Char,3 Char"/>
    <w:link w:val="ListParagraph"/>
    <w:uiPriority w:val="34"/>
    <w:qFormat/>
    <w:locked/>
    <w:rPr>
      <w:rFonts w:ascii="Times New Roman" w:hAnsi="Times New Roman" w:cs="Times New Roman"/>
      <w:sz w:val="24"/>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cf01">
    <w:name w:val="cf01"/>
    <w:basedOn w:val="DefaultParagraphFont"/>
    <w:rPr>
      <w:rFonts w:ascii="Segoe UI" w:hAnsi="Segoe UI" w:cs="Segoe UI" w:hint="default"/>
      <w:sz w:val="18"/>
      <w:szCs w:val="18"/>
      <w:shd w:val="clear" w:color="auto" w:fill="FFFFFF"/>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1309">
      <w:bodyDiv w:val="1"/>
      <w:marLeft w:val="0"/>
      <w:marRight w:val="0"/>
      <w:marTop w:val="0"/>
      <w:marBottom w:val="0"/>
      <w:divBdr>
        <w:top w:val="none" w:sz="0" w:space="0" w:color="auto"/>
        <w:left w:val="none" w:sz="0" w:space="0" w:color="auto"/>
        <w:bottom w:val="none" w:sz="0" w:space="0" w:color="auto"/>
        <w:right w:val="none" w:sz="0" w:space="0" w:color="auto"/>
      </w:divBdr>
    </w:div>
    <w:div w:id="93212155">
      <w:bodyDiv w:val="1"/>
      <w:marLeft w:val="0"/>
      <w:marRight w:val="0"/>
      <w:marTop w:val="0"/>
      <w:marBottom w:val="0"/>
      <w:divBdr>
        <w:top w:val="none" w:sz="0" w:space="0" w:color="auto"/>
        <w:left w:val="none" w:sz="0" w:space="0" w:color="auto"/>
        <w:bottom w:val="none" w:sz="0" w:space="0" w:color="auto"/>
        <w:right w:val="none" w:sz="0" w:space="0" w:color="auto"/>
      </w:divBdr>
      <w:divsChild>
        <w:div w:id="1111124419">
          <w:marLeft w:val="0"/>
          <w:marRight w:val="0"/>
          <w:marTop w:val="0"/>
          <w:marBottom w:val="0"/>
          <w:divBdr>
            <w:top w:val="none" w:sz="0" w:space="0" w:color="auto"/>
            <w:left w:val="none" w:sz="0" w:space="0" w:color="auto"/>
            <w:bottom w:val="none" w:sz="0" w:space="0" w:color="auto"/>
            <w:right w:val="none" w:sz="0" w:space="0" w:color="auto"/>
          </w:divBdr>
          <w:divsChild>
            <w:div w:id="20266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1425">
      <w:bodyDiv w:val="1"/>
      <w:marLeft w:val="0"/>
      <w:marRight w:val="0"/>
      <w:marTop w:val="0"/>
      <w:marBottom w:val="0"/>
      <w:divBdr>
        <w:top w:val="none" w:sz="0" w:space="0" w:color="auto"/>
        <w:left w:val="none" w:sz="0" w:space="0" w:color="auto"/>
        <w:bottom w:val="none" w:sz="0" w:space="0" w:color="auto"/>
        <w:right w:val="none" w:sz="0" w:space="0" w:color="auto"/>
      </w:divBdr>
    </w:div>
    <w:div w:id="228271719">
      <w:bodyDiv w:val="1"/>
      <w:marLeft w:val="0"/>
      <w:marRight w:val="0"/>
      <w:marTop w:val="0"/>
      <w:marBottom w:val="0"/>
      <w:divBdr>
        <w:top w:val="none" w:sz="0" w:space="0" w:color="auto"/>
        <w:left w:val="none" w:sz="0" w:space="0" w:color="auto"/>
        <w:bottom w:val="none" w:sz="0" w:space="0" w:color="auto"/>
        <w:right w:val="none" w:sz="0" w:space="0" w:color="auto"/>
      </w:divBdr>
    </w:div>
    <w:div w:id="326399365">
      <w:bodyDiv w:val="1"/>
      <w:marLeft w:val="0"/>
      <w:marRight w:val="0"/>
      <w:marTop w:val="0"/>
      <w:marBottom w:val="0"/>
      <w:divBdr>
        <w:top w:val="none" w:sz="0" w:space="0" w:color="auto"/>
        <w:left w:val="none" w:sz="0" w:space="0" w:color="auto"/>
        <w:bottom w:val="none" w:sz="0" w:space="0" w:color="auto"/>
        <w:right w:val="none" w:sz="0" w:space="0" w:color="auto"/>
      </w:divBdr>
    </w:div>
    <w:div w:id="359204271">
      <w:bodyDiv w:val="1"/>
      <w:marLeft w:val="0"/>
      <w:marRight w:val="0"/>
      <w:marTop w:val="0"/>
      <w:marBottom w:val="0"/>
      <w:divBdr>
        <w:top w:val="none" w:sz="0" w:space="0" w:color="auto"/>
        <w:left w:val="none" w:sz="0" w:space="0" w:color="auto"/>
        <w:bottom w:val="none" w:sz="0" w:space="0" w:color="auto"/>
        <w:right w:val="none" w:sz="0" w:space="0" w:color="auto"/>
      </w:divBdr>
    </w:div>
    <w:div w:id="544417488">
      <w:bodyDiv w:val="1"/>
      <w:marLeft w:val="0"/>
      <w:marRight w:val="0"/>
      <w:marTop w:val="0"/>
      <w:marBottom w:val="0"/>
      <w:divBdr>
        <w:top w:val="none" w:sz="0" w:space="0" w:color="auto"/>
        <w:left w:val="none" w:sz="0" w:space="0" w:color="auto"/>
        <w:bottom w:val="none" w:sz="0" w:space="0" w:color="auto"/>
        <w:right w:val="none" w:sz="0" w:space="0" w:color="auto"/>
      </w:divBdr>
    </w:div>
    <w:div w:id="581108834">
      <w:bodyDiv w:val="1"/>
      <w:marLeft w:val="0"/>
      <w:marRight w:val="0"/>
      <w:marTop w:val="0"/>
      <w:marBottom w:val="0"/>
      <w:divBdr>
        <w:top w:val="none" w:sz="0" w:space="0" w:color="auto"/>
        <w:left w:val="none" w:sz="0" w:space="0" w:color="auto"/>
        <w:bottom w:val="none" w:sz="0" w:space="0" w:color="auto"/>
        <w:right w:val="none" w:sz="0" w:space="0" w:color="auto"/>
      </w:divBdr>
    </w:div>
    <w:div w:id="696345137">
      <w:bodyDiv w:val="1"/>
      <w:marLeft w:val="0"/>
      <w:marRight w:val="0"/>
      <w:marTop w:val="0"/>
      <w:marBottom w:val="0"/>
      <w:divBdr>
        <w:top w:val="none" w:sz="0" w:space="0" w:color="auto"/>
        <w:left w:val="none" w:sz="0" w:space="0" w:color="auto"/>
        <w:bottom w:val="none" w:sz="0" w:space="0" w:color="auto"/>
        <w:right w:val="none" w:sz="0" w:space="0" w:color="auto"/>
      </w:divBdr>
    </w:div>
    <w:div w:id="726728896">
      <w:bodyDiv w:val="1"/>
      <w:marLeft w:val="0"/>
      <w:marRight w:val="0"/>
      <w:marTop w:val="0"/>
      <w:marBottom w:val="0"/>
      <w:divBdr>
        <w:top w:val="none" w:sz="0" w:space="0" w:color="auto"/>
        <w:left w:val="none" w:sz="0" w:space="0" w:color="auto"/>
        <w:bottom w:val="none" w:sz="0" w:space="0" w:color="auto"/>
        <w:right w:val="none" w:sz="0" w:space="0" w:color="auto"/>
      </w:divBdr>
    </w:div>
    <w:div w:id="751778877">
      <w:bodyDiv w:val="1"/>
      <w:marLeft w:val="0"/>
      <w:marRight w:val="0"/>
      <w:marTop w:val="0"/>
      <w:marBottom w:val="0"/>
      <w:divBdr>
        <w:top w:val="none" w:sz="0" w:space="0" w:color="auto"/>
        <w:left w:val="none" w:sz="0" w:space="0" w:color="auto"/>
        <w:bottom w:val="none" w:sz="0" w:space="0" w:color="auto"/>
        <w:right w:val="none" w:sz="0" w:space="0" w:color="auto"/>
      </w:divBdr>
    </w:div>
    <w:div w:id="765346367">
      <w:bodyDiv w:val="1"/>
      <w:marLeft w:val="0"/>
      <w:marRight w:val="0"/>
      <w:marTop w:val="0"/>
      <w:marBottom w:val="0"/>
      <w:divBdr>
        <w:top w:val="none" w:sz="0" w:space="0" w:color="auto"/>
        <w:left w:val="none" w:sz="0" w:space="0" w:color="auto"/>
        <w:bottom w:val="none" w:sz="0" w:space="0" w:color="auto"/>
        <w:right w:val="none" w:sz="0" w:space="0" w:color="auto"/>
      </w:divBdr>
    </w:div>
    <w:div w:id="783421099">
      <w:bodyDiv w:val="1"/>
      <w:marLeft w:val="0"/>
      <w:marRight w:val="0"/>
      <w:marTop w:val="0"/>
      <w:marBottom w:val="0"/>
      <w:divBdr>
        <w:top w:val="none" w:sz="0" w:space="0" w:color="auto"/>
        <w:left w:val="none" w:sz="0" w:space="0" w:color="auto"/>
        <w:bottom w:val="none" w:sz="0" w:space="0" w:color="auto"/>
        <w:right w:val="none" w:sz="0" w:space="0" w:color="auto"/>
      </w:divBdr>
    </w:div>
    <w:div w:id="795564531">
      <w:bodyDiv w:val="1"/>
      <w:marLeft w:val="0"/>
      <w:marRight w:val="0"/>
      <w:marTop w:val="0"/>
      <w:marBottom w:val="0"/>
      <w:divBdr>
        <w:top w:val="none" w:sz="0" w:space="0" w:color="auto"/>
        <w:left w:val="none" w:sz="0" w:space="0" w:color="auto"/>
        <w:bottom w:val="none" w:sz="0" w:space="0" w:color="auto"/>
        <w:right w:val="none" w:sz="0" w:space="0" w:color="auto"/>
      </w:divBdr>
    </w:div>
    <w:div w:id="813377346">
      <w:bodyDiv w:val="1"/>
      <w:marLeft w:val="0"/>
      <w:marRight w:val="0"/>
      <w:marTop w:val="0"/>
      <w:marBottom w:val="0"/>
      <w:divBdr>
        <w:top w:val="none" w:sz="0" w:space="0" w:color="auto"/>
        <w:left w:val="none" w:sz="0" w:space="0" w:color="auto"/>
        <w:bottom w:val="none" w:sz="0" w:space="0" w:color="auto"/>
        <w:right w:val="none" w:sz="0" w:space="0" w:color="auto"/>
      </w:divBdr>
    </w:div>
    <w:div w:id="831528273">
      <w:bodyDiv w:val="1"/>
      <w:marLeft w:val="0"/>
      <w:marRight w:val="0"/>
      <w:marTop w:val="0"/>
      <w:marBottom w:val="0"/>
      <w:divBdr>
        <w:top w:val="none" w:sz="0" w:space="0" w:color="auto"/>
        <w:left w:val="none" w:sz="0" w:space="0" w:color="auto"/>
        <w:bottom w:val="none" w:sz="0" w:space="0" w:color="auto"/>
        <w:right w:val="none" w:sz="0" w:space="0" w:color="auto"/>
      </w:divBdr>
    </w:div>
    <w:div w:id="832140331">
      <w:bodyDiv w:val="1"/>
      <w:marLeft w:val="0"/>
      <w:marRight w:val="0"/>
      <w:marTop w:val="0"/>
      <w:marBottom w:val="0"/>
      <w:divBdr>
        <w:top w:val="none" w:sz="0" w:space="0" w:color="auto"/>
        <w:left w:val="none" w:sz="0" w:space="0" w:color="auto"/>
        <w:bottom w:val="none" w:sz="0" w:space="0" w:color="auto"/>
        <w:right w:val="none" w:sz="0" w:space="0" w:color="auto"/>
      </w:divBdr>
    </w:div>
    <w:div w:id="858737794">
      <w:bodyDiv w:val="1"/>
      <w:marLeft w:val="0"/>
      <w:marRight w:val="0"/>
      <w:marTop w:val="0"/>
      <w:marBottom w:val="0"/>
      <w:divBdr>
        <w:top w:val="none" w:sz="0" w:space="0" w:color="auto"/>
        <w:left w:val="none" w:sz="0" w:space="0" w:color="auto"/>
        <w:bottom w:val="none" w:sz="0" w:space="0" w:color="auto"/>
        <w:right w:val="none" w:sz="0" w:space="0" w:color="auto"/>
      </w:divBdr>
    </w:div>
    <w:div w:id="872425638">
      <w:bodyDiv w:val="1"/>
      <w:marLeft w:val="0"/>
      <w:marRight w:val="0"/>
      <w:marTop w:val="0"/>
      <w:marBottom w:val="0"/>
      <w:divBdr>
        <w:top w:val="none" w:sz="0" w:space="0" w:color="auto"/>
        <w:left w:val="none" w:sz="0" w:space="0" w:color="auto"/>
        <w:bottom w:val="none" w:sz="0" w:space="0" w:color="auto"/>
        <w:right w:val="none" w:sz="0" w:space="0" w:color="auto"/>
      </w:divBdr>
    </w:div>
    <w:div w:id="875460660">
      <w:bodyDiv w:val="1"/>
      <w:marLeft w:val="0"/>
      <w:marRight w:val="0"/>
      <w:marTop w:val="0"/>
      <w:marBottom w:val="0"/>
      <w:divBdr>
        <w:top w:val="none" w:sz="0" w:space="0" w:color="auto"/>
        <w:left w:val="none" w:sz="0" w:space="0" w:color="auto"/>
        <w:bottom w:val="none" w:sz="0" w:space="0" w:color="auto"/>
        <w:right w:val="none" w:sz="0" w:space="0" w:color="auto"/>
      </w:divBdr>
    </w:div>
    <w:div w:id="883635322">
      <w:bodyDiv w:val="1"/>
      <w:marLeft w:val="0"/>
      <w:marRight w:val="0"/>
      <w:marTop w:val="0"/>
      <w:marBottom w:val="0"/>
      <w:divBdr>
        <w:top w:val="none" w:sz="0" w:space="0" w:color="auto"/>
        <w:left w:val="none" w:sz="0" w:space="0" w:color="auto"/>
        <w:bottom w:val="none" w:sz="0" w:space="0" w:color="auto"/>
        <w:right w:val="none" w:sz="0" w:space="0" w:color="auto"/>
      </w:divBdr>
    </w:div>
    <w:div w:id="1061248596">
      <w:bodyDiv w:val="1"/>
      <w:marLeft w:val="0"/>
      <w:marRight w:val="0"/>
      <w:marTop w:val="0"/>
      <w:marBottom w:val="0"/>
      <w:divBdr>
        <w:top w:val="none" w:sz="0" w:space="0" w:color="auto"/>
        <w:left w:val="none" w:sz="0" w:space="0" w:color="auto"/>
        <w:bottom w:val="none" w:sz="0" w:space="0" w:color="auto"/>
        <w:right w:val="none" w:sz="0" w:space="0" w:color="auto"/>
      </w:divBdr>
    </w:div>
    <w:div w:id="1064715501">
      <w:bodyDiv w:val="1"/>
      <w:marLeft w:val="0"/>
      <w:marRight w:val="0"/>
      <w:marTop w:val="0"/>
      <w:marBottom w:val="0"/>
      <w:divBdr>
        <w:top w:val="none" w:sz="0" w:space="0" w:color="auto"/>
        <w:left w:val="none" w:sz="0" w:space="0" w:color="auto"/>
        <w:bottom w:val="none" w:sz="0" w:space="0" w:color="auto"/>
        <w:right w:val="none" w:sz="0" w:space="0" w:color="auto"/>
      </w:divBdr>
      <w:divsChild>
        <w:div w:id="1004821829">
          <w:marLeft w:val="0"/>
          <w:marRight w:val="0"/>
          <w:marTop w:val="0"/>
          <w:marBottom w:val="0"/>
          <w:divBdr>
            <w:top w:val="none" w:sz="0" w:space="0" w:color="auto"/>
            <w:left w:val="none" w:sz="0" w:space="0" w:color="auto"/>
            <w:bottom w:val="none" w:sz="0" w:space="0" w:color="auto"/>
            <w:right w:val="none" w:sz="0" w:space="0" w:color="auto"/>
          </w:divBdr>
          <w:divsChild>
            <w:div w:id="48493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79795">
      <w:bodyDiv w:val="1"/>
      <w:marLeft w:val="0"/>
      <w:marRight w:val="0"/>
      <w:marTop w:val="0"/>
      <w:marBottom w:val="0"/>
      <w:divBdr>
        <w:top w:val="none" w:sz="0" w:space="0" w:color="auto"/>
        <w:left w:val="none" w:sz="0" w:space="0" w:color="auto"/>
        <w:bottom w:val="none" w:sz="0" w:space="0" w:color="auto"/>
        <w:right w:val="none" w:sz="0" w:space="0" w:color="auto"/>
      </w:divBdr>
    </w:div>
    <w:div w:id="1597590032">
      <w:bodyDiv w:val="1"/>
      <w:marLeft w:val="0"/>
      <w:marRight w:val="0"/>
      <w:marTop w:val="0"/>
      <w:marBottom w:val="0"/>
      <w:divBdr>
        <w:top w:val="none" w:sz="0" w:space="0" w:color="auto"/>
        <w:left w:val="none" w:sz="0" w:space="0" w:color="auto"/>
        <w:bottom w:val="none" w:sz="0" w:space="0" w:color="auto"/>
        <w:right w:val="none" w:sz="0" w:space="0" w:color="auto"/>
      </w:divBdr>
    </w:div>
    <w:div w:id="1787315001">
      <w:bodyDiv w:val="1"/>
      <w:marLeft w:val="0"/>
      <w:marRight w:val="0"/>
      <w:marTop w:val="0"/>
      <w:marBottom w:val="0"/>
      <w:divBdr>
        <w:top w:val="none" w:sz="0" w:space="0" w:color="auto"/>
        <w:left w:val="none" w:sz="0" w:space="0" w:color="auto"/>
        <w:bottom w:val="none" w:sz="0" w:space="0" w:color="auto"/>
        <w:right w:val="none" w:sz="0" w:space="0" w:color="auto"/>
      </w:divBdr>
    </w:div>
    <w:div w:id="1927573087">
      <w:bodyDiv w:val="1"/>
      <w:marLeft w:val="0"/>
      <w:marRight w:val="0"/>
      <w:marTop w:val="0"/>
      <w:marBottom w:val="0"/>
      <w:divBdr>
        <w:top w:val="none" w:sz="0" w:space="0" w:color="auto"/>
        <w:left w:val="none" w:sz="0" w:space="0" w:color="auto"/>
        <w:bottom w:val="none" w:sz="0" w:space="0" w:color="auto"/>
        <w:right w:val="none" w:sz="0" w:space="0" w:color="auto"/>
      </w:divBdr>
    </w:div>
    <w:div w:id="209650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eur-lex.europa.eu/eli/reg/2024/1735/oj/eng" TargetMode="External"/><Relationship Id="rId18" Type="http://schemas.openxmlformats.org/officeDocument/2006/relationships/hyperlink" Target="https://eur-lex.europa.eu/legal-content/RO/TXT/?uri=celex:52023PC0193" TargetMode="External"/><Relationship Id="rId26" Type="http://schemas.openxmlformats.org/officeDocument/2006/relationships/hyperlink" Target="https://data.europa.eu/doi/10.2777/9535645" TargetMode="External"/><Relationship Id="rId21" Type="http://schemas.openxmlformats.org/officeDocument/2006/relationships/hyperlink" Target="https://data.consilium.europa.eu/doc/document/WK-12252-2025-INIT/en/pdf" TargetMode="External"/><Relationship Id="rId34" Type="http://schemas.openxmlformats.org/officeDocument/2006/relationships/hyperlink" Target="https://eur-lex.europa.eu/legal-content/RO/TXT/?uri=CELEX:52026DC0380" TargetMode="External"/><Relationship Id="rId7" Type="http://schemas.openxmlformats.org/officeDocument/2006/relationships/hyperlink" Target="https://eur-lex.europa.eu/legal-content/RO/TXT/?uri=CELEX:52022DC0332" TargetMode="External"/><Relationship Id="rId12" Type="http://schemas.openxmlformats.org/officeDocument/2006/relationships/hyperlink" Target="https://eur-lex.europa.eu/eli/reg/2024/903/oj/eng" TargetMode="External"/><Relationship Id="rId17" Type="http://schemas.openxmlformats.org/officeDocument/2006/relationships/hyperlink" Target="https://eur-lex.europa.eu/legal-content/RO/TXT/?uri=celex:52025PC0847" TargetMode="External"/><Relationship Id="rId25" Type="http://schemas.openxmlformats.org/officeDocument/2006/relationships/hyperlink" Target="https://data.europa.eu/doi/10.2777/78826" TargetMode="External"/><Relationship Id="rId33" Type="http://schemas.openxmlformats.org/officeDocument/2006/relationships/hyperlink" Target="http://data.europa.eu/eli/reco/2026/720/oj" TargetMode="External"/><Relationship Id="rId2" Type="http://schemas.openxmlformats.org/officeDocument/2006/relationships/hyperlink" Target="https://eur-lex.europa.eu/legal-content/RO/TXT/?uri=celex:52025DC0270" TargetMode="External"/><Relationship Id="rId16" Type="http://schemas.openxmlformats.org/officeDocument/2006/relationships/hyperlink" Target="https://eur-lex.europa.eu/eli/reg/2022/858/oj/eng" TargetMode="External"/><Relationship Id="rId20" Type="http://schemas.openxmlformats.org/officeDocument/2006/relationships/hyperlink" Target="https://ec.europa.eu/info/law/better-regulation/have-your-say/initiatives/14593-European-Innovation-Act/public-consultation_ro" TargetMode="External"/><Relationship Id="rId29" Type="http://schemas.openxmlformats.org/officeDocument/2006/relationships/hyperlink" Target="http://data.europa.eu/eli/reg/2024/1689/oj"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research-and-innovation.ec.europa.eu/document/download/fc6f35cd-a8d6-4770-aefe-c09ca85cff8c_en?filename=swd_2023_277_f1.pdf" TargetMode="External"/><Relationship Id="rId11" Type="http://schemas.openxmlformats.org/officeDocument/2006/relationships/hyperlink" Target="https://eur-lex.europa.eu/eli/reg/2024/2847/oj/eng" TargetMode="External"/><Relationship Id="rId24" Type="http://schemas.openxmlformats.org/officeDocument/2006/relationships/hyperlink" Target="https://ec.europa.eu/assets/rtd/srip/2024/ec_rtd_srip-report-2024-chap-05.pdf" TargetMode="External"/><Relationship Id="rId32" Type="http://schemas.openxmlformats.org/officeDocument/2006/relationships/hyperlink" Target="http://data.europa.eu/eli/reco/2003/361/oj" TargetMode="External"/><Relationship Id="rId37" Type="http://schemas.openxmlformats.org/officeDocument/2006/relationships/hyperlink" Target="https://research-and-innovation.ec.europa.eu/strategy/strategy-research-and-innovation/our-digital-future/european-strategy-research-and-technology-infrastructures_en" TargetMode="External"/><Relationship Id="rId5" Type="http://schemas.openxmlformats.org/officeDocument/2006/relationships/hyperlink" Target="https://data.consilium.europa.eu/doc/document/ST-13026-2020-INIT/ro/pdf" TargetMode="External"/><Relationship Id="rId15" Type="http://schemas.openxmlformats.org/officeDocument/2006/relationships/hyperlink" Target="https://eur-lex.europa.eu/legal-content/RO/TXT/?uri=celex:52026DC0117" TargetMode="External"/><Relationship Id="rId23" Type="http://schemas.openxmlformats.org/officeDocument/2006/relationships/hyperlink" Target="https://data.europa.eu/doi/10.2777/8779303" TargetMode="External"/><Relationship Id="rId28" Type="http://schemas.openxmlformats.org/officeDocument/2006/relationships/hyperlink" Target="http://data.europa.eu/eli/reg/2024/903/oj" TargetMode="External"/><Relationship Id="rId36" Type="http://schemas.openxmlformats.org/officeDocument/2006/relationships/hyperlink" Target="ELI:%20http://data.europa.eu/eli/reg/2008/765/oj" TargetMode="External"/><Relationship Id="rId10" Type="http://schemas.openxmlformats.org/officeDocument/2006/relationships/hyperlink" Target="https://eur-lex.europa.eu/legal-content/RO/TXT/PDF/?uri=CELEX:52025DC0960" TargetMode="External"/><Relationship Id="rId19" Type="http://schemas.openxmlformats.org/officeDocument/2006/relationships/hyperlink" Target="https://eur-lex.europa.eu/legal-content/RO/TXT/?uri=celex:52025DC0525" TargetMode="External"/><Relationship Id="rId31" Type="http://schemas.openxmlformats.org/officeDocument/2006/relationships/hyperlink" Target="http://data.europa.eu/eli/reg/2024/2847/oj" TargetMode="External"/><Relationship Id="rId4" Type="http://schemas.openxmlformats.org/officeDocument/2006/relationships/hyperlink" Target="https://data.consilium.europa.eu/doc/document/ST-13357-2025-INIT/ro/pdf" TargetMode="External"/><Relationship Id="rId9" Type="http://schemas.openxmlformats.org/officeDocument/2006/relationships/hyperlink" Target="https://eur-lex.europa.eu/legal-content/RO/TXT/?uri=celex%3A52025PC1022%2801%29" TargetMode="External"/><Relationship Id="rId14" Type="http://schemas.openxmlformats.org/officeDocument/2006/relationships/hyperlink" Target="https://eur-lex.europa.eu/legal-content/RO/TXT/?uri=celex:52026DC0111" TargetMode="External"/><Relationship Id="rId22" Type="http://schemas.openxmlformats.org/officeDocument/2006/relationships/hyperlink" Target="https://data.europa.eu/doi/10.2777/9535645" TargetMode="External"/><Relationship Id="rId27" Type="http://schemas.openxmlformats.org/officeDocument/2006/relationships/hyperlink" Target="https://data.consilium.europa.eu/doc/document/ST-13026-2020-INIT/ro/pdf" TargetMode="External"/><Relationship Id="rId30" Type="http://schemas.openxmlformats.org/officeDocument/2006/relationships/hyperlink" Target="http://data.europa.eu/eli/reg/2024/1735/oj" TargetMode="External"/><Relationship Id="rId35" Type="http://schemas.openxmlformats.org/officeDocument/2006/relationships/hyperlink" Target="ELI:%20http://data.europa.eu/eli/reg/2008/765/oj" TargetMode="External"/><Relationship Id="rId8" Type="http://schemas.openxmlformats.org/officeDocument/2006/relationships/hyperlink" Target="http://data.europa.eu/eli/reg/2024/1689/oj" TargetMode="External"/><Relationship Id="rId3" Type="http://schemas.openxmlformats.org/officeDocument/2006/relationships/hyperlink" Target="https://data.europa.eu/doi/10.2777/95356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D24CB-CB40-49EF-A37F-E582A8CA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3</Pages>
  <Words>7710</Words>
  <Characters>43951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2026-09-06T09:17:00Z</dcterms:created>
  <dcterms:modified xsi:type="dcterms:W3CDTF">2026-09-16T07:06:00Z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2026-09-06T09:17:50Z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bcbc2269-262a-4776-b82f-33ded9499b39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