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Pagedecouverture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D394051B-884A-4A53-B1B3-BD8A94B0F673" style="width:455.25pt;height:396pt">
            <v:imagedata r:id="rId10" o:title=""/>
          </v:shape>
        </w:pict>
      </w:r>
    </w:p>
    <w:p>
      <w:pPr>
        <w:rPr>
          <w:noProof/>
        </w:rPr>
        <w:sectPr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>
      <w:pPr>
        <w:pStyle w:val="Annexetitre"/>
        <w:rPr>
          <w:noProof/>
        </w:rPr>
      </w:pPr>
      <w:r>
        <w:rPr>
          <w:noProof/>
        </w:rPr>
        <w:lastRenderedPageBreak/>
        <w:t>ANEXA I</w:t>
      </w:r>
    </w:p>
    <w:p>
      <w:pPr>
        <w:rPr>
          <w:noProof/>
          <w:szCs w:val="24"/>
        </w:rPr>
      </w:pPr>
      <w:r>
        <w:rPr>
          <w:noProof/>
        </w:rPr>
        <w:t xml:space="preserve">Lista formelor grave de criminalitate care intră în sfera de competență a Eurojust în conformitate cu articolul 5 alineatul (1) litera (a): </w:t>
      </w:r>
    </w:p>
    <w:p>
      <w:pPr>
        <w:pStyle w:val="Point0number"/>
        <w:numPr>
          <w:ilvl w:val="0"/>
          <w:numId w:val="7"/>
        </w:numPr>
        <w:rPr>
          <w:noProof/>
        </w:rPr>
      </w:pPr>
      <w:r>
        <w:rPr>
          <w:noProof/>
        </w:rPr>
        <w:t xml:space="preserve">terorismul; </w:t>
      </w:r>
    </w:p>
    <w:p>
      <w:pPr>
        <w:pStyle w:val="Point0number"/>
        <w:rPr>
          <w:noProof/>
        </w:rPr>
      </w:pPr>
      <w:r>
        <w:rPr>
          <w:noProof/>
        </w:rPr>
        <w:t xml:space="preserve">criminalitatea organizată; </w:t>
      </w:r>
    </w:p>
    <w:p>
      <w:pPr>
        <w:pStyle w:val="Point0number"/>
        <w:rPr>
          <w:noProof/>
        </w:rPr>
      </w:pPr>
      <w:r>
        <w:rPr>
          <w:noProof/>
        </w:rPr>
        <w:t xml:space="preserve">traficul de droguri; </w:t>
      </w:r>
    </w:p>
    <w:p>
      <w:pPr>
        <w:pStyle w:val="Point0number"/>
        <w:rPr>
          <w:noProof/>
        </w:rPr>
      </w:pPr>
      <w:r>
        <w:rPr>
          <w:noProof/>
        </w:rPr>
        <w:t xml:space="preserve">activitățile de spălare de bani; </w:t>
      </w:r>
    </w:p>
    <w:p>
      <w:pPr>
        <w:pStyle w:val="Point0number"/>
        <w:rPr>
          <w:noProof/>
        </w:rPr>
      </w:pPr>
      <w:r>
        <w:rPr>
          <w:noProof/>
        </w:rPr>
        <w:t xml:space="preserve">criminalitatea legată de substanțe nucleare și radioactive; </w:t>
      </w:r>
    </w:p>
    <w:p>
      <w:pPr>
        <w:pStyle w:val="Point0number"/>
        <w:rPr>
          <w:noProof/>
        </w:rPr>
      </w:pPr>
      <w:r>
        <w:rPr>
          <w:noProof/>
        </w:rPr>
        <w:t xml:space="preserve">introducerea ilegală de imigranți; </w:t>
      </w:r>
    </w:p>
    <w:p>
      <w:pPr>
        <w:pStyle w:val="Point0number"/>
        <w:rPr>
          <w:noProof/>
        </w:rPr>
      </w:pPr>
      <w:r>
        <w:rPr>
          <w:noProof/>
        </w:rPr>
        <w:t xml:space="preserve">traficul de ființe umane; </w:t>
      </w:r>
    </w:p>
    <w:p>
      <w:pPr>
        <w:pStyle w:val="Point0number"/>
        <w:rPr>
          <w:noProof/>
        </w:rPr>
      </w:pPr>
      <w:r>
        <w:rPr>
          <w:noProof/>
        </w:rPr>
        <w:t xml:space="preserve">criminalitatea legată de autovehicule; </w:t>
      </w:r>
    </w:p>
    <w:p>
      <w:pPr>
        <w:pStyle w:val="Point0number"/>
        <w:rPr>
          <w:noProof/>
        </w:rPr>
      </w:pPr>
      <w:r>
        <w:rPr>
          <w:noProof/>
        </w:rPr>
        <w:t xml:space="preserve">omorul și vătămarea corporală gravă; </w:t>
      </w:r>
    </w:p>
    <w:p>
      <w:pPr>
        <w:pStyle w:val="Point0number"/>
        <w:rPr>
          <w:noProof/>
        </w:rPr>
      </w:pPr>
      <w:r>
        <w:rPr>
          <w:noProof/>
        </w:rPr>
        <w:t xml:space="preserve">traficul ilicit de organe și țesuturi umane; </w:t>
      </w:r>
    </w:p>
    <w:p>
      <w:pPr>
        <w:pStyle w:val="Point0number"/>
        <w:rPr>
          <w:noProof/>
        </w:rPr>
      </w:pPr>
      <w:r>
        <w:rPr>
          <w:noProof/>
        </w:rPr>
        <w:t xml:space="preserve">răpirea, lipsirea de libertate în mod ilegal și luarea de ostateci; </w:t>
      </w:r>
    </w:p>
    <w:p>
      <w:pPr>
        <w:pStyle w:val="Point0number"/>
        <w:rPr>
          <w:noProof/>
        </w:rPr>
      </w:pPr>
      <w:r>
        <w:rPr>
          <w:noProof/>
        </w:rPr>
        <w:t xml:space="preserve">rasismul și xenofobia; </w:t>
      </w:r>
    </w:p>
    <w:p>
      <w:pPr>
        <w:pStyle w:val="Point0number"/>
        <w:rPr>
          <w:noProof/>
        </w:rPr>
      </w:pPr>
      <w:r>
        <w:rPr>
          <w:noProof/>
        </w:rPr>
        <w:t xml:space="preserve">tâlhăria și furtul calificat; </w:t>
      </w:r>
    </w:p>
    <w:p>
      <w:pPr>
        <w:pStyle w:val="Point0number"/>
        <w:rPr>
          <w:noProof/>
        </w:rPr>
      </w:pPr>
      <w:r>
        <w:rPr>
          <w:noProof/>
        </w:rPr>
        <w:t xml:space="preserve">traficul ilicit de bunuri de patrimoniu, inclusiv antichități și opere de artă; </w:t>
      </w:r>
    </w:p>
    <w:p>
      <w:pPr>
        <w:pStyle w:val="Point0number"/>
        <w:rPr>
          <w:noProof/>
        </w:rPr>
      </w:pPr>
      <w:r>
        <w:rPr>
          <w:noProof/>
        </w:rPr>
        <w:t xml:space="preserve">înșelăciunea și frauda; </w:t>
      </w:r>
    </w:p>
    <w:p>
      <w:pPr>
        <w:pStyle w:val="Point0number"/>
        <w:rPr>
          <w:noProof/>
        </w:rPr>
      </w:pPr>
      <w:r>
        <w:rPr>
          <w:noProof/>
        </w:rPr>
        <w:t>infracțiunile împotriva intereselor financiare ale Uniunii;</w:t>
      </w:r>
    </w:p>
    <w:p>
      <w:pPr>
        <w:pStyle w:val="Point0number"/>
        <w:rPr>
          <w:noProof/>
        </w:rPr>
      </w:pPr>
      <w:r>
        <w:rPr>
          <w:noProof/>
        </w:rPr>
        <w:t xml:space="preserve">utilizarea abuzivă a informațiilor privilegiate și manipularea piețelor financiare; </w:t>
      </w:r>
    </w:p>
    <w:p>
      <w:pPr>
        <w:pStyle w:val="Point0number"/>
        <w:rPr>
          <w:noProof/>
        </w:rPr>
      </w:pPr>
      <w:r>
        <w:rPr>
          <w:noProof/>
        </w:rPr>
        <w:t xml:space="preserve">activitățile mafiote („racketeering”) și extorcarea de fonduri; </w:t>
      </w:r>
    </w:p>
    <w:p>
      <w:pPr>
        <w:pStyle w:val="Point0number"/>
        <w:rPr>
          <w:noProof/>
        </w:rPr>
      </w:pPr>
      <w:r>
        <w:rPr>
          <w:noProof/>
        </w:rPr>
        <w:t xml:space="preserve">contrafacerea și piratarea produselor; </w:t>
      </w:r>
    </w:p>
    <w:p>
      <w:pPr>
        <w:pStyle w:val="Point0number"/>
        <w:rPr>
          <w:noProof/>
        </w:rPr>
      </w:pPr>
      <w:r>
        <w:rPr>
          <w:noProof/>
        </w:rPr>
        <w:t xml:space="preserve">falsul în înscrisuri oficiale și traficul de falsuri în înscrisuri oficiale; </w:t>
      </w:r>
    </w:p>
    <w:p>
      <w:pPr>
        <w:pStyle w:val="Point0number"/>
        <w:rPr>
          <w:noProof/>
        </w:rPr>
      </w:pPr>
      <w:r>
        <w:rPr>
          <w:noProof/>
        </w:rPr>
        <w:t xml:space="preserve">falsificarea banilor și a altor mijloace de plată; </w:t>
      </w:r>
    </w:p>
    <w:p>
      <w:pPr>
        <w:pStyle w:val="Point0number"/>
        <w:rPr>
          <w:noProof/>
        </w:rPr>
      </w:pPr>
      <w:r>
        <w:rPr>
          <w:noProof/>
        </w:rPr>
        <w:t xml:space="preserve">criminalitatea informatică, inclusiv atacurile cibernetice; </w:t>
      </w:r>
    </w:p>
    <w:p>
      <w:pPr>
        <w:pStyle w:val="Point0number"/>
        <w:rPr>
          <w:noProof/>
        </w:rPr>
      </w:pPr>
      <w:r>
        <w:rPr>
          <w:noProof/>
        </w:rPr>
        <w:t xml:space="preserve">corupția; </w:t>
      </w:r>
    </w:p>
    <w:p>
      <w:pPr>
        <w:pStyle w:val="Point0number"/>
        <w:rPr>
          <w:noProof/>
        </w:rPr>
      </w:pPr>
      <w:r>
        <w:rPr>
          <w:noProof/>
        </w:rPr>
        <w:t xml:space="preserve">traficul ilicit de arme, muniții și explozivi; </w:t>
      </w:r>
    </w:p>
    <w:p>
      <w:pPr>
        <w:pStyle w:val="Point0number"/>
        <w:rPr>
          <w:noProof/>
        </w:rPr>
      </w:pPr>
      <w:r>
        <w:rPr>
          <w:noProof/>
        </w:rPr>
        <w:t xml:space="preserve">traficul ilicit cu specii de animale pe cale de dispariție; </w:t>
      </w:r>
    </w:p>
    <w:p>
      <w:pPr>
        <w:pStyle w:val="Point0number"/>
        <w:rPr>
          <w:noProof/>
        </w:rPr>
      </w:pPr>
      <w:r>
        <w:rPr>
          <w:noProof/>
        </w:rPr>
        <w:t xml:space="preserve">traficul ilicit cu specii și soiuri de plante pe cale de dispariție; </w:t>
      </w:r>
    </w:p>
    <w:p>
      <w:pPr>
        <w:pStyle w:val="Point0number"/>
        <w:rPr>
          <w:noProof/>
        </w:rPr>
      </w:pPr>
      <w:r>
        <w:rPr>
          <w:noProof/>
        </w:rPr>
        <w:t xml:space="preserve">infracțiunile împotriva mediului, inclusiv poluarea cauzată de nave; </w:t>
      </w:r>
    </w:p>
    <w:p>
      <w:pPr>
        <w:pStyle w:val="Point0number"/>
        <w:rPr>
          <w:noProof/>
        </w:rPr>
      </w:pPr>
      <w:r>
        <w:rPr>
          <w:noProof/>
        </w:rPr>
        <w:t xml:space="preserve">traficul ilicit de substanțe hormonale și alți factori de creștere; </w:t>
      </w:r>
    </w:p>
    <w:p>
      <w:pPr>
        <w:pStyle w:val="Point0number"/>
        <w:rPr>
          <w:noProof/>
        </w:rPr>
      </w:pPr>
      <w:r>
        <w:rPr>
          <w:noProof/>
        </w:rPr>
        <w:t xml:space="preserve">abuzul sexual și exploatarea sexuală, inclusiv materialele care conțin abuzuri sexuale asupra copiilor și ademenirea copiilor în scopuri sexuale; </w:t>
      </w:r>
    </w:p>
    <w:p>
      <w:pPr>
        <w:pStyle w:val="Point0number"/>
        <w:rPr>
          <w:noProof/>
        </w:rPr>
      </w:pPr>
      <w:r>
        <w:rPr>
          <w:noProof/>
        </w:rPr>
        <w:t>violența bazată pe gen;</w:t>
      </w:r>
    </w:p>
    <w:p>
      <w:pPr>
        <w:pStyle w:val="Point0number"/>
        <w:rPr>
          <w:noProof/>
        </w:rPr>
      </w:pPr>
      <w:r>
        <w:rPr>
          <w:noProof/>
        </w:rPr>
        <w:t>genocidul, crimele împotriva umanității, crimele de război și crima de agresiune;</w:t>
      </w:r>
    </w:p>
    <w:p>
      <w:pPr>
        <w:pStyle w:val="Point0number"/>
        <w:rPr>
          <w:noProof/>
        </w:rPr>
      </w:pPr>
      <w:r>
        <w:rPr>
          <w:noProof/>
        </w:rPr>
        <w:t xml:space="preserve">încălcarea măsurilor restrictive ale Uniunii. </w:t>
      </w:r>
      <w:r>
        <w:rPr>
          <w:noProof/>
        </w:rPr>
        <w:br w:type="page"/>
      </w:r>
    </w:p>
    <w:p>
      <w:pPr>
        <w:pStyle w:val="Annexetitre"/>
        <w:rPr>
          <w:noProof/>
        </w:rPr>
      </w:pPr>
      <w:r>
        <w:rPr>
          <w:noProof/>
        </w:rPr>
        <w:lastRenderedPageBreak/>
        <w:t>ANEXA II</w:t>
      </w:r>
    </w:p>
    <w:p>
      <w:pPr>
        <w:spacing w:before="0" w:after="200" w:line="276" w:lineRule="auto"/>
        <w:jc w:val="center"/>
        <w:rPr>
          <w:b/>
          <w:bCs/>
          <w:noProof/>
        </w:rPr>
      </w:pPr>
      <w:r>
        <w:rPr>
          <w:b/>
          <w:noProof/>
        </w:rPr>
        <w:t>CATEGORIILE DE DATE CU CARACTER PERSONAL MENȚIONATE LA ARTICOLUL 46</w:t>
      </w:r>
    </w:p>
    <w:p>
      <w:pPr>
        <w:pStyle w:val="Point0number"/>
        <w:numPr>
          <w:ilvl w:val="0"/>
          <w:numId w:val="1"/>
        </w:numPr>
        <w:rPr>
          <w:noProof/>
        </w:rPr>
      </w:pPr>
      <w:r>
        <w:rPr>
          <w:noProof/>
        </w:rPr>
        <w:t>Categoriile de date cu caracter personal menționate la articolul 44 alineatul (1):</w:t>
      </w:r>
    </w:p>
    <w:p>
      <w:pPr>
        <w:pStyle w:val="Point1letter"/>
        <w:rPr>
          <w:noProof/>
        </w:rPr>
      </w:pPr>
      <w:r>
        <w:rPr>
          <w:noProof/>
        </w:rPr>
        <w:t>numele de familie, numele dinaintea căsătoriei, prenumele și orice pseudonim sau nume de împrumut;</w:t>
      </w:r>
    </w:p>
    <w:p>
      <w:pPr>
        <w:pStyle w:val="Point1letter"/>
        <w:rPr>
          <w:noProof/>
        </w:rPr>
      </w:pPr>
      <w:r>
        <w:rPr>
          <w:noProof/>
        </w:rPr>
        <w:t>data și locul nașterii;</w:t>
      </w:r>
    </w:p>
    <w:p>
      <w:pPr>
        <w:pStyle w:val="Point1letter"/>
        <w:rPr>
          <w:noProof/>
        </w:rPr>
      </w:pPr>
      <w:r>
        <w:rPr>
          <w:noProof/>
        </w:rPr>
        <w:t>naționalitatea;</w:t>
      </w:r>
    </w:p>
    <w:p>
      <w:pPr>
        <w:pStyle w:val="Point1letter"/>
        <w:rPr>
          <w:noProof/>
        </w:rPr>
      </w:pPr>
      <w:r>
        <w:rPr>
          <w:noProof/>
        </w:rPr>
        <w:t>sexul;</w:t>
      </w:r>
    </w:p>
    <w:p>
      <w:pPr>
        <w:pStyle w:val="Point1letter"/>
        <w:rPr>
          <w:noProof/>
        </w:rPr>
      </w:pPr>
      <w:r>
        <w:rPr>
          <w:noProof/>
        </w:rPr>
        <w:t>locul de reședință, profesia și locul unde se află persoana respectivă;</w:t>
      </w:r>
    </w:p>
    <w:p>
      <w:pPr>
        <w:pStyle w:val="Point1letter"/>
        <w:rPr>
          <w:noProof/>
        </w:rPr>
      </w:pPr>
      <w:r>
        <w:rPr>
          <w:noProof/>
        </w:rPr>
        <w:t>numărul de asigurare socială sau alte numere oficiale utilizate în statele membre pentru a identifica persoanele fizice, permisele de conducere, datele care figurează în actele de identitate și în pașaport, numerele de identificare vamală și fiscală;</w:t>
      </w:r>
    </w:p>
    <w:p>
      <w:pPr>
        <w:pStyle w:val="Point1letter"/>
        <w:rPr>
          <w:noProof/>
        </w:rPr>
      </w:pPr>
      <w:r>
        <w:rPr>
          <w:noProof/>
        </w:rPr>
        <w:t>informații referitoare la persoanele juridice, în cazul în care acestea conțin informații despre persoanele fizice identificate sau identificabile care fac obiectul unei cercetări judiciare sau urmăriri penale;</w:t>
      </w:r>
    </w:p>
    <w:p>
      <w:pPr>
        <w:pStyle w:val="Point1letter"/>
        <w:rPr>
          <w:noProof/>
        </w:rPr>
      </w:pPr>
      <w:r>
        <w:rPr>
          <w:noProof/>
        </w:rPr>
        <w:t>date privind conturile deținute la bănci sau la alte instituții financiare;</w:t>
      </w:r>
    </w:p>
    <w:p>
      <w:pPr>
        <w:pStyle w:val="Point1letter"/>
        <w:rPr>
          <w:noProof/>
        </w:rPr>
      </w:pPr>
      <w:r>
        <w:rPr>
          <w:noProof/>
        </w:rPr>
        <w:t>descrierea și natura presupuselor infracțiuni, data comiterii lor, încadrarea penală și stadiul cercetărilor;</w:t>
      </w:r>
    </w:p>
    <w:p>
      <w:pPr>
        <w:pStyle w:val="Point1letter"/>
        <w:rPr>
          <w:noProof/>
        </w:rPr>
      </w:pPr>
      <w:r>
        <w:rPr>
          <w:noProof/>
        </w:rPr>
        <w:t>faptele din care ar rezulta o extindere a cazului la nivel internațional;</w:t>
      </w:r>
    </w:p>
    <w:p>
      <w:pPr>
        <w:pStyle w:val="Point1letter"/>
        <w:rPr>
          <w:noProof/>
        </w:rPr>
      </w:pPr>
      <w:r>
        <w:rPr>
          <w:noProof/>
        </w:rPr>
        <w:t>informații legate de suspiciunea de apartenență la o organizație criminală;</w:t>
      </w:r>
    </w:p>
    <w:p>
      <w:pPr>
        <w:pStyle w:val="Point1letter"/>
        <w:rPr>
          <w:noProof/>
        </w:rPr>
      </w:pPr>
      <w:r>
        <w:rPr>
          <w:noProof/>
        </w:rPr>
        <w:t>numerele de telefon, adresele de e-mail, datele privind traficul și datele de localizare, precum și orice date conexe necesare pentru identificarea abonatului sau a utilizatorului;</w:t>
      </w:r>
    </w:p>
    <w:p>
      <w:pPr>
        <w:pStyle w:val="Point1letter"/>
        <w:rPr>
          <w:noProof/>
        </w:rPr>
      </w:pPr>
      <w:r>
        <w:rPr>
          <w:noProof/>
        </w:rPr>
        <w:t>datele privind înmatricularea autovehiculelor;</w:t>
      </w:r>
    </w:p>
    <w:p>
      <w:pPr>
        <w:pStyle w:val="Point1letter"/>
        <w:rPr>
          <w:noProof/>
        </w:rPr>
      </w:pPr>
      <w:r>
        <w:rPr>
          <w:noProof/>
        </w:rPr>
        <w:t>profilurile ADN stabilite din partea necodată a ADN, fotografiile și amprentele digitale.</w:t>
      </w:r>
    </w:p>
    <w:p>
      <w:pPr>
        <w:pStyle w:val="Point0number"/>
        <w:rPr>
          <w:noProof/>
        </w:rPr>
      </w:pPr>
      <w:r>
        <w:rPr>
          <w:noProof/>
        </w:rPr>
        <w:t>Categoriile de date cu caracter personal menționate la articolul 44 alineatul (2):</w:t>
      </w:r>
    </w:p>
    <w:p>
      <w:pPr>
        <w:pStyle w:val="Point1letter"/>
        <w:rPr>
          <w:noProof/>
        </w:rPr>
      </w:pPr>
      <w:r>
        <w:rPr>
          <w:noProof/>
        </w:rPr>
        <w:t>numele de familie, numele dinaintea căsătoriei, prenumele și orice pseudonim sau nume de împrumut;</w:t>
      </w:r>
    </w:p>
    <w:p>
      <w:pPr>
        <w:pStyle w:val="Point1letter"/>
        <w:rPr>
          <w:noProof/>
        </w:rPr>
      </w:pPr>
      <w:r>
        <w:rPr>
          <w:noProof/>
        </w:rPr>
        <w:t>data și locul nașterii;</w:t>
      </w:r>
    </w:p>
    <w:p>
      <w:pPr>
        <w:pStyle w:val="Point1letter"/>
        <w:rPr>
          <w:noProof/>
        </w:rPr>
      </w:pPr>
      <w:r>
        <w:rPr>
          <w:noProof/>
        </w:rPr>
        <w:t>naționalitatea;</w:t>
      </w:r>
    </w:p>
    <w:p>
      <w:pPr>
        <w:pStyle w:val="Point1letter"/>
        <w:rPr>
          <w:noProof/>
        </w:rPr>
      </w:pPr>
      <w:r>
        <w:rPr>
          <w:noProof/>
        </w:rPr>
        <w:t>sexul;</w:t>
      </w:r>
    </w:p>
    <w:p>
      <w:pPr>
        <w:pStyle w:val="Point1letter"/>
        <w:rPr>
          <w:noProof/>
        </w:rPr>
      </w:pPr>
      <w:r>
        <w:rPr>
          <w:noProof/>
        </w:rPr>
        <w:t>locul de reședință, profesia și locul unde se află persoana respectivă;</w:t>
      </w:r>
    </w:p>
    <w:p>
      <w:pPr>
        <w:pStyle w:val="Point1letter"/>
        <w:rPr>
          <w:noProof/>
        </w:rPr>
      </w:pPr>
      <w:r>
        <w:rPr>
          <w:noProof/>
        </w:rPr>
        <w:t>descrierea și natura infracțiunilor care privesc persoana în cauză, data comiterii infracțiunilor, încadrarea penală și stadiul cercetărilor;</w:t>
      </w:r>
    </w:p>
    <w:p>
      <w:pPr>
        <w:pStyle w:val="Point1letter"/>
        <w:rPr>
          <w:noProof/>
        </w:rPr>
      </w:pPr>
      <w:r>
        <w:rPr>
          <w:noProof/>
        </w:rPr>
        <w:t>numărul de asigurare socială sau alte numere oficiale utilizate în statele membre pentru a identifica persoanele fizice, permisele de conducere, datele care figurează în actele de identitate și în pașaport, numerele de identificare vamală și fiscală;</w:t>
      </w:r>
    </w:p>
    <w:p>
      <w:pPr>
        <w:pStyle w:val="Point1letter"/>
        <w:rPr>
          <w:noProof/>
        </w:rPr>
      </w:pPr>
      <w:r>
        <w:rPr>
          <w:noProof/>
        </w:rPr>
        <w:lastRenderedPageBreak/>
        <w:t>date privind conturile deținute la bănci și la alte instituții financiare;</w:t>
      </w:r>
    </w:p>
    <w:p>
      <w:pPr>
        <w:pStyle w:val="Point1letter"/>
        <w:rPr>
          <w:noProof/>
        </w:rPr>
      </w:pPr>
      <w:r>
        <w:rPr>
          <w:noProof/>
        </w:rPr>
        <w:t>numerele de telefon, adresele de e-mail, datele privind traficul și datele de localizare, precum și orice date conexe necesare pentru identificarea abonatului sau a utilizatorului;</w:t>
      </w:r>
    </w:p>
    <w:p>
      <w:pPr>
        <w:pStyle w:val="Point1letter"/>
        <w:rPr>
          <w:noProof/>
        </w:rPr>
      </w:pPr>
      <w:r>
        <w:rPr>
          <w:noProof/>
        </w:rPr>
        <w:t>datele privind înmatricularea autovehiculelor.</w:t>
      </w:r>
    </w:p>
    <w:p>
      <w:pPr>
        <w:spacing w:before="0" w:after="200" w:line="276" w:lineRule="auto"/>
        <w:jc w:val="left"/>
        <w:rPr>
          <w:noProof/>
          <w:szCs w:val="24"/>
        </w:rPr>
      </w:pPr>
      <w:r>
        <w:rPr>
          <w:noProof/>
        </w:rPr>
        <w:br w:type="page"/>
      </w:r>
    </w:p>
    <w:p>
      <w:pPr>
        <w:pStyle w:val="Annexetitre"/>
        <w:rPr>
          <w:noProof/>
        </w:rPr>
      </w:pPr>
      <w:r>
        <w:rPr>
          <w:noProof/>
        </w:rPr>
        <w:lastRenderedPageBreak/>
        <w:t>ANEXA III</w:t>
      </w:r>
    </w:p>
    <w:p>
      <w:pPr>
        <w:rPr>
          <w:noProof/>
        </w:rPr>
      </w:pPr>
      <w:r>
        <w:rPr>
          <w:noProof/>
        </w:rPr>
        <w:t>Datele cu caracter personal menționate la articolul 37 alineatul (4), la articolul 41 alineatul (1) și la articolul 44 alineatul (5):</w:t>
      </w:r>
    </w:p>
    <w:p>
      <w:pPr>
        <w:rPr>
          <w:noProof/>
        </w:rPr>
      </w:pPr>
    </w:p>
    <w:p>
      <w:pPr>
        <w:pStyle w:val="Point0number"/>
        <w:numPr>
          <w:ilvl w:val="0"/>
          <w:numId w:val="6"/>
        </w:numPr>
        <w:rPr>
          <w:noProof/>
        </w:rPr>
      </w:pPr>
      <w:r>
        <w:rPr>
          <w:noProof/>
        </w:rPr>
        <w:t>Informații pentru identificarea persoanei suspectate, acuzate, condamnate sau achitate:</w:t>
      </w:r>
    </w:p>
    <w:p>
      <w:pPr>
        <w:pStyle w:val="Point1letter"/>
        <w:rPr>
          <w:noProof/>
        </w:rPr>
      </w:pPr>
      <w:r>
        <w:rPr>
          <w:noProof/>
        </w:rPr>
        <w:t>în cazul persoanelor fizice:</w:t>
      </w:r>
    </w:p>
    <w:p>
      <w:pPr>
        <w:pStyle w:val="Point2"/>
        <w:rPr>
          <w:noProof/>
        </w:rPr>
      </w:pPr>
      <w:r>
        <w:rPr>
          <w:noProof/>
        </w:rPr>
        <w:t>(i)</w:t>
      </w:r>
      <w:r>
        <w:rPr>
          <w:noProof/>
        </w:rPr>
        <w:tab/>
        <w:t>numele (numele de familie);</w:t>
      </w:r>
    </w:p>
    <w:p>
      <w:pPr>
        <w:pStyle w:val="Point2"/>
        <w:rPr>
          <w:noProof/>
        </w:rPr>
      </w:pPr>
      <w:r>
        <w:rPr>
          <w:noProof/>
        </w:rPr>
        <w:t>(ii)</w:t>
      </w:r>
      <w:r>
        <w:rPr>
          <w:noProof/>
        </w:rPr>
        <w:tab/>
        <w:t>prenumele;</w:t>
      </w:r>
    </w:p>
    <w:p>
      <w:pPr>
        <w:pStyle w:val="Point2"/>
        <w:rPr>
          <w:noProof/>
        </w:rPr>
      </w:pPr>
      <w:r>
        <w:rPr>
          <w:noProof/>
        </w:rPr>
        <w:t>(iii)</w:t>
      </w:r>
      <w:r>
        <w:rPr>
          <w:noProof/>
        </w:rPr>
        <w:tab/>
        <w:t>orice pseudonime;</w:t>
      </w:r>
    </w:p>
    <w:p>
      <w:pPr>
        <w:pStyle w:val="Point2"/>
        <w:rPr>
          <w:noProof/>
        </w:rPr>
      </w:pPr>
      <w:r>
        <w:rPr>
          <w:noProof/>
        </w:rPr>
        <w:t>(iv)</w:t>
      </w:r>
      <w:r>
        <w:rPr>
          <w:noProof/>
        </w:rPr>
        <w:tab/>
        <w:t>data nașterii;</w:t>
      </w:r>
    </w:p>
    <w:p>
      <w:pPr>
        <w:pStyle w:val="Point2"/>
        <w:rPr>
          <w:noProof/>
        </w:rPr>
      </w:pPr>
      <w:r>
        <w:rPr>
          <w:noProof/>
        </w:rPr>
        <w:t>(v)</w:t>
      </w:r>
      <w:r>
        <w:rPr>
          <w:noProof/>
        </w:rPr>
        <w:tab/>
        <w:t>locul nașterii (localitatea și țara);</w:t>
      </w:r>
    </w:p>
    <w:p>
      <w:pPr>
        <w:pStyle w:val="Point2"/>
        <w:rPr>
          <w:noProof/>
        </w:rPr>
      </w:pPr>
      <w:r>
        <w:rPr>
          <w:noProof/>
        </w:rPr>
        <w:t>(vi)</w:t>
      </w:r>
      <w:r>
        <w:rPr>
          <w:noProof/>
        </w:rPr>
        <w:tab/>
        <w:t>cetățenia sau cetățeniile;</w:t>
      </w:r>
    </w:p>
    <w:p>
      <w:pPr>
        <w:pStyle w:val="Point2"/>
        <w:rPr>
          <w:noProof/>
        </w:rPr>
      </w:pPr>
      <w:r>
        <w:rPr>
          <w:noProof/>
        </w:rPr>
        <w:t>(vii)</w:t>
      </w:r>
      <w:r>
        <w:rPr>
          <w:noProof/>
        </w:rPr>
        <w:tab/>
        <w:t>actul de identitate (tipul și numărul documentului);</w:t>
      </w:r>
    </w:p>
    <w:p>
      <w:pPr>
        <w:pStyle w:val="Point2"/>
        <w:rPr>
          <w:noProof/>
        </w:rPr>
      </w:pPr>
      <w:r>
        <w:rPr>
          <w:noProof/>
        </w:rPr>
        <w:t>(viii)</w:t>
      </w:r>
      <w:r>
        <w:rPr>
          <w:noProof/>
        </w:rPr>
        <w:tab/>
        <w:t>sexul;</w:t>
      </w:r>
    </w:p>
    <w:p>
      <w:pPr>
        <w:pStyle w:val="Point2"/>
        <w:rPr>
          <w:noProof/>
        </w:rPr>
      </w:pPr>
      <w:r>
        <w:rPr>
          <w:noProof/>
        </w:rPr>
        <w:t>(ix)</w:t>
      </w:r>
      <w:r>
        <w:rPr>
          <w:noProof/>
        </w:rPr>
        <w:tab/>
        <w:t>locul de reședință;</w:t>
      </w:r>
    </w:p>
    <w:p>
      <w:pPr>
        <w:pStyle w:val="Point1letter"/>
        <w:rPr>
          <w:noProof/>
        </w:rPr>
      </w:pPr>
      <w:r>
        <w:rPr>
          <w:noProof/>
        </w:rPr>
        <w:t>în cazul persoanelor juridice:</w:t>
      </w:r>
    </w:p>
    <w:p>
      <w:pPr>
        <w:pStyle w:val="Point2"/>
        <w:rPr>
          <w:noProof/>
        </w:rPr>
      </w:pPr>
      <w:r>
        <w:rPr>
          <w:noProof/>
        </w:rPr>
        <w:t>(i)</w:t>
      </w:r>
      <w:r>
        <w:rPr>
          <w:noProof/>
        </w:rPr>
        <w:tab/>
        <w:t>denumirea comercială;</w:t>
      </w:r>
    </w:p>
    <w:p>
      <w:pPr>
        <w:pStyle w:val="Point2"/>
        <w:rPr>
          <w:noProof/>
        </w:rPr>
      </w:pPr>
      <w:r>
        <w:rPr>
          <w:noProof/>
        </w:rPr>
        <w:t>(ii)</w:t>
      </w:r>
      <w:r>
        <w:rPr>
          <w:noProof/>
        </w:rPr>
        <w:tab/>
        <w:t>forma juridică;</w:t>
      </w:r>
    </w:p>
    <w:p>
      <w:pPr>
        <w:pStyle w:val="Point2"/>
        <w:rPr>
          <w:noProof/>
        </w:rPr>
      </w:pPr>
      <w:r>
        <w:rPr>
          <w:noProof/>
        </w:rPr>
        <w:t>(iii)</w:t>
      </w:r>
      <w:r>
        <w:rPr>
          <w:noProof/>
        </w:rPr>
        <w:tab/>
        <w:t>locul în care se află sediul social;</w:t>
      </w:r>
    </w:p>
    <w:p>
      <w:pPr>
        <w:pStyle w:val="Point1letter"/>
        <w:rPr>
          <w:noProof/>
        </w:rPr>
      </w:pPr>
      <w:r>
        <w:rPr>
          <w:noProof/>
        </w:rPr>
        <w:t>în cazul persoanelor fizice și juridice:</w:t>
      </w:r>
    </w:p>
    <w:p>
      <w:pPr>
        <w:pStyle w:val="Point2"/>
        <w:rPr>
          <w:noProof/>
        </w:rPr>
      </w:pPr>
      <w:r>
        <w:rPr>
          <w:noProof/>
        </w:rPr>
        <w:t>(i)</w:t>
      </w:r>
      <w:r>
        <w:rPr>
          <w:noProof/>
        </w:rPr>
        <w:tab/>
        <w:t>numerele de telefon;</w:t>
      </w:r>
    </w:p>
    <w:p>
      <w:pPr>
        <w:pStyle w:val="Point2"/>
        <w:rPr>
          <w:noProof/>
        </w:rPr>
      </w:pPr>
      <w:r>
        <w:rPr>
          <w:noProof/>
        </w:rPr>
        <w:t>(ii)</w:t>
      </w:r>
      <w:r>
        <w:rPr>
          <w:noProof/>
        </w:rPr>
        <w:tab/>
        <w:t>adresele de e-mail;</w:t>
      </w:r>
    </w:p>
    <w:p>
      <w:pPr>
        <w:pStyle w:val="Point2"/>
        <w:rPr>
          <w:noProof/>
        </w:rPr>
      </w:pPr>
      <w:r>
        <w:rPr>
          <w:noProof/>
        </w:rPr>
        <w:t>(iii)</w:t>
      </w:r>
      <w:r>
        <w:rPr>
          <w:noProof/>
        </w:rPr>
        <w:tab/>
        <w:t>detaliile privind conturile deținute la bănci sau la alte instituții financiare;</w:t>
      </w:r>
    </w:p>
    <w:p>
      <w:pPr>
        <w:rPr>
          <w:noProof/>
        </w:rPr>
      </w:pPr>
    </w:p>
    <w:p>
      <w:pPr>
        <w:pStyle w:val="Point0number"/>
        <w:numPr>
          <w:ilvl w:val="0"/>
          <w:numId w:val="6"/>
        </w:numPr>
        <w:rPr>
          <w:noProof/>
        </w:rPr>
      </w:pPr>
      <w:r>
        <w:rPr>
          <w:noProof/>
        </w:rPr>
        <w:t>Informații privind infracțiunea de terorism:</w:t>
      </w:r>
    </w:p>
    <w:p>
      <w:pPr>
        <w:pStyle w:val="Point2"/>
        <w:rPr>
          <w:noProof/>
        </w:rPr>
      </w:pPr>
      <w:r>
        <w:rPr>
          <w:noProof/>
        </w:rPr>
        <w:t>(i)</w:t>
      </w:r>
      <w:r>
        <w:rPr>
          <w:noProof/>
        </w:rPr>
        <w:tab/>
        <w:t>informații privind persoanele juridice implicate în pregătirea sau comiterea unei infracțiuni de terorism;</w:t>
      </w:r>
    </w:p>
    <w:p>
      <w:pPr>
        <w:pStyle w:val="Point2"/>
        <w:rPr>
          <w:noProof/>
        </w:rPr>
      </w:pPr>
      <w:r>
        <w:rPr>
          <w:noProof/>
        </w:rPr>
        <w:t>(ii)</w:t>
      </w:r>
      <w:r>
        <w:rPr>
          <w:noProof/>
        </w:rPr>
        <w:tab/>
        <w:t>calificarea juridică a infracțiunii în temeiul dreptului intern;</w:t>
      </w:r>
    </w:p>
    <w:p>
      <w:pPr>
        <w:pStyle w:val="Point2"/>
        <w:rPr>
          <w:noProof/>
        </w:rPr>
      </w:pPr>
      <w:r>
        <w:rPr>
          <w:noProof/>
        </w:rPr>
        <w:t>(iii)</w:t>
      </w:r>
      <w:r>
        <w:rPr>
          <w:noProof/>
        </w:rPr>
        <w:tab/>
        <w:t>forma aplicabilă a infracțiunii grave din lista menționată în anexa I;</w:t>
      </w:r>
    </w:p>
    <w:p>
      <w:pPr>
        <w:pStyle w:val="Point2"/>
        <w:rPr>
          <w:noProof/>
        </w:rPr>
      </w:pPr>
      <w:r>
        <w:rPr>
          <w:noProof/>
        </w:rPr>
        <w:t>(iv)</w:t>
      </w:r>
      <w:r>
        <w:rPr>
          <w:noProof/>
        </w:rPr>
        <w:tab/>
        <w:t>orice afiliere la o grupare teroristă;</w:t>
      </w:r>
    </w:p>
    <w:p>
      <w:pPr>
        <w:pStyle w:val="Point2"/>
        <w:rPr>
          <w:noProof/>
        </w:rPr>
      </w:pPr>
      <w:r>
        <w:rPr>
          <w:noProof/>
        </w:rPr>
        <w:t>(v)</w:t>
      </w:r>
      <w:r>
        <w:rPr>
          <w:noProof/>
        </w:rPr>
        <w:tab/>
        <w:t>tipul de terorism, cum ar fi jihadist, separatist, de stânga sau de dreapta;</w:t>
      </w:r>
    </w:p>
    <w:p>
      <w:pPr>
        <w:pStyle w:val="Point2"/>
        <w:rPr>
          <w:noProof/>
        </w:rPr>
      </w:pPr>
      <w:r>
        <w:rPr>
          <w:noProof/>
        </w:rPr>
        <w:t>(vi)</w:t>
      </w:r>
      <w:r>
        <w:rPr>
          <w:noProof/>
        </w:rPr>
        <w:tab/>
        <w:t>rezumat succint al cazului.</w:t>
      </w:r>
    </w:p>
    <w:p>
      <w:pPr>
        <w:rPr>
          <w:noProof/>
        </w:rPr>
      </w:pPr>
    </w:p>
    <w:p>
      <w:pPr>
        <w:pStyle w:val="Point0number"/>
        <w:numPr>
          <w:ilvl w:val="0"/>
          <w:numId w:val="6"/>
        </w:numPr>
        <w:rPr>
          <w:noProof/>
        </w:rPr>
      </w:pPr>
      <w:r>
        <w:rPr>
          <w:noProof/>
        </w:rPr>
        <w:t>Informații privind procedurile naționale:</w:t>
      </w:r>
    </w:p>
    <w:p>
      <w:pPr>
        <w:pStyle w:val="Point2"/>
        <w:rPr>
          <w:noProof/>
        </w:rPr>
      </w:pPr>
      <w:r>
        <w:rPr>
          <w:noProof/>
        </w:rPr>
        <w:t>(i)</w:t>
      </w:r>
      <w:r>
        <w:rPr>
          <w:noProof/>
        </w:rPr>
        <w:tab/>
        <w:t>stadiul procedurilor respective;</w:t>
      </w:r>
    </w:p>
    <w:p>
      <w:pPr>
        <w:pStyle w:val="Point2"/>
        <w:rPr>
          <w:noProof/>
        </w:rPr>
      </w:pPr>
      <w:r>
        <w:rPr>
          <w:noProof/>
        </w:rPr>
        <w:t>(ii)</w:t>
      </w:r>
      <w:r>
        <w:rPr>
          <w:noProof/>
        </w:rPr>
        <w:tab/>
        <w:t>parchetul responsabil;</w:t>
      </w:r>
    </w:p>
    <w:p>
      <w:pPr>
        <w:pStyle w:val="Point2"/>
        <w:rPr>
          <w:noProof/>
        </w:rPr>
      </w:pPr>
      <w:r>
        <w:rPr>
          <w:noProof/>
        </w:rPr>
        <w:t>(iii)</w:t>
      </w:r>
      <w:r>
        <w:rPr>
          <w:noProof/>
        </w:rPr>
        <w:tab/>
        <w:t>numărul cazului;</w:t>
      </w:r>
    </w:p>
    <w:p>
      <w:pPr>
        <w:pStyle w:val="Point2"/>
        <w:rPr>
          <w:noProof/>
        </w:rPr>
      </w:pPr>
      <w:r>
        <w:rPr>
          <w:noProof/>
        </w:rPr>
        <w:lastRenderedPageBreak/>
        <w:t>(iv)</w:t>
      </w:r>
      <w:r>
        <w:rPr>
          <w:noProof/>
        </w:rPr>
        <w:tab/>
        <w:t>data inițierii procedurii judiciare oficiale;</w:t>
      </w:r>
    </w:p>
    <w:p>
      <w:pPr>
        <w:pStyle w:val="Point2"/>
        <w:rPr>
          <w:noProof/>
        </w:rPr>
      </w:pPr>
      <w:r>
        <w:rPr>
          <w:noProof/>
        </w:rPr>
        <w:t>(v)</w:t>
      </w:r>
      <w:r>
        <w:rPr>
          <w:noProof/>
        </w:rPr>
        <w:tab/>
        <w:t>legăturile cu alte cazuri conexe;</w:t>
      </w:r>
    </w:p>
    <w:p>
      <w:pPr>
        <w:rPr>
          <w:noProof/>
        </w:rPr>
      </w:pPr>
    </w:p>
    <w:p>
      <w:pPr>
        <w:pStyle w:val="Point0number"/>
        <w:numPr>
          <w:ilvl w:val="0"/>
          <w:numId w:val="6"/>
        </w:numPr>
        <w:rPr>
          <w:noProof/>
        </w:rPr>
      </w:pPr>
      <w:r>
        <w:rPr>
          <w:noProof/>
        </w:rPr>
        <w:t>Informații suplimentare pentru identificarea persoanei suspectate:</w:t>
      </w:r>
    </w:p>
    <w:p>
      <w:pPr>
        <w:pStyle w:val="Point2"/>
        <w:rPr>
          <w:noProof/>
        </w:rPr>
      </w:pPr>
      <w:r>
        <w:rPr>
          <w:noProof/>
        </w:rPr>
        <w:t>(i)</w:t>
      </w:r>
      <w:r>
        <w:rPr>
          <w:noProof/>
        </w:rPr>
        <w:tab/>
        <w:t>datele dactiloscopice care au fost prelevate în conformitate cu dreptul intern în cursul unor proceduri penale;</w:t>
      </w:r>
    </w:p>
    <w:p>
      <w:pPr>
        <w:pStyle w:val="Point2"/>
        <w:rPr>
          <w:noProof/>
        </w:rPr>
      </w:pPr>
      <w:r>
        <w:rPr>
          <w:noProof/>
        </w:rPr>
        <w:t>(ii)</w:t>
      </w:r>
      <w:r>
        <w:rPr>
          <w:noProof/>
        </w:rPr>
        <w:tab/>
        <w:t>fotografii.</w:t>
      </w:r>
    </w:p>
    <w:sectPr>
      <w:headerReference w:type="even" r:id="rId17"/>
      <w:footerReference w:type="even" r:id="rId18"/>
      <w:footerReference w:type="default" r:id="rId19"/>
      <w:headerReference w:type="first" r:id="rId20"/>
      <w:footerReference w:type="first" r:id="rId21"/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spacing w:before="0" w:after="0"/>
      </w:pPr>
      <w:r>
        <w:separator/>
      </w:r>
    </w:p>
  </w:endnote>
  <w:endnote w:type="continuationSeparator" w:id="0">
    <w:p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RO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RO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RO</w:t>
    </w:r>
    <w:r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ab/>
    </w:r>
    <w:r>
      <w:tab/>
    </w:r>
    <w:r>
      <w:rPr>
        <w:rFonts w:ascii="Arial" w:hAnsi="Arial" w:cs="Arial"/>
        <w:b/>
        <w:sz w:val="48"/>
      </w:rPr>
      <w:t>RO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pPr>
        <w:spacing w:before="0" w:after="0"/>
      </w:pPr>
      <w:r>
        <w:separator/>
      </w:r>
    </w:p>
  </w:footnote>
  <w:footnote w:type="continuationSeparator" w:id="0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1"/>
    <w:multiLevelType w:val="singleLevel"/>
    <w:tmpl w:val="5016BFE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CA5222B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27BA605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FFFFFF89"/>
    <w:multiLevelType w:val="singleLevel"/>
    <w:tmpl w:val="3E7CAB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5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7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8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9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0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1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2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3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4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6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8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8"/>
  </w:num>
  <w:num w:numId="10">
    <w:abstractNumId w:val="17"/>
  </w:num>
  <w:num w:numId="11">
    <w:abstractNumId w:val="7"/>
  </w:num>
  <w:num w:numId="12">
    <w:abstractNumId w:val="9"/>
  </w:num>
  <w:num w:numId="13">
    <w:abstractNumId w:val="10"/>
  </w:num>
  <w:num w:numId="14">
    <w:abstractNumId w:val="5"/>
  </w:num>
  <w:num w:numId="15">
    <w:abstractNumId w:val="16"/>
  </w:num>
  <w:num w:numId="16">
    <w:abstractNumId w:val="4"/>
  </w:num>
  <w:num w:numId="17">
    <w:abstractNumId w:val="11"/>
  </w:num>
  <w:num w:numId="18">
    <w:abstractNumId w:val="13"/>
  </w:num>
  <w:num w:numId="19">
    <w:abstractNumId w:val="14"/>
  </w:num>
  <w:num w:numId="20">
    <w:abstractNumId w:val="6"/>
  </w:num>
  <w:num w:numId="21">
    <w:abstractNumId w:val="12"/>
  </w:num>
  <w:num w:numId="22">
    <w:abstractNumId w:val="18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oNotDisplayPageBoundaries/>
  <w:hideSpellingErrors/>
  <w:hideGrammaticalErrors/>
  <w:attachedTemplate r:id="rId1"/>
  <w:revisionView w:markup="0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docVars>
    <w:docVar w:name="CR_RefLast" w:val="0"/>
    <w:docVar w:name="DQCDateTime" w:val="2026-09-09 08:43:51"/>
    <w:docVar w:name="DQCResult_Distribution" w:val="0;0"/>
    <w:docVar w:name="DQCResult_DocumentContent" w:val="0;0"/>
    <w:docVar w:name="DQCResult_DocumentSize" w:val="0;0"/>
    <w:docVar w:name="DQCResult_InvalidFootnotes" w:val="0;0"/>
    <w:docVar w:name="DQCResult_ModifiedMarkers" w:val="0;0"/>
    <w:docVar w:name="DQCResult_ModifiedNumbering" w:val="0;0"/>
    <w:docVar w:name="DQCResult_Objects" w:val="0;0"/>
    <w:docVar w:name="DQCResult_StructureCheck" w:val="0;0"/>
    <w:docVar w:name="DQCStatus" w:val="Green"/>
    <w:docVar w:name="DQCVersion" w:val="3"/>
    <w:docVar w:name="DQCWithWarnings" w:val="0"/>
    <w:docVar w:name="LW_ACCOMPAGNANT" w:val="la Propunerea de"/>
    <w:docVar w:name="LW_ACCOMPAGNANT.CP" w:val="la Propunerea de"/>
    <w:docVar w:name="LW_ANNEX_NBR_FIRST" w:val="1"/>
    <w:docVar w:name="LW_ANNEX_NBR_LAST" w:val="3"/>
    <w:docVar w:name="LW_ANNEX_UNIQUE" w:val="0"/>
    <w:docVar w:name="LW_CORRIGENDUM" w:val="&lt;UNUSED&gt;"/>
    <w:docVar w:name="LW_COVERPAGE_EXISTS" w:val="True"/>
    <w:docVar w:name="LW_COVERPAGE_GUID" w:val="D394051B-884A-4A53-B1B3-BD8A94B0F673"/>
    <w:docVar w:name="LW_COVERPAGE_TYPE" w:val="1"/>
    <w:docVar w:name="LW_CreatedUtc" w:val="2026-05-17T13:29:01.8392428Z"/>
    <w:docVar w:name="LW_CROSSREFERENCE" w:val="{SEC(2026) 570 final} - {SWD(2026) 570 final} - {SWD(2026) 571 final} - {SWD(2026) 572 final} - {SWD(2026) 573 final}"/>
    <w:docVar w:name="LW_DocType" w:val="ANNEX"/>
    <w:docVar w:name="LW_EMISSION" w:val="24.6.2026"/>
    <w:docVar w:name="LW_EMISSION_ISODATE" w:val="2026-06-24"/>
    <w:docVar w:name="LW_EMISSION_LOCATION" w:val="BRX"/>
    <w:docVar w:name="LW_EMISSION_PREFIX" w:val="Bruxelles, "/>
    <w:docVar w:name="LW_EMISSION_SUFFIX" w:val=" "/>
    <w:docVar w:name="LW_ID_DOCSTRUCTURE" w:val="COM/ANNEX"/>
    <w:docVar w:name="LW_ID_DOCTYPE" w:val="SG-017"/>
    <w:docVar w:name="LW_LANGUE" w:val="RO"/>
    <w:docVar w:name="LW_LEVEL_OF_SENSITIVITY" w:val="Standard treatment"/>
    <w:docVar w:name="LW_NOM.INST" w:val="COMISIA EUROPEAN\u258?"/>
    <w:docVar w:name="LW_NOM.INST_JOINTDOC" w:val="&lt;EMPTY&gt;"/>
    <w:docVar w:name="LW_OBJETACTEPRINCIPAL" w:val="privind Agen\u539?ia Uniunii Europene pentru Cooperare în Materie de Justi\u539?ie Penal\u259? (Eurojust) \u537?i de abrogare a Regulamentului (UE) 2018/1727_x000d__x000d__x000d__x000d__x000d__x000b_"/>
    <w:docVar w:name="LW_OBJETACTEPRINCIPAL.CP" w:val="privind Agen\u539?ia Uniunii Europene pentru Cooperare în Materie de Justi\u539?ie Penal\u259? (Eurojust) \u537?i de abrogare a Regulamentului (UE) 2018/1727_x000d__x000d__x000d__x000d__x000d__x000b_"/>
    <w:docVar w:name="LW_PART_NBR" w:val="&lt;UNUSED&gt;"/>
    <w:docVar w:name="LW_PART_NBR_TOTAL" w:val="&lt;UNUSED&gt;"/>
    <w:docVar w:name="LW_REF.INST.NEW" w:val="COM"/>
    <w:docVar w:name="LW_REF.INST.NEW_ADOPTED" w:val="final"/>
    <w:docVar w:name="LW_REF.INST.NEW_TEXT" w:val="(2026) 570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YPE.DOC" w:val="ANEXE"/>
    <w:docVar w:name="LW_TYPE.DOC.CP" w:val="ANEXE"/>
    <w:docVar w:name="LW_TYPEACTEPRINCIPAL" w:val="REGULAMENT AL PARLAMENTULUI EUROPEAN \u536?I AL CONSILIULUI"/>
    <w:docVar w:name="LW_TYPEACTEPRINCIPAL.CP" w:val="REGULAMENT AL PARLAMENTULUI EUROPEAN \u536?I AL CONSILIULUI"/>
    <w:docVar w:name="LwApiVersions" w:val="LW4CoDe 1.25.1.0; LW 9.2, Build 2026070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5:docId w15:val="{B85ACA7C-1D3F-4357-B273-5B6824AA7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ro-RO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15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15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15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15"/>
      </w:numPr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Text2"/>
    <w:link w:val="Heading5Char"/>
    <w:uiPriority w:val="9"/>
    <w:semiHidden/>
    <w:unhideWhenUsed/>
    <w:qFormat/>
    <w:pPr>
      <w:keepNext/>
      <w:numPr>
        <w:ilvl w:val="4"/>
        <w:numId w:val="15"/>
      </w:numPr>
      <w:outlineLvl w:val="4"/>
    </w:pPr>
    <w:rPr>
      <w:rFonts w:eastAsiaTheme="majorEastAsia"/>
    </w:rPr>
  </w:style>
  <w:style w:type="paragraph" w:styleId="Heading6">
    <w:name w:val="heading 6"/>
    <w:basedOn w:val="Normal"/>
    <w:next w:val="Text2"/>
    <w:link w:val="Heading6Char"/>
    <w:uiPriority w:val="9"/>
    <w:semiHidden/>
    <w:unhideWhenUsed/>
    <w:qFormat/>
    <w:pPr>
      <w:keepNext/>
      <w:numPr>
        <w:ilvl w:val="5"/>
        <w:numId w:val="15"/>
      </w:numPr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Text2"/>
    <w:link w:val="Heading7Char"/>
    <w:uiPriority w:val="9"/>
    <w:semiHidden/>
    <w:unhideWhenUsed/>
    <w:qFormat/>
    <w:pPr>
      <w:keepNext/>
      <w:numPr>
        <w:ilvl w:val="6"/>
        <w:numId w:val="15"/>
      </w:numPr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semiHidden/>
    <w:unhideWhenUsed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5"/>
      </w:numPr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hAnsi="Times New Roman" w:cs="Times New Roman"/>
      <w:sz w:val="20"/>
      <w:szCs w:val="20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Times New Roman" w:hAnsi="Times New Roman" w:cs="Times New Roman"/>
      <w:b/>
      <w:bCs/>
      <w:sz w:val="20"/>
      <w:szCs w:val="20"/>
      <w:lang w:val="ro-RO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  <w:sz w:val="24"/>
      <w:lang w:val="ro-RO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  <w:sz w:val="24"/>
      <w:lang w:val="ro-RO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="Times New Roman" w:eastAsiaTheme="majorEastAsia" w:hAnsi="Times New Roman" w:cs="Times New Roman"/>
      <w:sz w:val="24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Times New Roman" w:eastAsiaTheme="majorEastAsia" w:hAnsi="Times New Roman" w:cs="Times New Roman"/>
      <w:iCs/>
      <w:sz w:val="24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Times New Roman" w:eastAsiaTheme="majorEastAsia" w:hAnsi="Times New Roman" w:cs="Times New Roman"/>
      <w:iCs/>
      <w:sz w:val="24"/>
      <w:lang w:val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  <w:ind w:left="1417" w:hanging="141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Text5">
    <w:name w:val="Text 5"/>
    <w:basedOn w:val="Normal"/>
    <w:pPr>
      <w:ind w:left="3118"/>
    </w:pPr>
  </w:style>
  <w:style w:type="paragraph" w:customStyle="1" w:styleId="Text6">
    <w:name w:val="Text 6"/>
    <w:basedOn w:val="Normal"/>
    <w:pPr>
      <w:ind w:left="3685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Point5">
    <w:name w:val="Point 5"/>
    <w:basedOn w:val="Normal"/>
    <w:pPr>
      <w:ind w:left="3685" w:hanging="567"/>
    </w:pPr>
  </w:style>
  <w:style w:type="paragraph" w:customStyle="1" w:styleId="Tiret0">
    <w:name w:val="Tiret 0"/>
    <w:basedOn w:val="Point0"/>
    <w:pPr>
      <w:numPr>
        <w:numId w:val="8"/>
      </w:numPr>
    </w:pPr>
  </w:style>
  <w:style w:type="paragraph" w:customStyle="1" w:styleId="Tiret1">
    <w:name w:val="Tiret 1"/>
    <w:basedOn w:val="Point1"/>
    <w:pPr>
      <w:numPr>
        <w:numId w:val="9"/>
      </w:numPr>
    </w:pPr>
  </w:style>
  <w:style w:type="paragraph" w:customStyle="1" w:styleId="Tiret2">
    <w:name w:val="Tiret 2"/>
    <w:basedOn w:val="Point2"/>
    <w:pPr>
      <w:numPr>
        <w:numId w:val="10"/>
      </w:numPr>
    </w:pPr>
  </w:style>
  <w:style w:type="paragraph" w:customStyle="1" w:styleId="Tiret3">
    <w:name w:val="Tiret 3"/>
    <w:basedOn w:val="Point3"/>
    <w:pPr>
      <w:numPr>
        <w:numId w:val="11"/>
      </w:numPr>
    </w:pPr>
  </w:style>
  <w:style w:type="paragraph" w:customStyle="1" w:styleId="Tiret4">
    <w:name w:val="Tiret 4"/>
    <w:basedOn w:val="Point4"/>
    <w:pPr>
      <w:numPr>
        <w:numId w:val="12"/>
      </w:numPr>
    </w:pPr>
  </w:style>
  <w:style w:type="paragraph" w:customStyle="1" w:styleId="Tiret5">
    <w:name w:val="Tiret 5"/>
    <w:basedOn w:val="Point5"/>
    <w:pPr>
      <w:numPr>
        <w:numId w:val="13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14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14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14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14"/>
      </w:numPr>
    </w:pPr>
  </w:style>
  <w:style w:type="paragraph" w:customStyle="1" w:styleId="NumPar5">
    <w:name w:val="NumPar 5"/>
    <w:basedOn w:val="Normal"/>
    <w:next w:val="Text2"/>
    <w:pPr>
      <w:numPr>
        <w:ilvl w:val="4"/>
        <w:numId w:val="14"/>
      </w:numPr>
    </w:pPr>
  </w:style>
  <w:style w:type="paragraph" w:customStyle="1" w:styleId="NumPar6">
    <w:name w:val="NumPar 6"/>
    <w:basedOn w:val="Normal"/>
    <w:next w:val="Text2"/>
    <w:pPr>
      <w:numPr>
        <w:ilvl w:val="5"/>
        <w:numId w:val="14"/>
      </w:numPr>
    </w:pPr>
  </w:style>
  <w:style w:type="paragraph" w:customStyle="1" w:styleId="NumPar7">
    <w:name w:val="NumPar 7"/>
    <w:basedOn w:val="Normal"/>
    <w:next w:val="Text2"/>
    <w:pPr>
      <w:numPr>
        <w:ilvl w:val="6"/>
        <w:numId w:val="14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ManualNumPar5">
    <w:name w:val="Manual NumPar 5"/>
    <w:basedOn w:val="Normal"/>
    <w:next w:val="Text2"/>
    <w:pPr>
      <w:ind w:left="1417" w:hanging="1417"/>
    </w:pPr>
  </w:style>
  <w:style w:type="paragraph" w:customStyle="1" w:styleId="ManualNumPar6">
    <w:name w:val="Manual NumPar 6"/>
    <w:basedOn w:val="Normal"/>
    <w:next w:val="Text2"/>
    <w:pPr>
      <w:ind w:left="1417" w:hanging="1417"/>
    </w:pPr>
  </w:style>
  <w:style w:type="paragraph" w:customStyle="1" w:styleId="ManualNumPar7">
    <w:name w:val="Manual NumPar 7"/>
    <w:basedOn w:val="Normal"/>
    <w:next w:val="Text2"/>
    <w:pPr>
      <w:ind w:left="1417" w:hanging="1417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2"/>
    <w:pPr>
      <w:keepNext/>
      <w:tabs>
        <w:tab w:val="left" w:pos="1417"/>
      </w:tabs>
      <w:ind w:left="1417" w:hanging="1417"/>
      <w:outlineLvl w:val="4"/>
    </w:pPr>
  </w:style>
  <w:style w:type="paragraph" w:customStyle="1" w:styleId="ManualHeading6">
    <w:name w:val="Manual Heading 6"/>
    <w:basedOn w:val="Normal"/>
    <w:next w:val="Text2"/>
    <w:pPr>
      <w:keepNext/>
      <w:tabs>
        <w:tab w:val="left" w:pos="1417"/>
      </w:tabs>
      <w:ind w:left="1417" w:hanging="1417"/>
      <w:outlineLvl w:val="5"/>
    </w:pPr>
  </w:style>
  <w:style w:type="paragraph" w:customStyle="1" w:styleId="ManualHeading7">
    <w:name w:val="Manual Heading 7"/>
    <w:basedOn w:val="Normal"/>
    <w:next w:val="Text2"/>
    <w:pPr>
      <w:keepNext/>
      <w:tabs>
        <w:tab w:val="left" w:pos="1417"/>
      </w:tabs>
      <w:ind w:left="1417" w:hanging="1417"/>
      <w:outlineLvl w:val="6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16"/>
      </w:numPr>
    </w:pPr>
  </w:style>
  <w:style w:type="paragraph" w:customStyle="1" w:styleId="Point1number">
    <w:name w:val="Point 1 (number)"/>
    <w:basedOn w:val="Normal"/>
    <w:pPr>
      <w:numPr>
        <w:ilvl w:val="2"/>
        <w:numId w:val="16"/>
      </w:numPr>
    </w:pPr>
  </w:style>
  <w:style w:type="paragraph" w:customStyle="1" w:styleId="Point2number">
    <w:name w:val="Point 2 (number)"/>
    <w:basedOn w:val="Normal"/>
    <w:pPr>
      <w:numPr>
        <w:ilvl w:val="4"/>
        <w:numId w:val="16"/>
      </w:numPr>
    </w:pPr>
  </w:style>
  <w:style w:type="paragraph" w:customStyle="1" w:styleId="Point3number">
    <w:name w:val="Point 3 (number)"/>
    <w:basedOn w:val="Normal"/>
    <w:pPr>
      <w:numPr>
        <w:ilvl w:val="6"/>
        <w:numId w:val="16"/>
      </w:numPr>
    </w:pPr>
  </w:style>
  <w:style w:type="paragraph" w:customStyle="1" w:styleId="Point0letter">
    <w:name w:val="Point 0 (letter)"/>
    <w:basedOn w:val="Normal"/>
    <w:pPr>
      <w:numPr>
        <w:ilvl w:val="1"/>
        <w:numId w:val="16"/>
      </w:numPr>
    </w:pPr>
  </w:style>
  <w:style w:type="paragraph" w:customStyle="1" w:styleId="Point1letter">
    <w:name w:val="Point 1 (letter)"/>
    <w:basedOn w:val="Normal"/>
    <w:pPr>
      <w:numPr>
        <w:ilvl w:val="3"/>
        <w:numId w:val="16"/>
      </w:numPr>
    </w:pPr>
  </w:style>
  <w:style w:type="paragraph" w:customStyle="1" w:styleId="Point2letter">
    <w:name w:val="Point 2 (letter)"/>
    <w:basedOn w:val="Normal"/>
    <w:pPr>
      <w:numPr>
        <w:ilvl w:val="5"/>
        <w:numId w:val="16"/>
      </w:numPr>
    </w:pPr>
  </w:style>
  <w:style w:type="paragraph" w:customStyle="1" w:styleId="Point3letter">
    <w:name w:val="Point 3 (letter)"/>
    <w:basedOn w:val="Normal"/>
    <w:pPr>
      <w:numPr>
        <w:ilvl w:val="7"/>
        <w:numId w:val="16"/>
      </w:numPr>
    </w:pPr>
  </w:style>
  <w:style w:type="paragraph" w:customStyle="1" w:styleId="Point4letter">
    <w:name w:val="Point 4 (letter)"/>
    <w:basedOn w:val="Normal"/>
    <w:pPr>
      <w:numPr>
        <w:ilvl w:val="8"/>
        <w:numId w:val="16"/>
      </w:numPr>
    </w:pPr>
  </w:style>
  <w:style w:type="paragraph" w:customStyle="1" w:styleId="Bullet0">
    <w:name w:val="Bullet 0"/>
    <w:basedOn w:val="Normal"/>
    <w:pPr>
      <w:numPr>
        <w:numId w:val="17"/>
      </w:numPr>
    </w:pPr>
  </w:style>
  <w:style w:type="paragraph" w:customStyle="1" w:styleId="Bullet1">
    <w:name w:val="Bullet 1"/>
    <w:basedOn w:val="Normal"/>
    <w:pPr>
      <w:numPr>
        <w:numId w:val="18"/>
      </w:numPr>
    </w:pPr>
  </w:style>
  <w:style w:type="paragraph" w:customStyle="1" w:styleId="Bullet2">
    <w:name w:val="Bullet 2"/>
    <w:basedOn w:val="Normal"/>
    <w:pPr>
      <w:numPr>
        <w:numId w:val="19"/>
      </w:numPr>
    </w:pPr>
  </w:style>
  <w:style w:type="paragraph" w:customStyle="1" w:styleId="Bullet3">
    <w:name w:val="Bullet 3"/>
    <w:basedOn w:val="Normal"/>
    <w:pPr>
      <w:numPr>
        <w:numId w:val="20"/>
      </w:numPr>
    </w:pPr>
  </w:style>
  <w:style w:type="paragraph" w:customStyle="1" w:styleId="Bullet4">
    <w:name w:val="Bullet 4"/>
    <w:basedOn w:val="Normal"/>
    <w:pPr>
      <w:numPr>
        <w:numId w:val="21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22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IntrtEEE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0" w:after="24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ypedudocument">
    <w:name w:val="Type du document"/>
    <w:basedOn w:val="Normal"/>
    <w:next w:val="Accompagnant"/>
    <w:pPr>
      <w:spacing w:before="360" w:after="18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pPr>
      <w:spacing w:before="360" w:after="24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IntrtEEE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ypedudocumentPagedecouverture">
    <w:name w:val="Type du document (Page de couverture)"/>
    <w:basedOn w:val="Typedudocument"/>
    <w:next w:val="Accompagnan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pPr>
      <w:spacing w:after="0"/>
    </w:pPr>
  </w:style>
  <w:style w:type="paragraph" w:customStyle="1" w:styleId="Accompagnant">
    <w:name w:val="Accompagnant"/>
    <w:basedOn w:val="Normal"/>
    <w:next w:val="Typeacteprincipal"/>
    <w:pPr>
      <w:spacing w:before="180" w:after="240"/>
      <w:jc w:val="center"/>
    </w:pPr>
    <w:rPr>
      <w:b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Normal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Rfrencecroise"/>
    <w:pPr>
      <w:spacing w:before="360" w:after="240"/>
      <w:jc w:val="center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5"/>
        <w:tab w:val="right" w:pos="9071"/>
      </w:tabs>
      <w:spacing w:before="0"/>
    </w:pPr>
  </w:style>
  <w:style w:type="paragraph" w:customStyle="1" w:styleId="HeaderLandscape">
    <w:name w:val="HeaderLandscape"/>
    <w:basedOn w:val="Normal"/>
    <w:pPr>
      <w:tabs>
        <w:tab w:val="center" w:pos="7285"/>
        <w:tab w:val="right" w:pos="14003"/>
      </w:tabs>
      <w:spacing w:before="0"/>
    </w:p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paragraph" w:customStyle="1" w:styleId="FooterLandscape">
    <w:name w:val="FooterLandscape"/>
    <w:basedOn w:val="Normal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footer" Target="footer6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23" Type="http://schemas.openxmlformats.org/officeDocument/2006/relationships/theme" Target="theme/theme1.xml"/><Relationship Id="rId10" Type="http://schemas.openxmlformats.org/officeDocument/2006/relationships/image" Target="media/image1.emf"/><Relationship Id="rId19" Type="http://schemas.openxmlformats.org/officeDocument/2006/relationships/footer" Target="footer5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ANNEX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7E626DAF89FA47B6D11CC706A43F0B" ma:contentTypeVersion="7" ma:contentTypeDescription="Create a new document." ma:contentTypeScope="" ma:versionID="e20dd75e4326efe6539e74a3518f16a0">
  <xsd:schema xmlns:xsd="http://www.w3.org/2001/XMLSchema" xmlns:xs="http://www.w3.org/2001/XMLSchema" xmlns:p="http://schemas.microsoft.com/office/2006/metadata/properties" xmlns:ns2="95168e73-d0cb-497b-98ef-c22099b8504d" targetNamespace="http://schemas.microsoft.com/office/2006/metadata/properties" ma:root="true" ma:fieldsID="dc076e08df91ab2e8804a79fec863e9e" ns2:_="">
    <xsd:import namespace="95168e73-d0cb-497b-98ef-c22099b850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168e73-d0cb-497b-98ef-c22099b850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4B37107-83A4-475A-BFB1-981C2DBB6B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168e73-d0cb-497b-98ef-c22099b85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3EB6FE-E399-459E-B27F-5BC5C982BE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CB31E3-6FDD-4FE2-9034-748F3CE8B48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ANNEX.dotm</Template>
  <TotalTime>9</TotalTime>
  <Pages>4</Pages>
  <Words>895</Words>
  <Characters>5104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SVC-T1-CODE-PRD</cp:lastModifiedBy>
  <cp:revision>20</cp:revision>
  <cp:lastPrinted>2026-05-21T23:03:00Z</cp:lastPrinted>
  <dcterms:created xsi:type="dcterms:W3CDTF">2026-06-15T09:56:00Z</dcterms:created>
  <dcterms:modified xsi:type="dcterms:W3CDTF">2026-09-09T06:43:00Z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COM/ANNEX</vt:lpwstr>
  </property>
  <property fmtid="{D5CDD505-2E9C-101B-9397-08002B2CF9AE}" pid="3" name="Version">
    <vt:lpwstr>8.0.25.0</vt:lpwstr>
  </property>
  <property fmtid="{D5CDD505-2E9C-101B-9397-08002B2CF9AE}" pid="4" name="Last edited using">
    <vt:lpwstr>LW 9.2, Build 20250828</vt:lpwstr>
  </property>
  <property fmtid="{D5CDD505-2E9C-101B-9397-08002B2CF9AE}" pid="5" name="Created using">
    <vt:lpwstr>LW 9.2, Build 20250828</vt:lpwstr>
  </property>
  <property fmtid="{D5CDD505-2E9C-101B-9397-08002B2CF9AE}" pid="6" name="First annex">
    <vt:lpwstr>1</vt:lpwstr>
  </property>
  <property fmtid="{D5CDD505-2E9C-101B-9397-08002B2CF9AE}" pid="7" name="Last annex">
    <vt:lpwstr>3</vt:lpwstr>
  </property>
  <property fmtid="{D5CDD505-2E9C-101B-9397-08002B2CF9AE}" pid="8" name="Unique annex">
    <vt:lpwstr>0</vt:lpwstr>
  </property>
  <property fmtid="{D5CDD505-2E9C-101B-9397-08002B2CF9AE}" pid="9" name="Part">
    <vt:lpwstr>&lt;UNUSED&gt;</vt:lpwstr>
  </property>
  <property fmtid="{D5CDD505-2E9C-101B-9397-08002B2CF9AE}" pid="10" name="Total parts">
    <vt:lpwstr>&lt;UNUSED&gt;</vt:lpwstr>
  </property>
  <property fmtid="{D5CDD505-2E9C-101B-9397-08002B2CF9AE}" pid="11" name="Level of sensitivity">
    <vt:lpwstr>Standard treatment</vt:lpwstr>
  </property>
  <property fmtid="{D5CDD505-2E9C-101B-9397-08002B2CF9AE}" pid="12" name="LWTemplateID">
    <vt:lpwstr>SG-017</vt:lpwstr>
  </property>
  <property fmtid="{D5CDD505-2E9C-101B-9397-08002B2CF9AE}" pid="13" name="MSIP_Label_6bd9ddd1-4d20-43f6-abfa-fc3c07406f94_Enabled">
    <vt:lpwstr>true</vt:lpwstr>
  </property>
  <property fmtid="{D5CDD505-2E9C-101B-9397-08002B2CF9AE}" pid="14" name="MSIP_Label_6bd9ddd1-4d20-43f6-abfa-fc3c07406f94_SetDate">
    <vt:lpwstr>2026-05-17T14:05:48Z</vt:lpwstr>
  </property>
  <property fmtid="{D5CDD505-2E9C-101B-9397-08002B2CF9AE}" pid="15" name="MSIP_Label_6bd9ddd1-4d20-43f6-abfa-fc3c07406f94_Method">
    <vt:lpwstr>Standard</vt:lpwstr>
  </property>
  <property fmtid="{D5CDD505-2E9C-101B-9397-08002B2CF9AE}" pid="16" name="MSIP_Label_6bd9ddd1-4d20-43f6-abfa-fc3c07406f94_Name">
    <vt:lpwstr>Commission Use</vt:lpwstr>
  </property>
  <property fmtid="{D5CDD505-2E9C-101B-9397-08002B2CF9AE}" pid="17" name="MSIP_Label_6bd9ddd1-4d20-43f6-abfa-fc3c07406f94_SiteId">
    <vt:lpwstr>b24c8b06-522c-46fe-9080-70926f8dddb1</vt:lpwstr>
  </property>
  <property fmtid="{D5CDD505-2E9C-101B-9397-08002B2CF9AE}" pid="18" name="MSIP_Label_6bd9ddd1-4d20-43f6-abfa-fc3c07406f94_ActionId">
    <vt:lpwstr>ac7e53b0-4c1f-4ee6-9c52-c6808ac063cc</vt:lpwstr>
  </property>
  <property fmtid="{D5CDD505-2E9C-101B-9397-08002B2CF9AE}" pid="19" name="MSIP_Label_6bd9ddd1-4d20-43f6-abfa-fc3c07406f94_ContentBits">
    <vt:lpwstr>0</vt:lpwstr>
  </property>
  <property fmtid="{D5CDD505-2E9C-101B-9397-08002B2CF9AE}" pid="20" name="MSIP_Label_6bd9ddd1-4d20-43f6-abfa-fc3c07406f94_Tag">
    <vt:lpwstr>10, 3, 0, 1</vt:lpwstr>
  </property>
  <property fmtid="{D5CDD505-2E9C-101B-9397-08002B2CF9AE}" pid="21" name="ContentTypeId">
    <vt:lpwstr>0x010100187E626DAF89FA47B6D11CC706A43F0B</vt:lpwstr>
  </property>
  <property fmtid="{D5CDD505-2E9C-101B-9397-08002B2CF9AE}" pid="22" name="DQCStatus">
    <vt:lpwstr>Green (DQC version 03)</vt:lpwstr>
  </property>
</Properties>
</file>