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5727AFBA-EDBA-469C-8767-2E797B008519" style="width:455.25pt;height:424.5pt">
            <v:imagedata r:id="rId7" o:title=""/>
          </v:shape>
        </w:pict>
      </w:r>
    </w:p>
    <w:p>
      <w:pPr>
        <w:rPr>
          <w:noProof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Annexetitre"/>
        <w:rPr>
          <w:noProof/>
        </w:rPr>
      </w:pPr>
      <w:r>
        <w:rPr>
          <w:noProof/>
        </w:rPr>
        <w:lastRenderedPageBreak/>
        <w:t>ANEXA 1</w:t>
      </w:r>
    </w:p>
    <w:p>
      <w:pPr>
        <w:rPr>
          <w:noProof/>
          <w:szCs w:val="24"/>
        </w:rPr>
      </w:pPr>
      <w:r>
        <w:rPr>
          <w:noProof/>
        </w:rPr>
        <w:t xml:space="preserve">Lista formelor de criminalitate menționate la articolul 5 alineatul (1): </w:t>
      </w:r>
    </w:p>
    <w:p>
      <w:pPr>
        <w:pStyle w:val="Tiret0"/>
        <w:numPr>
          <w:ilvl w:val="0"/>
          <w:numId w:val="1"/>
        </w:numPr>
        <w:rPr>
          <w:noProof/>
          <w:szCs w:val="24"/>
        </w:rPr>
      </w:pPr>
      <w:r>
        <w:rPr>
          <w:noProof/>
        </w:rPr>
        <w:t xml:space="preserve">terorism;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criminalitate organizată;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trafic de droguri;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activități de spălare de bani;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criminalitate legată de substanțe nucleare și radioactive;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introducere ilegală de migranți;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trafic de ființe umane;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criminalitate legată de autovehicule;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omor și vătămare corporală gravă;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trafic ilicit de organe și țesuturi umane;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răpire, sechestrare și luare de ostatici;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rasism și xenofobie;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tâlhărie și furt calificat;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trafic ilegal de bunuri de patrimoniu, inclusiv antichități și opere de artă;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înșelăciune și fraudă; </w:t>
      </w:r>
    </w:p>
    <w:p>
      <w:pPr>
        <w:pStyle w:val="Tiret0"/>
        <w:rPr>
          <w:noProof/>
          <w:szCs w:val="24"/>
        </w:rPr>
      </w:pPr>
      <w:r>
        <w:rPr>
          <w:noProof/>
        </w:rPr>
        <w:t>infracțiuni împotriva intereselor financiare ale Uniunii;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utilizarea abuzivă a informațiilor privilegiate și manipularea piețelor financiare;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activități mafiote („racketeering”) și extorcare;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contrafacere și piratare a produselor;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falsificare de documente administrative și trafic de documente administrative falsificate;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falsificarea banilor și a altor mijloace de plată;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criminalitate informatică, inclusiv atacuri cibernetice;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corupție;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trafic ilegal de arme, muniții și materiale explozibile;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trafic ilegal cu specii rare de animale;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trafic ilegal cu specii și varietăți rare de plante;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infracțiuni împotriva mediului, inclusiv poluarea cauzată de nave;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trafic ilegal cu substanțe hormonale și alți factori de creștere; 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abuz sexual și exploatare sexuală, inclusiv materiale care conțin abuzuri sexuale asupra copiilor și ademenirea copiilor în scopuri sexuale; </w:t>
      </w:r>
    </w:p>
    <w:p>
      <w:pPr>
        <w:pStyle w:val="Tiret0"/>
        <w:rPr>
          <w:noProof/>
        </w:rPr>
      </w:pPr>
      <w:r>
        <w:rPr>
          <w:noProof/>
        </w:rPr>
        <w:t>violență bazată pe gen;</w:t>
      </w:r>
    </w:p>
    <w:p>
      <w:pPr>
        <w:pStyle w:val="Tiret0"/>
        <w:rPr>
          <w:noProof/>
          <w:szCs w:val="24"/>
        </w:rPr>
      </w:pPr>
      <w:r>
        <w:rPr>
          <w:noProof/>
        </w:rPr>
        <w:t>genocid, crime împotriva umanității și crime de război;</w:t>
      </w:r>
    </w:p>
    <w:p>
      <w:pPr>
        <w:pStyle w:val="Tiret0"/>
        <w:rPr>
          <w:noProof/>
          <w:szCs w:val="24"/>
        </w:rPr>
      </w:pPr>
      <w:r>
        <w:rPr>
          <w:noProof/>
        </w:rPr>
        <w:t xml:space="preserve">încălcarea măsurilor restrictive ale Uniunii. </w:t>
      </w:r>
      <w:r>
        <w:rPr>
          <w:noProof/>
        </w:rPr>
        <w:br w:type="page"/>
      </w:r>
    </w:p>
    <w:p>
      <w:pPr>
        <w:pStyle w:val="Annexetitre"/>
        <w:rPr>
          <w:noProof/>
        </w:rPr>
      </w:pPr>
      <w:r>
        <w:rPr>
          <w:noProof/>
        </w:rPr>
        <w:lastRenderedPageBreak/>
        <w:t>ANEXA 2</w:t>
      </w:r>
    </w:p>
    <w:p>
      <w:pPr>
        <w:spacing w:before="0" w:after="200" w:line="276" w:lineRule="auto"/>
        <w:jc w:val="center"/>
        <w:rPr>
          <w:b/>
          <w:bCs/>
          <w:noProof/>
          <w:szCs w:val="24"/>
        </w:rPr>
      </w:pPr>
      <w:r>
        <w:rPr>
          <w:b/>
          <w:noProof/>
        </w:rPr>
        <w:t>CATEGORIILE DE PERSOANE VIZATE MENȚIONATE LA ARTICOLUL 32</w:t>
      </w:r>
    </w:p>
    <w:p>
      <w:pPr>
        <w:pStyle w:val="Point0number"/>
        <w:numPr>
          <w:ilvl w:val="0"/>
          <w:numId w:val="2"/>
        </w:numPr>
        <w:rPr>
          <w:noProof/>
        </w:rPr>
      </w:pPr>
      <w:r>
        <w:rPr>
          <w:noProof/>
        </w:rPr>
        <w:t>Categoriile de persoane vizate menționate la articolul 32:</w:t>
      </w:r>
    </w:p>
    <w:p>
      <w:pPr>
        <w:pStyle w:val="Point1letter"/>
        <w:rPr>
          <w:noProof/>
        </w:rPr>
      </w:pPr>
      <w:r>
        <w:rPr>
          <w:noProof/>
        </w:rPr>
        <w:t>persoane care, în temeiul dreptului intern al statului membru respectiv, sunt suspectate că au săvârșit sau au participat la săvârșirea unei infracțiuni care intră în sfera de competență a Europol sau care au fost condamnate pentru o astfel de infracțiune;</w:t>
      </w:r>
    </w:p>
    <w:p>
      <w:pPr>
        <w:pStyle w:val="Point1letter"/>
        <w:rPr>
          <w:noProof/>
        </w:rPr>
      </w:pPr>
      <w:r>
        <w:rPr>
          <w:noProof/>
        </w:rPr>
        <w:t>persoane cu privire la care există indicii concrete sau motive rezonabile, în temeiul dreptului intern al statului membru respectiv, care justifică prezumția că vor săvârși infracțiuni de competența Europol;</w:t>
      </w:r>
    </w:p>
    <w:p>
      <w:pPr>
        <w:pStyle w:val="Point1letter"/>
        <w:rPr>
          <w:noProof/>
        </w:rPr>
      </w:pPr>
      <w:r>
        <w:rPr>
          <w:noProof/>
        </w:rPr>
        <w:t>persoane care pot fi chemate să depună mărturie în cadrul unor anchete desfășurate în legătură cu infracțiunile cercetate sau în cadrul unor proceduri penale ulterioare;</w:t>
      </w:r>
    </w:p>
    <w:p>
      <w:pPr>
        <w:pStyle w:val="Point1letter"/>
        <w:rPr>
          <w:noProof/>
        </w:rPr>
      </w:pPr>
      <w:r>
        <w:rPr>
          <w:noProof/>
        </w:rPr>
        <w:t>persoane care au fost victimele uneia dintre infracțiunile cercetate sau cu privire la care anumite fapte justifică prezumția că pot fi victimele unei astfel de infracțiuni;</w:t>
      </w:r>
    </w:p>
    <w:p>
      <w:pPr>
        <w:pStyle w:val="Point1letter"/>
        <w:rPr>
          <w:noProof/>
        </w:rPr>
      </w:pPr>
      <w:r>
        <w:rPr>
          <w:noProof/>
        </w:rPr>
        <w:t>contacte și asociați și</w:t>
      </w:r>
    </w:p>
    <w:p>
      <w:pPr>
        <w:pStyle w:val="Point1letter"/>
        <w:rPr>
          <w:noProof/>
        </w:rPr>
      </w:pPr>
      <w:r>
        <w:rPr>
          <w:noProof/>
        </w:rPr>
        <w:t>persoane care pot furniza informații privind infracțiunile cercetate.</w:t>
      </w:r>
    </w:p>
    <w:p>
      <w:pPr>
        <w:pStyle w:val="Point0number"/>
        <w:rPr>
          <w:noProof/>
        </w:rPr>
      </w:pPr>
      <w:r>
        <w:rPr>
          <w:noProof/>
        </w:rPr>
        <w:t>„Contacte și asociați”, astfel cum se prevede la punctul 1 litera (e), înseamnă persoane prin intermediul cărora există suficiente motive pentru a considera că se pot obține informații care se referă la persoanele menționate la punctul 1 literele (a) și (b) și care sunt relevante pentru analiză, cu condiția ca acestea să nu se încadreze într­una din categoriile de persoane menționate la punctul 1 literele (a)-(d) și (f). „Contacte” înseamnă persoane care au un contact sporadic cu persoanele menționate la punctul 1 literele (a) și (b). „Asociați” înseamnă persoane care au un contact periodic cu persoanele menționate la punctul 1 literele (a) și (b).</w:t>
      </w:r>
    </w:p>
    <w:p>
      <w:pPr>
        <w:pStyle w:val="Point0number"/>
        <w:rPr>
          <w:noProof/>
        </w:rPr>
      </w:pPr>
      <w:r>
        <w:rPr>
          <w:noProof/>
        </w:rPr>
        <w:t>Dacă, în orice moment pe parcursul unei analize, devine clar, pe baza unor indicii fiabile și coroborate, că o persoană ar trebui inclusă într-o categorie de persoane, astfel cum este definită în prezenta anexă, alta decât în categoria în care a fost încadrată inițial, Europol poate prelucra numai datele privind această persoană care sunt permise în temeiul respectivei noi categorii, iar toate celelalte date se șterg.</w:t>
      </w:r>
    </w:p>
    <w:p>
      <w:pPr>
        <w:pStyle w:val="Point0number"/>
        <w:rPr>
          <w:noProof/>
        </w:rPr>
      </w:pPr>
      <w:r>
        <w:rPr>
          <w:noProof/>
        </w:rPr>
        <w:t>Dacă, pe baza unor astfel de indicii, devine clar că o persoană ar trebui încadrată în două sau mai multe categorii, astfel cum sunt definite în prezenta anexă, Europol poate prelucra toate datele autorizate în cadrul categoriilor respective.</w:t>
      </w:r>
    </w:p>
    <w:sectPr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C75A42C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103E5C5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DDDA734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5016BF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CA5222B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27BA605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ADC4C6F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E7CA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9"/>
    <w:lvlOverride w:ilvl="0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2"/>
  </w:num>
  <w:num w:numId="13">
    <w:abstractNumId w:val="21"/>
  </w:num>
  <w:num w:numId="14">
    <w:abstractNumId w:val="11"/>
  </w:num>
  <w:num w:numId="15">
    <w:abstractNumId w:val="13"/>
  </w:num>
  <w:num w:numId="16">
    <w:abstractNumId w:val="14"/>
  </w:num>
  <w:num w:numId="17">
    <w:abstractNumId w:val="9"/>
  </w:num>
  <w:num w:numId="18">
    <w:abstractNumId w:val="20"/>
  </w:num>
  <w:num w:numId="19">
    <w:abstractNumId w:val="8"/>
  </w:num>
  <w:num w:numId="20">
    <w:abstractNumId w:val="15"/>
  </w:num>
  <w:num w:numId="21">
    <w:abstractNumId w:val="17"/>
  </w:num>
  <w:num w:numId="22">
    <w:abstractNumId w:val="18"/>
  </w:num>
  <w:num w:numId="23">
    <w:abstractNumId w:val="10"/>
  </w:num>
  <w:num w:numId="24">
    <w:abstractNumId w:val="16"/>
  </w:num>
  <w:num w:numId="25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removePersonalInformation/>
  <w:removeDateAndTime/>
  <w:doNotDisplayPageBoundaries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CR_RefLast" w:val="0"/>
    <w:docVar w:name="DQCDateTime" w:val="2026-09-11 08:01:51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FigNum" w:val="1"/>
    <w:docVar w:name="LW_ACCOMPAGNANT" w:val="la"/>
    <w:docVar w:name="LW_ACCOMPAGNANT.CP" w:val="la"/>
    <w:docVar w:name="LW_ANNEX_NBR_FIRST" w:val="1"/>
    <w:docVar w:name="LW_ANNEX_NBR_LAST" w:val="2"/>
    <w:docVar w:name="LW_ANNEX_UNIQUE" w:val="0"/>
    <w:docVar w:name="LW_CORRIGENDUM" w:val="&lt;UNUSED&gt;"/>
    <w:docVar w:name="LW_COVERPAGE_EXISTS" w:val="True"/>
    <w:docVar w:name="LW_COVERPAGE_GUID" w:val="5727AFBA-EDBA-469C-8767-2E797B008519"/>
    <w:docVar w:name="LW_COVERPAGE_TYPE" w:val="1"/>
    <w:docVar w:name="LW_CreatedUtc" w:val="2026-05-17T13:29:01.8392428Z"/>
    <w:docVar w:name="LW_CROSSREFERENCE" w:val="{SEC(2026) 580 final} - {SWD(2026) 580 final} - {SWD(2026) 581 final} - {SWD(2026) 582 final}"/>
    <w:docVar w:name="LW_DocType" w:val="ANNEX"/>
    <w:docVar w:name="LW_EMISSION" w:val="24.6.2026"/>
    <w:docVar w:name="LW_EMISSION_ISODATE" w:val="2026-06-24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privind Agen\u539?ia Uniunii Europene pentru Cooperare în Materie de Aplicare a Legii (Europol), de modificare a Regulamentelor (UE) 2018/1726 \u537?i (UE) 2024/982 \u537?i de abrogare a Regulamentului (UE) 2016/794_x000d__x000d__x000d__x000d__x000d__x000d__x000d__x000b_"/>
    <w:docVar w:name="LW_OBJETACTEPRINCIPAL.CP" w:val="privind Agen\u539?ia Uniunii Europene pentru Cooperare în Materie de Aplicare a Legii (Europol), de modificare a Regulamentelor (UE) 2018/1726 \u537?i (UE) 2024/982 \u537?i de abrogare a Regulamentului (UE) 2016/794_x000d__x000d__x000d__x000d__x000d__x000d__x000d__x000b_"/>
    <w:docVar w:name="LW_PART_NBR" w:val="&lt;UNUSED&gt;"/>
    <w:docVar w:name="LW_PART_NBR_TOTAL" w:val="&lt;UNUSED&gt;"/>
    <w:docVar w:name="LW_REF.INST.NEW" w:val="COM"/>
    <w:docVar w:name="LW_REF.INST.NEW_ADOPTED" w:val="final"/>
    <w:docVar w:name="LW_REF.INST.NEW_TEXT" w:val="(2026) 580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E"/>
    <w:docVar w:name="LW_TYPE.DOC.CP" w:val="ANEXE"/>
    <w:docVar w:name="LW_TYPEACTEPRINCIPAL" w:val="Propunerea de REGULAMENT AL PARLAMENTULUI EUROPEAN \u536?I AL CONSILIULUI"/>
    <w:docVar w:name="LW_TYPEACTEPRINCIPAL.CP" w:val="Propunerea de REGULAMENT AL PARLAMENTULUI EUROPEAN \u536?I AL CONSILIULUI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8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8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8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8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8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8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8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10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11"/>
      </w:numPr>
    </w:pPr>
  </w:style>
  <w:style w:type="paragraph" w:customStyle="1" w:styleId="Tiret1">
    <w:name w:val="Tiret 1"/>
    <w:basedOn w:val="Point1"/>
    <w:pPr>
      <w:numPr>
        <w:numId w:val="12"/>
      </w:numPr>
    </w:pPr>
  </w:style>
  <w:style w:type="paragraph" w:customStyle="1" w:styleId="Tiret2">
    <w:name w:val="Tiret 2"/>
    <w:basedOn w:val="Point2"/>
    <w:pPr>
      <w:numPr>
        <w:numId w:val="13"/>
      </w:numPr>
    </w:pPr>
  </w:style>
  <w:style w:type="paragraph" w:customStyle="1" w:styleId="Tiret3">
    <w:name w:val="Tiret 3"/>
    <w:basedOn w:val="Point3"/>
    <w:pPr>
      <w:numPr>
        <w:numId w:val="14"/>
      </w:numPr>
    </w:pPr>
  </w:style>
  <w:style w:type="paragraph" w:customStyle="1" w:styleId="Tiret4">
    <w:name w:val="Tiret 4"/>
    <w:basedOn w:val="Point4"/>
    <w:pPr>
      <w:numPr>
        <w:numId w:val="15"/>
      </w:numPr>
    </w:pPr>
  </w:style>
  <w:style w:type="paragraph" w:customStyle="1" w:styleId="Tiret5">
    <w:name w:val="Tiret 5"/>
    <w:basedOn w:val="Point5"/>
    <w:pPr>
      <w:numPr>
        <w:numId w:val="16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7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7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7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7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7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7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7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9"/>
      </w:numPr>
    </w:pPr>
  </w:style>
  <w:style w:type="paragraph" w:customStyle="1" w:styleId="Point1number">
    <w:name w:val="Point 1 (number)"/>
    <w:basedOn w:val="Normal"/>
    <w:pPr>
      <w:numPr>
        <w:ilvl w:val="2"/>
        <w:numId w:val="19"/>
      </w:numPr>
    </w:pPr>
  </w:style>
  <w:style w:type="paragraph" w:customStyle="1" w:styleId="Point2number">
    <w:name w:val="Point 2 (number)"/>
    <w:basedOn w:val="Normal"/>
    <w:pPr>
      <w:numPr>
        <w:ilvl w:val="4"/>
        <w:numId w:val="19"/>
      </w:numPr>
    </w:pPr>
  </w:style>
  <w:style w:type="paragraph" w:customStyle="1" w:styleId="Point3number">
    <w:name w:val="Point 3 (number)"/>
    <w:basedOn w:val="Normal"/>
    <w:pPr>
      <w:numPr>
        <w:ilvl w:val="6"/>
        <w:numId w:val="19"/>
      </w:numPr>
    </w:pPr>
  </w:style>
  <w:style w:type="paragraph" w:customStyle="1" w:styleId="Point0letter">
    <w:name w:val="Point 0 (letter)"/>
    <w:basedOn w:val="Normal"/>
    <w:pPr>
      <w:numPr>
        <w:ilvl w:val="1"/>
        <w:numId w:val="19"/>
      </w:numPr>
    </w:pPr>
  </w:style>
  <w:style w:type="paragraph" w:customStyle="1" w:styleId="Point1letter">
    <w:name w:val="Point 1 (letter)"/>
    <w:basedOn w:val="Normal"/>
    <w:pPr>
      <w:numPr>
        <w:ilvl w:val="3"/>
        <w:numId w:val="19"/>
      </w:numPr>
    </w:pPr>
  </w:style>
  <w:style w:type="paragraph" w:customStyle="1" w:styleId="Point2letter">
    <w:name w:val="Point 2 (letter)"/>
    <w:basedOn w:val="Normal"/>
    <w:pPr>
      <w:numPr>
        <w:ilvl w:val="5"/>
        <w:numId w:val="19"/>
      </w:numPr>
    </w:pPr>
  </w:style>
  <w:style w:type="paragraph" w:customStyle="1" w:styleId="Point3letter">
    <w:name w:val="Point 3 (letter)"/>
    <w:basedOn w:val="Normal"/>
    <w:pPr>
      <w:numPr>
        <w:ilvl w:val="7"/>
        <w:numId w:val="19"/>
      </w:numPr>
    </w:pPr>
  </w:style>
  <w:style w:type="paragraph" w:customStyle="1" w:styleId="Point4letter">
    <w:name w:val="Point 4 (letter)"/>
    <w:basedOn w:val="Normal"/>
    <w:pPr>
      <w:numPr>
        <w:ilvl w:val="8"/>
        <w:numId w:val="19"/>
      </w:numPr>
    </w:pPr>
  </w:style>
  <w:style w:type="paragraph" w:customStyle="1" w:styleId="Bullet0">
    <w:name w:val="Bullet 0"/>
    <w:basedOn w:val="Normal"/>
    <w:pPr>
      <w:numPr>
        <w:numId w:val="20"/>
      </w:numPr>
    </w:pPr>
  </w:style>
  <w:style w:type="paragraph" w:customStyle="1" w:styleId="Bullet1">
    <w:name w:val="Bullet 1"/>
    <w:basedOn w:val="Normal"/>
    <w:pPr>
      <w:numPr>
        <w:numId w:val="21"/>
      </w:numPr>
    </w:pPr>
  </w:style>
  <w:style w:type="paragraph" w:customStyle="1" w:styleId="Bullet2">
    <w:name w:val="Bullet 2"/>
    <w:basedOn w:val="Normal"/>
    <w:pPr>
      <w:numPr>
        <w:numId w:val="22"/>
      </w:numPr>
    </w:pPr>
  </w:style>
  <w:style w:type="paragraph" w:customStyle="1" w:styleId="Bullet3">
    <w:name w:val="Bullet 3"/>
    <w:basedOn w:val="Normal"/>
    <w:pPr>
      <w:numPr>
        <w:numId w:val="23"/>
      </w:numPr>
    </w:pPr>
  </w:style>
  <w:style w:type="paragraph" w:customStyle="1" w:styleId="Bullet4">
    <w:name w:val="Bullet 4"/>
    <w:basedOn w:val="Normal"/>
    <w:pPr>
      <w:numPr>
        <w:numId w:val="24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5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0</TotalTime>
  <Pages>3</Pages>
  <Words>591</Words>
  <Characters>3374</Characters>
  <Application>Microsoft Office Word</Application>
  <DocSecurity>0</DocSecurity>
  <Lines>28</Lines>
  <Paragraphs>7</Paragraphs>
  <ScaleCrop>false</ScaleCrop>
  <Manager/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2026-06-21T13:46:00Z</dcterms:created>
  <dcterms:modified xsi:type="dcterms:W3CDTF">2026-09-11T06:01:00Z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LW 9.2, Build 20250828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2026-06-21T13:47:07Z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f084c139-4c02-442b-9cb5-707dd936f7e7</vt:lpwstr>
  </property>
  <property fmtid="{D5CDD505-2E9C-101B-9397-08002B2CF9AE}" pid="9" name="MSIP_Label_6bd9ddd1-4d20-43f6-abfa-fc3c07406f94_ContentBits">
    <vt:lpwstr>0</vt:lpwstr>
  </property>
  <property fmtid="{D5CDD505-2E9C-101B-9397-08002B2CF9AE}" pid="10" name="MSIP_Label_6bd9ddd1-4d20-43f6-abfa-fc3c07406f94_Tag">
    <vt:lpwstr>10, 3, 0, 1</vt:lpwstr>
  </property>
  <property fmtid="{D5CDD505-2E9C-101B-9397-08002B2CF9AE}" pid="11" name="Category">
    <vt:lpwstr>COM/ANNEX</vt:lpwstr>
  </property>
  <property fmtid="{D5CDD505-2E9C-101B-9397-08002B2CF9AE}" pid="12" name="Level of sensitivity">
    <vt:lpwstr>Standard treatment</vt:lpwstr>
  </property>
  <property fmtid="{D5CDD505-2E9C-101B-9397-08002B2CF9AE}" pid="13" name="First annex">
    <vt:lpwstr>1</vt:lpwstr>
  </property>
  <property fmtid="{D5CDD505-2E9C-101B-9397-08002B2CF9AE}" pid="14" name="Last annex">
    <vt:lpwstr>2</vt:lpwstr>
  </property>
  <property fmtid="{D5CDD505-2E9C-101B-9397-08002B2CF9AE}" pid="15" name="Unique annex">
    <vt:lpwstr>0</vt:lpwstr>
  </property>
  <property fmtid="{D5CDD505-2E9C-101B-9397-08002B2CF9AE}" pid="16" name="Part">
    <vt:lpwstr>&lt;UNUSED&gt;</vt:lpwstr>
  </property>
  <property fmtid="{D5CDD505-2E9C-101B-9397-08002B2CF9AE}" pid="17" name="Total parts">
    <vt:lpwstr>&lt;UNUSED&gt;</vt:lpwstr>
  </property>
  <property fmtid="{D5CDD505-2E9C-101B-9397-08002B2CF9AE}" pid="18" name="LWTemplateID">
    <vt:lpwstr>SG-017</vt:lpwstr>
  </property>
  <property fmtid="{D5CDD505-2E9C-101B-9397-08002B2CF9AE}" pid="19" name="DQCStatus">
    <vt:lpwstr>Green (DQC version 03)</vt:lpwstr>
  </property>
</Properties>
</file>