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6A9E41-5C5A-4DA3-BA33-5CD1BC06BCC0" style="width:455.25pt;height:385.5pt">
            <v:imagedata r:id="rId7" o:title=""/>
          </v:shape>
        </w:pict>
      </w:r>
    </w:p>
    <w:p>
      <w:pPr>
        <w:pStyle w:val="Pagedecouverture"/>
        <w:rPr>
          <w:noProof/>
        </w:rPr>
        <w:sectPr>
          <w:footerReference w:type="even" r:id="rId8"/>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pBdr>
          <w:top w:val="nil"/>
          <w:left w:val="nil"/>
          <w:bottom w:val="nil"/>
          <w:right w:val="nil"/>
          <w:between w:val="nil"/>
          <w:bar w:val="nil"/>
        </w:pBdr>
        <w:spacing w:before="0" w:after="240"/>
        <w:rPr>
          <w:rFonts w:eastAsia="Arial Unicode MS"/>
          <w:noProof/>
        </w:rPr>
      </w:pPr>
      <w:r>
        <w:rPr>
          <w:noProof/>
        </w:rPr>
        <w:t>Uniunea Europeană (UE) se confruntă cu o transformare profundă a mediului său de securitate, pe măsură ce criminalitatea gravă și organizată și terorismul capătă un caracter tot mai transnațional, devin tot mai avansate din punct de vedere tehnologic și sunt tot mai interconectate. Rețelele infracționale funcționează prin ecosisteme transfrontaliere flexibile care combină infrastructurile digitale, fluxurile financiare ilicite, rețelele logistice și serviciile online. În prezent, activitățile infracționale sunt adesea concepute, coordonate și extinse la nivel transnațional încă de la început, ceea ce face ca criminalitatea să devină, în mod implicit, o problemă transfrontalieră.</w:t>
      </w:r>
    </w:p>
    <w:p>
      <w:pPr>
        <w:pBdr>
          <w:top w:val="nil"/>
          <w:left w:val="nil"/>
          <w:bottom w:val="nil"/>
          <w:right w:val="nil"/>
          <w:between w:val="nil"/>
          <w:bar w:val="nil"/>
        </w:pBdr>
        <w:spacing w:before="0" w:after="240"/>
        <w:rPr>
          <w:rFonts w:eastAsia="Arial Unicode MS"/>
          <w:noProof/>
        </w:rPr>
      </w:pPr>
      <w:r>
        <w:rPr>
          <w:noProof/>
        </w:rPr>
        <w:t>Progresele tehnologice rapide au accelerat această schimbare. Comunicațiile criptate, instrumentele de automatizare și criptomonedele nu mai sunt doar mijloace de facilitare a activității infracționale, ci active operaționale de bază ale rețelelor infracționale moderne. Împreună cu platformele digitale și infrastructurile online, ele permit infractorilor să își coordoneze operațiunile în timp real, să își extindă activitățile ilicite cu o viteză fără precedent, să ascundă fluxurile financiare, să își adapteze rapid modelele operaționale și să exploateze punctele slabe din toate jurisdicțiile. În același timp, granițele dintre criminalitatea informatică, criminalitatea financiară și alte forme de criminalitate gravă și organizată devin tot mai neclare.</w:t>
      </w:r>
    </w:p>
    <w:p>
      <w:pPr>
        <w:pBdr>
          <w:top w:val="nil"/>
          <w:left w:val="nil"/>
          <w:bottom w:val="nil"/>
          <w:right w:val="nil"/>
          <w:between w:val="nil"/>
          <w:bar w:val="nil"/>
        </w:pBdr>
        <w:spacing w:before="0" w:after="240"/>
        <w:rPr>
          <w:rFonts w:eastAsia="Arial Unicode MS"/>
          <w:noProof/>
        </w:rPr>
      </w:pPr>
      <w:r>
        <w:rPr>
          <w:noProof/>
        </w:rPr>
        <w:t>Situația actuală a amenințărilor este agravată și mai mult de apariția amenințărilor hibride, printre care se numără atacurile cibernetice, atacurile împotriva infrastructurii critice și instrumentalizarea migrației sau a dependențelor economice de către actori ostili, atât statali, cât și nestatali. Astfel de activități se intersectează tot mai mult cu rețelele de criminalitate gravă și organizată, creând riscuri de securitate complexe și multidimensionale care pun sub semnul întrebării distincția dintre securitatea internă și cea externă.</w:t>
      </w:r>
    </w:p>
    <w:p>
      <w:pPr>
        <w:pBdr>
          <w:top w:val="nil"/>
          <w:left w:val="nil"/>
          <w:bottom w:val="nil"/>
          <w:right w:val="nil"/>
          <w:between w:val="nil"/>
          <w:bar w:val="nil"/>
        </w:pBdr>
        <w:spacing w:before="0" w:after="240"/>
        <w:rPr>
          <w:rFonts w:eastAsia="Arial Unicode MS"/>
          <w:noProof/>
        </w:rPr>
      </w:pPr>
      <w:r>
        <w:rPr>
          <w:noProof/>
        </w:rPr>
        <w:t>După cum a subliniat Consiliul European în concluziile sale din 26-27 iunie 2025 (</w:t>
      </w:r>
      <w:r>
        <w:rPr>
          <w:rStyle w:val="FootnoteReference"/>
          <w:rFonts w:eastAsia="Arial Unicode MS"/>
          <w:noProof/>
        </w:rPr>
        <w:footnoteReference w:id="1"/>
      </w:r>
      <w:r>
        <w:rPr>
          <w:noProof/>
        </w:rPr>
        <w:t>), aceste amenințări reprezintă o provocare majoră pentru securitatea statelor membre și a cetățenilor europeni. Impactul lor depășește riscurile imediate la adresa securității, contribuind la un sentiment tot mai puternic de incertitudine și afectând încrederea cetățenilor în capacitatea autorităților publice de a asigura un nivel ridicat de securitate internă. În același timp, formele grave de criminalitate și criminalitatea organizată pătrund tot mai mult în economia legală și o denaturează, inclusiv prin corupție, spălare de bani și utilizarea abuzivă a structurilor de afaceri legitime, slăbind astfel concurența loială și subminând integritatea piețelor și a instituțiilor publice.</w:t>
      </w:r>
    </w:p>
    <w:p>
      <w:pPr>
        <w:pBdr>
          <w:top w:val="nil"/>
          <w:left w:val="nil"/>
          <w:bottom w:val="nil"/>
          <w:right w:val="nil"/>
          <w:between w:val="nil"/>
          <w:bar w:val="nil"/>
        </w:pBdr>
        <w:spacing w:before="0" w:after="240"/>
        <w:rPr>
          <w:rFonts w:eastAsia="Arial Unicode MS"/>
          <w:noProof/>
        </w:rPr>
      </w:pPr>
      <w:r>
        <w:rPr>
          <w:noProof/>
        </w:rPr>
        <w:t>În actualul mediu de securitate, UE și statele sale membre și-au consolidat în mod semnificativ cooperarea și au dezvoltat capacități critice pentru a sprijini acțiunile transfrontaliere de aplicare a legii (</w:t>
      </w:r>
      <w:r>
        <w:rPr>
          <w:rStyle w:val="FootnoteReference"/>
          <w:rFonts w:eastAsia="Arial Unicode MS"/>
          <w:noProof/>
        </w:rPr>
        <w:footnoteReference w:id="2"/>
      </w:r>
      <w:r>
        <w:rPr>
          <w:noProof/>
        </w:rPr>
        <w:t>). Cu toate acestea, răspunsul UE nu a reușit încă să țină pasul pe deplin cu viteza și adaptabilitatea activității infracționale moderne.</w:t>
      </w:r>
    </w:p>
    <w:p>
      <w:pPr>
        <w:pBdr>
          <w:top w:val="nil"/>
          <w:left w:val="nil"/>
          <w:bottom w:val="nil"/>
          <w:right w:val="nil"/>
          <w:between w:val="nil"/>
          <w:bar w:val="nil"/>
        </w:pBdr>
        <w:spacing w:before="0" w:after="240"/>
        <w:rPr>
          <w:rFonts w:eastAsia="Arial Unicode MS"/>
          <w:noProof/>
        </w:rPr>
      </w:pPr>
      <w:r>
        <w:rPr>
          <w:noProof/>
        </w:rPr>
        <w:lastRenderedPageBreak/>
        <w:t>În primul rând, arhitectura europeană de asigurare a respectării legii nu s-a adaptat suficient la creșterea semnificativă a volumului, a complexității și a vitezei informațiilor relevante pentru anchetele penale. Informațiile privind activitățile infracționale rămân fragmentate la nivelul autorităților, al jurisdicțiilor și al sistemelor și nu sunt partajate, conectate sau analizate în mod corespunzător, în mod eficace și în timp util. Acest lucru a accentuat treptat punctele nevralgice din tabloul datelor operative în materie penală al UE și a redus capacitatea de a identifica legăturile infracționale transfrontaliere, de a sprijini în mod eficace investigațiile la nivel european și de a detecta amenințările emergente.</w:t>
      </w:r>
    </w:p>
    <w:p>
      <w:pPr>
        <w:pBdr>
          <w:top w:val="nil"/>
          <w:left w:val="nil"/>
          <w:bottom w:val="nil"/>
          <w:right w:val="nil"/>
          <w:between w:val="nil"/>
          <w:bar w:val="nil"/>
        </w:pBdr>
        <w:spacing w:before="0" w:after="240"/>
        <w:rPr>
          <w:rFonts w:eastAsia="Arial Unicode MS"/>
          <w:noProof/>
        </w:rPr>
      </w:pPr>
      <w:r>
        <w:rPr>
          <w:noProof/>
        </w:rPr>
        <w:t>În al doilea rând, răspunsul operațional al UE rămâne fragmentat. În spațiul Schengen fără frontiere interne, în care rețelele infracționale își desfășoară activitatea fără obstacole între jurisdicții, acțiunile de aplicare a legii sunt încă organizate, de prea multe ori, în principal la nivel național. Adesea, autoritățile naționale au doar o vizibilitate parțială asupra rețelelor infracționale care își desfășoară activitatea în mai multe state membre și se confruntă cu dificultăți persistente în coordonarea investigațiilor la nivel transfrontalier. Prin urmare, fragmentarea rămâne unul dintre principalele puncte slabe ale răspunsului european în materie de securitate, reducând eficacitatea și eficiența acțiunilor naționale de aplicare a legii împotriva amenințărilor care sunt inerent transnaționale și necesită o abordare europeană colectivă mai puternică.</w:t>
      </w:r>
    </w:p>
    <w:p>
      <w:pPr>
        <w:pBdr>
          <w:top w:val="nil"/>
          <w:left w:val="nil"/>
          <w:bottom w:val="nil"/>
          <w:right w:val="nil"/>
          <w:between w:val="nil"/>
          <w:bar w:val="nil"/>
        </w:pBdr>
        <w:spacing w:before="0" w:after="240"/>
        <w:rPr>
          <w:rFonts w:eastAsia="Arial Unicode MS"/>
          <w:noProof/>
        </w:rPr>
      </w:pPr>
      <w:r>
        <w:rPr>
          <w:noProof/>
        </w:rPr>
        <w:t>În acest cadru, Europol joacă un rol central în calitate de agenție a UE pentru cooperarea în materie de aplicare a legii (</w:t>
      </w:r>
      <w:r>
        <w:rPr>
          <w:rStyle w:val="FootnoteReference"/>
          <w:rFonts w:eastAsia="Arial Unicode MS"/>
          <w:noProof/>
        </w:rPr>
        <w:footnoteReference w:id="3"/>
      </w:r>
      <w:r>
        <w:rPr>
          <w:noProof/>
        </w:rPr>
        <w:t>). De la înființarea sa, Europol a evoluat de la o platformă de sprijin la un centru analitic și operațional esențial, care sprijină statele membre în prevenirea și combaterea criminalității grave și organizate și a terorismului. Prin capacitatea sa unică de a corela informații, de a genera date operative în materie penală la nivelul UE și de a sprijini operațiuni transfrontaliere coordonate, Europol permite statelor membre să detecteze rețele infracționale complexe, să identifice legături între jurisdicții și să răspundă mai eficace la amenințările la adresa securității care evoluează rapid.</w:t>
      </w:r>
    </w:p>
    <w:p>
      <w:pPr>
        <w:pBdr>
          <w:top w:val="nil"/>
          <w:left w:val="nil"/>
          <w:bottom w:val="nil"/>
          <w:right w:val="nil"/>
          <w:between w:val="nil"/>
          <w:bar w:val="nil"/>
        </w:pBdr>
        <w:spacing w:before="0" w:after="240"/>
        <w:rPr>
          <w:rFonts w:eastAsia="Arial Unicode MS"/>
          <w:noProof/>
        </w:rPr>
      </w:pPr>
      <w:r>
        <w:rPr>
          <w:noProof/>
        </w:rPr>
        <w:t>Orientările politice ale președintei von der Leyen pentru perioada 2024-2029 (</w:t>
      </w:r>
      <w:r>
        <w:rPr>
          <w:rStyle w:val="FootnoteReference"/>
          <w:rFonts w:eastAsia="Arial Unicode MS"/>
          <w:noProof/>
        </w:rPr>
        <w:footnoteReference w:id="4"/>
      </w:r>
      <w:r>
        <w:rPr>
          <w:noProof/>
        </w:rPr>
        <w:t>) au anunțat obiectivul de a consolida și mai mult Europol. Acest lucru include un nou cadru legislativ menit să sporească rolul operațional al Europol și să sprijine o cooperare transfrontalieră mai eficace în materie de aplicare a legii. Acest obiectiv este ancorat și mai mult în ProtectEU – o strategie europeană de securitate internă (</w:t>
      </w:r>
      <w:r>
        <w:rPr>
          <w:rStyle w:val="FootnoteReference"/>
          <w:rFonts w:eastAsia="Arial Unicode MS"/>
          <w:noProof/>
        </w:rPr>
        <w:footnoteReference w:id="5"/>
      </w:r>
      <w:r>
        <w:rPr>
          <w:noProof/>
        </w:rPr>
        <w:t xml:space="preserve">), care definește o schimbare radicală a modului în care UE își organizează răspunsul colectiv la amenințările la adresa securității din ce în ce mai complexe și interconectate. Realizarea acestei viziuni necesită o revizuire cuprinzătoare a cadrului Europol, care să depășească modificările specifice, asigurându-se că mandatul Europol este pe deplin aliniat la realitățile operaționale din toate domeniile criminalității grave și organizate și ale terorismului. </w:t>
      </w:r>
    </w:p>
    <w:p>
      <w:pPr>
        <w:pBdr>
          <w:top w:val="nil"/>
          <w:left w:val="nil"/>
          <w:bottom w:val="nil"/>
          <w:right w:val="nil"/>
          <w:between w:val="nil"/>
          <w:bar w:val="nil"/>
        </w:pBdr>
        <w:spacing w:before="0" w:after="240"/>
        <w:rPr>
          <w:rFonts w:eastAsia="Arial Unicode MS"/>
          <w:noProof/>
        </w:rPr>
      </w:pPr>
      <w:r>
        <w:rPr>
          <w:noProof/>
        </w:rPr>
        <w:t>Necesitatea de a consolida cooperarea în materie de aplicare a legii la nivelul UE a fost subliniată în mod constant de statele membre și de Parlamentul European, în special în cursul consultărilor ample cu părțile interesate desfășurate în 2025 și 2026. Șefii de poliție europeni (</w:t>
      </w:r>
      <w:r>
        <w:rPr>
          <w:rStyle w:val="FootnoteReference"/>
          <w:rFonts w:eastAsia="Arial Unicode MS"/>
          <w:noProof/>
        </w:rPr>
        <w:footnoteReference w:id="6"/>
      </w:r>
      <w:r>
        <w:rPr>
          <w:noProof/>
        </w:rPr>
        <w:t>) au subliniat beneficiile unui Europol mai solid și mai eficient din punct de vedere operațional, capabil să acționeze ca un veritabil factor european de amplificare a forței. În plus, datele rezultate din evaluarea cadrului Europol și din raportul Comisiei întocmit în temeiul articolului 68 alineatul (3) din Regulamentul privind Europol au indicat că mandatul actual și modelul operațional al Europol nu mai sunt pe deplin adaptate la amploarea și complexitatea mediului de securitate în continuă evoluție. Limitările existente în ceea ce privește disponibilitatea, integrarea și prelucrarea informațiilor, precum și constrângerile care afectează profunzimea implicării operaționale a Europol reduc capacitatea sa de a sprijini în mod eficace statele membre în răspunsul la amenințările transfrontaliere din ce în ce mai interconectate.</w:t>
      </w:r>
    </w:p>
    <w:p>
      <w:pPr>
        <w:pBdr>
          <w:top w:val="nil"/>
          <w:left w:val="nil"/>
          <w:bottom w:val="nil"/>
          <w:right w:val="nil"/>
          <w:between w:val="nil"/>
          <w:bar w:val="nil"/>
        </w:pBdr>
        <w:spacing w:before="0" w:after="240"/>
        <w:rPr>
          <w:rFonts w:eastAsia="Arial Unicode MS"/>
          <w:noProof/>
        </w:rPr>
      </w:pPr>
      <w:r>
        <w:rPr>
          <w:noProof/>
        </w:rPr>
        <w:t>Evaluarea evidențiază, de asemenea, un dezechilibru structural tot mai mare între amploarea și sofisticarea tehnologică a rețelelor infracționale și capacitățile colective aflate la dispoziția autorităților de aplicare a legii din UE. Persoanele implicate în activități infracționale recurg din ce în ce mai mult la inteligența artificială, la exploatarea datelor la scară largă și la infrastructuri digitale sofisticate, pe care niciun stat membru nu le poate contracara în mod eficient pe cont propriu. Cu toate acestea, mandatul și capacitățile actuale ale Europol nu îi permit agenției să acționeze pe deplin ca centru de capacități la nivelul UE, necesar pentru a reduce fragmentarea, a pune în comun resursele și a oferi statelor membre sprijinul operațional și tehnologic avansat de care au nevoie pentru a face față mediului de amenințări în continuă evoluție.</w:t>
      </w:r>
    </w:p>
    <w:p>
      <w:pPr>
        <w:pBdr>
          <w:top w:val="nil"/>
          <w:left w:val="nil"/>
          <w:bottom w:val="nil"/>
          <w:right w:val="nil"/>
          <w:between w:val="nil"/>
          <w:bar w:val="nil"/>
        </w:pBdr>
        <w:spacing w:before="0" w:after="240"/>
        <w:rPr>
          <w:rFonts w:eastAsia="Arial Unicode MS"/>
          <w:noProof/>
        </w:rPr>
      </w:pPr>
      <w:r>
        <w:rPr>
          <w:noProof/>
        </w:rPr>
        <w:t>Reforma din 2022 a cadrului juridic al Europol (</w:t>
      </w:r>
      <w:r>
        <w:rPr>
          <w:rStyle w:val="FootnoteReference"/>
          <w:rFonts w:eastAsia="Arial Unicode MS"/>
          <w:noProof/>
        </w:rPr>
        <w:footnoteReference w:id="7"/>
      </w:r>
      <w:r>
        <w:rPr>
          <w:noProof/>
        </w:rPr>
        <w:t>) a marcat un pas important în consolidarea mandatului agenției, în special prin facilitarea prelucrării seturilor de date mari și complexe și prin consolidarea capacităților sale analitice. Cu toate acestea, peisajul amenințărilor și cerințele operaționale ale statelor membre au evoluat mai rapid decât se anticipase. Prelucrarea pe scară largă a datelor, implicarea operațională timpurie a Europol în investigații transfrontaliere complexe și furnizarea de sprijin tehnologic avansat nu mai sunt cerințe excepționale, ci au devenit caracteristici esențiale ale cooperării moderne în materie de aplicare a legii. În 2025, Parlamentul European și Consiliul au adoptat o modificare specifică a cadrului Europol pentru a răspunde nevoilor operaționale specifice. Cu toate acestea, modificarea respectivă nu a abordat provocarea structurală de fond: asigurarea faptului că Europol poate funcționa la scara, cu agilitatea și integrarea necesare pentru a susține un răspuns eficace la nivelul UE la amenințările care sunt din ce în ce mai transnaționale și mai avansate din punct de vedere tehnologic.</w:t>
      </w:r>
    </w:p>
    <w:p>
      <w:pPr>
        <w:pBdr>
          <w:top w:val="nil"/>
          <w:left w:val="nil"/>
          <w:bottom w:val="nil"/>
          <w:right w:val="nil"/>
          <w:between w:val="nil"/>
          <w:bar w:val="nil"/>
        </w:pBdr>
        <w:spacing w:before="0" w:after="240"/>
        <w:rPr>
          <w:rFonts w:eastAsia="Arial Unicode MS"/>
          <w:noProof/>
        </w:rPr>
      </w:pPr>
      <w:r>
        <w:rPr>
          <w:noProof/>
        </w:rPr>
        <w:t>În același timp, arhitectura de securitate mai amplă a UE a evoluat semnificativ. Cooperarea dintre Europol și alte organe, oficii și agenții ale UE, inclusiv Eurojust (</w:t>
      </w:r>
      <w:r>
        <w:rPr>
          <w:rStyle w:val="FootnoteReference"/>
          <w:rFonts w:eastAsia="Arial Unicode MS"/>
          <w:noProof/>
        </w:rPr>
        <w:footnoteReference w:id="8"/>
      </w:r>
      <w:r>
        <w:rPr>
          <w:noProof/>
        </w:rPr>
        <w:t>), Parchetul European („EPPO”) (</w:t>
      </w:r>
      <w:r>
        <w:rPr>
          <w:rStyle w:val="FootnoteReference"/>
          <w:rFonts w:eastAsia="Arial Unicode MS"/>
          <w:noProof/>
        </w:rPr>
        <w:footnoteReference w:id="9"/>
      </w:r>
      <w:r>
        <w:rPr>
          <w:noProof/>
        </w:rPr>
        <w:t>), Frontex (</w:t>
      </w:r>
      <w:r>
        <w:rPr>
          <w:rStyle w:val="FootnoteReference"/>
          <w:rFonts w:eastAsia="Arial Unicode MS"/>
          <w:noProof/>
        </w:rPr>
        <w:footnoteReference w:id="10"/>
      </w:r>
      <w:r>
        <w:rPr>
          <w:noProof/>
        </w:rPr>
        <w:t>), OLAF (</w:t>
      </w:r>
      <w:r>
        <w:rPr>
          <w:rStyle w:val="FootnoteReference"/>
          <w:rFonts w:eastAsia="Arial Unicode MS"/>
          <w:noProof/>
        </w:rPr>
        <w:footnoteReference w:id="11"/>
      </w:r>
      <w:r>
        <w:rPr>
          <w:noProof/>
        </w:rPr>
        <w:t>) și Autoritatea pentru Combaterea Spălării Banilor („ACSB”) (</w:t>
      </w:r>
      <w:r>
        <w:rPr>
          <w:rStyle w:val="FootnoteReference"/>
          <w:rFonts w:eastAsia="Arial Unicode MS"/>
          <w:noProof/>
        </w:rPr>
        <w:footnoteReference w:id="12"/>
      </w:r>
      <w:r>
        <w:rPr>
          <w:noProof/>
        </w:rPr>
        <w:t>), a devenit din ce în ce mai importantă pentru asigurarea unui răspuns eficace și coerent la amenințările transfrontaliere. Cu toate acestea, cadrul actual nu a oferit încă o integrare operațională suficientă pentru a sprijini această arhitectură în continuă evoluție (</w:t>
      </w:r>
      <w:r>
        <w:rPr>
          <w:rStyle w:val="FootnoteReference"/>
          <w:rFonts w:eastAsia="Arial Unicode MS"/>
          <w:noProof/>
        </w:rPr>
        <w:footnoteReference w:id="13"/>
      </w:r>
      <w:r>
        <w:rPr>
          <w:noProof/>
        </w:rPr>
        <w:t>) și pentru a asigura o cooperare neîntreruptă în diferitele etape ale ciclului de securitate și justiție penală.</w:t>
      </w:r>
    </w:p>
    <w:p>
      <w:pPr>
        <w:pBdr>
          <w:top w:val="nil"/>
          <w:left w:val="nil"/>
          <w:bottom w:val="nil"/>
          <w:right w:val="nil"/>
          <w:between w:val="nil"/>
          <w:bar w:val="nil"/>
        </w:pBdr>
        <w:spacing w:before="0" w:after="240"/>
        <w:rPr>
          <w:rFonts w:eastAsia="Arial Unicode MS"/>
          <w:noProof/>
        </w:rPr>
      </w:pPr>
      <w:r>
        <w:rPr>
          <w:noProof/>
        </w:rPr>
        <w:t>Această adaptare nu este doar necesară, ci și oportună. În prezent, există condițiile necesare pentru a sprijini o evoluție mai transformatoare a cadrului Europol. Inițiativele recente și în curs ale UE, în special revizuirea cadrului pentru schimbul de informații dintre autoritățile de aplicare a legii (</w:t>
      </w:r>
      <w:r>
        <w:rPr>
          <w:rStyle w:val="FootnoteReference"/>
          <w:rFonts w:eastAsia="Arial Unicode MS"/>
          <w:noProof/>
        </w:rPr>
        <w:footnoteReference w:id="14"/>
      </w:r>
      <w:r>
        <w:rPr>
          <w:noProof/>
        </w:rPr>
        <w:t>), au pus bazele pentru îmbunătățirea disponibilității, a calității și a actualității datelor la nivelul UE. În paralel, evoluțiile mai ample din cadrul arhitecturii de securitate și justiție a UE, inclusiv cooperarea consolidată dintre organele, oficiile și agențiile relevante ale UE, creează un mediu mai bun pentru acțiuni integrate și coordonate.</w:t>
      </w:r>
    </w:p>
    <w:p>
      <w:pPr>
        <w:pBdr>
          <w:top w:val="nil"/>
          <w:left w:val="nil"/>
          <w:bottom w:val="nil"/>
          <w:right w:val="nil"/>
          <w:between w:val="nil"/>
          <w:bar w:val="nil"/>
        </w:pBdr>
        <w:spacing w:before="0" w:after="240"/>
        <w:rPr>
          <w:rFonts w:eastAsia="Arial Unicode MS"/>
          <w:noProof/>
        </w:rPr>
      </w:pPr>
      <w:r>
        <w:rPr>
          <w:noProof/>
        </w:rPr>
        <w:t>Prin urmare, prezenta propunere stabilește un cadru juridic consolidat pentru Europol, care reflectă evoluția amenințărilor infracționale transfrontaliere și nevoile operaționale ale statelor membre. Scopul său este de a consolida rolul Europol în calitate de:</w:t>
      </w:r>
    </w:p>
    <w:p>
      <w:pPr>
        <w:pStyle w:val="Bullet0"/>
        <w:numPr>
          <w:ilvl w:val="0"/>
          <w:numId w:val="18"/>
        </w:numPr>
        <w:rPr>
          <w:noProof/>
        </w:rPr>
      </w:pPr>
      <w:r>
        <w:rPr>
          <w:noProof/>
        </w:rPr>
        <w:t>centru de informații al UE capabil să asigure faptul că autoritățile de aplicare a legii din statele membre dispun de un tablou al datelor operative în materie penală mai complet și mai integrat la nivelul UE;</w:t>
      </w:r>
    </w:p>
    <w:p>
      <w:pPr>
        <w:pStyle w:val="Bullet0"/>
        <w:numPr>
          <w:ilvl w:val="0"/>
          <w:numId w:val="18"/>
        </w:numPr>
        <w:rPr>
          <w:noProof/>
        </w:rPr>
      </w:pPr>
      <w:r>
        <w:rPr>
          <w:noProof/>
        </w:rPr>
        <w:t xml:space="preserve">centru operațional care să sprijine statele membre într-un mod mai eficace și într-o etapă mai timpurie în cadrul investigațiilor transfrontaliere și al activităților operaționale și </w:t>
      </w:r>
    </w:p>
    <w:p>
      <w:pPr>
        <w:pStyle w:val="Bullet0"/>
        <w:numPr>
          <w:ilvl w:val="0"/>
          <w:numId w:val="18"/>
        </w:numPr>
        <w:rPr>
          <w:noProof/>
        </w:rPr>
      </w:pPr>
      <w:r>
        <w:rPr>
          <w:noProof/>
        </w:rPr>
        <w:t>centru tehnologic și de inovare care să sprijine statele membre cu capacități, cunoștințe de specialitate și instrumente operaționale avansate.</w:t>
      </w:r>
    </w:p>
    <w:p>
      <w:pPr>
        <w:pBdr>
          <w:top w:val="nil"/>
          <w:left w:val="nil"/>
          <w:bottom w:val="nil"/>
          <w:right w:val="nil"/>
          <w:between w:val="nil"/>
          <w:bar w:val="nil"/>
        </w:pBdr>
        <w:spacing w:before="0" w:after="240"/>
        <w:rPr>
          <w:rFonts w:eastAsia="Arial Unicode MS"/>
          <w:noProof/>
        </w:rPr>
      </w:pPr>
      <w:r>
        <w:rPr>
          <w:noProof/>
        </w:rPr>
        <w:t xml:space="preserve">Pentru a atinge aceste obiective, propunerea se bazează pe punctele forte ale cadrului existent, aducându-le la un nivel de excelență operațională, introducând în același timp schimbările structurale necesare pentru a permite un răspuns european mai eficace la criminalitatea transfrontalieră. Ea instituie un cadru juridic solid și modern care permite Europol: </w:t>
      </w:r>
    </w:p>
    <w:p>
      <w:pPr>
        <w:pStyle w:val="Bullet0"/>
        <w:rPr>
          <w:noProof/>
        </w:rPr>
      </w:pPr>
      <w:r>
        <w:rPr>
          <w:noProof/>
        </w:rPr>
        <w:t>să răspundă provocărilor actuale și viitoare în materie de securitate;</w:t>
      </w:r>
    </w:p>
    <w:p>
      <w:pPr>
        <w:pStyle w:val="Bullet0"/>
        <w:rPr>
          <w:noProof/>
        </w:rPr>
      </w:pPr>
      <w:r>
        <w:rPr>
          <w:noProof/>
        </w:rPr>
        <w:t>să sprijine mai bine statele membre în investigațiile transfrontaliere și</w:t>
      </w:r>
    </w:p>
    <w:p>
      <w:pPr>
        <w:pStyle w:val="Bullet0"/>
        <w:rPr>
          <w:noProof/>
        </w:rPr>
      </w:pPr>
      <w:r>
        <w:rPr>
          <w:noProof/>
        </w:rPr>
        <w:t>să consolideze capacitatea UE de a oferi un răspuns coordonat, eficient și rezilient la criminalitatea gravă și organizată și la terorism, în deplină conformitate cu Carta drepturilor fundamentale a Uniunii Europene.</w:t>
      </w:r>
    </w:p>
    <w:p>
      <w:pPr>
        <w:pStyle w:val="ManualHeading2"/>
        <w:rPr>
          <w:rFonts w:eastAsia="Arial Unicode MS"/>
          <w:noProof/>
          <w:color w:val="000000"/>
          <w:u w:color="000000"/>
          <w:bdr w:val="nil"/>
        </w:rPr>
      </w:pPr>
      <w:r>
        <w:rPr>
          <w:noProof/>
          <w:color w:val="000000"/>
          <w:bdr w:val="nil"/>
        </w:rPr>
        <w:t>•</w:t>
      </w:r>
      <w:r>
        <w:rPr>
          <w:noProof/>
        </w:rPr>
        <w:tab/>
        <w:t>Coerența cu dispozițiile de politică deja existente în domeniul de politică vizat</w:t>
      </w:r>
    </w:p>
    <w:p>
      <w:pPr>
        <w:pBdr>
          <w:top w:val="nil"/>
          <w:left w:val="nil"/>
          <w:bottom w:val="nil"/>
          <w:right w:val="nil"/>
          <w:between w:val="nil"/>
        </w:pBdr>
        <w:spacing w:before="0" w:after="240"/>
        <w:rPr>
          <w:rFonts w:eastAsia="Arial Unicode MS"/>
          <w:noProof/>
        </w:rPr>
      </w:pPr>
      <w:r>
        <w:rPr>
          <w:noProof/>
        </w:rPr>
        <w:t>Prezentul pachet de inițiative în materie de justiție penală urmărește un obiectiv coerent și complementar: consolidarea capacității UE de a preveni, a depista, a investiga și a urmări penal formele grave de criminalitate transfrontalieră într-un mediu de securitate din ce în ce mai complex. Prin modernizarea cadrelor juridice care reglementează cooperarea dintre autoritățile de aplicare a legii, autoritățile judiciare și alte autorități relevante, pachetul urmărește să consolideze eficacitatea, coerența și interoperabilitatea arhitecturii de securitate internă a Uniunii.</w:t>
      </w:r>
    </w:p>
    <w:p>
      <w:pPr>
        <w:pBdr>
          <w:top w:val="nil"/>
          <w:left w:val="nil"/>
          <w:bottom w:val="nil"/>
          <w:right w:val="nil"/>
          <w:between w:val="nil"/>
        </w:pBdr>
        <w:spacing w:before="0" w:after="240"/>
        <w:rPr>
          <w:rFonts w:eastAsia="Arial Unicode MS"/>
          <w:noProof/>
        </w:rPr>
      </w:pPr>
      <w:r>
        <w:rPr>
          <w:noProof/>
        </w:rPr>
        <w:t>Revizuirile propuse ale regulamentelor privind Europol și Eurojust constituie nucleul acestui efort. Europol și Eurojust îndeplinesc funcții distincte, dar complementare, în cadrul spațiului de libertate, securitate și justiție: în timp ce Europol sprijină prevenirea și combaterea activităților infracționale, Eurojust facilitează cooperarea judiciară și asigură o urmărire penală și măsuri judiciare ulterioare eficace. Prin urmare, pachetul urmărește să consolideze cooperarea și complementaritatea dintre cele două agenții, precum și cu alți actori relevanți ai Uniunii din domeniul justiției și afacerilor interne și al arhitecturii antifraudă, în vederea asigurării unei continuități fluide între acțiunile de aplicare a legii și măsurile judiciare ulterioare în toate etapele lanțului justiției penale.</w:t>
      </w:r>
    </w:p>
    <w:p>
      <w:pPr>
        <w:pBdr>
          <w:top w:val="nil"/>
          <w:left w:val="nil"/>
          <w:bottom w:val="nil"/>
          <w:right w:val="nil"/>
          <w:between w:val="nil"/>
        </w:pBdr>
        <w:spacing w:before="0" w:after="240"/>
        <w:rPr>
          <w:rFonts w:eastAsia="Arial Unicode MS"/>
          <w:noProof/>
        </w:rPr>
      </w:pPr>
      <w:r>
        <w:rPr>
          <w:noProof/>
        </w:rPr>
        <w:t>În acest context, modificările aduse cadrului privind ordinul european de anchetă și normelor privind protecția datelor aplicabile în cadrul regimului de protecție a datelor în domeniul justiției și afacerilor interne pentru instituțiile, organele, oficiile și agențiile UE (</w:t>
      </w:r>
      <w:r>
        <w:rPr>
          <w:rStyle w:val="FootnoteReference"/>
          <w:rFonts w:eastAsia="Arial Unicode MS"/>
          <w:noProof/>
        </w:rPr>
        <w:footnoteReference w:id="15"/>
      </w:r>
      <w:r>
        <w:rPr>
          <w:noProof/>
        </w:rPr>
        <w:t>) contribuie și mai mult la acest obiectiv prin facilitarea unei cooperări transfrontaliere eficace, prin îmbunătățirea condițiilor pentru schimbul de informații și prin asigurarea unui cadru juridic coerent, adaptat la realitățile operaționale și la evoluțiile tehnologice. Luate împreună, măsurile propuse în acest pachet vor consolida capacitatea UE de a răspunde amenințărilor în continuă evoluție la adresa securității, respectând totodată pe deplin drepturile fundamentale, statul de drept și repartizarea responsabilităților între diferiții actori implicați.</w:t>
      </w:r>
    </w:p>
    <w:p>
      <w:pPr>
        <w:pBdr>
          <w:top w:val="nil"/>
          <w:left w:val="nil"/>
          <w:bottom w:val="nil"/>
          <w:right w:val="nil"/>
          <w:between w:val="nil"/>
          <w:bar w:val="nil"/>
        </w:pBdr>
        <w:spacing w:before="0" w:after="240"/>
        <w:rPr>
          <w:rFonts w:eastAsia="Arial Unicode MS"/>
          <w:noProof/>
        </w:rPr>
      </w:pPr>
      <w:r>
        <w:rPr>
          <w:noProof/>
        </w:rPr>
        <w:t>În plus, propunerea de revizuire a Regulamentului privind Europol este în concordanță cu cadrul mai larg de securitate internă al UE, în special cu ProtectEU, și contribuie în mod direct la punerea sa în aplicare. Prin consolidarea rolului Europol ca centru de informații, centru operațional, tehnologic și de inovare, propunerea sprijină eliminarea lacunelor în materie de date operative în materie penală, consolidează investigațiile transfrontaliere și îmbunătățește utilizarea capacităților tehnologice avansate la nivelul UE.</w:t>
      </w:r>
    </w:p>
    <w:p>
      <w:pPr>
        <w:pBdr>
          <w:top w:val="nil"/>
          <w:left w:val="nil"/>
          <w:bottom w:val="nil"/>
          <w:right w:val="nil"/>
          <w:between w:val="nil"/>
          <w:bar w:val="nil"/>
        </w:pBdr>
        <w:spacing w:before="0" w:after="240"/>
        <w:rPr>
          <w:rFonts w:eastAsia="Arial Unicode MS"/>
          <w:noProof/>
        </w:rPr>
      </w:pPr>
      <w:r>
        <w:rPr>
          <w:noProof/>
        </w:rPr>
        <w:t>Propunerea este, de asemenea, în concordanță cu evoluțiile recente ale politicilor UE în materie de securitate internă, inclusiv cu Agenda privind combaterea terorismului din cadrul ProtectEU (</w:t>
      </w:r>
      <w:r>
        <w:rPr>
          <w:rStyle w:val="FootnoteReference"/>
          <w:rFonts w:eastAsia="Arial Unicode MS"/>
          <w:noProof/>
        </w:rPr>
        <w:footnoteReference w:id="16"/>
      </w:r>
      <w:r>
        <w:rPr>
          <w:noProof/>
        </w:rPr>
        <w:t>), cu prioritățile UE în materie de criminalitate pentru ciclul EMPACT 2026-2029 (</w:t>
      </w:r>
      <w:r>
        <w:rPr>
          <w:rStyle w:val="FootnoteReference"/>
          <w:rFonts w:eastAsia="Arial Unicode MS"/>
          <w:noProof/>
        </w:rPr>
        <w:footnoteReference w:id="17"/>
      </w:r>
      <w:r>
        <w:rPr>
          <w:noProof/>
        </w:rPr>
        <w:t>), cu Strategia UE în materie de droguri din 2025 (</w:t>
      </w:r>
      <w:r>
        <w:rPr>
          <w:rStyle w:val="FootnoteReference"/>
          <w:rFonts w:eastAsia="Arial Unicode MS"/>
          <w:noProof/>
        </w:rPr>
        <w:footnoteReference w:id="18"/>
      </w:r>
      <w:r>
        <w:rPr>
          <w:noProof/>
        </w:rPr>
        <w:t>) și cu planul de acțiune însoțitor de combatere a traficului de droguri (</w:t>
      </w:r>
      <w:r>
        <w:rPr>
          <w:rStyle w:val="FootnoteReference"/>
          <w:rFonts w:eastAsia="Arial Unicode MS"/>
          <w:noProof/>
        </w:rPr>
        <w:footnoteReference w:id="19"/>
      </w:r>
      <w:r>
        <w:rPr>
          <w:noProof/>
        </w:rPr>
        <w:t>), precum și cu propunerea Comisiei din 2026 de norme la nivelul UE privind combaterea traficului ilicit de arme de foc (</w:t>
      </w:r>
      <w:r>
        <w:rPr>
          <w:rStyle w:val="FootnoteReference"/>
          <w:rFonts w:eastAsia="Arial Unicode MS"/>
          <w:noProof/>
        </w:rPr>
        <w:footnoteReference w:id="20"/>
      </w:r>
      <w:r>
        <w:rPr>
          <w:noProof/>
        </w:rPr>
        <w:t>). Aceste inițiative reflectă o orientare mai amplă către o acțiune a UE mai operațională, bazată pe informații și pe capacități, împotriva criminalității grave și organizate și a terorismului. Propunerea completează, de asemenea, foaia de parcurs privind accesul legal și efectiv la date pentru autoritățile de aplicare a legii, prezentată de Comisie în iunie 2025 (</w:t>
      </w:r>
      <w:r>
        <w:rPr>
          <w:rStyle w:val="FootnoteReference"/>
          <w:rFonts w:eastAsia="Arial Unicode MS"/>
          <w:noProof/>
        </w:rPr>
        <w:footnoteReference w:id="21"/>
      </w:r>
      <w:r>
        <w:rPr>
          <w:noProof/>
        </w:rPr>
        <w:t>), care abordează principalele provocări legate de accesul la probele digitale.</w:t>
      </w:r>
    </w:p>
    <w:p>
      <w:pPr>
        <w:pBdr>
          <w:top w:val="nil"/>
          <w:left w:val="nil"/>
          <w:bottom w:val="nil"/>
          <w:right w:val="nil"/>
          <w:between w:val="nil"/>
          <w:bar w:val="nil"/>
        </w:pBdr>
        <w:spacing w:before="0" w:after="240"/>
        <w:rPr>
          <w:rFonts w:eastAsia="Arial Unicode MS"/>
          <w:noProof/>
        </w:rPr>
      </w:pPr>
      <w:r>
        <w:rPr>
          <w:noProof/>
        </w:rPr>
        <w:t>Propunerea este, de asemenea, în concordanță cu cadrul pentru schimbul de informații între autoritățile naționale de aplicare a legii, precum și între acestea și Europol. Deși reformele recente au consolidat și aliniat sistemele de gestionare a cazurilor și practicile de schimb transfrontalier de informații la nivel național, beneficiile acestora nu au fost încă pe deplin valorificate în ceea ce privește integrarea lor în serviciile și capacitățile analitice ale Europol. Prin asigurarea faptului că informațiile transmise și gestionate la nivel național pot fi puse în mod sistematic la dispoziția Europol prin intermediul serviciilor și instrumentelor sale de informare, propunerea permite statelor membre să utilizeze pe deplin serviciile Europol, sprijinind o utilizare mai integrată, automatizată și eficace a informațiilor în întreaga comunitate de aplicare a legii din UE.</w:t>
      </w:r>
    </w:p>
    <w:p>
      <w:pPr>
        <w:pBdr>
          <w:top w:val="nil"/>
          <w:left w:val="nil"/>
          <w:bottom w:val="nil"/>
          <w:right w:val="nil"/>
          <w:between w:val="nil"/>
          <w:bar w:val="nil"/>
        </w:pBdr>
        <w:spacing w:before="0" w:after="240"/>
        <w:rPr>
          <w:noProof/>
        </w:rPr>
      </w:pPr>
      <w:r>
        <w:rPr>
          <w:noProof/>
        </w:rPr>
        <w:t>Propunerea oferă Europol mandatul și instrumentele necesare pentru a combate, în întreaga UE, infracțiunile care intră în sfera de competență a Europol și care implică o dimensiune hibridă, abordând nevoile prevăzute în special în cadrul ProtectEU, al strategiei UE de pregătire și al Scutului pentru democrație. Ea permite Europol să își utilizeze întregul set de instrumente operaționale, analitice și tehnice pentru a acționa în limitele competențelor sale, inclusiv în domeniul criminalității grave și organizate, al terorismului și al criminalității facilitate prin mijloace informatice, atunci când astfel de infracțiuni implică o dimensiune hibridă. Propunerea instituie centre de expertiză operațională ale UE ca model pentru abordarea operațională a Europol, integrând prevenirea și combaterea infracțiunilor cu o dimensiune hibridă ca prioritate transversală. Activitățile infracționale cu o dimensiune hibridă pot apărea în legătură cu orice formă de criminalitate care intră în sfera de competență a Europol. Centrele sunt instituite pentru a asigura o contribuție orizontală, în domeniile lor respective de expertiză, la prevenirea și combaterea unor astfel de activități infracționale, inclusiv în cazul în care acestea fac parte dintr-o amenințare cu o dimensiune hibridă, contribuie la o astfel de amenințare sau sunt legate de o amenințare cu o dimensiune hibridă.</w:t>
      </w:r>
    </w:p>
    <w:p>
      <w:pPr>
        <w:pBdr>
          <w:top w:val="nil"/>
          <w:left w:val="nil"/>
          <w:bottom w:val="nil"/>
          <w:right w:val="nil"/>
          <w:between w:val="nil"/>
          <w:bar w:val="nil"/>
        </w:pBdr>
        <w:spacing w:before="0" w:after="240"/>
        <w:rPr>
          <w:rFonts w:eastAsia="Arial Unicode MS"/>
          <w:noProof/>
        </w:rPr>
      </w:pPr>
      <w:r>
        <w:rPr>
          <w:noProof/>
        </w:rPr>
        <w:t>Propunerea consolidează, de asemenea, complementaritățile cu EPPO și Eurojust în etapele de urmărire penală și judiciare, inclusiv prin acordarea de sprijin analitic structural către EPPO în analiza infracțiunilor financiare transfrontaliere complexe care aduc atingere intereselor financiare ale UE. De asemenea, ea sprijină o interacțiune mai strânsă cu Frontex în domeniile în care criminalitatea transfrontalieră se intersectează cu gestionarea frontierelor, cu Agenția Uniunii Europene pentru Gestionarea Operațională a Sistemelor Informatice la Scară Largă în Spațiul de Libertate, Securitate și Justiție („eu-LISA”) (</w:t>
      </w:r>
      <w:r>
        <w:rPr>
          <w:rStyle w:val="FootnoteReference"/>
          <w:rFonts w:eastAsia="Arial Unicode MS"/>
          <w:noProof/>
        </w:rPr>
        <w:footnoteReference w:id="22"/>
      </w:r>
      <w:r>
        <w:rPr>
          <w:noProof/>
        </w:rPr>
        <w:t>) în ceea ce privește dezvoltarea, implementarea și gestionarea tehnică a serviciilor și instrumentelor de gestionare a informațiilor, cu ACSB în ceea ce privește infracțiunile financiare și cu Agenția Uniunii Europene pentru Securitate Cibernetică („ENISA”) (</w:t>
      </w:r>
      <w:r>
        <w:rPr>
          <w:rStyle w:val="FootnoteReference"/>
          <w:rFonts w:eastAsia="Arial Unicode MS"/>
          <w:noProof/>
        </w:rPr>
        <w:footnoteReference w:id="23"/>
      </w:r>
      <w:r>
        <w:rPr>
          <w:noProof/>
        </w:rPr>
        <w:t xml:space="preserve">) în ceea ce privește securitatea cibernetică, în special incidentele de tip ransomware. </w:t>
      </w:r>
    </w:p>
    <w:p>
      <w:pPr>
        <w:pBdr>
          <w:top w:val="nil"/>
          <w:left w:val="nil"/>
          <w:bottom w:val="nil"/>
          <w:right w:val="nil"/>
          <w:between w:val="nil"/>
          <w:bar w:val="nil"/>
        </w:pBdr>
        <w:spacing w:before="0" w:after="240"/>
        <w:rPr>
          <w:rFonts w:eastAsia="Arial Unicode MS"/>
          <w:noProof/>
        </w:rPr>
      </w:pPr>
      <w:r>
        <w:rPr>
          <w:noProof/>
        </w:rPr>
        <w:t>Propunerea contribuie în mod direct la funcționarea spațiului Schengen, în care libera circulație poate fi susținută numai printr-un răspuns european în materie de securitate la fel de integrat și de eficace. Prin consolidarea cooperării în materie de aplicare a legii la nivelul UE și prin reducerea fragmentării, propunerea contribuie la asigurarea faptului că securitatea în spațiul Schengen este garantată la același nivel de integrare ca și libertatea de circulație pe care este menită să o protejeze. În același timp, propunerea vizează, de asemenea, aprofundarea cooperării Europol cu țările asociate la implementarea, aplicarea și dezvoltarea acquis-ului Schengen.</w:t>
      </w:r>
    </w:p>
    <w:p>
      <w:pPr>
        <w:pStyle w:val="ManualHeading2"/>
        <w:rPr>
          <w:rFonts w:eastAsia="Arial Unicode MS"/>
          <w:noProof/>
        </w:rPr>
      </w:pPr>
      <w:r>
        <w:rPr>
          <w:noProof/>
          <w:color w:val="000000"/>
          <w:u w:color="000000"/>
          <w:bdr w:val="nil"/>
        </w:rPr>
        <w:t>•</w:t>
      </w:r>
      <w:r>
        <w:rPr>
          <w:noProof/>
        </w:rPr>
        <w:tab/>
        <w:t>Coerența cu alte politici ale Uniunii</w:t>
      </w:r>
    </w:p>
    <w:p>
      <w:pPr>
        <w:pBdr>
          <w:top w:val="nil"/>
          <w:left w:val="nil"/>
          <w:bottom w:val="nil"/>
          <w:right w:val="nil"/>
          <w:between w:val="nil"/>
          <w:bar w:val="nil"/>
        </w:pBdr>
        <w:spacing w:before="0" w:after="240"/>
        <w:rPr>
          <w:noProof/>
        </w:rPr>
      </w:pPr>
      <w:r>
        <w:rPr>
          <w:noProof/>
        </w:rPr>
        <w:t>Propunerea este în concordanță cu obiectivele de politică mai ample ale UE privind suveranitatea tehnologică și infrastructura digitală securizată, inclusiv cu Strategia europeană privind datele (</w:t>
      </w:r>
      <w:r>
        <w:rPr>
          <w:rStyle w:val="FootnoteReference"/>
          <w:noProof/>
        </w:rPr>
        <w:footnoteReference w:id="24"/>
      </w:r>
      <w:r>
        <w:rPr>
          <w:noProof/>
        </w:rPr>
        <w:t>), cu programul de politică pentru 2030 privind deceniul digital (</w:t>
      </w:r>
      <w:r>
        <w:rPr>
          <w:rStyle w:val="FootnoteReference"/>
          <w:noProof/>
        </w:rPr>
        <w:footnoteReference w:id="25"/>
      </w:r>
      <w:r>
        <w:rPr>
          <w:noProof/>
        </w:rPr>
        <w:t>), cu strategia UE privind serviciile cloud (</w:t>
      </w:r>
      <w:r>
        <w:rPr>
          <w:rStyle w:val="FootnoteReference"/>
          <w:noProof/>
        </w:rPr>
        <w:footnoteReference w:id="26"/>
      </w:r>
      <w:r>
        <w:rPr>
          <w:noProof/>
        </w:rPr>
        <w:t>) și cu inițiativele în materie de securitate cibernetică (</w:t>
      </w:r>
      <w:r>
        <w:rPr>
          <w:rStyle w:val="FootnoteReference"/>
          <w:noProof/>
        </w:rPr>
        <w:footnoteReference w:id="27"/>
      </w:r>
      <w:r>
        <w:rPr>
          <w:noProof/>
        </w:rPr>
        <w:t>), inclusiv cu noua propunere referitoare la Actul legislativ privind dezvoltarea tehnologiilor de tip cloud și a IA (CADA), care vizează consolidarea ecosistemului, a investițiilor și a infrastructurii UE în domeniul tehnologiilor de tip cloud și al IA (</w:t>
      </w:r>
      <w:r>
        <w:rPr>
          <w:rStyle w:val="FootnoteReference"/>
          <w:noProof/>
        </w:rPr>
        <w:footnoteReference w:id="28"/>
      </w:r>
      <w:r>
        <w:rPr>
          <w:noProof/>
        </w:rPr>
        <w:t>). Permițând Europol și autorităților competente ale statelor membre să prelucreze și să analizeze datele în condiții de siguranță la scară largă și să funcționeze în medii sigure, fiabile și scalabile de prelucrare a datelor, inclusiv prin utilizarea unor capacități de cloud suverane și a unor infrastructuri digitale avansate, propunerea contribuie la construirea unor capacități tehnologice europene reziliente (</w:t>
      </w:r>
      <w:r>
        <w:rPr>
          <w:rStyle w:val="FootnoteReference"/>
          <w:noProof/>
        </w:rPr>
        <w:footnoteReference w:id="29"/>
      </w:r>
      <w:r>
        <w:rPr>
          <w:noProof/>
        </w:rPr>
        <w:t>) și autonome.</w:t>
      </w:r>
    </w:p>
    <w:p>
      <w:pPr>
        <w:pBdr>
          <w:top w:val="nil"/>
          <w:left w:val="nil"/>
          <w:bottom w:val="nil"/>
          <w:right w:val="nil"/>
          <w:between w:val="nil"/>
          <w:bar w:val="nil"/>
        </w:pBdr>
        <w:spacing w:before="0" w:after="240"/>
        <w:rPr>
          <w:noProof/>
        </w:rPr>
      </w:pPr>
      <w:r>
        <w:rPr>
          <w:noProof/>
        </w:rPr>
        <w:t>Propunerea sprijină, de asemenea, politicile UE privind inovarea, cercetarea și competitivitatea, inclusiv în cadrul programului Orizont Europa (</w:t>
      </w:r>
      <w:r>
        <w:rPr>
          <w:rStyle w:val="FootnoteReference"/>
          <w:noProof/>
        </w:rPr>
        <w:footnoteReference w:id="30"/>
      </w:r>
      <w:r>
        <w:rPr>
          <w:noProof/>
        </w:rPr>
        <w:t>) și al Agendei europene de inovare (</w:t>
      </w:r>
      <w:r>
        <w:rPr>
          <w:rStyle w:val="FootnoteReference"/>
          <w:noProof/>
        </w:rPr>
        <w:footnoteReference w:id="31"/>
      </w:r>
      <w:r>
        <w:rPr>
          <w:noProof/>
        </w:rPr>
        <w:t>). Prin poziționarea Europol ca hub central pentru identificarea nevoilor operaționale emergente și conturarea viitoarelor capacități de aplicare a legii, acesta sprijină dezvoltarea și adoptarea de tehnologii avansate, inclusiv prin soluții de achiziții publice comune.</w:t>
      </w:r>
    </w:p>
    <w:p>
      <w:pPr>
        <w:pBdr>
          <w:top w:val="nil"/>
          <w:left w:val="nil"/>
          <w:bottom w:val="nil"/>
          <w:right w:val="nil"/>
          <w:between w:val="nil"/>
          <w:bar w:val="nil"/>
        </w:pBdr>
        <w:spacing w:before="0" w:after="240"/>
        <w:rPr>
          <w:noProof/>
        </w:rPr>
      </w:pPr>
      <w:r>
        <w:rPr>
          <w:noProof/>
        </w:rPr>
        <w:t>În același timp, propunerea rămâne pe deplin aliniată la cadrul UE de protecție a datelor, în special la Regulamentul (UE) 2018/1725 privind protecția datelor cu caracter personal de către instituțiile, organele, oficiile și agențiile UE, asigurându-se că rolul operațional consolidat al Europol rămâne ancorat într-un nivel ridicat de protecție a drepturilor fundamentale.</w:t>
      </w:r>
    </w:p>
    <w:p>
      <w:pPr>
        <w:pBdr>
          <w:top w:val="nil"/>
          <w:left w:val="nil"/>
          <w:bottom w:val="nil"/>
          <w:right w:val="nil"/>
          <w:between w:val="nil"/>
          <w:bar w:val="nil"/>
        </w:pBdr>
        <w:spacing w:before="0" w:after="240"/>
        <w:rPr>
          <w:noProof/>
        </w:rPr>
      </w:pPr>
      <w:r>
        <w:rPr>
          <w:noProof/>
        </w:rPr>
        <w:t>Propunerea consolidează cadrul UE de combatere a spălării banilor și a criminalității financiare, inclusiv pachetul privind combaterea spălării banilor (</w:t>
      </w:r>
      <w:r>
        <w:rPr>
          <w:rStyle w:val="FootnoteReference"/>
          <w:noProof/>
        </w:rPr>
        <w:footnoteReference w:id="32"/>
      </w:r>
      <w:r>
        <w:rPr>
          <w:noProof/>
        </w:rPr>
        <w:t>) și instituirea ACSB, consolidând în același timp arhitectura antifraudă a UE și protecția intereselor financiare ale UE în temeiul Directivei (UE) 2017/1371 (</w:t>
      </w:r>
      <w:r>
        <w:rPr>
          <w:rStyle w:val="FootnoteReference"/>
          <w:noProof/>
        </w:rPr>
        <w:footnoteReference w:id="33"/>
      </w:r>
      <w:r>
        <w:rPr>
          <w:noProof/>
        </w:rPr>
        <w:t>). Ea oferă Europol capacități sporite pentru a sprijini investigațiile financiare transfrontaliere complexe și a coopera în mod eficace cu EPPO și cu activitatea administrativă și de investigare a OLAF. Prin faptul că permite Europol să integreze informații financiare, capacități analitice și resurse operaționale, propunerea îi oferă posibilitatea de a identifica, a analiza și a urmări fluxurile financiare și activele provenite din săvârșirea de infracțiuni, inclusiv pe cele care afectează bugetul UE, consolidând, la rândul său, o abordare sistematică bazată pe „urmărirea banilor” și asigurând un răspuns coordonat la nivelul UE la criminalitatea financiară. Această consolidare a rolului Europol este deosebit de relevantă în contextul revizuirii în curs a arhitecturii antifraudă, asigurându-se alinierea capacităților sale la viitoarele reforme la nivelul UE și la nevoile în continuă evoluție ale asigurării respectării normelor privind criminalitatea financiară transfrontalieră.</w:t>
      </w:r>
    </w:p>
    <w:p>
      <w:pPr>
        <w:pBdr>
          <w:top w:val="nil"/>
          <w:left w:val="nil"/>
          <w:bottom w:val="nil"/>
          <w:right w:val="nil"/>
          <w:between w:val="nil"/>
          <w:bar w:val="nil"/>
        </w:pBdr>
        <w:spacing w:before="0" w:after="240"/>
        <w:rPr>
          <w:noProof/>
        </w:rPr>
      </w:pPr>
      <w:r>
        <w:rPr>
          <w:noProof/>
        </w:rPr>
        <w:t>Propunerea sporește securitatea externă a UE, permițând Europol să efectueze prelucrarea în comun a datelor operative în materie penală împreună cu țările partenere din afara UE, îmbunătățind viteza și calitatea investigațiilor internaționale și asigurând, în același timp, schimbul securizat de informații prin canale precum INTERPOL. Propunerea permite, de asemenea, Europol să trimită experți în țări din afara UE pentru a coordona măsurile operaționale. Prin concentrarea activităților externe ale Europol asupra obiectivelor operaționale, propunerea maximizează valoarea adăugată a acestora pentru autoritățile competente ale statelor membre, rămânând în același timp complementară rolului Agenției Uniunii Europene pentru Formare în Materie de Aplicare a Legii („CEPOL”) în ceea ce privește consolidarea capacităților în țările terțe.</w:t>
      </w:r>
    </w:p>
    <w:p>
      <w:pPr>
        <w:pBdr>
          <w:top w:val="nil"/>
          <w:left w:val="nil"/>
          <w:bottom w:val="nil"/>
          <w:right w:val="nil"/>
          <w:between w:val="nil"/>
          <w:bar w:val="nil"/>
        </w:pBdr>
        <w:spacing w:before="0" w:after="240"/>
        <w:rPr>
          <w:noProof/>
        </w:rPr>
      </w:pPr>
      <w:r>
        <w:rPr>
          <w:noProof/>
        </w:rPr>
        <w:t xml:space="preserve">Propunerea contribuie, de asemenea, la procesul de extindere a UE prin aprofundarea cooperării operaționale cu țările candidate și potențial candidate. În calitate de parteneri-cheie în combaterea criminalității transnaționale, a terorismului și a altor amenințări transfrontaliere la adresa securității, țările respective joacă un rol important în arhitectura de securitate europeană mai amplă și trebuie să fie integrate treptat în cadrele relevante de cooperare în materie de securitate. </w:t>
      </w:r>
    </w:p>
    <w:p>
      <w:pPr>
        <w:pStyle w:val="ManualHeading1"/>
        <w:ind w:left="0" w:firstLine="0"/>
        <w:rPr>
          <w:noProof/>
        </w:rPr>
      </w:pPr>
      <w:r>
        <w:rPr>
          <w:noProof/>
        </w:rPr>
        <w:t>2.</w:t>
      </w:r>
      <w:r>
        <w:rPr>
          <w:noProof/>
        </w:rPr>
        <w:tab/>
        <w:t>TEMEIUL JURIDIC, SUBSIDIARITATEA ȘI PROPORȚIONALITATEA</w:t>
      </w:r>
    </w:p>
    <w:p>
      <w:pPr>
        <w:pStyle w:val="ManualHeading2"/>
        <w:rPr>
          <w:rFonts w:eastAsia="Arial Unicode MS"/>
          <w:noProof/>
          <w:u w:color="000000"/>
          <w:bdr w:val="nil"/>
        </w:rPr>
      </w:pPr>
      <w:r>
        <w:rPr>
          <w:noProof/>
          <w:u w:color="000000"/>
          <w:bdr w:val="nil"/>
        </w:rPr>
        <w:t>•</w:t>
      </w:r>
      <w:r>
        <w:rPr>
          <w:noProof/>
        </w:rPr>
        <w:tab/>
      </w:r>
      <w:r>
        <w:rPr>
          <w:noProof/>
          <w:u w:color="000000"/>
          <w:bdr w:val="nil"/>
        </w:rPr>
        <w:t>Temeiul juridic</w:t>
      </w:r>
    </w:p>
    <w:p>
      <w:pPr>
        <w:pStyle w:val="ManualHeading2"/>
        <w:ind w:left="0" w:firstLine="0"/>
        <w:rPr>
          <w:b w:val="0"/>
          <w:bCs/>
          <w:noProof/>
        </w:rPr>
      </w:pPr>
      <w:r>
        <w:rPr>
          <w:b w:val="0"/>
          <w:noProof/>
        </w:rPr>
        <w:t>Prezenta propunere se întemeiază pe articolul 87 alineatul (2) litera (a) și pe articolul 88 din Tratatul privind funcționarea Uniunii Europene (TFUE). Articolul 88 prevede temeiul juridic pentru înființarea și funcționarea Europol și pentru stabilirea atribuțiilor, a structurii și a funcționării acesteia. Articolul 87 alineatul (2) litera (a) din TFUE prevede adoptarea de măsuri privind colectarea, stocarea, prelucrarea, analizarea și schimbul de informații relevante în scopul cooperării polițienești.</w:t>
      </w:r>
    </w:p>
    <w:p>
      <w:pPr>
        <w:pStyle w:val="ManualHeading2"/>
        <w:ind w:left="0" w:firstLine="0"/>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pPr>
        <w:pBdr>
          <w:top w:val="nil"/>
          <w:left w:val="nil"/>
          <w:bottom w:val="nil"/>
          <w:right w:val="nil"/>
          <w:between w:val="nil"/>
          <w:bar w:val="nil"/>
        </w:pBdr>
        <w:spacing w:before="0" w:after="240"/>
        <w:rPr>
          <w:rFonts w:eastAsia="Arial Unicode MS"/>
          <w:noProof/>
        </w:rPr>
      </w:pPr>
      <w:r>
        <w:rPr>
          <w:noProof/>
        </w:rPr>
        <w:t>Provocările abordate de prezenta propunere sunt inerent transfrontaliere și nu pot fi soluționate în mod eficace de către statele membre acționând individual. Cele mai grave și mai organizate forme de criminalitate au în prezent un caracter preponderent transnațional, rețelele infracționale acționând fără obstacole în diferite jurisdicții și medii digitale. Ele exploatează fragmentarea informațiilor, a acțiunilor operaționale și a capacităților naționale. Prin urmare, statele membre au doar o imagine parțială a activităților infracționale și se confruntă cu limitări structurale în ceea ce privește conectarea investigațiilor și răspunsul eficace la activitățile infracționale care se extind în afara jurisdicției lor naționale.</w:t>
      </w:r>
    </w:p>
    <w:p>
      <w:pPr>
        <w:pBdr>
          <w:top w:val="nil"/>
          <w:left w:val="nil"/>
          <w:bottom w:val="nil"/>
          <w:right w:val="nil"/>
          <w:between w:val="nil"/>
          <w:bar w:val="nil"/>
        </w:pBdr>
        <w:spacing w:before="0" w:after="240"/>
        <w:rPr>
          <w:rFonts w:eastAsia="Arial Unicode MS"/>
          <w:noProof/>
        </w:rPr>
      </w:pPr>
      <w:r>
        <w:rPr>
          <w:noProof/>
        </w:rPr>
        <w:t>Prin urmare, acțiunea la nivelul UE este mai eficace și mai necesară. Amploarea, viteza și caracterul transfrontalier al activităților infracționale impun un nivel de coordonare, de agregare a datelor și de capacitate analitică ce nu poate fi atins de statele membre acționând individual. Prin activitatea sa la nivelul UE, Europol este în măsură să combine informații din mai multe jurisdicții, să identifice tipare și conexiuni care altfel ar rămâne nedetectate și să sprijine stabilirea priorităților și coordonarea acțiunilor operaționale la nivel transfrontalier. Astfel, se sporește impactul investigațiilor naționale și se asigură faptul că răspunsurile la criminalitatea transfrontalieră nu sunt fragmentate, ci aliniate și se sprijină reciproc. Acest lucru permite, de asemenea, dezvoltarea și implementarea unor capacități avansate care nu pot fi atinse de statele membre acționând individual, ceea ce permite, la rândul său, realizarea de economii de scară în domenii în care dezvoltarea capacităților necesită o utilizare intensivă a resurselor și o masă critică. Prin centralizarea acestor capacități la nivelul UE și punerea lor la dispoziție în toate statele membre, propunerea evită suprapunerile, reduce costurile și asigură un nivel consecvent și ridicat de eficacitate.</w:t>
      </w:r>
    </w:p>
    <w:p>
      <w:pPr>
        <w:pBdr>
          <w:top w:val="nil"/>
          <w:left w:val="nil"/>
          <w:bottom w:val="nil"/>
          <w:right w:val="nil"/>
          <w:between w:val="nil"/>
          <w:bar w:val="nil"/>
        </w:pBdr>
        <w:spacing w:before="0" w:after="240"/>
        <w:rPr>
          <w:rFonts w:eastAsia="Arial Unicode MS"/>
          <w:noProof/>
        </w:rPr>
      </w:pPr>
      <w:r>
        <w:rPr>
          <w:noProof/>
        </w:rPr>
        <w:t>Într-un spațiu Schengen, această capacitate colectivă este esențială pentru a se asigura că nivelul de cooperare în materie de aplicare a legii este proporțional cu nivelul de integrare atins.</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pBdr>
          <w:top w:val="nil"/>
          <w:left w:val="nil"/>
          <w:bottom w:val="nil"/>
          <w:right w:val="nil"/>
          <w:between w:val="nil"/>
          <w:bar w:val="nil"/>
        </w:pBdr>
        <w:spacing w:before="0" w:after="240"/>
        <w:rPr>
          <w:rFonts w:eastAsia="Arial Unicode MS"/>
          <w:noProof/>
        </w:rPr>
      </w:pPr>
      <w:r>
        <w:rPr>
          <w:noProof/>
        </w:rPr>
        <w:t>În conformitate cu principiul proporționalității prevăzut la articolul 5 din Tratatul privind Uniunea Europeană, prezenta propunere nu depășește ceea ce este necesar pentru îndeplinirea obiectivelor sale.</w:t>
      </w:r>
    </w:p>
    <w:p>
      <w:pPr>
        <w:pBdr>
          <w:top w:val="nil"/>
          <w:left w:val="nil"/>
          <w:bottom w:val="nil"/>
          <w:right w:val="nil"/>
          <w:between w:val="nil"/>
          <w:bar w:val="nil"/>
        </w:pBdr>
        <w:spacing w:before="0" w:after="240"/>
        <w:rPr>
          <w:rFonts w:eastAsia="Arial Unicode MS"/>
          <w:noProof/>
        </w:rPr>
      </w:pPr>
      <w:r>
        <w:rPr>
          <w:noProof/>
        </w:rPr>
        <w:t>Propunerea introduce un cadru mai integrat pentru sprijinul acordat la nivelul UE autorităților de aplicare a legii, care reflectă amploarea și complexitatea criminalității transfrontaliere. Ea se axează pe facilitarea unei utilizări mai eficace a informațiilor, pe consolidarea sprijinului pentru investigațiile transfrontaliere și pe îmbunătățirea accesului la capacitățile comune, fără a modifica echilibrul fundamental al competențelor între UE și statele sale membre. În special, propunerea nu conferă Europol puteri coercitive, acestea rămânând în competența exclusivă a statelor membre.</w:t>
      </w:r>
    </w:p>
    <w:p>
      <w:pPr>
        <w:pBdr>
          <w:top w:val="nil"/>
          <w:left w:val="nil"/>
          <w:bottom w:val="nil"/>
          <w:right w:val="nil"/>
          <w:between w:val="nil"/>
          <w:bar w:val="nil"/>
        </w:pBdr>
        <w:spacing w:before="0" w:after="240"/>
        <w:rPr>
          <w:rFonts w:eastAsia="Arial Unicode MS"/>
          <w:noProof/>
        </w:rPr>
      </w:pPr>
      <w:r>
        <w:rPr>
          <w:noProof/>
        </w:rPr>
        <w:t>După caz, proporționalitatea măsurilor este susținută și de analiza efectuată în evaluarea impactului care însoțește prezenta propunere.</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pBdr>
          <w:top w:val="nil"/>
          <w:left w:val="nil"/>
          <w:bottom w:val="nil"/>
          <w:right w:val="nil"/>
          <w:between w:val="nil"/>
          <w:bar w:val="nil"/>
        </w:pBdr>
        <w:spacing w:before="0" w:after="240"/>
        <w:rPr>
          <w:noProof/>
        </w:rPr>
      </w:pPr>
      <w:r>
        <w:rPr>
          <w:noProof/>
        </w:rPr>
        <w:t xml:space="preserve">Propunerea ia forma unui regulament care abrogă Regulamentul (UE) 2016/794 de instituire a Europol. Abrogarea și înlocuirea cadrului existent sunt necesare având în vedere evoluția semnificativă a mandatului și a activităților Europol și, prin urmare, necesitatea unei schimbări corespunzătoare a abordării juridice. Regulamentul actual, conceput inițial ca un instrument flexibil și cu un cadru larg, nu mai este suficient pentru a susține responsabilitățile tot mai mari ale Europol sau complexitatea tot mai mare a operațiunilor sale, inclusiv rolul său extins în domeniul prelucrării datelor. </w:t>
      </w:r>
    </w:p>
    <w:p>
      <w:pPr>
        <w:pBdr>
          <w:top w:val="nil"/>
          <w:left w:val="nil"/>
          <w:bottom w:val="nil"/>
          <w:right w:val="nil"/>
          <w:between w:val="nil"/>
          <w:bar w:val="nil"/>
        </w:pBdr>
        <w:spacing w:before="0" w:after="240"/>
        <w:rPr>
          <w:noProof/>
        </w:rPr>
      </w:pPr>
      <w:r>
        <w:rPr>
          <w:noProof/>
        </w:rPr>
        <w:t>Evoluția rolului Europol necesită un cadru juridic modernizat și pe deplin structurat pentru a defini în mod clar responsabilitățile sale principale, pentru a elimina ambiguitățile și pentru a oferi securitatea juridică, previzibilitatea și responsabilitatea necesare pentru ca agenția să își îndeplinească în mod eficace mandatul consolidat. Cadrul juridic revizuit trebuie să permită Europol să își îndeplinească în mod eficient funcțiile consolidate, acționând într-un cadru juridic clar, solid și previzibil și menținând flexibilitatea operațională necesară pentru a răspunde amenințărilor în continuă evoluție.</w:t>
      </w:r>
    </w:p>
    <w:p>
      <w:pPr>
        <w:pBdr>
          <w:top w:val="nil"/>
          <w:left w:val="nil"/>
          <w:bottom w:val="nil"/>
          <w:right w:val="nil"/>
          <w:between w:val="nil"/>
          <w:bar w:val="nil"/>
        </w:pBdr>
        <w:spacing w:before="0" w:after="240"/>
        <w:rPr>
          <w:noProof/>
        </w:rPr>
      </w:pPr>
      <w:r>
        <w:rPr>
          <w:noProof/>
        </w:rPr>
        <w:t>Reformarea Regulamentului (UE) 2016/794 nu ar fi suficientă pentru a permite modernizarea Europol. Regulamentul actual nu oferă structura fundamentală necesară pentru a integra schimbări operaționale, analitice și tehnologice substanțiale, iar modificările progresive ar fi inadecvate pentru a stabili coerența, securitatea juridică și arhitectura instituțională necesare pentru un Europol pe deplin modernizat. Prezenta propunere vizează modificarea și extinderea dispozițiilor Regulamentului (UE) 2016/794. Întrucât modificările care trebuie aduse sunt substanțiale ca număr și natură, ar trebui, din motive de claritate, ca actul juridic respectiv să fie abrogat.</w:t>
      </w:r>
    </w:p>
    <w:p>
      <w:pPr>
        <w:pStyle w:val="ManualHeading1"/>
        <w:rPr>
          <w:noProof/>
        </w:rPr>
      </w:pPr>
      <w:r>
        <w:rPr>
          <w:noProof/>
        </w:rPr>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Evaluările ex post/verificarea adecvării legislației existente</w:t>
      </w:r>
    </w:p>
    <w:p>
      <w:pPr>
        <w:pBdr>
          <w:top w:val="nil"/>
          <w:left w:val="nil"/>
          <w:bottom w:val="nil"/>
          <w:right w:val="nil"/>
          <w:between w:val="nil"/>
          <w:bar w:val="nil"/>
        </w:pBdr>
        <w:spacing w:before="0" w:after="240"/>
        <w:rPr>
          <w:rFonts w:eastAsia="Arial Unicode MS"/>
          <w:noProof/>
        </w:rPr>
      </w:pPr>
      <w:r>
        <w:rPr>
          <w:noProof/>
        </w:rPr>
        <w:t>Evaluarea Regulamentului (UE) 2016/794, astfel cum a fost modificat prin Regulamentul (UE) 2022/991, efectuată în paralel cu evaluarea impactului care însoțește prezenta propunere, confirmă faptul că Europol joacă un rol central și unic în sprijinirea statelor membre în ceea ce privește prevenirea și combaterea criminalității grave și organizate și a terorismului, în special în investigațiile transfrontaliere. Pentru perioada 2017-2024, evaluarea a arătat că Europol a consolidat în mod semnificativ schimbul de informații și coordonarea operațională la nivelul Uniunii.</w:t>
      </w:r>
    </w:p>
    <w:p>
      <w:pPr>
        <w:pBdr>
          <w:top w:val="nil"/>
          <w:left w:val="nil"/>
          <w:bottom w:val="nil"/>
          <w:right w:val="nil"/>
          <w:between w:val="nil"/>
          <w:bar w:val="nil"/>
        </w:pBdr>
        <w:spacing w:before="0" w:after="240"/>
        <w:rPr>
          <w:rFonts w:eastAsia="Arial Unicode MS"/>
          <w:noProof/>
        </w:rPr>
      </w:pPr>
      <w:r>
        <w:rPr>
          <w:noProof/>
        </w:rPr>
        <w:t>În același timp, evaluarea evidențiază unele limitări structurale care împiedică Europol să își atingă pe deplin potențialul. Lacunele persistente în materie de informații, legate de contribuțiile inegale ale statelor membre în ceea ce privește datele și de constrângerile procedurale, limitează elaborarea unui tablou complet al datelor operative în materie penală la nivelul UE. Sprijinul operațional rămâne inconsecvent și, în unele cazuri, nu este integrat în mod corespunzător în investigațiile naționale. Între timp, cooperarea cu alte organe, oficii și agenții ale Uniunii este împiedicată de limitările cadrelor instituționale. În plus, evaluarea indică o presiune tot mai mare asupra resurselor și capacităților Europol, în special în contextul unor forme de criminalitate mai complexe, digitale și cu utilizare intensivă a datelor, care necesită soluții tehnologice scalabile și o capacitate analitică sporită.</w:t>
      </w:r>
    </w:p>
    <w:p>
      <w:pPr>
        <w:pBdr>
          <w:top w:val="nil"/>
          <w:left w:val="nil"/>
          <w:bottom w:val="nil"/>
          <w:right w:val="nil"/>
          <w:between w:val="nil"/>
          <w:bar w:val="nil"/>
        </w:pBdr>
        <w:spacing w:before="0" w:after="240"/>
        <w:rPr>
          <w:rFonts w:eastAsia="Arial Unicode MS"/>
          <w:noProof/>
        </w:rPr>
      </w:pPr>
      <w:r>
        <w:rPr>
          <w:noProof/>
        </w:rPr>
        <w:t>Aceste constatări evidențiază un decalaj structural între cadrul actual al Europol și peisajul amenințărilor în continuă evoluție și susțin necesitatea prezentei propuneri. Evaluarea detaliată este prezentată în documentul de lucru însoțitor al serviciilor Comisiei.</w:t>
      </w:r>
    </w:p>
    <w:p>
      <w:pPr>
        <w:pBdr>
          <w:top w:val="nil"/>
          <w:left w:val="nil"/>
          <w:bottom w:val="nil"/>
          <w:right w:val="nil"/>
          <w:between w:val="nil"/>
          <w:bar w:val="nil"/>
        </w:pBdr>
        <w:spacing w:before="0" w:after="240"/>
        <w:rPr>
          <w:rFonts w:eastAsia="Arial Unicode MS"/>
          <w:noProof/>
        </w:rPr>
      </w:pPr>
      <w:r>
        <w:rPr>
          <w:noProof/>
        </w:rPr>
        <w:t>În plus, raportul Comisiei întocmit în temeiul articolului 68 alineatul (3) din Regulamentul (UE) 2016/794 (</w:t>
      </w:r>
      <w:r>
        <w:rPr>
          <w:rStyle w:val="FootnoteReference"/>
          <w:rFonts w:eastAsia="Arial Unicode MS"/>
          <w:noProof/>
        </w:rPr>
        <w:footnoteReference w:id="34"/>
      </w:r>
      <w:r>
        <w:rPr>
          <w:noProof/>
        </w:rPr>
        <w:t xml:space="preserve">) confirmă faptul că Europol a înregistrat progrese substanțiale în ceea ce privește Regulamentul de punere în aplicare (UE) 2022/991. Europol a pus în aplicare aproape toate noile sale atribuții analitice și de prelucrare a datelor, inclusiv gestionarea seturilor de date mari și complexe și sprijinirea proiectelor de cercetare și inovare prin cadre specifice. Capacitățile extinse ale Europol au consolidat investigațiile transfrontaliere, au îmbunătățit schimbul de informații între statele membre și au intensificat sprijinul analitic în combaterea criminalității grave și organizate și a terorismului, fără a se constata efecte negative asupra drepturilor fundamentale ca urmare a garanțiilor existente. Statele membre continuă să utilizeze în mod activ noile instrumente ale Europol, ceea ce reflectă o dependență operațională tot mai mare de capacitățile sale. </w:t>
      </w:r>
    </w:p>
    <w:p>
      <w:pPr>
        <w:pBdr>
          <w:top w:val="nil"/>
          <w:left w:val="nil"/>
          <w:bottom w:val="nil"/>
          <w:right w:val="nil"/>
          <w:between w:val="nil"/>
          <w:bar w:val="nil"/>
        </w:pBdr>
        <w:spacing w:before="0" w:after="240"/>
        <w:rPr>
          <w:rFonts w:eastAsia="Arial Unicode MS"/>
          <w:noProof/>
        </w:rPr>
      </w:pPr>
      <w:r>
        <w:rPr>
          <w:noProof/>
        </w:rPr>
        <w:t>În același timp, evaluarea identifică unele limitări structurale și operaționale care împiedică utilizarea deplină a noilor capacități ale Europol. Procesele complexe de protecție a datelor încetinesc adoptarea operațională și descurajează utilizarea consecventă a instrumentelor în investigațiile de zi cu zi. Sprijinul operațional este integrat în mod inegal în investigațiile naționale, în timp ce constrângerile în ceea ce privește capacitatea analitică și scalabilitatea tehnologică limitează capacitatea Europol de a prelucra și de a acționa cu privire la volume tot mai mari de date complexe. În raport se constată, de asemenea, că amploarea tot mai mare și gradul tot mai ridicat de sofisticare a criminalității digitale și transfrontaliere necesită soluții operaționale mai avansate, mai flexibile și mai scalabile pentru a se asigura că Europol poate răspunde în mod eficace în toate statele membre.</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Consultarea cu părțile interesate</w:t>
      </w:r>
    </w:p>
    <w:p>
      <w:pPr>
        <w:pBdr>
          <w:top w:val="nil"/>
          <w:left w:val="nil"/>
          <w:bottom w:val="nil"/>
          <w:right w:val="nil"/>
          <w:between w:val="nil"/>
          <w:bar w:val="nil"/>
        </w:pBdr>
        <w:spacing w:before="0" w:after="240"/>
        <w:rPr>
          <w:rFonts w:eastAsia="Arial Unicode MS"/>
          <w:noProof/>
        </w:rPr>
      </w:pPr>
      <w:r>
        <w:rPr>
          <w:noProof/>
        </w:rPr>
        <w:t xml:space="preserve">S-a desfășurat un proces de consultare amănunțit și cuprinzător pentru a colecta contribuții din partea statelor membre, a Europol, a agențiilor UE, a rețelelor de aplicare a legii și a părților private (întreprinderi și asociații de întreprinderi, precum și organizații neguvernamentale, ale societății civile și de cercetare). </w:t>
      </w:r>
    </w:p>
    <w:p>
      <w:pPr>
        <w:pBdr>
          <w:top w:val="nil"/>
          <w:left w:val="nil"/>
          <w:bottom w:val="nil"/>
          <w:right w:val="nil"/>
          <w:between w:val="nil"/>
          <w:bar w:val="nil"/>
        </w:pBdr>
        <w:spacing w:before="0" w:after="240"/>
        <w:rPr>
          <w:rFonts w:eastAsia="Arial Unicode MS"/>
          <w:noProof/>
        </w:rPr>
      </w:pPr>
      <w:r>
        <w:rPr>
          <w:noProof/>
        </w:rPr>
        <w:t>Discuțiile inițiale de definire a domeniului de aplicare din perioada aprilie-iunie 2025 au implicat schimburi la nivel înalt cu Comitetul permanent pentru cooperarea operațională în materie de securitate internă (COSI), cu Consiliul de administrație al Europol și cu șefii polițiilor naționale. Aceste discuții au contribuit la identificarea priorităților operaționale, a provocărilor în ceea ce privește cooperarea transfrontalieră și a limitelor politice care ar trebui să ghideze reforma cadrului Europol. Acestea au fost urmate de o colectare aprofundată de date în perioada iulie 2025-februarie 2026 prin intermediul unei cereri de contribuții, al unei consultări publice și al unor ateliere tematice cu experți din statele membre.</w:t>
      </w:r>
    </w:p>
    <w:p>
      <w:pPr>
        <w:pBdr>
          <w:top w:val="nil"/>
          <w:left w:val="nil"/>
          <w:bottom w:val="nil"/>
          <w:right w:val="nil"/>
          <w:between w:val="nil"/>
          <w:bar w:val="nil"/>
        </w:pBdr>
        <w:spacing w:before="0" w:after="240"/>
        <w:rPr>
          <w:rFonts w:eastAsia="Arial Unicode MS"/>
          <w:noProof/>
        </w:rPr>
      </w:pPr>
      <w:r>
        <w:rPr>
          <w:noProof/>
        </w:rPr>
        <w:t>În general, părțile interesate și-au exprimat sprijinul ferm pentru valoarea adăugată a Europol, în special în ceea ce privește facilitarea schimbului transfrontalier de informații, analiza datelor operative în materie penală și coordonarea operațională. În același timp, ele au identificat deficiențe operaționale importante care îi limitează eficacitatea, în special constrângeri juridice și procedurale legate de prelucrarea datelor. Părțile interesate au subliniat, de asemenea, necesitatea de a consolida sprijinul operațional al Europol, de a dezvolta sisteme mai automatizate și interoperabile și de a stimula capacitățile tehnologice și analitice, inclusiv prin instrumente digitale la nivelul UE și printr-o cooperare mai strânsă cu organele, oficiile și agențiile UE. Părțile interesate din sectorul privat au subliniat, de asemenea, importanța securității juridice în schimbul de date, în special în ceea ce privește criminalitatea informatică.</w:t>
      </w:r>
    </w:p>
    <w:p>
      <w:pPr>
        <w:pBdr>
          <w:top w:val="nil"/>
          <w:left w:val="nil"/>
          <w:bottom w:val="nil"/>
          <w:right w:val="nil"/>
          <w:between w:val="nil"/>
          <w:bar w:val="nil"/>
        </w:pBdr>
        <w:spacing w:before="0" w:after="240"/>
        <w:rPr>
          <w:rFonts w:eastAsia="Arial Unicode MS"/>
          <w:noProof/>
        </w:rPr>
      </w:pPr>
      <w:r>
        <w:rPr>
          <w:noProof/>
        </w:rPr>
        <w:t>Consultările au evidențiat, de asemenea, importanța asigurării faptului că orice consolidare a rolului Europol rămâne pe deplin coerentă cu drepturile fundamentale, în special cu cerințele privind protecția datelor, și respectă responsabilitățile statelor membre în materie de securitate națională și de aplicare a legii. Au apărut opinii divergente cu privire la o posibilă extindere suplimentară a competențelor Europol în ceea ce privește amenințările hibride, pe care mai multe părți interesate le-au considerat sensibile din punct de vedere politic, dar, în principiu, bine acoperite de cadrul juridic al Europol.</w:t>
      </w:r>
    </w:p>
    <w:p>
      <w:pPr>
        <w:pBdr>
          <w:top w:val="nil"/>
          <w:left w:val="nil"/>
          <w:bottom w:val="nil"/>
          <w:right w:val="nil"/>
          <w:between w:val="nil"/>
          <w:bar w:val="nil"/>
        </w:pBdr>
        <w:spacing w:before="0" w:after="240"/>
        <w:rPr>
          <w:rFonts w:eastAsia="Arial Unicode MS"/>
          <w:noProof/>
        </w:rPr>
      </w:pPr>
      <w:r>
        <w:rPr>
          <w:noProof/>
        </w:rPr>
        <w:t>Contribuțiile primite de la părțile interesate au stat direct la baza elaborării propunerii, confirmând necesitatea de a remedia lacunele în materie de informații, fragmentarea operațională și constrângerile în materie de capacități tehnologice. Ele au ghidat, de asemenea, elaborarea de măsuri de consolidare a schimbului de date, de simplificare a procedurilor și de stimulare a cooperării, asigurând în același timp garanții adecvate și respectând limitele mandatului Europol în temeiul Tratatului privind funcționarea Uniunii Europene.</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pPr>
        <w:pBdr>
          <w:top w:val="nil"/>
          <w:left w:val="nil"/>
          <w:bottom w:val="nil"/>
          <w:right w:val="nil"/>
          <w:between w:val="nil"/>
          <w:bar w:val="nil"/>
        </w:pBdr>
        <w:spacing w:before="0" w:after="240"/>
        <w:rPr>
          <w:rFonts w:eastAsia="Arial Unicode MS"/>
          <w:noProof/>
        </w:rPr>
      </w:pPr>
      <w:r>
        <w:rPr>
          <w:noProof/>
        </w:rPr>
        <w:t>Comisia s-a bazat pe cunoștințe de specialitate externe pentru a susține atât evaluarea, cât și analiza de impact care însoțesc prezenta propunere. În special, un studiu extern efectuat în perioada iulie 2025-iunie 2026 a oferit o bază de dovezi cuprinzătoare bazată pe contribuții din partea statelor membre, a organelor, oficiilor și agențiilor UE, a rețelelor de aplicare a legii și a părților interesate relevante. În plus, Comisia a luat în considerare o gamă largă de contribuții, inclusiv documente de politică prezentate în cursul pregătirii prezentei propuneri.</w:t>
      </w:r>
    </w:p>
    <w:p>
      <w:pPr>
        <w:pStyle w:val="ManualHeading2"/>
        <w:rPr>
          <w:rFonts w:eastAsia="Arial Unicode MS"/>
          <w:noProof/>
          <w:bdr w:val="nil"/>
        </w:rPr>
      </w:pPr>
      <w:r>
        <w:rPr>
          <w:noProof/>
          <w:bdr w:val="nil"/>
        </w:rPr>
        <w:t>•</w:t>
      </w:r>
      <w:r>
        <w:rPr>
          <w:noProof/>
        </w:rPr>
        <w:tab/>
        <w:t>Evaluarea impactului</w:t>
      </w:r>
    </w:p>
    <w:p>
      <w:pPr>
        <w:pBdr>
          <w:top w:val="nil"/>
          <w:left w:val="nil"/>
          <w:bottom w:val="nil"/>
          <w:right w:val="nil"/>
          <w:between w:val="nil"/>
          <w:bar w:val="nil"/>
        </w:pBdr>
        <w:spacing w:before="0" w:after="240"/>
        <w:rPr>
          <w:rFonts w:eastAsia="Arial Unicode MS"/>
          <w:noProof/>
        </w:rPr>
      </w:pPr>
      <w:r>
        <w:rPr>
          <w:noProof/>
        </w:rPr>
        <w:t xml:space="preserve">Prezenta propunere este susținută de o evaluare a impactului, în cadrul căreia s-au analizat o serie de opțiuni de politică menite să soluționeze problemele identificate legate de lacunele în materie de informații, fragmentarea operațională și constrângerile în materie de capacități. </w:t>
      </w:r>
    </w:p>
    <w:p>
      <w:pPr>
        <w:pBdr>
          <w:top w:val="nil"/>
          <w:left w:val="nil"/>
          <w:bottom w:val="nil"/>
          <w:right w:val="nil"/>
          <w:between w:val="nil"/>
          <w:bar w:val="nil"/>
        </w:pBdr>
        <w:spacing w:before="0" w:after="240"/>
        <w:rPr>
          <w:rFonts w:eastAsia="Arial Unicode MS"/>
          <w:noProof/>
        </w:rPr>
      </w:pPr>
      <w:r>
        <w:rPr>
          <w:noProof/>
        </w:rPr>
        <w:t>Evaluarea impactului s-a axat pe aspectele care prezintă cele mai importante implicații politice, operaționale și în materie de drepturi fundamentale. Prin urmare, domeniile în care exista deja un sprijin larg, inclusiv dezvoltarea capacităților și a tehnologiei, nu au făcut obiectul evaluării.</w:t>
      </w:r>
    </w:p>
    <w:p>
      <w:pPr>
        <w:pBdr>
          <w:top w:val="nil"/>
          <w:left w:val="nil"/>
          <w:bottom w:val="nil"/>
          <w:right w:val="nil"/>
          <w:between w:val="nil"/>
          <w:bar w:val="nil"/>
        </w:pBdr>
        <w:spacing w:before="0" w:after="240"/>
        <w:rPr>
          <w:rFonts w:eastAsia="Arial Unicode MS"/>
          <w:noProof/>
        </w:rPr>
      </w:pPr>
      <w:r>
        <w:rPr>
          <w:noProof/>
        </w:rPr>
        <w:t xml:space="preserve">Au fost luate în considerare două abordări politice principale. </w:t>
      </w:r>
    </w:p>
    <w:p>
      <w:pPr>
        <w:pBdr>
          <w:top w:val="nil"/>
          <w:left w:val="nil"/>
          <w:bottom w:val="nil"/>
          <w:right w:val="nil"/>
          <w:between w:val="nil"/>
          <w:bar w:val="nil"/>
        </w:pBdr>
        <w:spacing w:before="0" w:after="240"/>
        <w:rPr>
          <w:rFonts w:eastAsia="Arial Unicode MS"/>
          <w:noProof/>
        </w:rPr>
      </w:pPr>
      <w:r>
        <w:rPr>
          <w:noProof/>
        </w:rPr>
        <w:t xml:space="preserve">Prima abordare s-a axat pe îmbunătățiri specifice ale modelului operațional existent prin consolidarea disponibilității datelor, stimularea cooperării cu organele, oficiile și agențiile UE și îmbunătățirea integrării instrumentelor și sistemelor informatice ale Europol în fluxurile de lucru naționale în materie de investigații. Printre acestea s-au numărat măsuri precum conectarea la sistemele naționale de gestionare a cazurilor și consultarea mai sistematică a sistemelor Europol în cadrul investigațiilor relevante. </w:t>
      </w:r>
    </w:p>
    <w:p>
      <w:pPr>
        <w:pBdr>
          <w:top w:val="nil"/>
          <w:left w:val="nil"/>
          <w:bottom w:val="nil"/>
          <w:right w:val="nil"/>
          <w:between w:val="nil"/>
          <w:bar w:val="nil"/>
        </w:pBdr>
        <w:spacing w:before="0" w:after="240"/>
        <w:rPr>
          <w:rFonts w:eastAsia="Arial Unicode MS"/>
          <w:noProof/>
        </w:rPr>
      </w:pPr>
      <w:r>
        <w:rPr>
          <w:noProof/>
        </w:rPr>
        <w:t>A doua abordare a avut în vedere o evoluție mai structurală a modelului operațional al Europol. Scopul său a fost acela de a depăși un cadru axat în principal pe transmiterea bilaterală a informațiilor, orientându-se către dezvoltarea unor infrastructuri de comunicații comune la nivelul UE, în special a spațiului comun de date al poliției din UE. Această abordare a prevăzut, de asemenea, o formă mai integrată de sprijin operațional, încorporată direct în mediile naționale de anchetă, inclusiv prin înființarea birourilor de sprijin ale Europol în statele membre. În plus, abordarea a inclus o modernizare substanțială a cadrului Europol de prelucrare a datelor și o cooperare consolidată cu EPPO.</w:t>
      </w:r>
    </w:p>
    <w:p>
      <w:pPr>
        <w:pBdr>
          <w:top w:val="nil"/>
          <w:left w:val="nil"/>
          <w:bottom w:val="nil"/>
          <w:right w:val="nil"/>
          <w:between w:val="nil"/>
          <w:bar w:val="nil"/>
        </w:pBdr>
        <w:spacing w:before="0" w:after="240"/>
        <w:rPr>
          <w:rFonts w:eastAsia="Arial Unicode MS"/>
          <w:noProof/>
        </w:rPr>
      </w:pPr>
      <w:r>
        <w:rPr>
          <w:noProof/>
        </w:rPr>
        <w:t>Pe această bază, opțiunea de politică preferată combină elemente ale ambelor abordări. Aceasta se bazează pe îmbunătățirile progresive identificate în cadrul primei abordări, în special în ceea ce privește consolidarea disponibilității datelor, modernizarea sistemelor și integrarea instrumentelor Europol în investigațiile naționale. În același timp, ea depășește modelul existent atunci când este necesar pentru a aborda limitările structurale prin permiterea accesului autorizat la datele naționale, prin consolidarea prezenței operaționale a Europol în statele membre și prin consolidarea cooperării sale cu EPPO. Aceste măsuri sunt concepute pentru a se consolida reciproc. În special, îmbunătățirile progresive din cadrul primei abordări creează condițiile necesare pentru ca măsurile mai avansate să funcționeze în mod eficace.</w:t>
      </w:r>
    </w:p>
    <w:p>
      <w:pPr>
        <w:pBdr>
          <w:top w:val="nil"/>
          <w:left w:val="nil"/>
          <w:bottom w:val="nil"/>
          <w:right w:val="nil"/>
          <w:between w:val="nil"/>
          <w:bar w:val="nil"/>
        </w:pBdr>
        <w:spacing w:before="0" w:after="240"/>
        <w:rPr>
          <w:rFonts w:eastAsia="Arial Unicode MS"/>
          <w:noProof/>
        </w:rPr>
      </w:pPr>
      <w:r>
        <w:rPr>
          <w:noProof/>
        </w:rPr>
        <w:t>Se preconizează că opțiunea de politică preferată va îmbunătăți în mod semnificativ eficacitatea cooperării transfrontaliere în materie de aplicare a legii prin reducerea fragmentării informațiilor, prin accelerarea identificării legăturilor operaționale între investigații și prin consolidarea coordonării operaționale între organele, oficiile și agențiile UE. De asemenea, se preconizează că această opțiune va îmbunătăți capacitatea autorităților naționale de a investiga forme de criminalitate din ce în ce mai digitale, transfrontaliere și care utilizează în mod intensiv datele, prin consolidarea sprijinului analitic, prin capacități tehnologice comune și prin structuri de sprijin operațional mai integrate. Se preconizează că cetățenii vor beneficia de pe urma consolidării securității interne și a unei preveniri și combateri mai eficace a criminalității grave și organizate, precum și a terorismului.</w:t>
      </w:r>
    </w:p>
    <w:p>
      <w:pPr>
        <w:pBdr>
          <w:top w:val="nil"/>
          <w:left w:val="nil"/>
          <w:bottom w:val="nil"/>
          <w:right w:val="nil"/>
          <w:between w:val="nil"/>
          <w:bar w:val="nil"/>
        </w:pBdr>
        <w:spacing w:before="0" w:after="240"/>
        <w:rPr>
          <w:rFonts w:eastAsia="Arial Unicode MS"/>
          <w:noProof/>
        </w:rPr>
      </w:pPr>
      <w:r>
        <w:rPr>
          <w:noProof/>
        </w:rPr>
        <w:t>Opțiunea de politică preferată necesită investiții semnificative atât la nivelul UE, cât și la nivelul statelor membre, în special pentru dezvoltarea unor infrastructuri tehnologice comune, a unor soluții de interoperabilitate, a unor măsuri de integrare operațională și a unor capacități analitice și operaționale consolidate. Costurile unice estimate se ridică la aproximativ 255 de milioane EUR pentru statele membre și la 240 de milioane EUR pentru Europol, în timp ce costurile recurente anuale sunt estimate la aproximativ 48 de milioane EUR pentru statele membre și la 78 de milioane EUR pentru Europol. Costurile totale estimate pentru perioada 2028-2034 se ridică la aproximativ 590 de milioane EUR pentru statele membre și la 789 de milioane EUR pentru Europol. În același timp, se preconizează că utilizarea infrastructurilor și a capacităților comune la nivelul UE va genera îmbunătățiri considerabile ale eficienței și economii de scară, inclusiv economii estimate la aproximativ 42 de milioane EUR în comparație cu abordările de punere în aplicare separate.</w:t>
      </w:r>
    </w:p>
    <w:p>
      <w:pPr>
        <w:pBdr>
          <w:top w:val="nil"/>
          <w:left w:val="nil"/>
          <w:bottom w:val="nil"/>
          <w:right w:val="nil"/>
          <w:between w:val="nil"/>
          <w:bar w:val="nil"/>
        </w:pBdr>
        <w:spacing w:before="0" w:after="240"/>
        <w:rPr>
          <w:rFonts w:eastAsia="Arial Unicode MS"/>
          <w:noProof/>
        </w:rPr>
      </w:pPr>
      <w:r>
        <w:rPr>
          <w:noProof/>
        </w:rPr>
        <w:t>Ingerința în drepturile la viață privată și la protecția datelor cu caracter personal care rezultă din opțiunea de politică preferată rămâne atât necesară, cât și proporțională. Acest lucru este justificat având în vedere obiectivul său: asigurarea prevenirii și a combaterii eficace a criminalității grave și organizate și a terorismului într-un peisaj operațional din ce în ce mai digital și transfrontalier. Evaluarea impactului a concluzionat că actualul cadru de prelucrare a datelor nu mai reflectă realitățile operaționale ale datelor operative moderne în materie penală și creează limitări structurale care afectează capacitatea Europol de a sprijini în mod eficace statele membre. În același timp, propunerea consolidează și restructurează în mod substanțial cadrul de garanții aplicabil activităților de prelucrare ale Europol. În special, ea introduce un cadru juridic și tehnic mai detaliat care reglementează mediile de date ale Europol, regimurile de prelucrare, condițiile de acces, separarea mediilor de prelucrare, cerințele de înregistrare și trasabilitate, perioadele de stocare și mecanismul de supraveghere și control.</w:t>
      </w:r>
    </w:p>
    <w:p>
      <w:pPr>
        <w:pBdr>
          <w:top w:val="nil"/>
          <w:left w:val="nil"/>
          <w:bottom w:val="nil"/>
          <w:right w:val="nil"/>
          <w:between w:val="nil"/>
          <w:bar w:val="nil"/>
        </w:pBdr>
        <w:spacing w:before="0" w:after="240"/>
        <w:rPr>
          <w:rFonts w:eastAsia="Times New Roman"/>
          <w:noProof/>
          <w:szCs w:val="24"/>
        </w:rPr>
      </w:pPr>
      <w:r>
        <w:rPr>
          <w:noProof/>
        </w:rPr>
        <w:t xml:space="preserve">Evaluarea impactului a primit un aviz pozitiv din partea Comitetului independent de control normativ (CCN) al Comisiei la 17 aprilie 2026. Fișa rezumat a evaluării impactului este disponibilă la următoarea adresă: </w:t>
      </w:r>
      <w:hyperlink r:id="rId10" w:history="1">
        <w:r>
          <w:rPr>
            <w:rStyle w:val="Hyperlink"/>
            <w:noProof/>
          </w:rPr>
          <w:t>Executive summary of the Impact assessment - Migration and Home Affairs</w:t>
        </w:r>
      </w:hyperlink>
      <w:r>
        <w:rPr>
          <w:noProof/>
        </w:rPr>
        <w:t xml:space="preserve"> (Rezumat al evaluării impactului – Migrație și afaceri interne). </w:t>
      </w:r>
    </w:p>
    <w:p>
      <w:pPr>
        <w:pBdr>
          <w:top w:val="nil"/>
          <w:left w:val="nil"/>
          <w:bottom w:val="nil"/>
          <w:right w:val="nil"/>
          <w:between w:val="nil"/>
          <w:bar w:val="nil"/>
        </w:pBdr>
        <w:spacing w:before="0" w:after="240"/>
        <w:rPr>
          <w:rFonts w:eastAsia="Arial Unicode MS"/>
          <w:noProof/>
        </w:rPr>
      </w:pPr>
      <w:r>
        <w:rPr>
          <w:noProof/>
        </w:rPr>
        <w:t>CCN a solicitat îmbunătățiri ale evaluării impactului în ceea ce privește contextul de politici, baza de dovezi, logica de intervenție, analiza impactului și cadrul de monitorizare. Ca răspuns, evaluarea impactului a fost revizuită pentru a explica mai bine evoluția mandatului Europol și a cadrului mai larg de securitate al UE, pentru a consolida baza de dovezi prin concluziile evaluărilor și datele operaționale, pentru a perfecționa obiectivele și opțiunile de politică, pentru a aprofunda evaluarea impactului și a garanțiilor și pentru a consolida cadrul de monitorizare și evaluare prin obiective și indicatori mai clari.</w:t>
      </w:r>
    </w:p>
    <w:p>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pPr>
        <w:pBdr>
          <w:top w:val="nil"/>
          <w:left w:val="nil"/>
          <w:bottom w:val="nil"/>
          <w:right w:val="nil"/>
          <w:between w:val="nil"/>
          <w:bar w:val="nil"/>
        </w:pBdr>
        <w:spacing w:before="0" w:after="240"/>
        <w:rPr>
          <w:noProof/>
        </w:rPr>
      </w:pPr>
      <w:r>
        <w:rPr>
          <w:noProof/>
        </w:rPr>
        <w:t>Propunerea aduce o simplificare majoră a normelor Europol privind prelucrarea datelor și a procedurilor conexe, remediind în mod direct ineficiențele din cadrul actual. În prezent, majoritatea seturilor de date primite de Europol sunt nestructurate, iar punerea în aplicare a normelor existente privind clasificarea datelor și a derogărilor este extrem de complexă și necesită numeroase resurse. Propunerea aliniază aceste norme la Regulamentul (UE) 2018/1725, eliminând complexitatea inutilă care era unică pentru Europol, menținând în același timp standarde ridicate de protecție a datelor prin această aliniere.</w:t>
      </w:r>
    </w:p>
    <w:p>
      <w:pPr>
        <w:pBdr>
          <w:top w:val="nil"/>
          <w:left w:val="nil"/>
          <w:bottom w:val="nil"/>
          <w:right w:val="nil"/>
          <w:between w:val="nil"/>
          <w:bar w:val="nil"/>
        </w:pBdr>
        <w:spacing w:before="0" w:after="240"/>
        <w:rPr>
          <w:noProof/>
        </w:rPr>
      </w:pPr>
      <w:r>
        <w:rPr>
          <w:noProof/>
        </w:rPr>
        <w:t xml:space="preserve">La fel s-a procedat și în cazul procedurilor de consultare prealabilă, care în prezent pot întârzia desfășurarea operațională a noilor capacități. Propunerea simplifică aceste proceduri, eliminând blocajele procedurale și accelerând punerea în aplicare, eliberând în același timp resurse operaționale semnificative. Împreună, aceste schimbări reduc volumul de lucru administrativă și, prin urmare, resursele umane și financiare aferente necesare pentru guvernanță. </w:t>
      </w:r>
    </w:p>
    <w:p>
      <w:pPr>
        <w:pBdr>
          <w:top w:val="nil"/>
          <w:left w:val="nil"/>
          <w:bottom w:val="nil"/>
          <w:right w:val="nil"/>
          <w:between w:val="nil"/>
          <w:bar w:val="nil"/>
        </w:pBdr>
        <w:spacing w:before="0" w:after="240"/>
        <w:rPr>
          <w:noProof/>
        </w:rPr>
      </w:pPr>
      <w:r>
        <w:rPr>
          <w:noProof/>
        </w:rPr>
        <w:t>Propunerea introduce, de asemenea, mecanisme automatizate și structurate de schimb de date între statele membre și Europol și facilitează integrarea instrumentelor Europol în fluxurile de lucru naționale. Această abordare reduce în mod semnificativ sarcina administrativă a statelor membre, elimină necesitatea prelucrării manuale a datelor, accelerează schimbul de date operative în materie penală și permite autorităților statelor membre să se concentreze mai degrabă asupra sarcinilor principale de aplicare a legii decât asupra proceselor administrative.</w:t>
      </w:r>
    </w:p>
    <w:p>
      <w:pPr>
        <w:pBdr>
          <w:top w:val="nil"/>
          <w:left w:val="nil"/>
          <w:bottom w:val="nil"/>
          <w:right w:val="nil"/>
          <w:between w:val="nil"/>
          <w:bar w:val="nil"/>
        </w:pBdr>
        <w:spacing w:before="0" w:after="240"/>
        <w:rPr>
          <w:noProof/>
        </w:rPr>
      </w:pPr>
      <w:r>
        <w:rPr>
          <w:noProof/>
        </w:rPr>
        <w:t>Propunerea este, de asemenea, în concordanță cu evaluarea din perspectiva digitală, deoarece sprijină transformarea digitală a cooperării în materie de aplicare a legii prin intermediul unor sisteme interoperabile, al schimbului automatizat de date și al unor infrastructuri digitale securizate, adaptate la caracterul din ce în ce mai digital al criminalității.</w:t>
      </w:r>
    </w:p>
    <w:p>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pPr>
        <w:pBdr>
          <w:top w:val="nil"/>
          <w:left w:val="nil"/>
          <w:bottom w:val="nil"/>
          <w:right w:val="nil"/>
          <w:between w:val="nil"/>
          <w:bar w:val="nil"/>
        </w:pBdr>
        <w:spacing w:before="0" w:after="240"/>
        <w:rPr>
          <w:rFonts w:eastAsia="Arial Unicode MS"/>
          <w:noProof/>
        </w:rPr>
      </w:pPr>
      <w:r>
        <w:rPr>
          <w:noProof/>
        </w:rPr>
        <w:t>Întrucât propunerea implică prelucrarea și schimbul de date cu caracter personal în scopul asigurării respectării legii, s-a acordat o atenție deosebită respectării principiilor, drepturilor și libertăților recunoscute în Carta drepturilor fundamentale a Uniunii Europene, în special a dreptului la respectarea vieții private și de familie (articolul 7) și a dreptului la protecția datelor cu caracter personal (articolul 8), precum și asigurării conformității cu cadrul UE privind protecția datelor, inclusiv cu Regulamentul (UE) 2018/1725.</w:t>
      </w:r>
    </w:p>
    <w:p>
      <w:pPr>
        <w:pBdr>
          <w:top w:val="nil"/>
          <w:left w:val="nil"/>
          <w:bottom w:val="nil"/>
          <w:right w:val="nil"/>
          <w:between w:val="nil"/>
          <w:bar w:val="nil"/>
        </w:pBdr>
        <w:spacing w:before="0" w:after="240"/>
        <w:rPr>
          <w:rFonts w:eastAsia="Arial Unicode MS"/>
          <w:noProof/>
        </w:rPr>
      </w:pPr>
      <w:r>
        <w:rPr>
          <w:noProof/>
        </w:rPr>
        <w:t>Propunerea nu introduce noi categorii de date cu caracter personal sau noi scopuri de prelucrare. În schimb, aceasta simplifică cerințele conform cărora datele obținute în mod legal pot fi prelucrate prin alinierea normelor privind clasificarea persoanelor vizate în temeiul cadrului juridic al Europol la Regulamentul (UE) 2018/1725. Europol are în continuare obligația de a face distincție între categoriile de persoane vizate. În cazul în care o astfel de distincție nu este posibilă sau în cazul în care prelucrarea în afara acestor categorii este necesară pentru îndeplinirea atribuțiilor Europol, prelucrarea poate avea loc sub rezerva condițiilor prevăzute în prezentul regulament și a supravegherii adecvate, inclusiv cu implicarea responsabilului cu protecția datelor din cadrul Europol. Propunerea menține garanțiile de bază ale cadrului existent, inclusiv cerințele privind limitarea scopului, necesitatea și proporționalitatea și supravegherea independentă de către Autoritatea Europeană pentru Protecția Datelor.</w:t>
      </w:r>
    </w:p>
    <w:p>
      <w:pPr>
        <w:pBdr>
          <w:top w:val="nil"/>
          <w:left w:val="nil"/>
          <w:bottom w:val="nil"/>
          <w:right w:val="nil"/>
          <w:between w:val="nil"/>
          <w:bar w:val="nil"/>
        </w:pBdr>
        <w:spacing w:before="0" w:after="240"/>
        <w:rPr>
          <w:rFonts w:eastAsia="Arial Unicode MS"/>
          <w:noProof/>
        </w:rPr>
      </w:pPr>
      <w:r>
        <w:rPr>
          <w:noProof/>
        </w:rPr>
        <w:t>Deși o astfel de prelucrare poate aduce atingere drepturilor garantate la articolele 7 și 8 din Carta drepturilor fundamentale a Uniunii Europene, această ingerință este justificată de obiectivul de prevenire și combatere a criminalității grave și organizate și a terorismului și se limitează la ceea ce este necesar și proporțional pentru îndeplinirea atribuțiilor Europol. În anchetele penale de astăzi, autoritățile competente colectează și transmit din ce în ce mai mult volume mari de date nestructurate provenite dintr-o varietate de surse, inclusiv dispozitive digitale, servicii de comunicații și platforme online. Astfel de seturi de date necesită adesea o prelucrare și o analiză complexe înainte ca informațiile pe care le conțin să poată fi organizate, interpretate, structurate și atribuite unor categorii specifice de persoane vizate. În plus, chiar și în cazul în care persoanele vizate pot fi clasificate, relevanța anumitor informații și existența unor legături între persoane, investigații, activități infracționale și rețele infracționale ar putea necesita o analiză suplimentară pe baza unor noi piste și informații care nu erau disponibile anterior. Prelucrarea unor astfel de seturi de date este, prin urmare, necesară pentru a permite Europol să identifice informațiile relevante, să detecteze conexiunile necunoscute anterior și să ofere un sprijin eficace statelor membre în prevenirea și combaterea criminalității grave și organizate și a terorismului, sub rezerva condițiilor prevăzute în prezentul regulament.</w:t>
      </w:r>
    </w:p>
    <w:p>
      <w:pPr>
        <w:pStyle w:val="ManualHeading1"/>
        <w:rPr>
          <w:noProof/>
        </w:rPr>
      </w:pPr>
      <w:r>
        <w:rPr>
          <w:noProof/>
        </w:rPr>
        <w:t>4.</w:t>
      </w:r>
      <w:r>
        <w:rPr>
          <w:noProof/>
        </w:rPr>
        <w:tab/>
        <w:t>IMPLICAȚII BUGETARE</w:t>
      </w:r>
    </w:p>
    <w:p>
      <w:pPr>
        <w:pBdr>
          <w:top w:val="nil"/>
          <w:left w:val="nil"/>
          <w:bottom w:val="nil"/>
          <w:right w:val="nil"/>
          <w:between w:val="nil"/>
          <w:bar w:val="nil"/>
        </w:pBdr>
        <w:spacing w:before="0" w:after="240"/>
        <w:rPr>
          <w:rFonts w:eastAsia="Arial Unicode MS"/>
          <w:noProof/>
        </w:rPr>
      </w:pPr>
      <w:r>
        <w:rPr>
          <w:noProof/>
        </w:rPr>
        <w:t>Propunerea are implicații bugetare atât la nivelul UE, cât și la nivelul statelor membre. La nivelul UE, consolidarea rolului Europol ca centru de informații, centru operațional și centru tehnologic va necesita resurse umane, tehnice și financiare suplimentare estimate la aproximativ 1,053 miliarde EUR pe parcursul perioadei de punere în aplicare. Aceste investiții se referă la consolidarea capacităților analitice și de prelucrare a datelor, a sprijinului operațional, a capacităților tehnologice și a infrastructurilor digitale securizate. În același timp și datorită simplificării și reducerii complexității administrative menționate mai sus, propunerea nu necesită nicio creștere a cheltuielilor Europol destinate guvernanței.</w:t>
      </w:r>
    </w:p>
    <w:p>
      <w:pPr>
        <w:pBdr>
          <w:top w:val="nil"/>
          <w:left w:val="nil"/>
          <w:bottom w:val="nil"/>
          <w:right w:val="nil"/>
          <w:between w:val="nil"/>
          <w:bar w:val="nil"/>
        </w:pBdr>
        <w:spacing w:before="0" w:after="240"/>
        <w:rPr>
          <w:rFonts w:eastAsia="Arial Unicode MS"/>
          <w:noProof/>
        </w:rPr>
      </w:pPr>
      <w:r>
        <w:rPr>
          <w:noProof/>
        </w:rPr>
        <w:t>Punerea în aplicare a propunerii va implica, de asemenea, costuri pentru statele membre, estimate la aproximativ 590 de milioane EUR sub formă de plăți pe parcursul primilor șapte ani, în special pentru adaptarea sistemelor naționale, a fluxurilor de lucru și a interfețelor tehnice necesare pentru a sprijini o cooperare mai integrată și mai automatizată cu sistemele și instrumentele Europol.</w:t>
      </w:r>
    </w:p>
    <w:p>
      <w:pPr>
        <w:pBdr>
          <w:top w:val="nil"/>
          <w:left w:val="nil"/>
          <w:bottom w:val="nil"/>
          <w:right w:val="nil"/>
          <w:between w:val="nil"/>
          <w:bar w:val="nil"/>
        </w:pBdr>
        <w:spacing w:before="0" w:after="240"/>
        <w:rPr>
          <w:rFonts w:eastAsia="Arial Unicode MS"/>
          <w:noProof/>
        </w:rPr>
      </w:pPr>
      <w:r>
        <w:rPr>
          <w:noProof/>
        </w:rPr>
        <w:t>Implicațiile financiare detaliate ale propunerii sunt prezentate în fișa financiară legislativă care însoțește propunerea. Implicațiile financiare și de personal estimate pentru 2028 și ulterior sunt prezentate doar cu titlu orientativ și nu aduc atingere deciziilor privind următorul buget multianual al UE (cadrul financiar multianual 2028-2034). Sursele de finanțare și amploarea angajamentului financiar al UE după 2027 vor depinde de rezultatul negocierilor interinstituționale pentru cadrul financiar multianual 2028-2034. Ulterior, acestea trebuie stabilite prin procedura bugetară anuală. Prin urmare, toate creditele și alocările de personal începând cu 2028 sunt orientative.</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Planurile de punere în aplicare și măsurile de monitorizare, evaluare și raportare</w:t>
      </w:r>
    </w:p>
    <w:p>
      <w:pPr>
        <w:pBdr>
          <w:top w:val="nil"/>
          <w:left w:val="nil"/>
          <w:bottom w:val="nil"/>
          <w:right w:val="nil"/>
          <w:between w:val="nil"/>
          <w:bar w:val="nil"/>
        </w:pBdr>
        <w:spacing w:before="0" w:after="240"/>
        <w:rPr>
          <w:noProof/>
        </w:rPr>
      </w:pPr>
      <w:r>
        <w:rPr>
          <w:noProof/>
        </w:rPr>
        <w:t>Punerea în aplicare a propunerii se va realiza în conformitate cu structuri de guvernanță consolidate, în concordanță cu abordarea comună aplicabilă agențiilor descentralizate ale UE, Europol urmând să prezinte rapoarte periodice Consiliului de administrație și grupului mixt de control parlamentar specializat. Un comitet executiv specializat va asista Consiliul de administrație în supravegherea pregătirii și a punerii în aplicare a programării anuale și multianuale și, în general, în consolidarea supravegherii gestiunii administrative și bugetare.</w:t>
      </w:r>
    </w:p>
    <w:p>
      <w:pPr>
        <w:pBdr>
          <w:top w:val="nil"/>
          <w:left w:val="nil"/>
          <w:bottom w:val="nil"/>
          <w:right w:val="nil"/>
          <w:between w:val="nil"/>
          <w:bar w:val="nil"/>
        </w:pBdr>
        <w:spacing w:before="0" w:after="240"/>
        <w:rPr>
          <w:noProof/>
        </w:rPr>
      </w:pPr>
      <w:r>
        <w:rPr>
          <w:noProof/>
        </w:rPr>
        <w:t>Performanța, rezultatele operaționale și respectarea obligațiilor legale și de protecție a datelor vor fi monitorizate și evaluate utilizând ciclurile și procedurile de raportare stabilite, completate, dacă este necesar, pentru a reflecta noile măsuri. Propunerea consolidează, de asemenea, capacitatea Europol de a genera rapoarte statistice mai structurate, automatizate și comparabile la nivelul UE, ceea ce va sprijini o monitorizare mai eficace a performanței globale a regulamentului.</w:t>
      </w:r>
    </w:p>
    <w:p>
      <w:pPr>
        <w:pBdr>
          <w:top w:val="nil"/>
          <w:left w:val="nil"/>
          <w:bottom w:val="nil"/>
          <w:right w:val="nil"/>
          <w:between w:val="nil"/>
          <w:bar w:val="nil"/>
        </w:pBdr>
        <w:spacing w:before="0" w:after="240"/>
        <w:rPr>
          <w:noProof/>
        </w:rPr>
      </w:pPr>
      <w:r>
        <w:rPr>
          <w:noProof/>
        </w:rPr>
        <w:t>Comisia va evalua funcționarea și eficacitatea regulamentului în conformitate cu cerințele standard de evaluare și va raporta cu privire la performanța acestuia.</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pPr>
        <w:pBdr>
          <w:top w:val="nil"/>
          <w:left w:val="nil"/>
          <w:bottom w:val="nil"/>
          <w:right w:val="nil"/>
          <w:between w:val="nil"/>
          <w:bar w:val="nil"/>
        </w:pBdr>
        <w:spacing w:before="240" w:after="240"/>
        <w:rPr>
          <w:b/>
          <w:bCs/>
          <w:noProof/>
        </w:rPr>
      </w:pPr>
      <w:r>
        <w:rPr>
          <w:b/>
          <w:noProof/>
        </w:rPr>
        <w:t>Capitolul I – Dispoziții generale, obiective și atribuții ale Europol</w:t>
      </w:r>
    </w:p>
    <w:p>
      <w:pPr>
        <w:pBdr>
          <w:top w:val="nil"/>
          <w:left w:val="nil"/>
          <w:bottom w:val="nil"/>
          <w:right w:val="nil"/>
          <w:between w:val="nil"/>
          <w:bar w:val="nil"/>
        </w:pBdr>
        <w:spacing w:before="0" w:after="240"/>
        <w:rPr>
          <w:noProof/>
        </w:rPr>
      </w:pPr>
      <w:r>
        <w:rPr>
          <w:noProof/>
        </w:rPr>
        <w:t>Capitolul I instituie Europol, îi definește obiectivele, statutul juridic, sediul și domeniul de competență și stabilește funcțiile principale prin care Europol sprijină autoritățile competente ale statelor membre.</w:t>
      </w:r>
    </w:p>
    <w:p>
      <w:pPr>
        <w:pBdr>
          <w:top w:val="nil"/>
          <w:left w:val="nil"/>
          <w:bottom w:val="nil"/>
          <w:right w:val="nil"/>
          <w:between w:val="nil"/>
          <w:bar w:val="nil"/>
        </w:pBdr>
        <w:spacing w:before="0" w:after="240"/>
        <w:rPr>
          <w:noProof/>
        </w:rPr>
      </w:pPr>
      <w:r>
        <w:rPr>
          <w:noProof/>
        </w:rPr>
        <w:t>Capitolul include, de asemenea, violența bazată pe gen printre formele de criminalitate care intră în sfera de competență a Europol. Acest lucru reflectă caracterul transfrontalier tot mai accentuat și facilitat de tehnologie al unui astfel de comportament și asigură coerența cu Directiva (UE) 2024/1385, permițând astfel Europol să sprijine statele membre într-un mod mai eficace prin schimbul de informații, analiza datelor operative în materie penală și cooperarea operațională.</w:t>
      </w:r>
    </w:p>
    <w:p>
      <w:pPr>
        <w:pBdr>
          <w:top w:val="nil"/>
          <w:left w:val="nil"/>
          <w:bottom w:val="nil"/>
          <w:right w:val="nil"/>
          <w:between w:val="nil"/>
          <w:bar w:val="nil"/>
        </w:pBdr>
        <w:spacing w:before="0" w:after="240"/>
        <w:rPr>
          <w:noProof/>
        </w:rPr>
      </w:pPr>
      <w:r>
        <w:rPr>
          <w:noProof/>
        </w:rPr>
        <w:t>Spre deosebire de Regulamentul (UE) 2016/794, care definește atribuțiile Europol printr-o listă amplă și detaliată de activități, articolul 4 propus structurează competența Europol în jurul principalelor sale funcții și responsabilități, și anume prelucrarea informațiilor și a datelor operative în materie penală, sprijinul operațional, analiza strategică și operațională, cooperarea cu organele, oficiile și agențiile Uniunii, țările terțe și organizațiile internaționale, precum și activitățile de cercetare și inovare. Normele detaliate care reglementează exercitarea acestor funcții, inclusiv procedurile, competențele, condițiile și garanțiile aplicabile, sunt prevăzute în capitolele de fond relevante.</w:t>
      </w:r>
    </w:p>
    <w:p>
      <w:pPr>
        <w:pBdr>
          <w:top w:val="nil"/>
          <w:left w:val="nil"/>
          <w:bottom w:val="nil"/>
          <w:right w:val="nil"/>
          <w:between w:val="nil"/>
          <w:bar w:val="nil"/>
        </w:pBdr>
        <w:spacing w:before="0" w:after="240"/>
        <w:rPr>
          <w:noProof/>
        </w:rPr>
      </w:pPr>
      <w:r>
        <w:rPr>
          <w:noProof/>
        </w:rPr>
        <w:t>Această abordare oferă un cadru juridic mai coerent, mai flexibil și mai clar. Aceasta consolidează transparența și responsabilitatea prin crearea unei structuri mai clare pentru modul în care se preconizează că Europol va funcționa și își va îndeplini mandatul, menținând în același timp flexibilitatea operațională necesară pentru ca Europol să răspundă în mod eficace la amenințările și realitățile operaționale în continuă evoluție.</w:t>
      </w:r>
    </w:p>
    <w:p>
      <w:pPr>
        <w:pBdr>
          <w:top w:val="nil"/>
          <w:left w:val="nil"/>
          <w:bottom w:val="nil"/>
          <w:right w:val="nil"/>
          <w:between w:val="nil"/>
          <w:bar w:val="nil"/>
        </w:pBdr>
        <w:spacing w:before="0" w:after="240"/>
        <w:rPr>
          <w:b/>
          <w:bCs/>
          <w:noProof/>
        </w:rPr>
      </w:pPr>
      <w:r>
        <w:rPr>
          <w:b/>
          <w:noProof/>
        </w:rPr>
        <w:t>Capitolul II – Cooperare operațională</w:t>
      </w:r>
    </w:p>
    <w:p>
      <w:pPr>
        <w:pBdr>
          <w:top w:val="nil"/>
          <w:left w:val="nil"/>
          <w:bottom w:val="nil"/>
          <w:right w:val="nil"/>
          <w:between w:val="nil"/>
          <w:bar w:val="nil"/>
        </w:pBdr>
        <w:spacing w:before="0" w:after="240"/>
        <w:rPr>
          <w:noProof/>
        </w:rPr>
      </w:pPr>
      <w:r>
        <w:rPr>
          <w:noProof/>
        </w:rPr>
        <w:t>Acest capitol instituie un nou cadru operațional pentru activitățile Europol, conceput pentru a-i permite să sprijine investigații din ce în ce mai complexe, interconectate și multidimensionale, prin intermediul unui model operațional multidisciplinar. El îndreaptă Europol către o formă mai structurată și continuă de desfășurare a activităților operaționale, în care coordonarea operațională, datele operative în materie penală, cunoștințele de specialitate, capacitățile analitice și sprijinul operațional sunt organizate în cadrul unei arhitecturi operaționale coerente, mai degrabă decât prin acorduri izolate sau de la caz la caz.</w:t>
      </w:r>
    </w:p>
    <w:p>
      <w:pPr>
        <w:pBdr>
          <w:top w:val="nil"/>
          <w:left w:val="nil"/>
          <w:bottom w:val="nil"/>
          <w:right w:val="nil"/>
          <w:between w:val="nil"/>
          <w:bar w:val="nil"/>
        </w:pBdr>
        <w:spacing w:before="0" w:after="240"/>
        <w:rPr>
          <w:noProof/>
        </w:rPr>
      </w:pPr>
      <w:r>
        <w:rPr>
          <w:noProof/>
        </w:rPr>
        <w:t>Articolul 7 structurează funcțiile de sprijin analitic strategic ale Europol. Articolul 8 definește capacitățile operaționale necesare pentru a oferi sprijin continuu statelor membre, inclusiv rolul-cheie al Europol în identificarea legăturilor operaționale, în detectarea conexiunilor transfrontaliere dintre investigații și în sprijinirea coordonării operaționale între statele membre. Articolul 9 consolidează în mod semnificativ rolul Europol în sprijinirea investigațiilor bazate pe „urmărirea banilor” și a urmăririi activelor ca dimensiune operațională de bază a investigațiilor transfrontaliere. Articolul stabilește mecanisme de cooperare mai strânse cu birourile naționale de recuperare a activelor și cu unitățile de informații financiare, acordă Europol un acces mai bun la informațiile financiare și de urmărire a activelor relevante și introduce posibilitatea ca Europol să solicite măsuri urgente de indisponibilizare în cazul în care există un risc iminent de disipare a activelor provenite din săvârșirea de infracțiuni. Articolul stabilește mecanisme de cooperare mai strânse cu birourile naționale de recuperare a activelor și cu unitățile de informații financiare, acordă Europol un acces mai bun la informațiile financiare și de urmărire a activelor relevante și introduce posibilitatea ca Europol să solicite statelor membre măsuri urgente de indisponibilizare în cazul în care există un risc iminent de disipare a activelor provenite din săvârșirea de infracțiuni. Articolul 11 consolidează acțiunile de urmărire întreprinse de Europol în ceea ce privește datele operative transfrontaliere în materie penală prin asigurarea faptului că propunerile de deschidere a unor investigații sunt direcționate în mod sistematic către Eurojust în scopul coordonării judiciare. Acest lucru va asigura faptul că datele operative în materie penală care necesită acțiuni de investigare ulterioare vor putea fi gestionate prin intermediul mecanismelor adecvate de coordonare judiciară la nivelul UE.</w:t>
      </w:r>
    </w:p>
    <w:p>
      <w:pPr>
        <w:pBdr>
          <w:top w:val="nil"/>
          <w:left w:val="nil"/>
          <w:bottom w:val="nil"/>
          <w:right w:val="nil"/>
          <w:between w:val="nil"/>
          <w:bar w:val="nil"/>
        </w:pBdr>
        <w:spacing w:before="0" w:after="240"/>
        <w:rPr>
          <w:noProof/>
        </w:rPr>
      </w:pPr>
      <w:r>
        <w:rPr>
          <w:noProof/>
        </w:rPr>
        <w:t xml:space="preserve">Secțiunea 2 stabilește structura operațională permanentă prin care Europol organizează și oferă sprijin operațional specializat continuu statelor membre. </w:t>
      </w:r>
    </w:p>
    <w:p>
      <w:pPr>
        <w:pBdr>
          <w:top w:val="nil"/>
          <w:left w:val="nil"/>
          <w:bottom w:val="nil"/>
          <w:right w:val="nil"/>
          <w:between w:val="nil"/>
          <w:bar w:val="nil"/>
        </w:pBdr>
        <w:spacing w:before="0" w:after="240"/>
        <w:rPr>
          <w:noProof/>
        </w:rPr>
      </w:pPr>
      <w:r>
        <w:rPr>
          <w:noProof/>
        </w:rPr>
        <w:t xml:space="preserve">Având în vedere caracterul din ce în ce mai interconectat și multidimensional al criminalității grave și organizate și al terorismului, articolul 12 instituie Serviciul operațional și de analiză ca hub central și permanent al Europol pentru coordonarea operațională și datele operative în materie penală, funcționând 24 de ore din 24, 7 zile din 7. Serviciul este conceput să funcționeze ca sediu central operațional al Europol, asigurând coordonarea continuă a schimbului de informații, a analizei datelor operative în materie penală, a cererilor de sprijin operațional și a urmăririi operaționale în întreaga arhitectură operațională a Europol. O funcție de bază a serviciului este de a identifica legăturile operaționale dintre investigațiile naționale, de a reuni informații și cunoștințe de specialitate din diferite domenii operaționale, de a sprijini răspunsuri operaționale coerente în întreaga Uniune și de a asigura coerența între diferitele centre specializate. </w:t>
      </w:r>
    </w:p>
    <w:p>
      <w:pPr>
        <w:pBdr>
          <w:top w:val="nil"/>
          <w:left w:val="nil"/>
          <w:bottom w:val="nil"/>
          <w:right w:val="nil"/>
          <w:between w:val="nil"/>
          <w:bar w:val="nil"/>
        </w:pBdr>
        <w:spacing w:before="0" w:after="240"/>
        <w:rPr>
          <w:noProof/>
        </w:rPr>
      </w:pPr>
      <w:r>
        <w:rPr>
          <w:noProof/>
        </w:rPr>
        <w:t xml:space="preserve">Articolul 13 instituie un cadru juridic comun și scalabil pentru centrele specializate ale Europol, care constituie principalele structuri de capacități și expertiză specializate din cadrul Europol, reunind date operative în materie penală, coordonare operațională, capacități specializate, sprijin analitic și criminalistic, precum și expertiză operațională în domenii-cheie. El se bazează pe abordarea introdusă de Parlamentul European și de Consiliu prin Regulamentul (UE) 2025/2611 de instituire a Centrului european de combatere a introducerii ilegale de migranți. </w:t>
      </w:r>
    </w:p>
    <w:p>
      <w:pPr>
        <w:pBdr>
          <w:top w:val="nil"/>
          <w:left w:val="nil"/>
          <w:bottom w:val="nil"/>
          <w:right w:val="nil"/>
          <w:between w:val="nil"/>
          <w:bar w:val="nil"/>
        </w:pBdr>
        <w:spacing w:before="0" w:after="240"/>
        <w:rPr>
          <w:noProof/>
        </w:rPr>
      </w:pPr>
      <w:r>
        <w:rPr>
          <w:noProof/>
        </w:rPr>
        <w:t>Articolele 14-18 instituie cadrul operațional pentru centrele de expertiză operațională. Dispozițiile recunosc faptul că acordarea eficace a sprijinului din partea Europol necesită concentrarea cunoștințelor de specialitate și a capacităților specializate în domeniile prioritare ale criminalității care necesită o acțiune susținută la nivelul Uniunii. Centrele constituie principalul mecanism organizațional prin care Europol acordă prioritate, dezvoltă și acordă acest sprijin operațional și asigură coerența între activitățile sale. Având în vedere rolul lor central în îndeplinirea mandatului Europol și în alocarea resurselor operaționale, cadrul de bază care reglementează centrele este prevăzut în prezentul regulament. Detalii suplimentare privind organizarea și funcționarea centrelor urmează să fie stabilite în normele de punere în aplicare adoptate de Consiliul de administrație. Acest lucru va permite ca structura lor operațională să evolueze în paralel cu prioritățile operaționale și cu amenințările emergente.</w:t>
      </w:r>
    </w:p>
    <w:p>
      <w:pPr>
        <w:pBdr>
          <w:top w:val="nil"/>
          <w:left w:val="nil"/>
          <w:bottom w:val="nil"/>
          <w:right w:val="nil"/>
          <w:between w:val="nil"/>
          <w:bar w:val="nil"/>
        </w:pBdr>
        <w:spacing w:before="0" w:after="240"/>
        <w:rPr>
          <w:noProof/>
        </w:rPr>
      </w:pPr>
      <w:r>
        <w:rPr>
          <w:noProof/>
        </w:rPr>
        <w:t>Aceste dispoziții reflectă, de asemenea, faptul că formele grave de criminalitate și criminalitatea organizată prezintă din ce în ce mai mult o dimensiune hibridă. Prin urmare, dispozițiile asigură faptul că, în cazul în care activitățile infracționale legate de o infracțiune care intră în sfera de competență a Europol implică o dimensiune hibridă, Europol este în măsură să sprijine statele membre prin întreaga sa gamă de capacități operaționale. Din acest motiv, această dimensiune este integrată în toate centrele, recunoscând că activitățile infracționale care implică o dimensiune hibridă pot apărea în oricare dintre domeniile criminalității care intră sub incidența mandatului Europol și nu pot fi limitate la un singur domeniu operațional.</w:t>
      </w:r>
    </w:p>
    <w:p>
      <w:pPr>
        <w:pBdr>
          <w:top w:val="nil"/>
          <w:left w:val="nil"/>
          <w:bottom w:val="nil"/>
          <w:right w:val="nil"/>
          <w:between w:val="nil"/>
          <w:bar w:val="nil"/>
        </w:pBdr>
        <w:spacing w:before="0" w:after="240"/>
        <w:rPr>
          <w:noProof/>
        </w:rPr>
      </w:pPr>
      <w:r>
        <w:rPr>
          <w:noProof/>
        </w:rPr>
        <w:t>Articolul 19 asigură faptul că arhitectura operațională a Europol rămâne capabilă să evolueze în timp prin înființarea unor centre suplimentare în cazul în care amenințările emergente sau nevoile operaționale necesită noi capacități specializate permanente la nivelul UE.</w:t>
      </w:r>
    </w:p>
    <w:p>
      <w:pPr>
        <w:pBdr>
          <w:top w:val="nil"/>
          <w:left w:val="nil"/>
          <w:bottom w:val="nil"/>
          <w:right w:val="nil"/>
          <w:between w:val="nil"/>
          <w:bar w:val="nil"/>
        </w:pBdr>
        <w:spacing w:before="0" w:after="240"/>
        <w:rPr>
          <w:noProof/>
        </w:rPr>
      </w:pPr>
      <w:r>
        <w:rPr>
          <w:noProof/>
        </w:rPr>
        <w:t>Secțiunea 3 stabilește principalele instrumente de cooperare operațională prin care Europol sprijină acțiunile operaționale coordonate. Articolul 20 stabilește cadrul de funcționare al grupurilor de acțiune operaționale, ca mecanism flexibil de coordonare operațională menit să sprijine investigațiile prioritare și acțiunile operaționale în cazurile transfrontaliere de mare valoare și semnificative din punct de vedere operațional. Articolul 22 stabilește cadrul care reglementează trimiterile din partea Europol pentru sprijin operațional, tehnic, analitic și criminalistic acordat statelor membre și, după caz, țărilor din afara UE. Articolul 23 stabilește cadrul pentru rolul Europol în sprijinirea Platformei multidisciplinare europene împotriva amenințărilor infracționale (EMPACT).</w:t>
      </w:r>
    </w:p>
    <w:p>
      <w:pPr>
        <w:pBdr>
          <w:top w:val="nil"/>
          <w:left w:val="nil"/>
          <w:bottom w:val="nil"/>
          <w:right w:val="nil"/>
          <w:between w:val="nil"/>
          <w:bar w:val="nil"/>
        </w:pBdr>
        <w:spacing w:before="0" w:after="240"/>
        <w:rPr>
          <w:noProof/>
        </w:rPr>
      </w:pPr>
      <w:r>
        <w:rPr>
          <w:noProof/>
        </w:rPr>
        <w:t>Dispozițiile codifică aceste instrumente de cooperare operațională într-un cadru juridic, clarificând scopul operațional specific și valoarea adăugată a fiecărei structuri, asigurând în același timp complementaritatea acestora. Obiectivul este de a oferi categorii operaționale suficient de largi și flexibile, capabile să acopere majoritatea nevoilor de sprijin operațional și de coordonare, evitând multiplicarea continuă a structurilor ad-hoc și menținând în același timp flexibilitatea necesară pentru a răspunde realităților operaționale în continuă evoluție.</w:t>
      </w:r>
    </w:p>
    <w:p>
      <w:pPr>
        <w:pBdr>
          <w:top w:val="nil"/>
          <w:left w:val="nil"/>
          <w:bottom w:val="nil"/>
          <w:right w:val="nil"/>
          <w:between w:val="nil"/>
          <w:bar w:val="nil"/>
        </w:pBdr>
        <w:spacing w:before="0" w:after="240"/>
        <w:rPr>
          <w:noProof/>
        </w:rPr>
      </w:pPr>
      <w:r>
        <w:rPr>
          <w:noProof/>
        </w:rPr>
        <w:t>Articolul 21 consolidează continuitatea sprijinului acordat la nivelul UE pentru cooperarea în materie de aplicare a legii și cooperarea judiciară prin consolidarea participării Europol la echipele comune de anchetă.</w:t>
      </w:r>
    </w:p>
    <w:p>
      <w:pPr>
        <w:pBdr>
          <w:top w:val="nil"/>
          <w:left w:val="nil"/>
          <w:bottom w:val="nil"/>
          <w:right w:val="nil"/>
          <w:between w:val="nil"/>
        </w:pBdr>
        <w:spacing w:before="0" w:after="240"/>
        <w:rPr>
          <w:noProof/>
        </w:rPr>
      </w:pPr>
      <w:r>
        <w:rPr>
          <w:noProof/>
        </w:rPr>
        <w:t>Articolul 24 instituie grupuri specializate de experți operaționali și tehnici, alcătuite din experți din statele membre, pentru a asigura disponibilitatea unei expertize operaționale, analitice și tehnice de înaltă specializare.</w:t>
      </w:r>
    </w:p>
    <w:p>
      <w:pPr>
        <w:pBdr>
          <w:top w:val="nil"/>
          <w:left w:val="nil"/>
          <w:bottom w:val="nil"/>
          <w:right w:val="nil"/>
          <w:between w:val="nil"/>
          <w:bar w:val="nil"/>
        </w:pBdr>
        <w:spacing w:before="0" w:after="240"/>
        <w:rPr>
          <w:noProof/>
        </w:rPr>
      </w:pPr>
      <w:r>
        <w:rPr>
          <w:noProof/>
        </w:rPr>
        <w:t>Secțiunea 4 consolidează cadrul care reglementează structurile naționale de cooperare cu Europol, recunoscând că eficacitatea modelului operațional al Europol depinde, în ultimă instanță, de integrarea acestuia în sistemele naționale de aplicare a legii. În acest scop, articolul 25 restructurează și extinde în mod semnificativ rolul unităților naționale Europol, consolidând rolul acestora de interfață operațională principală între Europol și autoritățile naționale competente.</w:t>
      </w:r>
    </w:p>
    <w:p>
      <w:pPr>
        <w:pBdr>
          <w:top w:val="nil"/>
          <w:left w:val="nil"/>
          <w:bottom w:val="nil"/>
          <w:right w:val="nil"/>
          <w:between w:val="nil"/>
          <w:bar w:val="nil"/>
        </w:pBdr>
        <w:spacing w:before="0" w:after="240"/>
        <w:rPr>
          <w:noProof/>
        </w:rPr>
      </w:pPr>
      <w:r>
        <w:rPr>
          <w:noProof/>
        </w:rPr>
        <w:t>Un element central al prezentei propuneri este înființarea, în temeiul articolului 26, a birourilor de sprijin ale Europol în cadrul unităților naționale Europol. Aceste birouri sunt concepute pentru a asigura integrarea operațională continuă a capacităților operaționale, analitice, tehnice și criminalistice ale Europol direct în investigațiile și activitățile operaționale naționale. În acest scop, personalul trimis la birourile respective ar sprijini identificarea zilnică a nevoilor operaționale, ar facilita mobilizarea capacităților și a instrumentelor operaționale ale Europol în cadrul investigațiilor în curs, ar asista autoritățile naționale în utilizarea operațională a sistemelor, a analizelor și a sprijinului specializat oferite de Europol și ar asigura coordonarea operațională continuă și monitorizarea între Europol și autoritățile naționale competente pe parcursul întregului ciclu de viață operațional al investigațiilor și al acțiunilor operaționale. Reflectând rolul lor de liant între mediul operațional de la nivelul UE și cel național, birourile sunt alcătuite din personal Europol cu experiență anterioară în cadrul autorităților competente ale statelor membre și funcționează printr-o linie duală de raportare, asigurând o integrare operațională strânsă atât cu Europol, cât și cu autoritățile naționale în cauză. Acest model promovează circulația continuă a expertizei între Europol și statele membre, permițând integrarea experienței operaționale dobândite la nivel național în activitățile Europol și asigurând, în același timp, transferul ulterior al cunoștințelor privind capacitățile, instrumentele și metodele de lucru ale Europol înapoi către structurile naționale de aplicare a legii.</w:t>
      </w:r>
    </w:p>
    <w:p>
      <w:pPr>
        <w:rPr>
          <w:b/>
          <w:bCs/>
          <w:noProof/>
        </w:rPr>
      </w:pPr>
      <w:r>
        <w:rPr>
          <w:b/>
          <w:noProof/>
        </w:rPr>
        <w:t xml:space="preserve">Capitolul III – Gestionarea informațiilor </w:t>
      </w:r>
    </w:p>
    <w:p>
      <w:pPr>
        <w:rPr>
          <w:noProof/>
        </w:rPr>
      </w:pPr>
      <w:r>
        <w:rPr>
          <w:noProof/>
        </w:rPr>
        <w:t xml:space="preserve">Articolele 28 și 29 consolidează cadrul care reglementează furnizarea de informații de către statele membre către Europol. Pe baza obligațiilor existente în temeiul Regulamentului (UE) 2016/794 și în conformitate cu Directiva (UE) 2023/977, acesta actualizează cadrul pentru a sprijini un schimb de informații mai prompt, mai structurat și mai interoperabil și introduce o evaluare anuală a contribuțiilor statelor membre în materie de informații. </w:t>
      </w:r>
    </w:p>
    <w:p>
      <w:pPr>
        <w:rPr>
          <w:noProof/>
        </w:rPr>
      </w:pPr>
      <w:r>
        <w:rPr>
          <w:noProof/>
        </w:rPr>
        <w:t>Articolul 30 stabilește rolul Europol în Sistemul de informații Schengen (SIS), în special în ceea ce privește utilizarea operațională a informațiilor suplimentare, sprijinul pentru semnalările privind existența unor informații și urmărirea operațională a răspunsurilor pozitive din SIS. Articolul 31 stabilește rolul Europol în ceea ce privește Sistemul de informații privind vizele (VIS) și Sistemul european de informații și de autorizare privind călătoriile (ETIAS).</w:t>
      </w:r>
    </w:p>
    <w:p>
      <w:pPr>
        <w:rPr>
          <w:noProof/>
        </w:rPr>
      </w:pPr>
      <w:r>
        <w:rPr>
          <w:noProof/>
        </w:rPr>
        <w:t>Articolul 32 stabilește scopurile activităților de prelucrare a informațiilor de către Europol. Dispoziția permite Europol să prelucreze informații în măsura în care acest lucru este necesar pentru îndeplinirea atribuțiilor sale și stabilește în mod exhaustiv scopurile în care Europol poate prelucra date cu caracter personal: verificarea încrucișată în scopul identificării conexiunilor sau a altor legături relevante cu informații referitoare la o infracțiune care intră în sfera de competență a Europol; analiză strategică sau tematică; analiza operațională, care facilitează schimbul de informații operaționale; sprijinirea activităților de cercetare și inovare și sprijinirea statelor membre în ceea ce privește informarea publicului cu privire la suspecții căutați sau la persoanele condamnate.</w:t>
      </w:r>
    </w:p>
    <w:p>
      <w:pPr>
        <w:rPr>
          <w:noProof/>
        </w:rPr>
      </w:pPr>
      <w:r>
        <w:rPr>
          <w:noProof/>
        </w:rPr>
        <w:t>În același timp, dispoziția aliniază regimul Europol de clasificare a persoanelor vizate la abordarea prevăzută în Regulamentul (UE) 2018/1725. Acest lucru marchează o schimbare fundamentală, cu beneficii operaționale semnificative, menținând în același timp garanțiile necesare aplicabile în toate entitățile UE, precum și la nivel național. Constrângerile impuse de regimul anterior privind clasificarea persoanelor vizate au apărut ca un blocaj operațional esențial, limitând grav capacitatea Europol de a sprijini în mod eficace statele membre. Fără această modificare, modernizarea mai amplă a capacităților operaționale și tehnologice ale Europol ar fi în continuare îngreunată din punct de vedere structural.</w:t>
      </w:r>
    </w:p>
    <w:p>
      <w:pPr>
        <w:rPr>
          <w:noProof/>
        </w:rPr>
      </w:pPr>
      <w:r>
        <w:rPr>
          <w:noProof/>
        </w:rPr>
        <w:t>În special, aceasta marchează o schimbare față de logica regimului anterior, conform căreia Europol ar trebui, în principiu, să prelucreze numai datele cu caracter personal care se încadrează într-una dintre categoriile de persoane vizate prevăzute în anexa II, prelucrarea datelor cu caracter personal care nu se încadrează în aceste categorii de persoane vizate fiind considerată o excepție. În schimb, articolul 32, împreună cu anexa II, reflectă realitatea operațională a activității moderne de aplicare a legii, în care extragerea de informații din seturi de date mari și nestructurate constituie o sarcină operațională esențială a autorităților de aplicare a legii și, prin urmare, a Europol, în sprijinul autorităților naționale. Într-adevăr, Europol își desfășoară activitatea într-un mediu informațional caracterizat de volume mari de date eterogene, care provin adesea din surse și contexte operaționale multiple. O parte substanțială din aceste informații este primită într-o formă nestructurată, ceea ce face dificilă sau uneori chiar imposibilă clasificarea în categorii predefinite de persoane vizate. Prin urmare, articolul 32 prevede că Europol trebuie să facă distincție între categoriile de persoane vizate „după caz și în măsura posibilului”, în conformitate cu Regulamentul (UE) 2018/1725.</w:t>
      </w:r>
    </w:p>
    <w:p>
      <w:pPr>
        <w:rPr>
          <w:noProof/>
        </w:rPr>
      </w:pPr>
      <w:r>
        <w:rPr>
          <w:noProof/>
        </w:rPr>
        <w:t>Articolul 32 permite în mod explicit Europol să prelucreze date cu caracter personal referitoare la persoane din afara categoriilor predefinite de persoane vizate enumerate în anexa II, în cazul în care o astfel de prelucrare este necesară și proporțională pentru îndeplinirea atribuțiilor Europol. Acest lucru reflectă natura dinamică a investigațiilor polițienești și a activităților de colectare a datelor operative în materie penală, în cadrul cărora relevanța operațională a anumitor date sau legătura acestora cu activitățile infracționale poate apărea doar progresiv, în timpul analizei operaționale sau prin identificarea legăturilor dintre investigații.</w:t>
      </w:r>
    </w:p>
    <w:p>
      <w:pPr>
        <w:rPr>
          <w:noProof/>
        </w:rPr>
      </w:pPr>
      <w:r>
        <w:rPr>
          <w:noProof/>
        </w:rPr>
        <w:t xml:space="preserve">Se aplică garanții specifice în cazurile în care Europol prelucrează date care nu se încadrează în categoriile enumerate în anexa II, cum ar fi obligațiile Europol de a șterge imediat astfel de date odată ce scopul prelucrării este îndeplinit, de a informa responsabilul cu protecția datelor și de a păstra aceste date separate din punct de vedere funcțional de datele „clasificate”. </w:t>
      </w:r>
    </w:p>
    <w:p>
      <w:pPr>
        <w:rPr>
          <w:noProof/>
        </w:rPr>
      </w:pPr>
      <w:r>
        <w:rPr>
          <w:noProof/>
        </w:rPr>
        <w:t>Articolul 33 menține principiul proprietății asupra datelor ca factor esențial al cooperării în materie de aplicare a legii facilitate de activitățile de prelucrare a informațiilor desfășurate de Europol. El asigură faptul că statele membre, instituțiile, organele, misiunile, oficiile și agențiile UE, țările terțe și organizațiile internaționale care furnizează informații către Europol păstrează controlul asupra scopurilor în care pot fi prelucrate informațiile respective și asupra oricărei restricții de acces la informațiile respective, inclusiv în ceea ce privește utilizarea, transferul, transmiterea, ștergerea sau distrugerea acestora. Articolul 34 stabilește obligația de a consulta sau de a notifica proprietarul informațiilor, după caz.</w:t>
      </w:r>
    </w:p>
    <w:p>
      <w:pPr>
        <w:rPr>
          <w:noProof/>
        </w:rPr>
      </w:pPr>
      <w:r>
        <w:rPr>
          <w:noProof/>
        </w:rPr>
        <w:t>Secțiunea 2 stabilește cadrul juridic și tehnic care reglementează mediul de date al Europol și constituie o garanție esențială care însoțește modificările introduse la articolul 35 privind clasificarea persoanelor vizate. Dispozițiile definesc mediul de date al Europol pentru a se asigura că diferitele activități de prelucrare se desfășoară în cadre tehnice și operaționale clar reglementate, însoțite de garanții și condiții de acces adecvate.</w:t>
      </w:r>
    </w:p>
    <w:p>
      <w:pPr>
        <w:rPr>
          <w:noProof/>
        </w:rPr>
      </w:pPr>
      <w:r>
        <w:rPr>
          <w:noProof/>
        </w:rPr>
        <w:t>Secțiunea stabilește norme clare și precise privind funcționarea unei serii de servicii și instrumente de bază ale Europol. Acestea includ serviciul de verificare încrucișată al Europol (articolele 36-39), care permite autorităților competente ale statelor membre să încarce, să efectueze interogări și să acceseze date în mediul analitic al Europol (articolele 40-41) pentru a stoca, a analiza și a prelucra date în vederea îndeplinirii atribuțiilor sale analitice, precum și spațiul comun de date al poliției (articolele 42-45), în cadrul căruia autoritățile competente ale statelor membre pot iniția și desfășura analize operaționale comune, în cooperare cu Europol. Secțiunea stabilește, de asemenea, norme privind aplicația de rețea pentru schimbul securizat de informații (SIENA – articolul 46) și privind mecanismul de schimb de informații menit să faciliteze comunicarea cu părțile private (articolul 47). Rolul Europol în Sistemul european de inventariere a evidențelor poliției este, de asemenea, stabilit (articolul 48), precum și posibilitatea Comisiei de a adopta acte de punere în aplicare pentru a reglementa funcționalități sau servicii și instrumente suplimentare care urmează să fie dezvoltate de Europol.</w:t>
      </w:r>
    </w:p>
    <w:p>
      <w:pPr>
        <w:rPr>
          <w:rFonts w:eastAsia="Calibri"/>
          <w:noProof/>
          <w:szCs w:val="24"/>
        </w:rPr>
      </w:pPr>
      <w:r>
        <w:rPr>
          <w:noProof/>
        </w:rPr>
        <w:t>Secțiunea 3 stabilește normele necesare pentru funcționarea serviciilor și instrumentelor Europol. Aceasta include norme privind o infrastructură de cloud (articolul 50) menită să sprijine stocarea, prelucrarea, analiza și schimbul de date, într-un mod eficient și scalabil, în scopurile prevăzute în prezentul regulament, precum și norme privind cerințele minime pe care trebuie să le îndeplinească agenții de poliție pentru a avea acces la astfel de date, prin intermediul unei identități digitale europene pentru serviciile de poliție (articolul 51). Secțiunea include, de asemenea, cerințe privind raportarea informațiilor statistice în scopuri de supraveghere și de responsabilitate (articolul 52) și stabilește rolul Europol în ceea ce privește formatul universal pentru mesaje (UMF – articolul 53) și o aplicație UE pentru compararea profilurilor ADN (articolul 54).</w:t>
      </w:r>
    </w:p>
    <w:p>
      <w:pPr>
        <w:rPr>
          <w:b/>
          <w:bCs/>
          <w:noProof/>
        </w:rPr>
      </w:pPr>
      <w:r>
        <w:rPr>
          <w:b/>
          <w:noProof/>
        </w:rPr>
        <w:t>Capitolul IV – Capacități tehnologice și inovare</w:t>
      </w:r>
    </w:p>
    <w:p>
      <w:pPr>
        <w:rPr>
          <w:noProof/>
        </w:rPr>
      </w:pPr>
      <w:r>
        <w:rPr>
          <w:noProof/>
        </w:rPr>
        <w:t xml:space="preserve">Capitolul IV este structurat pe baza cadrului ciclului de viață al inovării și dezvoltării capacităților. </w:t>
      </w:r>
    </w:p>
    <w:p>
      <w:pPr>
        <w:rPr>
          <w:noProof/>
        </w:rPr>
      </w:pPr>
      <w:r>
        <w:rPr>
          <w:noProof/>
        </w:rPr>
        <w:t>Obiectivul este de a evita activitățile de inovare fragmentate sau izolate prin crearea unei continuități între previziunea tehnologică, planificarea capacităților, cercetare și inovare, dezvoltarea capacităților avansate, testarea operațională, implementare, adoptarea operațională și sprijinul operațional specializat.</w:t>
      </w:r>
    </w:p>
    <w:p>
      <w:pPr>
        <w:rPr>
          <w:noProof/>
        </w:rPr>
      </w:pPr>
      <w:r>
        <w:rPr>
          <w:noProof/>
        </w:rPr>
        <w:t xml:space="preserve">Capitolul IV se bazează pe recunoașterea faptului că transformarea tehnologică a securității interne necesită din ce în ce mai mult capacități, infrastructură, cunoștințe de specialitate, medii informatice, capacități de prelucrare a datelor și ecosisteme de inovare a căror amploare, complexitate și costuri nu mai pot fi dezvoltate în mod eficient doar la nivel național. Europol se află într-o poziție unică pentru a sprijini acest rol, având în vedere capacitatea sa de a identifica nevoile tehnologice și operaționale comune și capacitatea sa de a dezvolta soluții tehnologice interoperabile, scalabile și partajate, capabile să sprijine autoritățile de aplicare a legii din întreaga UE. Prin urmare, obiectivul este de a evita fragmentarea tehnologică, dublarea investițiilor și nivelurile divergente de capacități între statele membre în domeniile în care capacitățile tehnologice comune la nivelul UE oferă beneficii operaționale și financiare evidente. </w:t>
      </w:r>
    </w:p>
    <w:p>
      <w:pPr>
        <w:rPr>
          <w:noProof/>
        </w:rPr>
      </w:pPr>
      <w:r>
        <w:rPr>
          <w:noProof/>
        </w:rPr>
        <w:t xml:space="preserve">Articolul 57 stabilește nivelul de analiză prospectivă strategică și de planificare a capacităților prin instituirea unui mecanism-cadru pentru identificarea lacunelor în materie de capacități operaționale, a tehnologiilor emergente și a priorităților viitoare în materie de capacități la nivelul UE. Dispoziția este concepută pentru a sprijini o abordare mai strategică și mai coordonată a dezvoltării capacităților tehnologice, inclusiv în domenii precum interoperabilitatea, standardizarea, partajarea capacităților și achizițiile publice comune. </w:t>
      </w:r>
    </w:p>
    <w:p>
      <w:pPr>
        <w:pBdr>
          <w:bar w:val="nil"/>
        </w:pBdr>
        <w:spacing w:before="0" w:after="240"/>
        <w:rPr>
          <w:noProof/>
        </w:rPr>
      </w:pPr>
      <w:r>
        <w:rPr>
          <w:noProof/>
        </w:rPr>
        <w:t>Articolul 58 clarifică rolul Europol în legătură cu programele de finanțare ale Uniunii, permițând Europol să acorde asistență Comisiei în ceea ce privește programarea Programului-cadru al Uniunii pentru cercetare și inovare și să participe la activitățile de dezvoltare a capacităților finanțate prin Fondul european pentru competitivitate, asigurând, în același timp, garanții adecvate pentru a preveni conflictele de interese.</w:t>
      </w:r>
    </w:p>
    <w:p>
      <w:pPr>
        <w:pBdr>
          <w:top w:val="nil"/>
          <w:left w:val="nil"/>
          <w:bottom w:val="nil"/>
          <w:right w:val="nil"/>
          <w:between w:val="nil"/>
          <w:bar w:val="nil"/>
        </w:pBdr>
        <w:spacing w:before="0" w:after="240"/>
        <w:rPr>
          <w:noProof/>
        </w:rPr>
      </w:pPr>
      <w:r>
        <w:rPr>
          <w:noProof/>
        </w:rPr>
        <w:t xml:space="preserve">Articolul 59 oferă un temei juridic pe baza căruia Europol poate să dezvolte, să găzduiască, să exploateze și să furnizeze capacități tehnologice avansate comune pentru asigurarea respectării legii. Printre acestea se numără aplicațiile bazate pe IA, mediile securizate de prelucrare a informațiilor, capacitățile în materie de criminalistică, mediile colaborative bazate pe cloud și capacitățile care sprijină prelucrarea și analiza datelor criptate obținute în mod legal. Articolul introduce, de asemenea, un mecanism care permite mai multor state membre să solicite Europol să dezvolte capacități comune la nivelul UE în cazul în care soluțiile tehnologice comune aduc beneficii operaționale. </w:t>
      </w:r>
    </w:p>
    <w:p>
      <w:pPr>
        <w:pBdr>
          <w:bar w:val="nil"/>
        </w:pBdr>
        <w:spacing w:before="0" w:after="240"/>
        <w:rPr>
          <w:noProof/>
        </w:rPr>
      </w:pPr>
      <w:r>
        <w:rPr>
          <w:noProof/>
        </w:rPr>
        <w:t>Articolul 60 stabilește nivelul de cercetare și inovare, oferind Europol un temei juridic cuprinzător pentru a desfășura activități de cercetare și inovare și pentru a participa la acestea. Printre acestea se numără proiecte-pilot, activități legate de inteligența artificială, experimentare operațională și participarea la spații de testare în materie de reglementare pentru sistemele de inteligență artificială.</w:t>
      </w:r>
    </w:p>
    <w:p>
      <w:pPr>
        <w:pBdr>
          <w:bar w:val="nil"/>
        </w:pBdr>
        <w:spacing w:before="0" w:after="240"/>
        <w:rPr>
          <w:noProof/>
        </w:rPr>
      </w:pPr>
      <w:r>
        <w:rPr>
          <w:noProof/>
        </w:rPr>
        <w:t>Articolul 61 stabilește cadrul juridic și tehnic care permite Europol să dezvolte, să testeze și să valideze sisteme și modele de inteligență artificială într-un mediu securizat, inclusiv prin utilizarea spațiilor de testare în materie de reglementare în domeniul IA</w:t>
      </w:r>
      <w:r>
        <w:rPr>
          <w:rStyle w:val="FootnoteReference"/>
          <w:noProof/>
        </w:rPr>
        <w:footnoteReference w:id="35"/>
      </w:r>
      <w:r>
        <w:rPr>
          <w:noProof/>
        </w:rPr>
        <w:t xml:space="preserve"> și a garanțiilor specifice care asigură conformitatea cu dreptul Uniunii.</w:t>
      </w:r>
    </w:p>
    <w:p>
      <w:pPr>
        <w:pBdr>
          <w:top w:val="nil"/>
          <w:left w:val="nil"/>
          <w:bottom w:val="nil"/>
          <w:right w:val="nil"/>
          <w:between w:val="nil"/>
          <w:bar w:val="nil"/>
        </w:pBdr>
        <w:spacing w:before="0" w:after="240"/>
        <w:rPr>
          <w:noProof/>
        </w:rPr>
      </w:pPr>
      <w:r>
        <w:rPr>
          <w:noProof/>
        </w:rPr>
        <w:t>Articolele 62 și 63 stabilesc nivelul de dezvoltare și implementare a capacităților operaționale prin consolidarea rolului Europol în sprijinirea testării operaționale, a validării, a implementării, a extinderii și a adoptării operaționale a tehnologiilor și capacităților inovatoare. Obiectivul este de a asigura continuitatea între activitățile de cercetare și implementarea operațională în toate statele membre.</w:t>
      </w:r>
    </w:p>
    <w:p>
      <w:pPr>
        <w:pBdr>
          <w:top w:val="nil"/>
          <w:left w:val="nil"/>
          <w:bottom w:val="nil"/>
          <w:right w:val="nil"/>
          <w:between w:val="nil"/>
          <w:bar w:val="nil"/>
        </w:pBdr>
        <w:spacing w:before="0" w:after="240"/>
        <w:rPr>
          <w:noProof/>
        </w:rPr>
      </w:pPr>
      <w:r>
        <w:rPr>
          <w:noProof/>
        </w:rPr>
        <w:t xml:space="preserve">Articolul 64 stabilește nivelul de expertiză și de sprijin operațional, asigurând faptul că respectivele capacități tehnologice avansate sunt însoțite de expertiză operațională specializată și de formare. Dispoziția consolidează în mod semnificativ rolul Europol în sprijinirea statelor membre prin cunoștințe de specialitate, consolidând în același timp cooperarea cu Agenția Uniunii Europene pentru Formare în Materie de Aplicare a Legii (CEPOL) în domenii care necesită sprijin coordonat la nivelul UE și formare de specialitate. </w:t>
      </w:r>
    </w:p>
    <w:p>
      <w:pPr>
        <w:pBdr>
          <w:bar w:val="nil"/>
        </w:pBdr>
        <w:spacing w:before="0" w:after="240"/>
        <w:rPr>
          <w:noProof/>
        </w:rPr>
      </w:pPr>
      <w:r>
        <w:rPr>
          <w:noProof/>
        </w:rPr>
        <w:t>Articolele 65-67 stabilesc nivelul de coordonare și guvernanță prin crearea unui serviciu specific pentru capacități și inovare și a unui grup consultativ pentru capacități și inovare, care să reunească statele membre, organismele relevante ale UE și experți în cadrul unui ecosistem comun de inovare al UE în domeniul securității interne.</w:t>
      </w:r>
    </w:p>
    <w:p>
      <w:pPr>
        <w:keepNext/>
        <w:keepLines/>
        <w:pBdr>
          <w:top w:val="nil"/>
          <w:left w:val="nil"/>
          <w:bottom w:val="nil"/>
          <w:right w:val="nil"/>
          <w:between w:val="nil"/>
          <w:bar w:val="nil"/>
        </w:pBdr>
        <w:spacing w:before="0" w:after="240"/>
        <w:rPr>
          <w:b/>
          <w:bCs/>
          <w:noProof/>
        </w:rPr>
      </w:pPr>
      <w:r>
        <w:rPr>
          <w:b/>
          <w:noProof/>
        </w:rPr>
        <w:t>Capitolul V – Organizarea Europol</w:t>
      </w:r>
    </w:p>
    <w:p>
      <w:pPr>
        <w:keepNext/>
        <w:keepLines/>
        <w:pBdr>
          <w:top w:val="nil"/>
          <w:left w:val="nil"/>
          <w:bottom w:val="nil"/>
          <w:right w:val="nil"/>
          <w:between w:val="nil"/>
          <w:bar w:val="nil"/>
        </w:pBdr>
        <w:spacing w:before="0" w:after="240"/>
        <w:rPr>
          <w:noProof/>
        </w:rPr>
      </w:pPr>
      <w:r>
        <w:rPr>
          <w:noProof/>
        </w:rPr>
        <w:t xml:space="preserve">Capitolul V aliniază modelul de guvernanță al Europol la abordarea comună aplicabilă agențiilor descentralizate ale UE. Acest capitol actualizează componența Consiliului de administrație (articolul 69) și îi consolidează funcțiile (articolul 72) pentru a-i spori eficacitatea și a-i consolida rolul decizional strategic. </w:t>
      </w:r>
    </w:p>
    <w:p>
      <w:pPr>
        <w:keepNext/>
        <w:keepLines/>
        <w:pBdr>
          <w:top w:val="nil"/>
          <w:left w:val="nil"/>
          <w:bottom w:val="nil"/>
          <w:right w:val="nil"/>
          <w:between w:val="nil"/>
          <w:bar w:val="nil"/>
        </w:pBdr>
        <w:spacing w:before="0" w:after="240"/>
        <w:rPr>
          <w:noProof/>
        </w:rPr>
      </w:pPr>
      <w:r>
        <w:rPr>
          <w:noProof/>
        </w:rPr>
        <w:t>Articolul 75 instituie un Comitet executiv care să sprijine Consiliul de administrație, în conformitate cu modelul de guvernanță pe două niveluri recomandat pentru agențiile UE. Scopul său este de a asigura o supraveghere și o elaborare mai eficiente ale deciziilor, permițând în același timp Consiliului de administrație să se concentreze asupra aspectelor strategice. Având în vedere extinderea semnificativă a responsabilităților Europol și creșterea corespunzătoare a resurselor, Comitetul executiv va contribui, de asemenea, la consolidarea supravegherii bugetare.</w:t>
      </w:r>
    </w:p>
    <w:p>
      <w:pPr>
        <w:rPr>
          <w:noProof/>
        </w:rPr>
      </w:pPr>
      <w:r>
        <w:rPr>
          <w:noProof/>
        </w:rPr>
        <w:t>Articolul 77 prevede rolul central al directorului executiv în asigurarea funcționării generale a agenției, consolidând totodată responsabilitatea clară pentru punerea în aplicare eficace a mandatului și a priorităților strategice ale Europol.</w:t>
      </w:r>
    </w:p>
    <w:p>
      <w:pPr>
        <w:rPr>
          <w:b/>
          <w:bCs/>
          <w:noProof/>
        </w:rPr>
      </w:pPr>
      <w:r>
        <w:rPr>
          <w:b/>
          <w:noProof/>
        </w:rPr>
        <w:t>Capitolul VI – Relațiile cu entitățile Uniunii</w:t>
      </w:r>
    </w:p>
    <w:p>
      <w:pPr>
        <w:rPr>
          <w:noProof/>
        </w:rPr>
      </w:pPr>
      <w:r>
        <w:rPr>
          <w:noProof/>
        </w:rPr>
        <w:t>Articolul 79 stabilește dispoziții comune care reglementează cooperarea Europol cu organele, oficiile și agențiile UE, inclusiv cooperarea operațională și schimbul de informații. Dispoziția introduce un cadru pentru acordurile de lucru, care necesită aprobarea prealabilă a Comisiei pentru acordurile de lucru încheiate cu organele, oficiile și agențiile Uniunii instituite în cadrul TFUE.</w:t>
      </w:r>
    </w:p>
    <w:p>
      <w:pPr>
        <w:rPr>
          <w:rFonts w:eastAsia="Times New Roman"/>
          <w:noProof/>
        </w:rPr>
      </w:pPr>
      <w:r>
        <w:rPr>
          <w:noProof/>
        </w:rPr>
        <w:t xml:space="preserve">Articolul 80 prevede accesul indirect la informațiile deținute de Europol pentru organele, oficiile și agențiile relevante ale UE, pe baza unui sistem automatizat de tip răspuns pozitiv/negativ („hit/no hit”) și în condiții de reciprocitate. Dispoziția creează un cadru mai coerent și mai adaptat exigențelor viitorului pentru verificarea încrucișată a informațiilor între organele, oficiile și agențiile UE, în special între actorii antifraudă, menținând în același timp restricțiile de acces aplicabile, principiile privind proprietatea asupra datelor și garanțiile în materie de protecție a datelor. Articolul prevede, de asemenea, adoptarea de acte de punere în aplicare care stabilesc procedura tehnică, pentru a asigura, de asemenea, standarde tehnice coerente și interoperabilitatea în cadrul arhitecturii antifraudă mai ample a UE. </w:t>
      </w:r>
      <w:r>
        <w:rPr>
          <w:noProof/>
          <w:color w:val="000000" w:themeColor="text1"/>
        </w:rPr>
        <w:t>Automatizarea sistemului de tip răspuns pozitiv/negativ pentru schimbul de date reduce în mod substanțial monitorizarea manuală, îmbunătățind eficiența și capacitatea de reacție operațională.</w:t>
      </w:r>
    </w:p>
    <w:p>
      <w:pPr>
        <w:rPr>
          <w:noProof/>
        </w:rPr>
      </w:pPr>
      <w:r>
        <w:rPr>
          <w:noProof/>
        </w:rPr>
        <w:t xml:space="preserve">Articolele 81-90 structurează și consolidează în continuare cooperarea Europol cu principalele organe, oficii și agenții ale UE, inclusiv EPPO, Eurojust, OLAF, ACSB, Frontex, eu-LISA, Agenția UE privind Drogurile, Agenția pentru Drepturi Fundamentale a UE, Autoritatea vamală a UE și ENISA. </w:t>
      </w:r>
    </w:p>
    <w:p>
      <w:pPr>
        <w:rPr>
          <w:noProof/>
        </w:rPr>
      </w:pPr>
      <w:r>
        <w:rPr>
          <w:noProof/>
        </w:rPr>
        <w:t>Articolul 81 consolidează în mod semnificativ relația Europol cu EPPO, reflectând importanța operațională tot mai mare a cooperării în combaterea criminalității financiare transfrontaliere complexe care aduc atingere intereselor financiare ale UE. Dispoziția consolidează obligațiile Europol de a sprijini investigațiile EPPO, inclusiv prin sprijin analitic specific. Ea instituie, de asemenea, un mecanism specific de tip răspuns pozitiv/negativ care permite EPPO să acceseze datele deținute de Europol referitoare la infracțiuni care intră în sfera de competență a EPPO, indiferent de orice restricție privind accesul la informațiile furnizate Europol sau utilizarea acestora de către statele membre și instituțiile, organele, oficiile sau agențiile Uniunii. Acest mecanism specific reflectă rolul, statutul și competența specifice ale EPPO în cadrul sistemului Uniunii de protejare a intereselor financiare ale Uniunii și obligațiile pe care le au statele membre și instituțiile, organele, oficiile și agențiile Uniunii în temeiul Regulamentului (UE) 2017/1939. Prin urmare, o derogare specifică de la aplicarea restricțiilor indicate de furnizorii de informații către Europol este posibilă numai în ceea ce privește EPPO.</w:t>
      </w:r>
    </w:p>
    <w:p>
      <w:pPr>
        <w:rPr>
          <w:b/>
          <w:bCs/>
          <w:noProof/>
        </w:rPr>
      </w:pPr>
      <w:r>
        <w:rPr>
          <w:b/>
          <w:noProof/>
        </w:rPr>
        <w:t xml:space="preserve">Capitolul VII – Relațiile cu partenerii </w:t>
      </w:r>
    </w:p>
    <w:p>
      <w:pPr>
        <w:rPr>
          <w:noProof/>
        </w:rPr>
      </w:pPr>
      <w:r>
        <w:rPr>
          <w:noProof/>
        </w:rPr>
        <w:t>Articolul 92 consolidează cadrul care reglementează angajamentul extern al Europol prin asigurarea faptului că cooperarea Europol cu țările din afara UE și cu organizațiile internaționale rămâne aliniată la politicile externe și prioritățile strategice ale UE.</w:t>
      </w:r>
    </w:p>
    <w:p>
      <w:pPr>
        <w:rPr>
          <w:noProof/>
        </w:rPr>
      </w:pPr>
      <w:r>
        <w:rPr>
          <w:noProof/>
        </w:rPr>
        <w:t>Articolul 93 stabilește un cadru specific pentru cooperarea cu țările asociate la implementarea, aplicarea și dezvoltarea acquis-ului Schengen, reflectând rolul special al acestora în funcționarea și securitatea spațiului Schengen. Spre deosebire de alte țări terțe, aceste țări participă la un spațiu fără controale la frontierele interne și își împart responsabilitatea pentru menținerea unui nivel ridicat de securitate în întregul spațiu Schengen. Având în vedere această integrare strânsă, articolul prevede posibilitatea unui grad mai ridicat de integrare operațională cu Europol decât cel prevăzut în cadrul general de cooperare cu țările terțe. În acest scop, acordurile internaționale cu țările respective pot prevedea accesul direct la anumite mecanisme de schimb de informații ale Europol, participarea la anumite structuri de guvernanță, detașarea de ofițeri de legătură, precum și obligațiile corespunzătoare privind schimbul de informații și contribuțiile financiare.</w:t>
      </w:r>
    </w:p>
    <w:p>
      <w:pPr>
        <w:rPr>
          <w:noProof/>
        </w:rPr>
      </w:pPr>
      <w:r>
        <w:rPr>
          <w:noProof/>
        </w:rPr>
        <w:t xml:space="preserve">Articolul 96 actualizează și consolidează cadrul care reglementează cooperarea Europol cu părțile private. Dispoziția clarifică condițiile în care Europol poate primi și prelucra date cu caracter personal direct de la părți private și consolidează rolul Europol de facilitator al cooperării dintre părțile private și autoritățile competente ale statelor membre. Pentru a se asigura că informațiile relevante pentru anchetele penale pot fi utilizate în mod eficace, Europol are obligația de a transmite statelor membre în cauză informațiile relevante primite de la părți private. </w:t>
      </w:r>
    </w:p>
    <w:p>
      <w:pPr>
        <w:rPr>
          <w:noProof/>
        </w:rPr>
      </w:pPr>
      <w:r>
        <w:rPr>
          <w:noProof/>
        </w:rPr>
        <w:t>Articolul prevede restricții privind transmiterea și transferul de date cu caracter personal de către Europol către părți private. Astfel de schimburi fac în continuare obiectul cerințelor privind necesitatea și proporționalitatea. Se aplică condiții speciale transferurilor către părți private stabilite în afara Uniunii și în afara țărilor care beneficiază de o decizie privind caracterul adecvat al nivelului de protecție.</w:t>
      </w:r>
    </w:p>
    <w:p>
      <w:pPr>
        <w:rPr>
          <w:noProof/>
        </w:rPr>
      </w:pPr>
      <w:r>
        <w:rPr>
          <w:noProof/>
        </w:rPr>
        <w:t>Articolul clarifică în continuare relația dintre cooperarea Europol cu părțile private și responsabilitățile unităților de informații financiare, asigurând faptul că activitățile Europol nu se suprapun sau nu interferează cu cadrul de combatere a spălării banilor instituit în temeiul dreptului Uniunii.</w:t>
      </w:r>
    </w:p>
    <w:p>
      <w:pPr>
        <w:rPr>
          <w:noProof/>
        </w:rPr>
      </w:pPr>
      <w:r>
        <w:rPr>
          <w:noProof/>
        </w:rPr>
        <w:t xml:space="preserve">În plus, articolul, coroborat cu articolul 47, consolidează rolul Europol de intermediar tehnic de încredere, permițând statelor membre și părților private să utilizeze infrastructura Europol pentru schimbul securizat de informații în conformitate cu dreptul Uniunii și cu dreptul intern. În cazul în care astfel de schimburi de informații se referă la infracțiuni care intră în sfera de competență a Europol, agenția primește o copie a informațiilor transmise, în vederea sprijinirii atribuțiilor sale operaționale și analitice. Articolul introduce, de asemenea, măsuri sporite de transparență și responsabilitate, inclusiv obligații de raportare către Consiliul de administrație, Parlamentul European, Consiliu, Comisie și parlamentele naționale. </w:t>
      </w:r>
    </w:p>
    <w:p>
      <w:pPr>
        <w:rPr>
          <w:b/>
          <w:bCs/>
          <w:noProof/>
        </w:rPr>
      </w:pPr>
      <w:r>
        <w:rPr>
          <w:b/>
          <w:noProof/>
        </w:rPr>
        <w:t>Capitolul VIII – Protecția datelor</w:t>
      </w:r>
    </w:p>
    <w:p>
      <w:pPr>
        <w:rPr>
          <w:noProof/>
        </w:rPr>
      </w:pPr>
      <w:r>
        <w:rPr>
          <w:noProof/>
        </w:rPr>
        <w:t>Capitolul VIII stabilește principalele garanții în materie de protecție a datelor care reglementează activitățile de prelucrare ale Europol, aliniind în același timp cadrul la Regulamentul (UE) 2018/1725. El prevede cadrul care reglementează prelucrarea datelor sensibile (articolul 100), perioadele de stocare și ștergerea datelor (articolul 101), drepturile persoanelor vizate, inclusiv accesul, rectificarea și ștergerea (articolele 105 și 106), precum și responsabilitatea pentru respectarea protecției datelor (articolul 107). Capitolul consolidează și mai mult arhitectura garanțiilor instituționale prin rolurile responsabilului cu protecția datelor și ale ofițerului pentru drepturile fundamentale (articolele 109 și 110), prin formarea obligatorie în domeniul drepturilor fundamentale (articolul 111) și prin mecanisme consolidate de supraveghere și cooperare între Autoritatea Europeană pentru Protecția Datelor (AEPD) și autoritățile naționale de supraveghere (articolele 112 și 113).</w:t>
      </w:r>
    </w:p>
    <w:p>
      <w:pPr>
        <w:rPr>
          <w:noProof/>
        </w:rPr>
      </w:pPr>
      <w:r>
        <w:rPr>
          <w:noProof/>
        </w:rPr>
        <w:t>Articolul 102 stabilește un cadru specific care reglementează prelucrarea datelor cu caracter personal în contextul proiectelor de cercetare și inovare ale Europol. Acesta include activități care implică sisteme și modele de inteligență artificială. Dispoziția prevede garanții specifice referitoare la autorizarea prealabilă, mediile de prelucrare izolate, accesul restricționat, limitarea scopului și evaluările impactului asupra protecției datelor pentru anumite proiecte, clarificând în același timp faptul că cerințele respective nu se aplică dezvoltării sau implementării instrumentelor sau capacităților existente în cazul în care natura, domeniul de aplicare și scopul prelucrării rămân neschimbate.</w:t>
      </w:r>
    </w:p>
    <w:p>
      <w:pPr>
        <w:rPr>
          <w:noProof/>
        </w:rPr>
      </w:pPr>
      <w:r>
        <w:rPr>
          <w:noProof/>
        </w:rPr>
        <w:t>În ceea ce privește consultarea prealabilă a AEPD, articolul 108 permite Europol, în cazuri justificate în mod corespunzător de necesitate operațională urgentă, să inițieze, în mod excepțional, anumite activități de prelucrare fără consultarea prealabilă a AEPD. Astfel de cazuri continuă să fie supuse obligației de notificare prealabilă către AEPD, de implicare a responsabilului cu protecția datelor și de transmitere ulterioară către AEPD a cererii de consultare necesare.</w:t>
      </w:r>
    </w:p>
    <w:p>
      <w:pPr>
        <w:rPr>
          <w:b/>
          <w:noProof/>
        </w:rPr>
      </w:pPr>
      <w:r>
        <w:rPr>
          <w:b/>
          <w:noProof/>
        </w:rPr>
        <w:t>Capitolul IX – Căi de atac și răspundere</w:t>
      </w:r>
    </w:p>
    <w:p>
      <w:pPr>
        <w:rPr>
          <w:noProof/>
        </w:rPr>
      </w:pPr>
      <w:r>
        <w:rPr>
          <w:noProof/>
        </w:rPr>
        <w:t>Capitolul IX stabilește cadrul care reglementează căile de atac și răspunderea, care este complementar Regulamentului (UE) 2018/1725 și aliniat la acesta. Capitolul stabilește procedura de gestionare a plângerilor de către AEPD (articolul 114) și dispozițiile generale privind răspunderea și dreptul la despăgubiri (articolul 115).</w:t>
      </w:r>
    </w:p>
    <w:p>
      <w:pPr>
        <w:rPr>
          <w:b/>
          <w:noProof/>
        </w:rPr>
      </w:pPr>
      <w:r>
        <w:rPr>
          <w:b/>
          <w:noProof/>
        </w:rPr>
        <w:t>Capitolul X – Grupul mixt de control parlamentar specializat</w:t>
      </w:r>
    </w:p>
    <w:p>
      <w:pPr>
        <w:rPr>
          <w:noProof/>
        </w:rPr>
      </w:pPr>
      <w:r>
        <w:rPr>
          <w:noProof/>
        </w:rPr>
        <w:t>Capitolul X stabilește modalitățile de control parlamentar mixt al Europol de către Parlamentul European și parlamentele naționale prin intermediul grupului mixt de control parlamentar specializat. El definește mecanismele de supraveghere politică a activităților Europol, inclusiv obligațiile de raportare, accesul la informații și implicarea Autorității Europene pentru Protecția Datelor.</w:t>
      </w:r>
    </w:p>
    <w:p>
      <w:pPr>
        <w:rPr>
          <w:b/>
          <w:bCs/>
          <w:noProof/>
        </w:rPr>
      </w:pPr>
      <w:r>
        <w:rPr>
          <w:b/>
          <w:noProof/>
        </w:rPr>
        <w:t>Capitolul XI – Personal</w:t>
      </w:r>
    </w:p>
    <w:p>
      <w:pPr>
        <w:rPr>
          <w:noProof/>
        </w:rPr>
      </w:pPr>
      <w:r>
        <w:rPr>
          <w:noProof/>
        </w:rPr>
        <w:t>Capitolul XI stabilește normele care reglementează personalul Europol. Capitolul prevede aplicarea Statutului funcționarilor Uniunii Europene și a Regimului aplicabil celorlalți agenți ai Uniunii Europene în cazul personalului Europol și stabilește categoriile de personal angajat de Europol. Capitolul stabilește, de asemenea, dispoziții specifice care vizează menținerea și reînnoirea expertizei operaționale în cadrul Europol, inclusiv prin posturi rezervate personalului cu experiență în cadrul autorităților competente ale statelor membre și prin recurgerea la experți naționali detașați.</w:t>
      </w:r>
    </w:p>
    <w:p>
      <w:pPr>
        <w:rPr>
          <w:b/>
          <w:bCs/>
          <w:noProof/>
        </w:rPr>
      </w:pPr>
      <w:r>
        <w:rPr>
          <w:b/>
          <w:noProof/>
        </w:rPr>
        <w:t>Capitolul XII – Dispoziții financiare</w:t>
      </w:r>
    </w:p>
    <w:p>
      <w:pPr>
        <w:rPr>
          <w:noProof/>
        </w:rPr>
      </w:pPr>
      <w:r>
        <w:rPr>
          <w:noProof/>
        </w:rPr>
        <w:t>Capitolul XII stabilește cadrul financiar care reglementează planificarea, finanțarea, execuția și răspunderea bugetară a Europol. Articolul 120 stabilește principiile aplicabile bugetului Europol și definește sursele sale de venituri, inclusiv contribuția de la bugetul Uniunii, contribuțiile din partea țărilor asociate la implementarea, aplicarea și dezvoltarea acquis-ului Schengen, în cazul în care acest lucru este prevăzut în acordurile internaționale relevante, precum și contribuțiile financiare voluntare din partea statelor membre. Dispoziția stabilește, de asemenea, principalele categorii de cheltuieli și permite utilizarea angajamentelor bugetare multianuale.</w:t>
      </w:r>
    </w:p>
    <w:p>
      <w:pPr>
        <w:rPr>
          <w:noProof/>
        </w:rPr>
      </w:pPr>
      <w:r>
        <w:rPr>
          <w:noProof/>
        </w:rPr>
        <w:t>Articolul 121 reglementează pregătirea, întocmirea și adoptarea bugetului și a schemei de personal ale Europol. În special, dispoziția impune ca proiectul de buget estimativ să fie elaborat într-un mod care să asigure o diferențiere clară a creditelor în funcție de subactivitate, în concordanță cu structura documentului unic de programare, consolidând astfel legătura dintre resursele bugetare, prioritățile operaționale și realizările preconizate. Articolul definește, de asemenea, responsabilitățile directorului executiv, ale Consiliului de administrație, ale Comisiei, ale Consiliului și ale Parlamentului European în cadrul procedurii bugetare anuale. Articolul 122 încredințează directorului executiv execuția bugetului.</w:t>
      </w:r>
    </w:p>
    <w:p>
      <w:pPr>
        <w:rPr>
          <w:noProof/>
        </w:rPr>
      </w:pPr>
      <w:r>
        <w:rPr>
          <w:noProof/>
        </w:rPr>
        <w:t>Articolul 123 stabilește dispozițiile privind contabilitatea, auditul și descărcarea de gestiune, inclusiv întocmirea și prezentarea conturilor, rolul Curții de Conturi, adoptarea conturilor finale de către Consiliul de administrație și procedura de descărcare de gestiune în fața Parlamentului European, asigurând astfel respectarea cadrului de răspundere financiară al Uniunii.</w:t>
      </w:r>
    </w:p>
    <w:p>
      <w:pPr>
        <w:rPr>
          <w:noProof/>
        </w:rPr>
      </w:pPr>
      <w:r>
        <w:rPr>
          <w:noProof/>
        </w:rPr>
        <w:t>Articolul 124 stabilește cadrul care reglementează normele financiare ale Europol, norme care trebuie aliniate la regulamentul financiar cadru al Uniunii pentru agențiile descentralizate, cu excepția cazului în care cerințele operaționale justifică derogări specifice aprobate de Comisie. Pe lângă faptul că prevede acordarea de granturi, inclusiv fără o cerere de propuneri, în cazul în care acest lucru este justificat de natura beneficiarilor și de obiectivele operaționale urmărite, articolul permite Europol să sprijine activitățile de cooperare operațională, inclusiv echipele comune de anchetă, și, dacă este necesar, să contribuie la finanțarea echipamentelor și a infrastructurii necesare pentru cooperarea în materie de aplicare a legii.</w:t>
      </w:r>
    </w:p>
    <w:p>
      <w:pPr>
        <w:rPr>
          <w:b/>
          <w:bCs/>
          <w:noProof/>
        </w:rPr>
      </w:pPr>
      <w:r>
        <w:rPr>
          <w:b/>
          <w:noProof/>
        </w:rPr>
        <w:t>Capitolul XII – Dispoziții diverse</w:t>
      </w:r>
    </w:p>
    <w:p>
      <w:pPr>
        <w:rPr>
          <w:noProof/>
        </w:rPr>
      </w:pPr>
      <w:r>
        <w:rPr>
          <w:noProof/>
        </w:rPr>
        <w:t>Capitolul XIII conține dispoziții diverse care reglementează cadrul juridic, administrativ și de asigurare a răspunderii aplicabil în cazul Europol. El stabilește norme privind privilegiile și imunitățile, regimul lingvistic, transparența și accesul public la documente, protecția informațiilor sensibile neclasificate și clasificate, precum și prevenirea și investigarea fraudelor care aduc atingere intereselor financiare ale Uniunii. Capitolul prevede, de asemenea, evaluarea periodică a Europol, investigațiile efectuate de Ombudsmanul European și dispozițiile referitoare la sediul și centrul operațional al Europol.</w:t>
      </w:r>
    </w:p>
    <w:p>
      <w:pPr>
        <w:keepNext/>
        <w:rPr>
          <w:b/>
          <w:bCs/>
          <w:noProof/>
        </w:rPr>
      </w:pPr>
      <w:r>
        <w:rPr>
          <w:b/>
          <w:noProof/>
        </w:rPr>
        <w:t xml:space="preserve">Capitolul XIV – Dispoziții tranzitorii </w:t>
      </w:r>
    </w:p>
    <w:p>
      <w:pPr>
        <w:rPr>
          <w:noProof/>
        </w:rPr>
      </w:pPr>
      <w:r>
        <w:rPr>
          <w:noProof/>
        </w:rPr>
        <w:t>Capitolul XIV conține dispozițiile tranzitorii necesare pentru a asigura securitatea juridică și funcționarea neîntreruptă a Europol în urma abrogării Regulamentului (UE) 2016/794. Articolul 133 instituie Europol ca succesor legal al agenției instituite în temeiul Regulamentului (UE) 2016/79 în ceea ce privește toate drepturile și obligațiile care decurg din dreptul intern, dreptul Uniunii și dreptul internațional. Dispoziția prevede, de asemenea, că înlocuirea cadrului juridic existent nu aduce atingere valabilității acordurilor de cooperare și a acordurilor de lucru încheiate de Europol în temeiul Convenției Europol, al Deciziei 2009/371/JAI sau al Regulamentului (UE) 2016/794. Aceste instrumente rămân în vigoare și continuă să se aplice până la expirarea lor sau până când sunt înlocuite.</w:t>
      </w:r>
    </w:p>
    <w:p>
      <w:pPr>
        <w:rPr>
          <w:noProof/>
        </w:rPr>
      </w:pPr>
      <w:r>
        <w:rPr>
          <w:noProof/>
        </w:rPr>
        <w:t>Articolul 134 stabilește modalitățile care reglementează tranziția la noul regulament. El asigură continuitatea activităților operaționale în curs, continuarea prelucrării datelor deținute în mod legal de Europol și valabilitatea autorizațiilor existente referitoare la transferurile de date cu caracter personal. De asemenea, se mențin efectele juridice ale deciziilor, ale măsurilor de punere în aplicare, ale normelor și ale dispozițiilor adoptate în temeiul Regulamentului (UE) 2016/794 până la revizuirea, modificarea, înlocuirea sau abrogarea acestora în conformitate cu noul cadru. În acest context, Consiliul de administrație trebuie să evalueze compatibilitatea continuă a actelor existente cu prezentul regulament și să ia măsurile necesare pentru a adapta cadrul intern al Europol, după caz.</w:t>
      </w:r>
    </w:p>
    <w:p>
      <w:pPr>
        <w:spacing w:before="0" w:after="200" w:line="276" w:lineRule="auto"/>
        <w:rPr>
          <w:b/>
          <w:bCs/>
          <w:noProof/>
        </w:rPr>
      </w:pPr>
      <w:r>
        <w:rPr>
          <w:b/>
          <w:noProof/>
        </w:rPr>
        <w:t>Capitolul XV – Modificări ale altor instrumente existente</w:t>
      </w:r>
    </w:p>
    <w:p>
      <w:pPr>
        <w:rPr>
          <w:noProof/>
        </w:rPr>
      </w:pPr>
      <w:r>
        <w:rPr>
          <w:noProof/>
        </w:rPr>
        <w:t>Capitolul XV conține modificări ale instrumentelor conexe ale Uniunii necesare pentru a sprijini punerea în aplicare a prezentului regulament. Articolul 135 prevede o modificare corespunzătoare în vederea consolidării cadrului juridic al cooperării dintre Europol și eu-LISA în domenii de interes tehnic și operațional comun. Articolul 136 modifică Regulamentul (UE) 2024/982 pentru a permite Europol să utilizeze cadrul Prüm II.</w:t>
      </w:r>
    </w:p>
    <w:p>
      <w:pPr>
        <w:spacing w:before="0" w:after="200" w:line="276" w:lineRule="auto"/>
        <w:rPr>
          <w:b/>
          <w:bCs/>
          <w:noProof/>
        </w:rPr>
      </w:pPr>
      <w:r>
        <w:rPr>
          <w:b/>
          <w:noProof/>
        </w:rPr>
        <w:t>Capitolul XVI – Dispoziții finale</w:t>
      </w:r>
    </w:p>
    <w:p>
      <w:pPr>
        <w:rPr>
          <w:noProof/>
        </w:rPr>
      </w:pPr>
      <w:r>
        <w:rPr>
          <w:noProof/>
        </w:rPr>
        <w:t>Capitolul XVI stabilește normele de aplicare a prezentului regulament. Capitolul stabilește o abordare etapizată pentru implementarea operațională a sistemelor și capacităților esențiale, definește procedurile aplicabile actelor de punere în aplicare și actelor delegate și prevede abrogarea Regulamentului (UE) 2016/794 și continuitatea trimiterilor la acesta.</w:t>
      </w:r>
    </w:p>
    <w:p>
      <w:pPr>
        <w:spacing w:before="0" w:after="200" w:line="276" w:lineRule="auto"/>
        <w:jc w:val="left"/>
        <w:rPr>
          <w:noProof/>
        </w:rPr>
      </w:pPr>
      <w:r>
        <w:rPr>
          <w:noProof/>
        </w:rPr>
        <w:br w:type="page"/>
      </w:r>
    </w:p>
    <w:p>
      <w:pPr>
        <w:pStyle w:val="Rfrenceinterinstitutionnelle"/>
        <w:rPr>
          <w:noProof/>
        </w:rPr>
      </w:pPr>
      <w:r>
        <w:rPr>
          <w:noProof/>
        </w:rPr>
        <w:t>2026/0165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privind Agenția Uniunii Europene pentru Cooperare în Materie de Aplicare a Legii (Europol), de modificare a Regulamentelor (UE) 2018/1726 și (UE) 2024/982 și de abrogare a Regulamentului (UE) 2016/794</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87 alineatul (2) litera (a) și articolul 88,</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hotărând în conformitate cu procedura legislativă ordinară,</w:t>
      </w:r>
    </w:p>
    <w:p>
      <w:pPr>
        <w:rPr>
          <w:noProof/>
        </w:rPr>
      </w:pPr>
      <w:r>
        <w:rPr>
          <w:noProof/>
        </w:rPr>
        <w:t>întrucât:</w:t>
      </w:r>
    </w:p>
    <w:p>
      <w:pPr>
        <w:pStyle w:val="Point0"/>
        <w:rPr>
          <w:noProof/>
        </w:rPr>
      </w:pPr>
      <w:r>
        <w:rPr>
          <w:noProof/>
        </w:rPr>
        <w:t>(1)</w:t>
      </w:r>
      <w:r>
        <w:rPr>
          <w:noProof/>
        </w:rPr>
        <w:tab/>
        <w:t>În temeiul articolului 67 alineatele (1) și (3) din Tratatul privind funcționarea Uniunii Europene (TFUE), Uniunea trebuie să ofere cetățenilor săi un spațiu de libertate, securitate și justiție în cadrul căruia este asigurat un nivel ridicat de securitate prin măsuri de prevenire și combatere a criminalității, a rasismului și a xenofobiei, precum și prin coordonarea și cooperarea dintre autoritățile polițienești și judiciare și alte autorități competente ale statelor membre.</w:t>
      </w:r>
    </w:p>
    <w:p>
      <w:pPr>
        <w:pStyle w:val="Point0"/>
        <w:rPr>
          <w:noProof/>
        </w:rPr>
      </w:pPr>
      <w:r>
        <w:rPr>
          <w:noProof/>
        </w:rPr>
        <w:t>(2)</w:t>
      </w:r>
      <w:r>
        <w:rPr>
          <w:noProof/>
        </w:rPr>
        <w:tab/>
        <w:t>Existența unui spațiu fără controale la frontierele interne presupune o responsabilitate comună a Uniunii și a statelor membre de a asigura un nivel ridicat de securitate internă. Prevenirea și combaterea eficace a criminalității grave, a terorismului și a altor forme de criminalitate care aduc atingere unui interes comun care face obiectul unei politici a Uniunii necesită o cooperare, o coordonare și un schimb de informații eficace între autoritățile competente ale statelor membre.</w:t>
      </w:r>
    </w:p>
    <w:p>
      <w:pPr>
        <w:pStyle w:val="Point0"/>
        <w:rPr>
          <w:noProof/>
        </w:rPr>
      </w:pPr>
      <w:r>
        <w:rPr>
          <w:noProof/>
        </w:rPr>
        <w:t>(3)</w:t>
      </w:r>
      <w:r>
        <w:rPr>
          <w:noProof/>
        </w:rPr>
        <w:tab/>
        <w:t>Criminalitatea gravă, terorismul și alte forme de criminalitate care aduc atingere unui interes comun care face obiectul unei politici a Uniunii au din ce în ce mai mult o dimensiune transfrontalieră și se caracterizează printr-un grad ridicat de complexitate și adaptabilitate. Astfel de activități infracționale generează frecvent legături care ar putea să nu fie evidente dacă se ia în considerare doar perspectiva națională. Pentru a sprijini autoritățile competente ale statelor membre în abordarea eficace a unor astfel de amenințări și pentru a contribui la un răspuns coerent și eficace în întreaga Uniune, sunt necesare un sprijin și o coordonare sporite la nivelul Uniunii.</w:t>
      </w:r>
    </w:p>
    <w:p>
      <w:pPr>
        <w:pStyle w:val="Point0"/>
        <w:rPr>
          <w:noProof/>
        </w:rPr>
      </w:pPr>
      <w:r>
        <w:rPr>
          <w:noProof/>
        </w:rPr>
        <w:t>(4)</w:t>
      </w:r>
      <w:r>
        <w:rPr>
          <w:noProof/>
        </w:rPr>
        <w:tab/>
        <w:t xml:space="preserve">Articolul 88 din TFUE prevede că Europol are misiunea de a susține și consolida acțiunea autorităților competente din statele membre, precum și cooperarea acestora pentru prevenirea și combaterea criminalității grave care afectează două sau mai multe state membre, a terorismului și a formelor de criminalitate ce aduc atingere unui interes comun care face obiectul unei politici a Uniunii. </w:t>
      </w:r>
    </w:p>
    <w:p>
      <w:pPr>
        <w:pStyle w:val="Point0"/>
        <w:rPr>
          <w:noProof/>
        </w:rPr>
      </w:pPr>
      <w:r>
        <w:rPr>
          <w:noProof/>
        </w:rPr>
        <w:t>(5)</w:t>
      </w:r>
      <w:r>
        <w:rPr>
          <w:noProof/>
        </w:rPr>
        <w:tab/>
        <w:t>Europol a fost înființată inițial prin Convenția Europol din 26 iulie 1995 și a fost ulterior integrată în cadrul Uniunii prin Decizia 2009/371/JAI a Consiliului</w:t>
      </w:r>
      <w:r>
        <w:rPr>
          <w:rStyle w:val="FootnoteReference"/>
          <w:noProof/>
        </w:rPr>
        <w:footnoteReference w:id="36"/>
      </w:r>
      <w:r>
        <w:rPr>
          <w:noProof/>
        </w:rPr>
        <w:t>. Regulamentul (UE) 2016/794 al Parlamentului European și al Consiliului</w:t>
      </w:r>
      <w:r>
        <w:rPr>
          <w:rStyle w:val="FootnoteReference"/>
          <w:noProof/>
        </w:rPr>
        <w:footnoteReference w:id="37"/>
      </w:r>
      <w:r>
        <w:rPr>
          <w:noProof/>
        </w:rPr>
        <w:t xml:space="preserve"> a consolidat și mai mult rolul Europol.</w:t>
      </w:r>
    </w:p>
    <w:p>
      <w:pPr>
        <w:pStyle w:val="Point0"/>
        <w:rPr>
          <w:noProof/>
        </w:rPr>
      </w:pPr>
      <w:r>
        <w:rPr>
          <w:noProof/>
        </w:rPr>
        <w:t>(6)</w:t>
      </w:r>
      <w:r>
        <w:rPr>
          <w:noProof/>
        </w:rPr>
        <w:tab/>
        <w:t>În îndeplinirea misiunii sale, Europol ar trebui să sprijine autoritățile competente ale statelor membre prin schimb de informații, analiză operațională și sprijin operațional, precum și prin alte forme de asistență care intră în sfera sa de competență. Având în vedere caracterul transfrontalier al infracțiunilor care intră în sfera sa de competență și diversitatea actorilor implicați în prevenirea și combaterea acestora, Europol ar trebui, de asemenea, să faciliteze cooperarea eficace dintre autoritățile competente ale statelor membre și, după caz, dintre aceste autorități și instituțiile, organele, oficiile și agențiile relevante ale Uniunii, țările terțe, organizațiile internaționale și părțile private, în conformitate cu prezentul regulament.</w:t>
      </w:r>
    </w:p>
    <w:p>
      <w:pPr>
        <w:pStyle w:val="Point0"/>
        <w:rPr>
          <w:noProof/>
        </w:rPr>
      </w:pPr>
      <w:r>
        <w:rPr>
          <w:noProof/>
        </w:rPr>
        <w:t>(7)</w:t>
      </w:r>
      <w:r>
        <w:rPr>
          <w:noProof/>
        </w:rPr>
        <w:tab/>
        <w:t>Un sprijin eficace pentru autoritățile competente ale statelor membre necesită accesul la cunoștințe de specialitate, capacități și servicii specializate care pot fi dezvoltate, menținute și puse la dispoziție într-un mod mai eficace și mai eficient la nivelul Uniunii. Prin urmare, Europol ar trebui să mențină și să dezvolte în permanență astfel de cunoștințe de specialitate, capacități și servicii și să le pună la dispoziția autorităților competente ale statelor membre, consolidând astfel capacitatea acestora de a răspunde amenințărilor infracționale transfrontaliere din ce în ce mai complexe și mai sofisticate din punct de vedere tehnologic.</w:t>
      </w:r>
    </w:p>
    <w:p>
      <w:pPr>
        <w:pStyle w:val="Point0"/>
        <w:rPr>
          <w:noProof/>
        </w:rPr>
      </w:pPr>
      <w:r>
        <w:rPr>
          <w:noProof/>
        </w:rPr>
        <w:t>(8)</w:t>
      </w:r>
      <w:r>
        <w:rPr>
          <w:noProof/>
        </w:rPr>
        <w:tab/>
        <w:t>Peisajul amenințărilor infracționale care afectează Uniunea evoluează în permanență. Anumite forme de criminalitate se manifestă tot mai mult prin medii online, creând noi provocări operaționale pentru autoritățile de aplicare a legii. Violența bazată pe gen implică din ce în ce mai mult forme de comportament infracțional facilitate de tehnologie și se răspândește la nivel transfrontalier. Utilizarea tehnologiilor informației și comunicațiilor permite ca un astfel de comportament să fie săvârșit, facilitat, amplificat sau diseminat în mai multe jurisdicții, implicând adesea victime, autori, furnizori de servicii, probe și informații relevante aflate în diferite state membre sau țări terțe. Directiva (UE) 2024/1385 a Parlamentului European și a Consiliului</w:t>
      </w:r>
      <w:r>
        <w:rPr>
          <w:rStyle w:val="FootnoteReference"/>
          <w:noProof/>
        </w:rPr>
        <w:footnoteReference w:id="38"/>
      </w:r>
      <w:r>
        <w:rPr>
          <w:noProof/>
        </w:rPr>
        <w:t xml:space="preserve"> recunoaște violența împotriva femeilor și violența domestică drept un domeniu distinct care necesită o acțiune coordonată în întreaga Uniune. Prin urmare, astfel de infracțiuni pot afecta interesele comune care fac obiectul politicilor Uniunii, inclusiv egalitatea între femei și bărbați, protecția victimelor criminalității și protecția drepturilor fundamentale. Recunoașterea violenței bazate pe gen ca fenomen infracțional distinct în temeiul dreptului Uniunii reflectă necesitatea de a aborda aceste infracțiuni într-un mod coerent în întreaga Uniune. Luarea unor măsuri eficace împotriva violenței bazate pe gen poate necesita combinarea informațiilor și a cunoștințelor de specialitate referitoare la diferite forme de comportament infracțional, identificarea legăturilor dintre cazurile care afectează mai multe jurisdicții și o cooperare sporită între autoritățile competente ale statelor membre. Prin urmare, lista formelor grave de criminalitate care intră în sfera de competență a Europol ar trebui să includă violența bazată pe gen.</w:t>
      </w:r>
    </w:p>
    <w:p>
      <w:pPr>
        <w:pStyle w:val="Point0"/>
        <w:rPr>
          <w:noProof/>
        </w:rPr>
      </w:pPr>
      <w:r>
        <w:rPr>
          <w:noProof/>
        </w:rPr>
        <w:t>(9)</w:t>
      </w:r>
      <w:r>
        <w:rPr>
          <w:noProof/>
        </w:rPr>
        <w:tab/>
        <w:t xml:space="preserve">Pentru a combate infracțiunile legate de formele de criminalitate care intră în sfera de competență a Europol și care fac parte dintr-o amenințare cu o dimensiune hibridă, contribuie la o astfel de amenințare sau sunt legate de o astfel de amenințare, Europol ar trebui să utilizeze pe deplin atribuțiile, capacitățile și instrumentele prevăzute în prezentul regulament. Existența unei dimensiuni hibride a unei </w:t>
      </w:r>
      <w:bookmarkStart w:id="0" w:name="_Hlk232684752"/>
      <w:r>
        <w:rPr>
          <w:noProof/>
        </w:rPr>
        <w:t>infracțiuni care intră în sfera de competență a Europol</w:t>
      </w:r>
      <w:bookmarkEnd w:id="0"/>
      <w:r>
        <w:rPr>
          <w:noProof/>
        </w:rPr>
        <w:t xml:space="preserve"> nu ar trebui să afecteze capacitatea Europol de a sprijini autoritățile competente ale statelor membre prin schimb de informații, analiză operațională, cooperare operațională și alte forme de sprijin care intră în sfera sa de competență.</w:t>
      </w:r>
    </w:p>
    <w:p>
      <w:pPr>
        <w:pStyle w:val="Point0"/>
        <w:rPr>
          <w:noProof/>
        </w:rPr>
      </w:pPr>
      <w:r>
        <w:rPr>
          <w:noProof/>
        </w:rPr>
        <w:t>(10)</w:t>
      </w:r>
      <w:r>
        <w:rPr>
          <w:noProof/>
        </w:rPr>
        <w:tab/>
        <w:t>Europol ar trebui să acționeze în sprijinul autorităților competente ale statelor membre și nu ar trebui să exercite, în sine, competențe coercitive sau să aplice măsuri de anchetă. Prin urmare, prezentul regulament ar trebui să stabilească norme clare privind competența, atribuțiile și funcționarea Europol, asigurând în același timp respectarea drepturilor fundamentale, inclusiv a dreptului la protecția datelor cu caracter personal.</w:t>
      </w:r>
    </w:p>
    <w:p>
      <w:pPr>
        <w:pStyle w:val="Point0"/>
        <w:rPr>
          <w:noProof/>
        </w:rPr>
      </w:pPr>
      <w:r>
        <w:rPr>
          <w:noProof/>
        </w:rPr>
        <w:t>(11)</w:t>
      </w:r>
      <w:r>
        <w:rPr>
          <w:noProof/>
        </w:rPr>
        <w:tab/>
        <w:t>Întrucât activitățile de sprijin operațional ale Europol s-au extins și s-au diversificat, este necesar să se asigure coerența, complementaritatea și continuitatea operațională între diferitele forme de sprijin operațional furnizate de Europol. Prin urmare, cadrul operațional al Europol ar trebui să permită funcționarea instrumentelor sale operaționale, a cunoștințelor de specialitate și a structurilor sale de sprijin într-un mod integrat și care se consolidează reciproc, rămânând în același timp suficient de adaptabil la nevoile operaționale în continuă evoluție, la evoluțiile tehnologice și la amenințările emergente la adresa securității.</w:t>
      </w:r>
    </w:p>
    <w:p>
      <w:pPr>
        <w:pStyle w:val="Point0"/>
        <w:rPr>
          <w:noProof/>
        </w:rPr>
      </w:pPr>
      <w:r>
        <w:rPr>
          <w:noProof/>
        </w:rPr>
        <w:t>(12)</w:t>
      </w:r>
      <w:r>
        <w:rPr>
          <w:noProof/>
        </w:rPr>
        <w:tab/>
        <w:t xml:space="preserve">Caracterul transfrontalier și interconectat al criminalității grave și organizate și al terorismului necesită identificarea legăturilor, a modelelor și a evoluțiilor între jurisdicții și domenii de activitate infracțională. Informațiile în materie penală fragmentate sau incomplete pot crea puncte nevralgice operaționale care pot fi exploatate de rețelele infracționale transnaționale și de teroriști. Prin reunirea informațiilor și a datelor operative în materie penală provenite de la mai multe autorități și surse din întreaga Uniune și din afara acesteia, Europol se află într-o poziție unică pentru a contribui la elaborarea unei analize strategice comune a amenințărilor infracționale, a evoluțiilor operaționale și a riscurilor emergente în materie de securitate. </w:t>
      </w:r>
    </w:p>
    <w:p>
      <w:pPr>
        <w:pStyle w:val="Point0"/>
        <w:rPr>
          <w:noProof/>
        </w:rPr>
      </w:pPr>
      <w:r>
        <w:rPr>
          <w:noProof/>
        </w:rPr>
        <w:t>(13)</w:t>
      </w:r>
      <w:r>
        <w:rPr>
          <w:noProof/>
        </w:rPr>
        <w:tab/>
        <w:t xml:space="preserve">Pentru a se asigura că analiza strategică se traduce în acțiuni concrete, produsele analitice ale Europol ar trebui să sprijine identificarea priorităților, alocarea resurselor și planificarea acțiunilor operaționale la nivelul Uniunii și la nivel național, inclusiv în cadrul Platformei multidisciplinare europene împotriva amenințărilor infracționale (EMPACT). De asemenea, ele ar trebui să sprijine Comisia și statele membre în efectuarea evaluărilor riscurilor și în verificarea punerii în aplicare a cadrului Schengen. </w:t>
      </w:r>
    </w:p>
    <w:p>
      <w:pPr>
        <w:pStyle w:val="Point0"/>
        <w:rPr>
          <w:noProof/>
        </w:rPr>
      </w:pPr>
      <w:r>
        <w:rPr>
          <w:noProof/>
        </w:rPr>
        <w:t>(14)</w:t>
      </w:r>
      <w:r>
        <w:rPr>
          <w:noProof/>
        </w:rPr>
        <w:tab/>
        <w:t>Realizarea unei imagini analitice strategice comune la nivelul Uniunii ar trebui să constituie o responsabilitate comună a Europol, a statelor membre și a instituțiilor, organelor, misiunilor, oficiilor și agențiilor relevante ale Uniunii, care ar trebui să furnizeze informațiile necesare pentru elaborarea respectivelor produse analitice, în conformitate cu mandatele lor și cu dreptul aplicabil al Uniunii. Europol ar trebui, de asemenea, să sprijine elaborarea și utilizarea unor metodologii și standarde analitice comune, în special pentru evaluările amenințărilor la nivelul Uniunii, pentru a consolida comparabilitatea, coerența și interoperabilitatea analizei datelor operative în materie penală la nivelul Uniunii.</w:t>
      </w:r>
    </w:p>
    <w:p>
      <w:pPr>
        <w:pStyle w:val="Point0"/>
        <w:rPr>
          <w:noProof/>
        </w:rPr>
      </w:pPr>
      <w:r>
        <w:rPr>
          <w:noProof/>
        </w:rPr>
        <w:t>(15)</w:t>
      </w:r>
      <w:r>
        <w:rPr>
          <w:noProof/>
        </w:rPr>
        <w:tab/>
        <w:t>Analizele strategice și evaluările amenințărilor efectuate de Europol ar trebui să acorde o atenție deosebită, după caz, vecinătății imediate a Uniunii și, în special, situației din țările candidate și potențial candidate la aderarea la Uniune. Aceste contribuții pot include evaluări ale capacităților partenerilor respectivi de prevenire și combatere a criminalității grave și a terorismului. Analizele strategice și evaluările amenințărilor ar trebui să se bazeze în continuare pe contribuțiile țărilor candidate și potențial candidate la UE, ale căror evaluări naționale ale amenințării pe care o reprezintă criminalitatea gravă și organizată sunt elaborate cu sprijinul proiectelor finanțate de Uniune.</w:t>
      </w:r>
    </w:p>
    <w:p>
      <w:pPr>
        <w:pStyle w:val="Point0"/>
        <w:rPr>
          <w:noProof/>
        </w:rPr>
      </w:pPr>
      <w:r>
        <w:rPr>
          <w:noProof/>
        </w:rPr>
        <w:t>(16)</w:t>
      </w:r>
      <w:r>
        <w:rPr>
          <w:noProof/>
        </w:rPr>
        <w:tab/>
        <w:t>Prin reunirea și analizarea informațiilor și a datelor operative în materie penală provenite din surse multiple, Europol poate identifica legături care nu sunt evidente din perspectiva unui singur stat membru și care pot necesita acțiuni de investigare la nivel național. Întrucât responsabilitatea pentru desfășurarea anchetelor penale le revine autorităților competente ale statelor membre, Europol ar trebui, prin urmare, să fie în măsură, în limitele competenței sale, să solicite autorităților respective să evalueze, fără întârzieri nejustificate, necesitatea de a iniția, de a desfășura sau de a coordona anchete în legătură cu formele de criminalitate care intră în sfera de competență a Europol. Europol ar trebui, de asemenea, să poată formula o astfel de cerere în cazul în care activitatea infracțională vizează în principal un singur stat membru, dar poate avea implicații asupra securității interne a Uniunii. Cu toate acestea, activitățile infracționale concentrate într-un singur stat membru pot face parte din fenomene infracționale mai ample sau pot genera riscuri și vulnerabilități care se extind dincolo de frontierele naționale și, prin urmare, necesită o analiză dintr-o perspectivă mai largă la nivelul Uniunii.</w:t>
      </w:r>
    </w:p>
    <w:p>
      <w:pPr>
        <w:pStyle w:val="Point0"/>
        <w:rPr>
          <w:noProof/>
        </w:rPr>
      </w:pPr>
      <w:r>
        <w:rPr>
          <w:noProof/>
        </w:rPr>
        <w:t>(17)</w:t>
      </w:r>
      <w:r>
        <w:rPr>
          <w:noProof/>
        </w:rPr>
        <w:tab/>
        <w:t>Măsurile judiciare ulterioare eficace întreprinse ca urmare a solicitărilor formulate de Europol cu privire la necesitatea de a evalua inițierea, desfășurarea sau coordonarea anchetelor penale pot necesita cooperare și coordonare judiciară la nivelul Uniunii. Prin urmare, Agenția Uniunii Europene pentru Cooperare în Materie de Justiție Penală („Eurojust”), instituită prin Regulamentul (UE) 2018/1727 al Parlamentului European și al Consiliului</w:t>
      </w:r>
      <w:r>
        <w:rPr>
          <w:rStyle w:val="FootnoteReference"/>
          <w:rFonts w:eastAsia="Arial Unicode MS"/>
          <w:noProof/>
        </w:rPr>
        <w:footnoteReference w:id="39"/>
      </w:r>
      <w:r>
        <w:rPr>
          <w:noProof/>
        </w:rPr>
        <w:t>, ar trebui să fie informată fără întârziere cu privire la astfel de solicitări și la orice decizie ulterioară luată de autoritățile competente ale statelor membre. Acest lucru ar trebui să permită Eurojust să faciliteze luarea de măsuri judiciare ulterioare, să asigure coerența între acțiunile de aplicare a legii și cele de urmărire penală la nivelul Uniunii și să își exercite atribuțiile în conformitate cu regulamentul respectiv.</w:t>
      </w:r>
    </w:p>
    <w:p>
      <w:pPr>
        <w:pStyle w:val="Point0"/>
        <w:rPr>
          <w:noProof/>
          <w:bdr w:val="none" w:sz="0" w:space="0" w:color="auto" w:frame="1"/>
        </w:rPr>
      </w:pPr>
      <w:r>
        <w:rPr>
          <w:noProof/>
        </w:rPr>
        <w:t>(18)</w:t>
      </w:r>
      <w:r>
        <w:rPr>
          <w:noProof/>
        </w:rPr>
        <w:tab/>
      </w:r>
      <w:r>
        <w:rPr>
          <w:noProof/>
          <w:bdr w:val="none" w:sz="0" w:space="0" w:color="auto" w:frame="1"/>
        </w:rPr>
        <w:t>Coerența operațională între activitățile Europol este esențială pentru un răspuns integrat</w:t>
      </w:r>
      <w:r>
        <w:rPr>
          <w:noProof/>
        </w:rPr>
        <w:t xml:space="preserve"> la criminalitatea gravă și organizată, la terorism și la alte forme de criminalitate care intră în sfera de competență a Europol. Având în vedere caracterul din ce în ce mai interconectat al amenințărilor infracționale și complexitatea tot mai mare a activităților infracționale, Europol ar trebui să asigure gestionarea coordonată a informațiilor, a datelor operative în materie penală și a sprijinului operațional în cadrul structurilor sale și al domeniilor sale de expertiză specializată.</w:t>
      </w:r>
      <w:r>
        <w:rPr>
          <w:noProof/>
          <w:bdr w:val="none" w:sz="0" w:space="0" w:color="auto" w:frame="1"/>
        </w:rPr>
        <w:t xml:space="preserve"> </w:t>
      </w:r>
      <w:r>
        <w:rPr>
          <w:noProof/>
        </w:rPr>
        <w:t>Prin urmare, Europol ar trebui să mențină un</w:t>
      </w:r>
      <w:r>
        <w:rPr>
          <w:noProof/>
          <w:bdr w:val="none" w:sz="0" w:space="0" w:color="auto" w:frame="1"/>
        </w:rPr>
        <w:t xml:space="preserve"> serviciu operațional și de analiză permanent</w:t>
      </w:r>
      <w:r>
        <w:rPr>
          <w:noProof/>
        </w:rPr>
        <w:t xml:space="preserve"> pentru a asigura coordonarea și coerența</w:t>
      </w:r>
      <w:r>
        <w:rPr>
          <w:noProof/>
          <w:bdr w:val="none" w:sz="0" w:space="0" w:color="auto" w:frame="1"/>
        </w:rPr>
        <w:t xml:space="preserve"> </w:t>
      </w:r>
      <w:r>
        <w:rPr>
          <w:noProof/>
        </w:rPr>
        <w:t>între activitățile sale și pentru a sprijini statele membre în furnizarea unui</w:t>
      </w:r>
      <w:r>
        <w:rPr>
          <w:noProof/>
          <w:bdr w:val="none" w:sz="0" w:space="0" w:color="auto" w:frame="1"/>
        </w:rPr>
        <w:t xml:space="preserve"> răspuns operațional multidisciplinar la nivelul Uniunii.</w:t>
      </w:r>
    </w:p>
    <w:p>
      <w:pPr>
        <w:pStyle w:val="Point0"/>
        <w:rPr>
          <w:noProof/>
        </w:rPr>
      </w:pPr>
      <w:r>
        <w:rPr>
          <w:noProof/>
        </w:rPr>
        <w:t>(19)</w:t>
      </w:r>
      <w:r>
        <w:rPr>
          <w:noProof/>
        </w:rPr>
        <w:tab/>
        <w:t xml:space="preserve">Mai multe forme de criminalitate care intră în sfera de competență a Europol necesită cunoștințe de specialitate specifice, capacități operaționale și sprijin care sunt organizate și menținute în modul cel mai eficace la nivelul Uniunii. Prin urmare, Europol ar trebui să mențină centre specializate ale Uniunii ca parte a structurii sale organizatorice în domenii de importanță deosebită pentru securitatea internă a Uniunii. Centrele ar trebui să facă parte integrantă din structura organizatorică a Europol, contribuind la îndeplinirea atribuțiilor Europol în domeniile lor respective de expertiză. Acestea nu ar trebui să aibă personalitate juridică separată. Pentru a asigura continuitatea și stabilitatea acestor capacități de bază, înființarea unor astfel de centre ar trebui să fie stabilită prin prezentul regulament. Consiliul de administrație ar trebui să fie responsabil de specificarea organizării, a funcțiilor specializate, a componenței și a funcționării centrelor, având în vedere nevoile operaționale și evoluția amenințărilor la adresa securității. </w:t>
      </w:r>
    </w:p>
    <w:p>
      <w:pPr>
        <w:pStyle w:val="Point0"/>
        <w:rPr>
          <w:noProof/>
        </w:rPr>
      </w:pPr>
      <w:r>
        <w:rPr>
          <w:noProof/>
        </w:rPr>
        <w:t>(20)</w:t>
      </w:r>
      <w:r>
        <w:rPr>
          <w:noProof/>
        </w:rPr>
        <w:tab/>
        <w:t>Activitățile infracționale care implică o dimensiune hibridă pot apărea în legătură cu orice formă de criminalitate care intră în sfera de competență a Europol. Prin urmare, toate centrele ar trebui să contribuie, în domeniile lor respective de expertiză, la prevenirea și combaterea unor astfel de infracțiuni, inclusiv în cazul în care acestea fac parte dintr-o amenințare cu o dimensiune hibridă, contribuie la o astfel de amenințare sau sunt legate de o amenințare cu o dimensiune hibridă.</w:t>
      </w:r>
    </w:p>
    <w:p>
      <w:pPr>
        <w:pStyle w:val="Point0"/>
        <w:rPr>
          <w:noProof/>
        </w:rPr>
      </w:pPr>
      <w:r>
        <w:rPr>
          <w:noProof/>
        </w:rPr>
        <w:t>(21)</w:t>
      </w:r>
      <w:r>
        <w:rPr>
          <w:noProof/>
        </w:rPr>
        <w:tab/>
        <w:t>Întrucât peisajul operațional în care își desfășoară activitatea Europol se caracterizează din ce în ce mai mult prin structuri infracționale fluide și convergența mai multor domenii de criminalitate, sprijinul eficace pentru autoritățile competente ale statelor membre necesită o cooperare și o coordonare strânse între centre și alte structuri organizatorice din cadrul Europol. Prin urmare, centrele ar trebui să colaboreze și să își combine cunoștințele de specialitate și capacitățile, în cazul în care acest lucru este necesar pentru a sprijini răspunsurile operaționale multidisciplinare la amenințările transversale. Atribuirea de sarcini unui anumit centru în temeiul prezentului regulament nu ar trebui să împiedice implicarea altor centre sau structuri organizatorice în îndeplinirea sarcinilor respective, în cazul în care nevoile operaționale impun acest lucru.</w:t>
      </w:r>
    </w:p>
    <w:p>
      <w:pPr>
        <w:pStyle w:val="Point0"/>
        <w:rPr>
          <w:noProof/>
        </w:rPr>
      </w:pPr>
      <w:r>
        <w:rPr>
          <w:noProof/>
        </w:rPr>
        <w:t>(22)</w:t>
      </w:r>
      <w:r>
        <w:rPr>
          <w:noProof/>
        </w:rPr>
        <w:tab/>
        <w:t>Pentru a răspunde amenințărilor din ce în ce mai grave reprezentate de rețelele transnaționale de criminalitate gravă și organizată, Europol ar trebui să ofere statelor membre, în special prin intermediul Centrului european privind formele grave de criminalitate și criminalitatea organizată, sprijin operațional, analitic, tehnic și criminalistic pentru combaterea formelor grave de criminalitate și a criminalității organizate, cum ar fi traficul de droguri, traficul de arme de foc și materiale explozibile, infracțiunile împotriva mediului și infracțiunile contra patrimoniului, precum și în cadrul investigațiilor transfrontaliere complexe.</w:t>
      </w:r>
    </w:p>
    <w:p>
      <w:pPr>
        <w:pStyle w:val="Point0"/>
        <w:rPr>
          <w:noProof/>
        </w:rPr>
      </w:pPr>
      <w:r>
        <w:rPr>
          <w:noProof/>
        </w:rPr>
        <w:t>(23)</w:t>
      </w:r>
      <w:r>
        <w:rPr>
          <w:noProof/>
        </w:rPr>
        <w:tab/>
        <w:t>Amenințarea teroristă care afectează Uniunea continuă să evolueze în ceea ce privește actorii, metodele și mijloacele, inclusiv prin exploatarea mediilor online și a tehnologiilor emergente. Un răspuns eficace în materie de combatere a terorismului necesită ca Europol, prin intermediul Centrului european de combatere a terorismului, să ofere statelor membre sprijin operațional, analitic, tehnic și criminalistic pentru combaterea activităților teroriste, cum ar fi finanțarea terorismului, radicalizarea online, diseminarea conținutului online cu caracter terorist sau prevenirea atacurilor fizice. Europol ar trebui, de asemenea, să sprijine coordonarea mecanismelor de răspuns în situații de criză la nivelul Uniunii.</w:t>
      </w:r>
    </w:p>
    <w:p>
      <w:pPr>
        <w:pStyle w:val="Point0"/>
        <w:rPr>
          <w:noProof/>
        </w:rPr>
      </w:pPr>
      <w:r>
        <w:rPr>
          <w:noProof/>
        </w:rPr>
        <w:t>(24)</w:t>
      </w:r>
      <w:r>
        <w:rPr>
          <w:noProof/>
        </w:rPr>
        <w:tab/>
        <w:t>Criminalitatea financiară și economică subminează integritatea economiei, a sistemului financiar și a ordinii juridice a Uniunii și constituie un factor-cheie al criminalității grave și organizate și al terorismului. Utilizarea unor scheme financiare complexe, a criptoactivelor și a tehnologiilor financiare digitale face ca detectarea, investigarea și urmărirea activelor provenite din săvârșirea de infracțiuni să fie din ce în ce mai dificile. Această utilizare necesită cunoștințe de specialitate și capacități specializate permanente la nivelul Uniunii. Europol, în special prin intermediul Centrului european de combatere a criminalității economice și financiare, ar trebui, prin urmare, să ofere statelor membre și organelor, oficiilor și agențiilor relevante ale Uniunii, cum ar fi Parchetul European (EPPO), instituit prin Regulamentul (UE) 2017/1939 al Consiliului</w:t>
      </w:r>
      <w:r>
        <w:rPr>
          <w:rStyle w:val="FootnoteReference"/>
          <w:noProof/>
        </w:rPr>
        <w:footnoteReference w:id="40"/>
      </w:r>
      <w:r>
        <w:rPr>
          <w:noProof/>
        </w:rPr>
        <w:t>, sprijin specializat pentru investigațiile financiare, urmărirea și recuperarea activelor, criptoactive și tehnologii financiare digitale, precum și pentru identificarea și analiza schemelor și tranzacțiilor financiare de natură infracțională.</w:t>
      </w:r>
    </w:p>
    <w:p>
      <w:pPr>
        <w:pStyle w:val="Point0"/>
        <w:rPr>
          <w:noProof/>
        </w:rPr>
      </w:pPr>
      <w:r>
        <w:rPr>
          <w:noProof/>
        </w:rPr>
        <w:t>(25)</w:t>
      </w:r>
      <w:r>
        <w:rPr>
          <w:noProof/>
        </w:rPr>
        <w:tab/>
        <w:t xml:space="preserve">Pentru a permite Europol să ofere un sprijin eficace birourilor naționale de recuperare a activelor în ceea ce privește urmărirea și recuperarea activelor, statele membre ar trebui să se asigure că Europol are acces efectiv la informațiile necesare pentru urmărirea și identificarea bunurilor. În cazul în care, pe baza activităților sale analitice, Europol identifică un risc iminent de dispariție a unor bunuri urmărite și identificate, agenția ar trebui să poată solicita autorităților competente ale statului membru în cauză să ia măsuri imediate. </w:t>
      </w:r>
    </w:p>
    <w:p>
      <w:pPr>
        <w:pStyle w:val="Point0"/>
        <w:rPr>
          <w:noProof/>
        </w:rPr>
      </w:pPr>
      <w:r>
        <w:rPr>
          <w:noProof/>
        </w:rPr>
        <w:t>(26)</w:t>
      </w:r>
      <w:r>
        <w:rPr>
          <w:noProof/>
        </w:rPr>
        <w:tab/>
        <w:t xml:space="preserve">Criminalitatea informatică și activitățile infracționale facilitate prin mijloace informatice constituie o componentă centrală a peisajului amenințărilor care afectează securitatea internă a Uniunii. Disponibilitatea tot mai mare a criminalității informatice „ca serviciu” facilitează utilizarea unor instrumente și servicii sofisticate de către o gamă largă de actori infracționali și teroriști, sporind astfel amploarea și impactul activităților infracționale facilitate prin mijloace informatice. Prin urmare, Europol, în special prin intermediul Centrului european de combatere a criminalității informatice, ar trebui să sprijine statele membre în prevenirea și combaterea criminalității informatice, în răspunsul la atacurile cibernetice și în abordarea dimensiunii digitale tot mai mari a activităților infracționale în toate domeniile criminalității care intră în sfera sa de competență. Europol ar trebui, de asemenea, să contribuie la dezvoltarea și implementarea capacităților tehnice specializate, în special în domeniul criminalisticii digitale, al accesului legal și al prelucrării și analizei datelor criptate. Astfel de capacități necesită un nivel de expertiză și resurse care pot fi furnizate mai eficace la nivelul Uniunii. </w:t>
      </w:r>
    </w:p>
    <w:p>
      <w:pPr>
        <w:pStyle w:val="Point0"/>
        <w:rPr>
          <w:noProof/>
        </w:rPr>
      </w:pPr>
      <w:r>
        <w:rPr>
          <w:noProof/>
        </w:rPr>
        <w:t>(27)</w:t>
      </w:r>
      <w:r>
        <w:rPr>
          <w:noProof/>
        </w:rPr>
        <w:tab/>
        <w:t>Incidentele cibernetice de presupusă origine infracțională, în special cele de tip ransomware, necesită adesea atât un răspuns din partea sectorului de securitate cibernetică, cât și din partea autorităților de aplicare a legii. Prin urmare, Centrul european de combatere a criminalității informatice ar trebui să coopereze îndeaproape cu Agenția Uniunii Europene pentru Securitate Cibernetică (ENISA), instituită prin Regulamentul (UE) 2019/881 al Parlamentului European și al Consiliului</w:t>
      </w:r>
      <w:r>
        <w:rPr>
          <w:rStyle w:val="FootnoteReference"/>
          <w:noProof/>
        </w:rPr>
        <w:footnoteReference w:id="41"/>
      </w:r>
      <w:r>
        <w:rPr>
          <w:noProof/>
        </w:rPr>
        <w:t>, în ceea ce privește securitatea cibernetică, amenințările cibernetice și incidentele cibernetice de presupusă origine infracțională, cu un accent deosebit pe incidentele de tip ransomware, inclusiv prin intermediul serviciului de asistență în materie de ransomware al ENISA. O astfel de cooperare ar trebui să sprijine coordonarea eficace, schimbul de informații și de cunoștințe de specialitate, precum și dezvoltarea de sinergii între comunitățile din domeniul securității cibernetice și cel al aplicării legii.</w:t>
      </w:r>
    </w:p>
    <w:p>
      <w:pPr>
        <w:pStyle w:val="Point0"/>
        <w:rPr>
          <w:noProof/>
        </w:rPr>
      </w:pPr>
      <w:r>
        <w:rPr>
          <w:noProof/>
        </w:rPr>
        <w:t>(28)</w:t>
      </w:r>
      <w:r>
        <w:rPr>
          <w:noProof/>
        </w:rPr>
        <w:tab/>
        <w:t>Introducerea ilegală de migranți și traficul de persoane constituie activități infracționale transfrontaliere majore care pun în pericol viața umană, subminează politicile Uniunii în materie de migrație și gestionare a frontierelor și generează profituri semnificative pentru rețelele de criminalitate organizată. Centrul european de combatere a introducerii ilegale de migranți, înființat în cadrul Europol, ar trebui să asigure cunoștințe de specialitate și capacități specializate permanente la nivelul Uniunii pentru a sprijini lupta împotriva introducerii ilegale de migranți și a traficului de persoane. Europol, în special prin intermediul centrului respectiv, ar trebui să sprijine statele membre în dezmembrarea rutelor de introducere ilegală de migranți și a rețelelor de facilitare a criminalității. Europol ar trebui, de asemenea, să sprijine identificarea victimelor traficului de persoane și a altor persoane vulnerabile, asigurând cooperarea cu coordonatorul UE pentru combaterea traficului de persoane menționat în Directiva 2011/36/UE a Parlamentului European și a Consiliului</w:t>
      </w:r>
      <w:r>
        <w:rPr>
          <w:rStyle w:val="FootnoteReference"/>
          <w:noProof/>
        </w:rPr>
        <w:footnoteReference w:id="42"/>
      </w:r>
      <w:r>
        <w:rPr>
          <w:noProof/>
        </w:rPr>
        <w:t>.</w:t>
      </w:r>
    </w:p>
    <w:p>
      <w:pPr>
        <w:pStyle w:val="Point0"/>
        <w:rPr>
          <w:noProof/>
        </w:rPr>
      </w:pPr>
      <w:r>
        <w:rPr>
          <w:noProof/>
        </w:rPr>
        <w:t>(29)</w:t>
      </w:r>
      <w:r>
        <w:rPr>
          <w:noProof/>
        </w:rPr>
        <w:tab/>
        <w:t>Evoluția amenințărilor legate de criminalitate și a nevoilor operaționale poate necesita, în circumstanțe excepționale, înființarea unor centre suplimentare dedicate domeniilor care necesită cunoștințe de specialitate sau acțiuni coordonate la nivelul Uniunii. Directorul executiv ar trebui să evalueze în permanență evoluțiile operaționale, cerințele în materie de capacități și domeniile de criminalitate emergente și, după caz, să identifice necesitatea înființării unor centre suplimentare. Ar trebui înființate centre suplimentare numai în cazul în care există o nevoie operațională susținută care nu poate fi abordată în mod adecvat prin intermediul structurilor organizatorice existente ale Europol. De asemenea, ar trebui să fie posibilă adaptarea, fuzionarea sau desființarea acestor centre suplimentare, în cazul în care acest lucru este necesar pentru a reflecta cerințele operaționale în schimbare. În vederea asigurării unui cadru coerent pentru înființarea centrelor, competența de a adopta acte în conformitate cu articolul 290 din TFUE ar trebui delegată Comisiei în ceea ce privește înființarea, adaptarea, fuziunea sau desființarea unor centre suplimentare.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Pr>
          <w:rStyle w:val="FootnoteReference"/>
          <w:noProof/>
        </w:rPr>
        <w:footnoteReference w:id="43"/>
      </w:r>
      <w:r>
        <w:rPr>
          <w:noProof/>
        </w:rPr>
        <w:t>. În special, pentru a se asigura o participare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pPr>
        <w:pStyle w:val="Point0"/>
        <w:rPr>
          <w:noProof/>
        </w:rPr>
      </w:pPr>
      <w:r>
        <w:rPr>
          <w:noProof/>
        </w:rPr>
        <w:t>(30)</w:t>
      </w:r>
      <w:r>
        <w:rPr>
          <w:noProof/>
        </w:rPr>
        <w:tab/>
        <w:t>În desfășurarea activităților lor, centrele ar trebui să coopereze îndeaproape cu structuri specializate similare instituite la nivelul Uniunii, inclusiv cu centrele de expertiză în materie penală ale Eurojust și cu viitorul Centru al UE pentru protecția copiilor împotriva abuzurilor sexuale asupra copiilor, în limitele competențelor lor respective. O astfel de cooperare ar trebui să contribuie la asigurarea complementarității, la evitarea duplicării eforturilor și la maximizarea valorii operaționale a cunoștințelor de specialitate și a capacităților specializate.</w:t>
      </w:r>
    </w:p>
    <w:p>
      <w:pPr>
        <w:pStyle w:val="Point0"/>
        <w:rPr>
          <w:noProof/>
        </w:rPr>
      </w:pPr>
      <w:r>
        <w:rPr>
          <w:noProof/>
        </w:rPr>
        <w:t>(31)</w:t>
      </w:r>
      <w:r>
        <w:rPr>
          <w:noProof/>
        </w:rPr>
        <w:tab/>
        <w:t>Investigarea rețelelor infracționale cu grad ridicat de risc și a fenomenelor infracționale transfrontaliere complexe necesită forme structurate, dar flexibile de cooperare operațională între autoritățile competente ale statelor membre. Grupurile de acțiune operaționale oferă un cadru pentru concentrarea eforturilor de investigare, a expertizei operaționale și a datelor operative în materie penală asupra țintelor prioritare, cu sprijinul Europol. Prin urmare, Europol ar trebui să participe la grupurile de acțiune operaționale, asigurând coordonarea operațională, facilitând schimbul și analiza informațiilor și contribuind cu sprijinul său specializat în domeniul operațional, tehnic, analitic și criminalistic. După caz, grupurile de acțiune operaționale ar trebui integrate în activitățile EMPACT. În cazul în care constatările operaționale indică necesitatea coordonării judiciare, Europol ar trebui să asigure transmiterea în timp util a informațiilor relevante către Eurojust pentru a sprijini exercitarea eficace a mandatului său în conformitate cu Regulamentul (UE) 2018/1727.</w:t>
      </w:r>
    </w:p>
    <w:p>
      <w:pPr>
        <w:pStyle w:val="Point0"/>
        <w:rPr>
          <w:noProof/>
        </w:rPr>
      </w:pPr>
      <w:r>
        <w:rPr>
          <w:noProof/>
        </w:rPr>
        <w:t>(32)</w:t>
      </w:r>
      <w:r>
        <w:rPr>
          <w:noProof/>
        </w:rPr>
        <w:tab/>
        <w:t>Echipele comune de anchetă oferă un cadru structurat pentru investigații coordonate, planificare operațională comună și utilizarea probelor într-un context comun de anchetă. Prin urmare, Europol ar trebui să fie în măsură să sprijine echipele comune de anchetă pentru infracțiunile care intră în sfera sa de competență prin furnizarea de date operative în materie penală, de contribuții analitice și de capacități operaționale specializate și prin facilitarea coordonării operaționale în cazul în care acest lucru consolidează acțiunea comună de anchetă. În cazul în care constatările operaționale indică necesitatea coordonării judiciare, Europol ar trebui să asigure transmiterea în timp util a informațiilor relevante către Eurojust pentru a sprijini exercitarea eficace a mandatului său în conformitate cu Regulamentul (UE) 2018/1727.</w:t>
      </w:r>
    </w:p>
    <w:p>
      <w:pPr>
        <w:pStyle w:val="Point0"/>
        <w:rPr>
          <w:noProof/>
        </w:rPr>
      </w:pPr>
      <w:r>
        <w:rPr>
          <w:noProof/>
        </w:rPr>
        <w:t>(33)</w:t>
      </w:r>
      <w:r>
        <w:rPr>
          <w:noProof/>
        </w:rPr>
        <w:tab/>
        <w:t>Pentru a oferi sprijin operațional eficace autorităților competente ale statelor membre și, după caz, ale țărilor terțe, Europol trebuie să își pună la dispoziție cunoștințele de specialitate, capacitățile și sprijinul în cazul în care se desfășoară activități operaționale. Prin urmare, Europol ar trebui să poată trimite personal pentru a oferi sprijin analitic, operațional, tehnic și criminalistic direct autorităților competente în cauză. Astfel de trimiteri ar trebui să sprijine în special investigațiile complexe și la scară largă, activitățile de coordonare operațională și evenimentele internaționale importante. Ele ar trebui, de asemenea, să contribuie la asigurarea coerenței între activitățile de aplicare a legii și activitățile desfășurate la frontierele externe ale Uniunii, fiecare autoritate acționând în limitele competenței sale. În special, trimiterile din partea Europol ar trebui să ajute autoritățile de screening să efectueze controale în conformitate cu Regulamentul (UE) 2024/1356 al Parlamentului European și al Consiliului</w:t>
      </w:r>
      <w:r>
        <w:rPr>
          <w:rStyle w:val="FootnoteReference"/>
          <w:noProof/>
        </w:rPr>
        <w:footnoteReference w:id="44"/>
      </w:r>
      <w:r>
        <w:rPr>
          <w:noProof/>
        </w:rPr>
        <w:t>, să sprijine Frontex, instituită prin Regulamentul (UE) 2019/1896 al Parlamentului European și al Consiliului</w:t>
      </w:r>
      <w:r>
        <w:rPr>
          <w:rStyle w:val="FootnoteReference"/>
          <w:noProof/>
        </w:rPr>
        <w:footnoteReference w:id="45"/>
      </w:r>
      <w:r>
        <w:rPr>
          <w:noProof/>
        </w:rPr>
        <w:t>, și activitățile de gestionare a migrației în temeiul Regulamentului (UE) 2019/1896 și să sprijine autoritățile de gestionare a frontierelor în efectuarea controalelor de securitate prin consultarea informațiilor Europol la frontierele externe ale Uniunii. Eficacitatea trimiterilor din partea Europol depinde de sprijinul activ și în timp util din partea statelor membre. Prin urmare, statele membre ar trebui să se asigure că personalul trimis de Europol are, atunci când este relevant și adecvat, acces securizat la unități operaționale, informații și echipamente tehnice și ar trebui să faciliteze coordonarea și integrarea cu echipele operaționale naționale.</w:t>
      </w:r>
    </w:p>
    <w:p>
      <w:pPr>
        <w:pStyle w:val="Point0"/>
        <w:rPr>
          <w:noProof/>
        </w:rPr>
      </w:pPr>
      <w:r>
        <w:rPr>
          <w:noProof/>
        </w:rPr>
        <w:t>(34)</w:t>
      </w:r>
      <w:r>
        <w:rPr>
          <w:noProof/>
        </w:rPr>
        <w:tab/>
        <w:t xml:space="preserve">În anumite situații, Europol poate solicita detașarea unei expertize de înaltă specializare pentru a răspunde unor nevoi operaționale specifice. Menținerea unor rezerve operaționale și tehnice specializate alcătuite din experți desemnați de statele membre contribuie la asigurarea disponibilității unei astfel de expertize atunci când este necesar. În același timp, cunoștințele de specialitate și experiența acestor experți rămân esențiale pentru îndeplinirea sarcinilor autorităților competente ale statelor membre. Prin urmare, este necesară o abordare echilibrată care să permită Europol să se bazeze pe expertiza respectivă pentru a răspunde unor nevoi operaționale specifice, menținând în același timp capacitățile operaționale naționale. Detașările din aceste rezerve oferă un mecanism eficace pentru atingerea acestui obiectiv. </w:t>
      </w:r>
    </w:p>
    <w:p>
      <w:pPr>
        <w:pStyle w:val="Point0"/>
        <w:rPr>
          <w:noProof/>
        </w:rPr>
      </w:pPr>
      <w:r>
        <w:rPr>
          <w:noProof/>
        </w:rPr>
        <w:t>(35)</w:t>
      </w:r>
      <w:r>
        <w:rPr>
          <w:noProof/>
        </w:rPr>
        <w:tab/>
        <w:t>Valoarea sprijinului operațional acordat de Europol depinde de integrarea sa strânsă în activitățile autorităților competente ale statelor membre. O astfel de integrare necesită structuri naționale de coordonare solide, capabile să acționeze ca o interfață reală între Europol și autoritățile competente ale statelor membre. Unitățile naționale Europol joacă un rol central în asigurarea cooperării dintre Europol și aceste autorități și în facilitarea schimbului de informații. Ele ar trebui, de asemenea, să contribuie la identificarea priorităților operaționale naționale și a nevoilor în materie de capacități care trebuie sprijinite de Europol, să faciliteze contribuțiile naționale la evaluările analitice și strategice ale Europol și să contribuie la asigurarea coordonării eficace a sprijinului Europol la nivel național. Ofițerii de legătură atașați pe lângă Europol ar trebui să joace un rol important în facilitarea cooperării și coordonării directe cu autoritățile competente ale statelor membre, inclusiv prin schimbul rapid de informații și identificarea legăturilor operaționale transfrontaliere.</w:t>
      </w:r>
    </w:p>
    <w:p>
      <w:pPr>
        <w:pStyle w:val="Point0"/>
        <w:rPr>
          <w:noProof/>
        </w:rPr>
      </w:pPr>
      <w:r>
        <w:rPr>
          <w:noProof/>
        </w:rPr>
        <w:t>(36)</w:t>
      </w:r>
      <w:r>
        <w:rPr>
          <w:noProof/>
        </w:rPr>
        <w:tab/>
        <w:t>Unitățile naționale Europol ar trebui, de asemenea, să își asume un rol consolidat în asigurarea faptului că EMPACT își atinge întregul potențial operațional, abordând lacunele existente în materie de coordonare care împiedică o legătură eficace între prioritățile de la nivelul Uniunii și nevoile naționale. În acest scop, unitățile naționale Europol ar trebui să se transforme în platforme operaționale centrale care să găzduiască echipa lor națională de sprijin EMPACT, responsabilă cu facilitarea participării operaționale și cu alinierea contribuțiilor naționale la prioritățile EMPACT.</w:t>
      </w:r>
    </w:p>
    <w:p>
      <w:pPr>
        <w:pStyle w:val="Point0"/>
        <w:rPr>
          <w:noProof/>
        </w:rPr>
      </w:pPr>
      <w:r>
        <w:rPr>
          <w:noProof/>
        </w:rPr>
        <w:t>(37)</w:t>
      </w:r>
      <w:r>
        <w:rPr>
          <w:noProof/>
        </w:rPr>
        <w:tab/>
        <w:t>Pentru a utiliza în mod eficace sprijinul operațional, analitic, tehnic și criminalistic al Europol în cadrul investigațiilor naționale, acest sprijin trebuie să fie adaptat la nevoile și procedurile naționale. Pentru a se asigura că sprijinul Europol poate fi mobilizat rapid și aliniat la nevoile operaționale și la cerințele procedurale de la nivel național, ar trebui înființate birouri de sprijin Europol în cadrul unității naționale Europol din fiecare stat membru. Aceste birouri ar trebui să faciliteze integrarea datelor operative în materie penală, a instrumentelor analitice, a tehnologiilor digitale și criminalistice și a expertizei operaționale direct în investigațiile naționale în curs. Birourile de sprijin ar trebui, de asemenea, să contribuie la asigurarea faptului că rezultatele operaționale furnizate de Europol pot fi utilizate în mod eficace de către autoritățile competente ale statelor membre în prevenirea și combaterea criminalității grave și a terorismului.</w:t>
      </w:r>
    </w:p>
    <w:p>
      <w:pPr>
        <w:pStyle w:val="Point0"/>
        <w:rPr>
          <w:noProof/>
        </w:rPr>
      </w:pPr>
      <w:r>
        <w:rPr>
          <w:noProof/>
        </w:rPr>
        <w:t>(38)</w:t>
      </w:r>
      <w:r>
        <w:rPr>
          <w:noProof/>
        </w:rPr>
        <w:tab/>
        <w:t>Birourile de sprijin Europol ar trebui să fie dotate cu personal Europol care a finalizat un parcurs profesional structurat, combinând experiența dobândită în cadrul autorităților competente dintr-un stat membru cu serviciul ulterior în cadrul Europol, înainte de a fi detașat înapoi în structura națională. Acest model de rotație este esențial pentru a se asigura că cunoștințele de specialitate dobândite în cadrul Europol sunt reinvestite în mod eficace în sistemul național și că integrarea sprijinului Europol este efectuată de personalul Europol care deține cunoștințe operaționale privind cadrul juridic, operațional și organizațional specific în care își desfășoară activitatea autoritățile competente ale statului membru respectiv. Acești membri ai personalului Europol ar trebui să acționeze în cadrul unei linii duale de raportare către Europol și statul membru în care este stabilit biroul de sprijin Europol. Înființarea birourilor de sprijin Europol nu ar trebui să aducă atingere responsabilităților și competențelor autorităților competente ale statelor membre în temeiul dreptului intern. Pentru a asigura eficacitatea schemei de personal bazate pe rotație care stă la baza birourilor de sprijin Europol, statele membre ar trebui să ia măsurile necesare pentru a facilita reintegrarea personalului în administrațiile lor naționale la încheierea misiunii sale în cadrul biroului respectiv. Acest lucru necesită eliminarea barierelor administrative, organizaționale și legate de carieră care ar putea împiedica mobilitatea între autoritățile naționale și Europol, asigurându-se astfel că o astfel de mobilitate este recunoscută ca parte integrantă a dezvoltării carierei sale profesionale.</w:t>
      </w:r>
    </w:p>
    <w:p>
      <w:pPr>
        <w:pStyle w:val="Point0"/>
        <w:rPr>
          <w:noProof/>
        </w:rPr>
      </w:pPr>
      <w:r>
        <w:rPr>
          <w:noProof/>
        </w:rPr>
        <w:t>(39)</w:t>
      </w:r>
      <w:r>
        <w:rPr>
          <w:noProof/>
        </w:rPr>
        <w:tab/>
        <w:t>Pentru a servi drept centru de informații în materie penală al Uniunii, Europol ar trebui să poată prelucra informațiile pe care le-a primit de la surse sau pe care le-a extras direct din surse aflate la dispoziția publicului, sub rezerva condițiilor și a garanțiilor prevăzute în prezentul regulament. Colectarea eficace de informații din surse aflate la dispoziția publicului pentru Europol include, în special, utilizarea motoarelor de căutare online, inclusiv introducerea de date cu caracter personal, care nu ar trebui considerate o transmitere sau un transfer de date cu caracter personal către părți private în temeiul prezentului regulament sau al Regulamentului (UE) 2018/1725 al Parlamentului European și al Consiliului</w:t>
      </w:r>
      <w:r>
        <w:rPr>
          <w:rStyle w:val="FootnoteReference"/>
          <w:noProof/>
        </w:rPr>
        <w:footnoteReference w:id="46"/>
      </w:r>
      <w:r>
        <w:rPr>
          <w:noProof/>
        </w:rPr>
        <w:t>.</w:t>
      </w:r>
    </w:p>
    <w:p>
      <w:pPr>
        <w:pStyle w:val="Point0"/>
        <w:rPr>
          <w:noProof/>
        </w:rPr>
      </w:pPr>
      <w:r>
        <w:rPr>
          <w:noProof/>
        </w:rPr>
        <w:t>(40)</w:t>
      </w:r>
      <w:r>
        <w:rPr>
          <w:noProof/>
        </w:rPr>
        <w:tab/>
        <w:t>Statele membre ar trebui să asigure furnizarea în timp util a informațiilor necesare pentru ca Europol să își îndeplinească atribuțiile, inclusiv prin mecanisme de schimb structurate, securizate și automatizate. În acest context, statele membre ar trebui să instituie și să mențină sisteme naționale adecvate de încărcare a datelor, care să permită introducerea structurată a informațiilor relevante în serviciile și instrumentele Europol, asigurând calitatea, exhaustivitatea și actualitatea datelor.</w:t>
      </w:r>
    </w:p>
    <w:p>
      <w:pPr>
        <w:pStyle w:val="Point0"/>
        <w:rPr>
          <w:noProof/>
        </w:rPr>
      </w:pPr>
      <w:r>
        <w:rPr>
          <w:noProof/>
        </w:rPr>
        <w:t>(41)</w:t>
      </w:r>
      <w:r>
        <w:rPr>
          <w:noProof/>
        </w:rPr>
        <w:tab/>
        <w:t>Modelul operațional al Europol rămâne ferm ancorat în principiul proprietății asupra datelor, în temeiul căruia statele membre, instituțiile, organele, misiunile, oficiile și agențiile Uniunii, țările terțe și organizațiile internaționale care furnizează informații către Europol păstrează controlul asupra scopului și condițiilor prelucrării acestora. Acest principiu reprezintă o piatră de temelie a încrederii reciproce în cadrul schimbului de informații cu Europol și garantează că utilizarea datelor rămâne strict aliniată la intenția definită de furnizor.</w:t>
      </w:r>
    </w:p>
    <w:p>
      <w:pPr>
        <w:pStyle w:val="Point0"/>
        <w:rPr>
          <w:noProof/>
        </w:rPr>
      </w:pPr>
      <w:r>
        <w:rPr>
          <w:noProof/>
        </w:rPr>
        <w:t>(42)</w:t>
      </w:r>
      <w:r>
        <w:rPr>
          <w:noProof/>
        </w:rPr>
        <w:tab/>
        <w:t>În măsura în care este necesar pentru îndeplinirea atribuțiilor sale, Europol ar trebui să poată prelucra date cu caracter personal, cu condiția ca o astfel de prelucrare să fie efectuată numai în scopurile prevăzute în prezentul regulament. Regulamentul (UE) 2018/1725 prevede norme de protecție a persoanelor fizice în ceea ce privește prelucrarea datelor cu caracter personal de către instituțiile și organele, oficiile și agențiile Uniunii. Regulamentul (UE) 2018/1725 ar trebui să se aplice prelucrării datelor cu caracter personal de către Europol, fiind completat de normele specifice prevăzute în prezentul regulament.</w:t>
      </w:r>
    </w:p>
    <w:p>
      <w:pPr>
        <w:pStyle w:val="Point0"/>
        <w:rPr>
          <w:noProof/>
        </w:rPr>
      </w:pPr>
      <w:r>
        <w:rPr>
          <w:noProof/>
        </w:rPr>
        <w:t>(43)</w:t>
      </w:r>
      <w:r>
        <w:rPr>
          <w:noProof/>
        </w:rPr>
        <w:tab/>
        <w:t>Europol își desfășoară activitatea într-un mediu informațional caracterizat de volume mari de date eterogene, care provin adesea din surse și contexte operaționale multiple. O parte substanțială din aceste informații este primită într-o formă nestructurată, ceea ce face dificilă sau uneori chiar imposibilă clasificarea în categorii predefinite de persoane vizate. Acest lucru reflectă realitatea activității moderne de aplicare a legii, în care extragerea de informații din seturi de date mari și nestructurate constituie o sarcină operațională esențială a autorităților de aplicare a legii. În acest context, normele privind clasificarea persoanelor vizate aplicabile Europol ar trebui să fie aliniate la Regulamentul (UE) 2018/1725. Prin urmare, Europol ar trebui să facă o distincție clară între datele cu caracter personal referitoare la diferitele categorii de persoane vizate enumerate în anexa II numai dacă este cazul și în măsura posibilului, asigurându-se că eficacitatea operațională este asigurată, respectând totodată pe deplin garanțiile și principiile în materie de protecție a datelor, cum ar fi reducerea la minimum a datelor și limitarea scopului.</w:t>
      </w:r>
    </w:p>
    <w:p>
      <w:pPr>
        <w:pStyle w:val="Point0"/>
        <w:rPr>
          <w:noProof/>
        </w:rPr>
      </w:pPr>
      <w:r>
        <w:rPr>
          <w:noProof/>
        </w:rPr>
        <w:t>(44)</w:t>
      </w:r>
      <w:r>
        <w:rPr>
          <w:noProof/>
        </w:rPr>
        <w:tab/>
        <w:t>Clasificarea datelor cu caracter personal este un proces dinamic care se poate schimba pe măsură ce devin disponibile noi piste și informații. Datele cu caracter personal care inițial nu sunt considerate relevante pentru includerea într-o categorie de persoane vizate din anexa II pot, în urma prelucrării ulterioare, să dobândească semnificație operațională sau să dezvăluie legături cu investigațiile în curs. În cazul în care nu este posibil să se facă o distincție clară între datele cu caracter personal care privesc diferitele categorii de persoane vizate enumerate în anexa II sau în cazul în care Europol trebuie să prelucreze date cu caracter personal care nu se încadrează în categoriile de persoane vizate enumerate în anexa II, Europol ar trebui să își informeze responsabilul cu protecția datelor. Aceste date cu caracter personal ar trebui șterse imediat ce scopul prelucrării este îndeplinit.</w:t>
      </w:r>
    </w:p>
    <w:p>
      <w:pPr>
        <w:pStyle w:val="Point0"/>
        <w:rPr>
          <w:noProof/>
        </w:rPr>
      </w:pPr>
      <w:r>
        <w:rPr>
          <w:noProof/>
        </w:rPr>
        <w:t>(45)</w:t>
      </w:r>
      <w:r>
        <w:rPr>
          <w:noProof/>
        </w:rPr>
        <w:tab/>
        <w:t>Îndeplinirea cu eficacitate a atribuțiilor Europol și prelucrarea informațiilor necesită dezvoltarea și utilizarea unor servicii și instrumente, care ar trebui create și gestionate astfel încât să se asigure eficacitatea, eficiența și respectarea standardelor aplicabile în materie de protecție și securitate a datelor.</w:t>
      </w:r>
    </w:p>
    <w:p>
      <w:pPr>
        <w:pStyle w:val="Point0"/>
        <w:rPr>
          <w:noProof/>
        </w:rPr>
      </w:pPr>
      <w:r>
        <w:rPr>
          <w:noProof/>
        </w:rPr>
        <w:t>(46)</w:t>
      </w:r>
      <w:r>
        <w:rPr>
          <w:noProof/>
        </w:rPr>
        <w:tab/>
        <w:t>În scopul prelucrării informațiilor în vederea verificării încrucișate prin comparație cu datele existente deja stocate și clasificate de Europol în cooperare cu statele membre, este necesară instituirea unui serviciu de verificare încrucișată al Europol pentru a sprijini îndeplinirea obiectivelor și a atribuțiilor Europol și pentru a facilita schimbul de informații între statele membre și alte organe, oficii și agenții ale Uniunii. Pentru funcționarea eficace și eficientă a serviciului respectiv, sistemele de gestionare a cazurilor ale autorităților competente ale statelor membre ar trebui să fie interoperabile și conectate din punct de vedere tehnic la un astfel de serviciu. Pentru a maximiza eficiența tehnică și a asigura coerența cu sistemele de informații existente ale Uniunii, serviciul de verificare încrucișată al Europol ar trebui, atunci când este fezabil din punct de vedere tehnic, să reutilizeze și să adapteze tehnologiile și componentele existente dezvoltate de eu-LISA, inclusiv tehnologia care stă la baza serviciului comun de comparare a datelor biometrice (sBMS), pentru funcționalitățile sale de potrivire biometrică. Reutilizarea și adaptarea unei astfel de tehnologii ar trebui să servească exclusiv obiectivelor tehnice, operaționale și de eficiență din punctul de vedere al costurilor, inclusiv economiilor de scară și evitării dublării investițiilor, și nu ar trebui să afecteze mecanismele de guvernanță existente, drepturile de acces, proprietatea asupra datelor, arhitecturile de interoperabilitate, alocarea responsabilităților între organele, oficiile și agențiile Uniunii sau condițiile juridice care reglementează accesul la informații în temeiul dreptului Uniunii.</w:t>
      </w:r>
    </w:p>
    <w:p>
      <w:pPr>
        <w:pStyle w:val="Point0"/>
        <w:rPr>
          <w:noProof/>
        </w:rPr>
      </w:pPr>
      <w:r>
        <w:rPr>
          <w:noProof/>
        </w:rPr>
        <w:t>(47)</w:t>
      </w:r>
      <w:r>
        <w:rPr>
          <w:noProof/>
        </w:rPr>
        <w:tab/>
        <w:t xml:space="preserve">Prelucrarea datelor cu caracter personal în cadrul serviciului de verificare încrucișată al Europol necesită definirea unei liste precise și exhaustive de categorii de date pentru a se asigura faptul că prelucrarea rămâne necesară și proporțională pentru îndeplinirea atribuțiilor Europol și că drepturile persoanelor fizice sunt protejate în conformitate cu normele aplicabile privind protecția datelor. Formatele de date ale acestor categorii de date, inclusiv obiectele identificabile sau datele multimedia utilizate pentru interogarea serviciului, ar trebui stabilite prin intermediul unui act de punere în aplicare. </w:t>
      </w:r>
    </w:p>
    <w:p>
      <w:pPr>
        <w:pStyle w:val="Point0"/>
        <w:rPr>
          <w:noProof/>
        </w:rPr>
      </w:pPr>
      <w:r>
        <w:rPr>
          <w:noProof/>
        </w:rPr>
        <w:t>(48)</w:t>
      </w:r>
      <w:r>
        <w:rPr>
          <w:noProof/>
        </w:rPr>
        <w:tab/>
        <w:t xml:space="preserve">Încărcarea sistematică și în timp util a datelor relevante în serviciul de verificare încrucișată al Europol de către statele membre și Europol este esențială pentru a asigura eficacitatea serviciului și pentru a sprijini cooperarea transfrontalieră în prevenirea și combaterea criminalității grave și organizate, oferind, în același timp, garanțiile necesare pentru a proteja interesele esențiale de securitate ale statelor membre și drepturile persoanelor. Prin verificarea încrucișată sistematică a oricăror date nou încărcate cu date deja stocate pentru a identifica legăturile și conexiunile dintre cazuri, serviciul îi permite Europol să ofere sprijin statelor membre în cadrul investigațiilor transfrontaliere. </w:t>
      </w:r>
    </w:p>
    <w:p>
      <w:pPr>
        <w:pStyle w:val="Point0"/>
        <w:rPr>
          <w:noProof/>
        </w:rPr>
      </w:pPr>
      <w:r>
        <w:rPr>
          <w:noProof/>
        </w:rPr>
        <w:t>(49)</w:t>
      </w:r>
      <w:r>
        <w:rPr>
          <w:noProof/>
        </w:rPr>
        <w:tab/>
        <w:t>Interogarea sistematică a serviciului de verificare încrucișată al Europol de către autoritățile competente ale statelor membre este necesară pentru a asigura utilizarea eficace a serviciului de către toți actorii relevanți din domeniul asigurării respectării legii din întreaga Uniune și, prin urmare, pentru a îmbunătăți prevenirea și combaterea criminalității grave și a terorismului, asigurându-se, în același timp, că accesul la date face în continuare obiectul unor condiții și garanții stricte pentru a proteja drepturile persoanelor și pentru a respecta principiul proprietății asupra datelor.</w:t>
      </w:r>
    </w:p>
    <w:p>
      <w:pPr>
        <w:pStyle w:val="Point0"/>
        <w:rPr>
          <w:noProof/>
        </w:rPr>
      </w:pPr>
      <w:r>
        <w:rPr>
          <w:noProof/>
        </w:rPr>
        <w:t>(50)</w:t>
      </w:r>
      <w:r>
        <w:rPr>
          <w:noProof/>
        </w:rPr>
        <w:tab/>
        <w:t>Pentru ca Europol să sprijine în mod eficace investigațiile și activitățile operaționale transfrontaliere, este necesar să se instituie un mediu analitic al Europol ca platformă tehnică și operațională securizată pentru stocarea, prelucrarea, analiza și vizualizarea datelor. Mediul analitic al Europol ar trebui să sprijine îndeplinirea atribuțiilor Europol prin facilitarea analizei operaționale a datelor primite de statele membre, țările terțe, organizațiile internaționale, părțile private sau alte surse în conformitate cu prezentul regulament.</w:t>
      </w:r>
    </w:p>
    <w:p>
      <w:pPr>
        <w:pStyle w:val="Point0"/>
        <w:rPr>
          <w:noProof/>
        </w:rPr>
      </w:pPr>
      <w:r>
        <w:rPr>
          <w:noProof/>
        </w:rPr>
        <w:t>(51)</w:t>
      </w:r>
      <w:r>
        <w:rPr>
          <w:noProof/>
        </w:rPr>
        <w:tab/>
        <w:t>Pentru a se asigura că drepturile persoanelor fizice sunt protejate, interogarea datelor din mediul analitic al Europol și accesul la acestea, inclusiv la datele stocate în cadrul proiectelor de analiză, ar trebui să facă obiectul unor condiții stricte de acces și al unor garanții în materie de protecție a datelor, permițând în același timp entităților autorizate să efectueze interogări eficace și să aibă acces indirect la date pentru a contribui la prevenirea și combaterea criminalității grave și a terorismului.</w:t>
      </w:r>
    </w:p>
    <w:p>
      <w:pPr>
        <w:pStyle w:val="Point0"/>
        <w:rPr>
          <w:noProof/>
        </w:rPr>
      </w:pPr>
      <w:r>
        <w:rPr>
          <w:noProof/>
        </w:rPr>
        <w:t>(52)</w:t>
      </w:r>
      <w:r>
        <w:rPr>
          <w:noProof/>
        </w:rPr>
        <w:tab/>
        <w:t>Pentru a sprijini statele membre în efectuarea de analize operaționale comune, spațiul comun de date al poliției ar trebui să valorifice capacitățile mediului analitic al Europol. Acestea includ, după caz, instrumente și module analitice avansate, cum ar fi cele care permit prelucrarea și compararea datelor biometrice, precum și funcționalități care sprijină colectarea și analiza datelor din surse aflate la dispoziția publicului. Disponibilitatea unor astfel de capacități în spațiul comun de date al poliției ar trebui să îmbunătățească detectarea legăturilor dintre cazuri și să faciliteze răspunsurile operaționale coordonate.</w:t>
      </w:r>
    </w:p>
    <w:p>
      <w:pPr>
        <w:pStyle w:val="Point0"/>
        <w:rPr>
          <w:noProof/>
        </w:rPr>
      </w:pPr>
      <w:r>
        <w:rPr>
          <w:noProof/>
        </w:rPr>
        <w:t>(53)</w:t>
      </w:r>
      <w:r>
        <w:rPr>
          <w:noProof/>
        </w:rPr>
        <w:tab/>
        <w:t xml:space="preserve">Pentru a facilita cooperarea operațională în timp real dintre autoritățile competente din diferite state membre și Europol, spațiul comun de date al poliției ar trebui să permită instituirea unor cazuri de analiză operațională comună (JOAC – </w:t>
      </w:r>
      <w:r>
        <w:rPr>
          <w:i/>
          <w:noProof/>
        </w:rPr>
        <w:t>Joint Operational Analysis Cases</w:t>
      </w:r>
      <w:r>
        <w:rPr>
          <w:noProof/>
        </w:rPr>
        <w:t>). Un JOAC ar trebui să constituie un mediu de colaborare securizat în care autoritățile participante și Europol să poată prelucra, analiza, îmbogăți și face schimb de informații în comun cu privire la o anumită anchetă penală, amenințare, rețea infracțională sau la un anumit obiectiv operațional. Crearea JOAC-urilor ar trebui să facă obiectul unor criterii și proceduri clare, inclusiv desemnarea autorităților participante și condițiile care reglementează accesul la informațiile prelucrate în cadrul acestora și utilizarea acestor informații.</w:t>
      </w:r>
    </w:p>
    <w:p>
      <w:pPr>
        <w:pStyle w:val="Point0"/>
        <w:rPr>
          <w:noProof/>
        </w:rPr>
      </w:pPr>
      <w:r>
        <w:rPr>
          <w:noProof/>
        </w:rPr>
        <w:t>(54)</w:t>
      </w:r>
      <w:r>
        <w:rPr>
          <w:noProof/>
        </w:rPr>
        <w:tab/>
        <w:t>Pentru a spori eficacitatea analizei operaționale comune, Europol ar trebui să poată propune statelor membre instituirea unui JOAC, pe baza analizei pe care a efectuat-o asupra informațiilor și a datelor disponibile, respectând în același timp libertatea statelor membre de a decide cu privire la deschiderea unui JOAC.</w:t>
      </w:r>
    </w:p>
    <w:p>
      <w:pPr>
        <w:pStyle w:val="Point0"/>
        <w:rPr>
          <w:noProof/>
        </w:rPr>
      </w:pPr>
      <w:r>
        <w:rPr>
          <w:noProof/>
        </w:rPr>
        <w:t>(55)</w:t>
      </w:r>
      <w:r>
        <w:rPr>
          <w:noProof/>
        </w:rPr>
        <w:tab/>
        <w:t>Pentru a permite participanților la un JOAC să colaboreze și să analizeze datele în mod eficace, să facă schimb de informații și să desfășoare activități comune, oferindu-le în același timp posibilitatea de a utiliza capacitățile relevante ale Europol, în spațiul comun de date al poliției ar trebui pus la dispoziție un set de caracteristici avansate, inclusiv instrumente de comunicare securizate, cum ar fi chatul și videoconferințele, precum și capacități colaborative de editare și vizualizare a documentelor, ca mijloc de a facilita cooperarea și analiza eficace și eficientă între participanți și de a sprijini schimbul de informații și de cunoștințe de specialitate într-un mediu securizat și controlat.</w:t>
      </w:r>
    </w:p>
    <w:p>
      <w:pPr>
        <w:pStyle w:val="Point0"/>
        <w:rPr>
          <w:noProof/>
        </w:rPr>
      </w:pPr>
      <w:r>
        <w:rPr>
          <w:noProof/>
        </w:rPr>
        <w:t>(56)</w:t>
      </w:r>
      <w:r>
        <w:rPr>
          <w:noProof/>
        </w:rPr>
        <w:tab/>
        <w:t>Având în vedere caracterul transnațional din ce în ce mai pronunțat al criminalității, ar trebui să fie posibil, în cazuri justificate în mod corespunzător, ca statul membru care deschide un JOAC să propună participarea unei țări terțe. O astfel de participare ar trebui să rămână limitată la țările terțe care au un acord ce permite schimbul de date cu caracter personal cu Europol și la situațiile în care Europol consideră că implicarea țării terțe în cauză este relevantă pentru atingerea obiectivelor JOAC. Participarea unei țări terțe nu ar trebui să conducă la un acces generalizat la serviciile și instrumentele Europol, ci ar trebui să se limiteze numai la JOAC specific și la informațiile puse la dispoziție în cadrul acestuia în conformitate cu prezentul regulament.</w:t>
      </w:r>
    </w:p>
    <w:p>
      <w:pPr>
        <w:pStyle w:val="Point0"/>
        <w:rPr>
          <w:noProof/>
        </w:rPr>
      </w:pPr>
      <w:r>
        <w:rPr>
          <w:noProof/>
        </w:rPr>
        <w:t>(57)</w:t>
      </w:r>
      <w:r>
        <w:rPr>
          <w:noProof/>
        </w:rPr>
        <w:tab/>
        <w:t>Pentru a facilita schimbul neîntrerupt de informații între punctele de contact unice și autoritățile competente ale statelor membre, Europol și alte entități autorizate, Europol ar trebui să furnizeze un instrument securizat și fiabil, cum ar fi aplicația de rețea pentru schimbul securizat de informații (SIENA), cu interfețe web, aplicații mobile și interfețe de programare specifice.</w:t>
      </w:r>
    </w:p>
    <w:p>
      <w:pPr>
        <w:pStyle w:val="Point0"/>
        <w:rPr>
          <w:noProof/>
        </w:rPr>
      </w:pPr>
      <w:r>
        <w:rPr>
          <w:noProof/>
        </w:rPr>
        <w:t>(58)</w:t>
      </w:r>
      <w:r>
        <w:rPr>
          <w:noProof/>
        </w:rPr>
        <w:tab/>
        <w:t>Pentru a raționaliza cooperarea dintre părțile private, statele membre și Europol în ceea ce privește prevenirea situațiilor de criză online, a amenințărilor la adresa securității cibernetice și a altor activități infracționale care exploatează serviciile digitale, precum și răspunsul la acestea, Europol ar trebui să instituie un mecanism specific în cadrul mediului analitic al Europol. Acest mecanism ar trebui, în special, să sprijine respectarea obligațiilor de raportare și notificare ale Uniunii în temeiul Regulamentelor (UE) 2021/784</w:t>
      </w:r>
      <w:r>
        <w:rPr>
          <w:rStyle w:val="FootnoteReference"/>
          <w:noProof/>
        </w:rPr>
        <w:footnoteReference w:id="47"/>
      </w:r>
      <w:r>
        <w:rPr>
          <w:noProof/>
        </w:rPr>
        <w:t xml:space="preserve"> și (UE) 2022/2065</w:t>
      </w:r>
      <w:r>
        <w:rPr>
          <w:rStyle w:val="FootnoteReference"/>
          <w:noProof/>
        </w:rPr>
        <w:footnoteReference w:id="48"/>
      </w:r>
      <w:r>
        <w:rPr>
          <w:noProof/>
        </w:rPr>
        <w:t xml:space="preserve"> ale Parlamentului European și ale Consiliului atât de către părțile private, cum ar fi furnizorii de servicii de găzduire, cât și de către autoritățile competente de aplicare a legii sau autoritățile judiciare ale statelor membre și să permită coordonarea rapidă în timpul situațiilor de criză online. Mecanismul ar trebui conceput astfel încât să faciliteze identificarea statului membru căruia trebuie să i se transmită notificarea și să asigure interoperabilitatea cu sistemele naționale, menținând în același timp garanții solide în materie de securitate și de protecție a datelor. Europol ar trebui să se asigure că dezvoltarea și menținerea mecanismului sunt sprijinite de resursele necesare. </w:t>
      </w:r>
    </w:p>
    <w:p>
      <w:pPr>
        <w:pStyle w:val="Point0"/>
        <w:rPr>
          <w:noProof/>
        </w:rPr>
      </w:pPr>
      <w:r>
        <w:rPr>
          <w:noProof/>
        </w:rPr>
        <w:t>(59)</w:t>
      </w:r>
      <w:r>
        <w:rPr>
          <w:noProof/>
        </w:rPr>
        <w:tab/>
        <w:t>Pentru a sprijini obiectivele Regulamentului (UE) 2024/982 al Parlamentului European și al Consiliului</w:t>
      </w:r>
      <w:r>
        <w:rPr>
          <w:rStyle w:val="FootnoteReference"/>
          <w:noProof/>
        </w:rPr>
        <w:footnoteReference w:id="49"/>
      </w:r>
      <w:r>
        <w:rPr>
          <w:noProof/>
        </w:rPr>
        <w:t>, Europol ar trebui să îndeplinească atribuțiile care îi sunt conferite în ceea ce privește Sistemul european de inventariere a evidențelor poliției (EPRIS), oferind o platformă centralizată pentru indexarea și partajarea evidențelor poliției și permițând autorităților de aplicare a legii să acceseze și să facă schimb de informații în mod eficient și eficace.</w:t>
      </w:r>
    </w:p>
    <w:p>
      <w:pPr>
        <w:pStyle w:val="Point0"/>
        <w:rPr>
          <w:noProof/>
        </w:rPr>
      </w:pPr>
      <w:r>
        <w:rPr>
          <w:noProof/>
        </w:rPr>
        <w:t>(60)</w:t>
      </w:r>
      <w:r>
        <w:rPr>
          <w:noProof/>
        </w:rPr>
        <w:tab/>
        <w:t>Pentru a sprijini realizarea efectivă a obiectivelor sale și pentru a consolida cooperarea dintre Europol, autoritățile competente ale statelor membre și alte entități autorizate, Europol ar trebui să instituie o infrastructură de cloud a Europol securizată, scalabilă și suverană, care să găzduiască spațiul comun de date al poliției și să permită stocarea, prelucrarea, analizarea și schimbul de date, asigurând în același timp un control strict al accesului, compartimentarea datelor și respectarea deplină a dreptului Uniunii și permițând dezvoltarea, exploatarea și întreținerea unei game de servicii digitale și de capacități operaționale de prelucrare a datelor.</w:t>
      </w:r>
    </w:p>
    <w:p>
      <w:pPr>
        <w:pStyle w:val="Point0"/>
        <w:rPr>
          <w:noProof/>
        </w:rPr>
      </w:pPr>
      <w:r>
        <w:rPr>
          <w:noProof/>
        </w:rPr>
        <w:t>(61)</w:t>
      </w:r>
      <w:r>
        <w:rPr>
          <w:noProof/>
        </w:rPr>
        <w:tab/>
        <w:t>Pentru a facilita accesul sigur, eficient și fiabil la spațiul comun de date al poliției pentru o gamă largă de investigatori din întreaga Uniune, ar trebui instituită o identitate digitală europeană pentru serviciile de poliție, care să permită reprezentanților autorităților competente din statele membre, Europol și altor entități autorizate să aibă acces la infrastructura Europol și la sistemele naționale conectate într-un mod armonizat și securizat, asigurând în același timp responsabilitatea și supravegherea prin mecanisme de înregistrare și audit și permițând drepturi de acces diferențiate în funcție de nevoile și cerințele specifice.</w:t>
      </w:r>
    </w:p>
    <w:p>
      <w:pPr>
        <w:pStyle w:val="Point0"/>
        <w:rPr>
          <w:noProof/>
        </w:rPr>
      </w:pPr>
      <w:r>
        <w:rPr>
          <w:noProof/>
        </w:rPr>
        <w:t>(62)</w:t>
      </w:r>
      <w:r>
        <w:rPr>
          <w:noProof/>
        </w:rPr>
        <w:tab/>
        <w:t>Pentru a asigura monitorizarea, evaluarea și supravegherea eficace a serviciilor și instrumentelor Europol, Europol ar trebui să elaboreze și să mențină instrumente statistice și de raportare capabile să genereze informații statistice, indicatori și rapoarte analitice privind utilizarea, performanța, eficacitatea operațională și interoperabilitatea acestora. Aceste instrumente ar trebui să sprijine elaborarea analizelor strategice și operaționale, a evaluărilor amenințărilor, a rapoartelor privind tendințele și a informărilor situaționale și să contribuie la obligațiile anuale de raportare ale Europol și la rapoartele de evaluare ale Comisiei, în special în ceea ce privește impactul operațional al prezentului regulament. Ele ar trebui, de asemenea, să faciliteze disponibilitatea unor informații fiabile în scopuri de evaluare, monitorizare și raportare și, după caz, să sprijine Comisia în îndeplinirea responsabilităților care îi revin în temeiul dreptului Uniunii, inclusiv monitorizarea, punerea în aplicare și evaluarea legislației relevante pentru mandatul Europol. Ele ar trebui, de asemenea, să faciliteze furnizarea de informații către grupul mixt de control parlamentar specializat (JPSG). Instrumentele statistice și de raportare ar trebui să permită analiza tendințelor, a nevoilor operaționale și a activităților de schimb de informații, asigurându-se, în același timp, faptul că informațiile statistice sunt prelucrate în conformitate cu dreptul Uniunii privind protecția datelor, securitatea cibernetică și confidențialitatea. Aceste informații ar trebui să facă obiectul unor garanții adecvate și al unor măsuri de control al accesului. Pentru a se asigura că raportul care trebuie să fie prezentat în fiecare an de către Comisie în temeiul articolului 325 alineatul (5) din TFUE include o imagine de ansamblu cuprinzătoare a măsurilor luate pentru combaterea fraudei care aduce atingere intereselor financiare ale Uniunii, Europol ar trebui să contribuie la elaborarea raportului respectiv. Această contribuție ar trebui să acopere rezultatele obținute și activitățile desfășurate în acest scop de Europol.</w:t>
      </w:r>
    </w:p>
    <w:p>
      <w:pPr>
        <w:pStyle w:val="Point0"/>
        <w:rPr>
          <w:noProof/>
        </w:rPr>
      </w:pPr>
      <w:r>
        <w:rPr>
          <w:noProof/>
        </w:rPr>
        <w:t>(63)</w:t>
      </w:r>
      <w:r>
        <w:rPr>
          <w:noProof/>
        </w:rPr>
        <w:tab/>
        <w:t>Pentru a facilita schimbul eficient și interoperabil de informații între statele membre, organele, oficiile sau agențiile Uniunii și alte entități relevante, Europol ar trebui să sprijine dezvoltarea, punerea în aplicare și utilizarea operațională a formatului universal pentru mesaje (UMF) instituit prin Regulamentul (UE) 2019/818 al Parlamentului European și al Consiliului</w:t>
      </w:r>
      <w:r>
        <w:rPr>
          <w:rStyle w:val="FootnoteReference"/>
          <w:noProof/>
        </w:rPr>
        <w:footnoteReference w:id="50"/>
      </w:r>
      <w:r>
        <w:rPr>
          <w:noProof/>
        </w:rPr>
        <w:t>, asigurând secretariatul și coordonând discuțiile tehnice și operaționale. În acest scop, Europol ar trebui să coopereze îndeaproape cu Comisia pentru a sprijini aplicarea consecventă a UMF în cadrul sistemelor de informații și al canalelor de comunicare relevante, sporind astfel interoperabilitatea și eficacitatea schimbului de informații.</w:t>
      </w:r>
    </w:p>
    <w:p>
      <w:pPr>
        <w:pStyle w:val="Point0"/>
        <w:rPr>
          <w:noProof/>
        </w:rPr>
      </w:pPr>
      <w:r>
        <w:rPr>
          <w:noProof/>
        </w:rPr>
        <w:t>(64)</w:t>
      </w:r>
      <w:r>
        <w:rPr>
          <w:noProof/>
        </w:rPr>
        <w:tab/>
        <w:t>Compararea profilurilor ADN necesită instrumente specializate de comparare care sunt diferite de sistemele de informații prin care se realizează schimbul de date ADN. Prin urmare, Europol ar trebui să fie în măsură să furnizeze o aplicație comună pentru compararea profilurilor ADN care să servească drept componentă tehnică și criminalistică pentru compararea automatizată a profilurilor ADN. Aplicația ar trebui să funcționeze ca o capacitate tehnică comună care poate fi implementată în cadrul serviciilor și instrumentelor Europol sau de către statele membre. Ea ar trebui să sprijine punerea în aplicare a cadrelor pentru schimbul de informații, inclusiv a Regulamentului (UE) 2024/982, respectând în același timp dreptul de proprietate asupra datelor de către autoritățile care le furnizează și garanțiile care reglementează prelucrarea și schimbul acestora. Disponibilitatea unui instrument comun al UE de comparare a profilurilor ADN este, de asemenea, importantă pentru a consolida suveranitatea tehnologică a Europei într-un domeniu critic al cooperării în materie de aplicare a legii și al cooperării criminalistice, pentru a reduce dependența de tehnologiile și furnizorii externi și pentru a se asigura că dezvoltarea, funcționarea și evoluția funcționalităților de comparare a profilurilor ADN fac în continuare obiectul standardelor, al guvernanței și al cerințelor de securitate ale Uniunii.</w:t>
      </w:r>
    </w:p>
    <w:p>
      <w:pPr>
        <w:pStyle w:val="Point0"/>
        <w:rPr>
          <w:noProof/>
        </w:rPr>
      </w:pPr>
      <w:r>
        <w:rPr>
          <w:noProof/>
        </w:rPr>
        <w:t>(65)</w:t>
      </w:r>
      <w:r>
        <w:rPr>
          <w:noProof/>
        </w:rPr>
        <w:tab/>
        <w:t>Pentru a se asigura că Europol are în continuare dotarea necesară pentru a răspunde în mod eficace nevoilor operaționale, tehnice și analitice în continuă evoluție și să sprijine realizarea eficace a obiectivelor sale, Europol ar trebui să fie în măsură să conceapă, să dezvolte și să gestioneze servicii și instrumente suplimentare, asigurându-se în același timp că astfel de sisteme și instrumente respectă normele și garanțiile aplicabile în materie de protecție a datelor și că fac obiectul unor cerințe procedurale și tehnice adecvate. Comisia ar trebui să fie împuternicită să adopte acte de punere în aplicare care să stabilească astfel de cerințe procedurale și tehnice.</w:t>
      </w:r>
    </w:p>
    <w:p>
      <w:pPr>
        <w:pStyle w:val="Point0"/>
        <w:rPr>
          <w:noProof/>
        </w:rPr>
      </w:pPr>
      <w:r>
        <w:rPr>
          <w:noProof/>
        </w:rPr>
        <w:t>(66)</w:t>
      </w:r>
      <w:r>
        <w:rPr>
          <w:noProof/>
        </w:rPr>
        <w:tab/>
        <w:t>Pentru a asigura dezvoltarea și implementarea eficace a sistemelor de informații și a infrastructurii TIC ale Europol, ar trebui instituit un Grup de coordonare pentru TIC și gestionarea informațiilor, ca substructură a Consiliului de administrație, care să ofere orientări strategice, cunoștințe de specialitate și supraveghere cu privire la activitățile legate de TIC și de gestionare a informațiilor și să sprijine Consiliul de administrație în luarea unor decizii în cunoștință de cauză cu privire la aceste aspecte, asigurând în același timp coerența cu nevoile operaționale ale statelor membre și cu obiectivele de interoperabilitate la nivelul Uniunii.</w:t>
      </w:r>
    </w:p>
    <w:p>
      <w:pPr>
        <w:pStyle w:val="Point0"/>
        <w:rPr>
          <w:noProof/>
          <w:bdr w:val="none" w:sz="0" w:space="0" w:color="auto" w:frame="1"/>
        </w:rPr>
      </w:pPr>
      <w:r>
        <w:rPr>
          <w:noProof/>
        </w:rPr>
        <w:t>(67)</w:t>
      </w:r>
      <w:r>
        <w:rPr>
          <w:noProof/>
        </w:rPr>
        <w:tab/>
        <w:t>Pentru a oferi expertiză tehnică specializată și consiliere pentru a sprijini dezvoltarea și implementarea sistemelor de informații și a infrastructurii TIC ale Europol, ar trebui instituit un Grup consultativ pentru TIC și gestionarea informațiilor care să asiste grupul de coordonare și Europol în proiectarea, dezvoltarea și exploatarea sistemelor de informații, a infrastructurii de comunicații și a mecanismelor de schimb de informații și să promoveze componente tehnice, standarde și bune practici comune, asigurând în același timp o coordonare și o cooperare strânse între Europol, eu-LISA, statele membre și Comisie cu privire la aspecte tehnice și legate de implementare.</w:t>
      </w:r>
    </w:p>
    <w:p>
      <w:pPr>
        <w:pStyle w:val="Point0"/>
        <w:rPr>
          <w:noProof/>
          <w:bdr w:val="none" w:sz="0" w:space="0" w:color="auto" w:frame="1"/>
        </w:rPr>
      </w:pPr>
      <w:r>
        <w:rPr>
          <w:noProof/>
        </w:rPr>
        <w:t>(68)</w:t>
      </w:r>
      <w:r>
        <w:rPr>
          <w:noProof/>
        </w:rPr>
        <w:tab/>
        <w:t xml:space="preserve">Pentru a realiza o abordare mai coordonată în ceea ce privește anticiparea și abordarea nevoilor operaționale și tehnologice ale autorităților de aplicare a legii din întreaga Uniune, Europol ar trebui să instituie un </w:t>
      </w:r>
      <w:r>
        <w:rPr>
          <w:noProof/>
          <w:bdr w:val="none" w:sz="0" w:space="0" w:color="auto" w:frame="1"/>
        </w:rPr>
        <w:t xml:space="preserve">cadru de analiză prospectivă și de dezvoltare a capacităților comune </w:t>
      </w:r>
      <w:r>
        <w:rPr>
          <w:noProof/>
        </w:rPr>
        <w:t>(„cadrul”), care să vizeze dezvoltarea unei înțelegeri comune a priorităților în materie de capacități pe termen scurt, mediu și lung. Cadrul ar trebui să contribuie la punerea în comun, partajarea și utilizarea mai eficientă a resurselor, să promoveze interoperabilitatea și standardizarea și să contribuie la evitarea dublării investițiilor.</w:t>
      </w:r>
    </w:p>
    <w:p>
      <w:pPr>
        <w:pStyle w:val="Point0"/>
        <w:rPr>
          <w:noProof/>
        </w:rPr>
      </w:pPr>
      <w:r>
        <w:rPr>
          <w:noProof/>
        </w:rPr>
        <w:t>(69)</w:t>
      </w:r>
      <w:r>
        <w:rPr>
          <w:noProof/>
        </w:rPr>
        <w:tab/>
        <w:t>Pentru a asigura continuitatea între identificarea priorităților în materie de capacități în temeiul cadrului, dezvoltarea de soluții inovatoare pentru capacități avansate și implementarea acestora în medii operaționale de aplicare a legii, Europol ar trebui să fie în măsură să asiste Comisia în programarea Programului-cadru al Uniunii pentru cercetare și inovare și să participe la activitățile de dezvoltare a capacităților sprijinite în cadrul programelor de finanțare ale Uniunii, în special Fondul european pentru competitivitate, atunci când acest lucru este necesar pentru îndeplinirea atribuțiilor sale. Întrucât Europol poate îndeplini funcții diferite în legătură cu programele de finanțare ale Uniunii, Comisia și Europol ar trebui să se asigure că participarea Europol la activitățile sprijinite în cadrul programelor de finanțare ale Uniunii nu conferă niciun avantaj necuvenit care rezultă din implicarea sa în programarea programelor respective.</w:t>
      </w:r>
    </w:p>
    <w:p>
      <w:pPr>
        <w:pStyle w:val="Point0"/>
        <w:rPr>
          <w:noProof/>
        </w:rPr>
      </w:pPr>
      <w:r>
        <w:rPr>
          <w:noProof/>
        </w:rPr>
        <w:t>(70)</w:t>
      </w:r>
      <w:r>
        <w:rPr>
          <w:noProof/>
        </w:rPr>
        <w:tab/>
        <w:t>Anumite</w:t>
      </w:r>
      <w:r>
        <w:rPr>
          <w:noProof/>
          <w:bdr w:val="none" w:sz="0" w:space="0" w:color="auto" w:frame="1"/>
        </w:rPr>
        <w:t xml:space="preserve"> capacități tehnologice, analitice și criminalistice sunt din ce în ce mai complexe</w:t>
      </w:r>
      <w:r>
        <w:rPr>
          <w:noProof/>
        </w:rPr>
        <w:t xml:space="preserve"> și </w:t>
      </w:r>
      <w:r>
        <w:rPr>
          <w:noProof/>
          <w:bdr w:val="none" w:sz="0" w:space="0" w:color="auto" w:frame="1"/>
        </w:rPr>
        <w:t>necesită din ce în ce mai multe resurse</w:t>
      </w:r>
      <w:r>
        <w:rPr>
          <w:noProof/>
        </w:rPr>
        <w:t>, ceea ce face ineficientă</w:t>
      </w:r>
      <w:r>
        <w:rPr>
          <w:noProof/>
          <w:bdr w:val="none" w:sz="0" w:space="0" w:color="auto" w:frame="1"/>
        </w:rPr>
        <w:t xml:space="preserve"> </w:t>
      </w:r>
      <w:r>
        <w:rPr>
          <w:noProof/>
        </w:rPr>
        <w:t xml:space="preserve">dezvoltarea și menținerea de către statele membre a unor astfel de capacități separat la nivel național. Prin urmare, Europol ar trebui să poată dezvolta, exploata, găzdui și pune la dispoziție capacități avansate comune în sprijinul îndeplinirii atribuțiilor sale și al autorităților competente ale statelor membre. Întrucât autoritățile de aplicare a legii se bazează din ce în ce mai mult pe probe electronice și se confruntă cu provocări din ce în ce mai mari în ceea ce privește accesul la datele de care dispun în mod legal, Europol ar trebui să sprijine dezvoltarea și furnizarea de capacități pentru decriptarea unor astfel de date. Pentru a evita duplicarea și utilizarea ineficientă a resurselor la nivelul </w:t>
      </w:r>
      <w:r>
        <w:rPr>
          <w:noProof/>
          <w:bdr w:val="none" w:sz="0" w:space="0" w:color="auto" w:frame="1"/>
        </w:rPr>
        <w:t>Uniunii</w:t>
      </w:r>
      <w:r>
        <w:rPr>
          <w:noProof/>
        </w:rPr>
        <w:t xml:space="preserve">, </w:t>
      </w:r>
      <w:r>
        <w:rPr>
          <w:noProof/>
          <w:bdr w:val="none" w:sz="0" w:space="0" w:color="auto" w:frame="1"/>
        </w:rPr>
        <w:t xml:space="preserve">Europol ar trebui, înainte de a </w:t>
      </w:r>
      <w:r>
        <w:rPr>
          <w:noProof/>
        </w:rPr>
        <w:t>dezvolta</w:t>
      </w:r>
      <w:r>
        <w:rPr>
          <w:noProof/>
          <w:bdr w:val="none" w:sz="0" w:space="0" w:color="auto" w:frame="1"/>
        </w:rPr>
        <w:t xml:space="preserve"> noi capacități, să evalueze disponibilitatea unor soluții echivalente pe piață sau în cadrul statelor membre, al instituțiilor, organelor, oficiilor și agențiilor Uniunii și, dacă sunt </w:t>
      </w:r>
      <w:r>
        <w:rPr>
          <w:noProof/>
        </w:rPr>
        <w:t>disponibile, să acorde prioritate reutilizării, adaptării sau achiziționării acestora. Europol ar trebui, de asemenea, să țină seama de riscurile care decurg din dependențele strategice și din dependența de furnizori din afara Uniunii. În contextul investigațiilor și al activităților operaționale sprijinite de Europol, atunci când este necesar, ar trebui să fie posibil să se pună capacitățile respective la dispoziția țărilor terțe participante, în special în cazul în care acest lucru contribuie la desfășurarea eficace a activității operaționale și sprijină obiectivele operaționale urmărite de statele membre participante.</w:t>
      </w:r>
    </w:p>
    <w:p>
      <w:pPr>
        <w:pStyle w:val="Point0"/>
        <w:rPr>
          <w:noProof/>
        </w:rPr>
      </w:pPr>
      <w:r>
        <w:rPr>
          <w:noProof/>
        </w:rPr>
        <w:t>(71)</w:t>
      </w:r>
      <w:r>
        <w:rPr>
          <w:noProof/>
        </w:rPr>
        <w:tab/>
        <w:t>Pentru a sprijini dezvoltarea de soluții inovatoare pentru capacități avansate relevante pentru îndeplinirea atribuțiilor sale, Europol ar trebui să poată desfășura și participa la activități de cercetare și inovare, inclusiv proiecte-pilot și acțiuni pregătitoare. Europol ar trebui să asigure sinergii și să evite suprapunerile cu activitățile sprijinite de alte instituții, organe, agenții și oficii ale Uniunii și în cadrul programelor de finanțare relevante ale Uniunii.</w:t>
      </w:r>
    </w:p>
    <w:p>
      <w:pPr>
        <w:pStyle w:val="Point0"/>
        <w:rPr>
          <w:noProof/>
        </w:rPr>
      </w:pPr>
      <w:r>
        <w:rPr>
          <w:noProof/>
        </w:rPr>
        <w:t>(72)</w:t>
      </w:r>
      <w:r>
        <w:rPr>
          <w:noProof/>
        </w:rPr>
        <w:tab/>
        <w:t>Pentru a permite dezvoltarea, testarea și validarea instrumentelor algoritmice și a sistemelor și modelelor de IA, într-un mediu controlat și securizat care oferă garanții adecvate, Europol ar trebui să utilizeze medii de testare specifice. Agenția ar trebui să participe la spațiile de testare în materie de reglementare instituite în temeiul Regulamentului (UE) 2024/1689</w:t>
      </w:r>
      <w:r>
        <w:rPr>
          <w:rStyle w:val="FootnoteReference"/>
          <w:noProof/>
        </w:rPr>
        <w:footnoteReference w:id="51"/>
      </w:r>
      <w:r>
        <w:rPr>
          <w:noProof/>
        </w:rPr>
        <w:t xml:space="preserve"> al Parlamentului European și al Consiliului și, după caz, să pună astfel de medii la dispoziția părților private care participă la activități colaborative de cercetare și inovare.</w:t>
      </w:r>
    </w:p>
    <w:p>
      <w:pPr>
        <w:pStyle w:val="Point0"/>
        <w:rPr>
          <w:noProof/>
        </w:rPr>
      </w:pPr>
      <w:r>
        <w:rPr>
          <w:noProof/>
        </w:rPr>
        <w:t>(73)</w:t>
      </w:r>
      <w:r>
        <w:rPr>
          <w:noProof/>
        </w:rPr>
        <w:tab/>
        <w:t>Pentru a evalua eficacitatea, adecvarea și valoarea adăugată a utilizării soluțiilor inovatoare în scopul asigurării respectării legii, Europol ar trebui să fie în măsură să sprijine implementarea timpurie, testarea operațională și activitățile de validare. În ceea ce privește soluțiile comerciale, astfel de activități ar trebui să se bazeze pe proceduri transparente și pe criterii tehnice și operaționale obiective.</w:t>
      </w:r>
    </w:p>
    <w:p>
      <w:pPr>
        <w:pStyle w:val="Point0"/>
        <w:rPr>
          <w:noProof/>
        </w:rPr>
      </w:pPr>
      <w:r>
        <w:rPr>
          <w:noProof/>
        </w:rPr>
        <w:t>(74)</w:t>
      </w:r>
      <w:r>
        <w:rPr>
          <w:noProof/>
        </w:rPr>
        <w:tab/>
        <w:t>Pentru a facilita tranziția soluțiilor inovatoare testate și validate către capacități avansate de utilizare operațională și pentru a maximiza impactul operațional în întreaga Uniune, Europol ar trebui să sprijine adoptarea, implementarea, extinderea și integrarea acestora în activitățile operaționale și în investigațiile autorităților competente ale statelor membre. Soluțiile inovatoare și capacitățile avansate pot aduce beneficii operaționale depline numai dacă sunt însoțite de competențele, cunoștințele de specialitate și know-how-ul necesare. Prin urmare, Europol ar trebui să sprijine statele membre în consolidarea cunoștințelor de specialitate și a capacităților operaționale prin activități de formare de specialitate, în strânsă cooperare cu Agenția Uniunii Europene pentru Formare în Materie de Aplicare a Legii (CEPOL), instituită prin Regulamentul (UE) 2015/2219 al Parlamentului European și al Consiliului</w:t>
      </w:r>
      <w:r>
        <w:rPr>
          <w:rStyle w:val="FootnoteReference"/>
          <w:noProof/>
          <w:lang w:eastAsia="en-IE"/>
        </w:rPr>
        <w:footnoteReference w:id="52"/>
      </w:r>
      <w:r>
        <w:rPr>
          <w:noProof/>
        </w:rPr>
        <w:t>, care coordonează centrele de excelență.</w:t>
      </w:r>
    </w:p>
    <w:p>
      <w:pPr>
        <w:pStyle w:val="Point0"/>
        <w:rPr>
          <w:noProof/>
        </w:rPr>
      </w:pPr>
      <w:r>
        <w:rPr>
          <w:noProof/>
        </w:rPr>
        <w:t>(75)</w:t>
      </w:r>
      <w:r>
        <w:rPr>
          <w:noProof/>
        </w:rPr>
        <w:tab/>
        <w:t>Pentru a promova coerența, coordonarea și continuitatea între activitățile de analiză prospectivă, de planificare a capacităților, de cercetare, inovare și dezvoltare a capacităților desfășurate în temeiul prezentului regulament, Europol ar trebui să mențină un serviciu dedicat pentru capacități și inovare, care să acționeze ca hub central de coordonare în cadrul Europol pentru a sprijini punerea în aplicare a cadrului și pentru a asigura coerența între centrele Europol și alte structuri organizatorice.</w:t>
      </w:r>
    </w:p>
    <w:p>
      <w:pPr>
        <w:pStyle w:val="Point0"/>
        <w:rPr>
          <w:noProof/>
        </w:rPr>
      </w:pPr>
      <w:r>
        <w:rPr>
          <w:noProof/>
        </w:rPr>
        <w:t>(76)</w:t>
      </w:r>
      <w:r>
        <w:rPr>
          <w:noProof/>
        </w:rPr>
        <w:tab/>
        <w:t>Dezvoltarea eficace a capacităților necesită din ce în ce mai mult cooperarea dintre autoritățile de aplicare a legii, instituțiile, organele, oficiile și agențiile Uniunii, organizațiile de cercetare, mediul academic, furnizorii de tehnologie, industrie și alți actori din domeniul inovării. Prin urmare, Europol ar trebui să sprijine cooperarea și coordonarea în ceea ce privește activitățile de dezvoltare a capacităților și de inovare la nivelul Uniunii, cum ar fi cele ale Centrului UE de inovare pentru securitatea internă și ale Campusului de cercetare și inovare în domeniul securității al Comisiei. Europol ar trebui, de asemenea, să fie în măsură să faciliteze proiecte comune, activități de testare și alte forme de cooperare, inclusiv cu părți private și, după caz, prin activități comune de dezvoltare și achiziții publice desfășurate în conformitate cu dreptul aplicabil al Uniunii.</w:t>
      </w:r>
    </w:p>
    <w:p>
      <w:pPr>
        <w:pStyle w:val="Point0"/>
        <w:rPr>
          <w:noProof/>
        </w:rPr>
      </w:pPr>
      <w:r>
        <w:rPr>
          <w:noProof/>
        </w:rPr>
        <w:t>(77)</w:t>
      </w:r>
      <w:r>
        <w:rPr>
          <w:noProof/>
        </w:rPr>
        <w:tab/>
        <w:t>Europol ar trebui să fie sprijinită de un grup consultativ pentru capacități și inovare care să ofere cunoștințe de specialitate în ceea ce privește activitățile de dezvoltare a capacităților, de cercetare și de inovare, să sprijine elaborarea și actualizarea cadrului și să faciliteze schimburile cu alți parteneri relevanți, în special cu organizațiile de cercetare și cu părțile private.</w:t>
      </w:r>
    </w:p>
    <w:p>
      <w:pPr>
        <w:pStyle w:val="Point0"/>
        <w:rPr>
          <w:noProof/>
        </w:rPr>
      </w:pPr>
      <w:r>
        <w:rPr>
          <w:noProof/>
        </w:rPr>
        <w:t>(78)</w:t>
      </w:r>
      <w:r>
        <w:rPr>
          <w:noProof/>
        </w:rPr>
        <w:tab/>
        <w:t>Pentru a-și îndeplini atribuțiile în mod eficace, Europol ar trebui să dispună de o structură de guvernanță care să asigure o conducere strategică eficace, responsabilitatea, transparența și buna gestiune financiară și administrativă. Guvernanța agenției trebuie să se alinieze Declarației comune a Parlamentului European, a Consiliului UE și a Comisiei Europene din 2012 privind agențiile descentralizate (denumită în continuare „declarația comună și abordarea comună”) și Regulamentului delegat (UE) 2019/715 al Comisiei</w:t>
      </w:r>
      <w:r>
        <w:rPr>
          <w:rStyle w:val="FootnoteReference"/>
          <w:noProof/>
        </w:rPr>
        <w:footnoteReference w:id="53"/>
      </w:r>
      <w:r>
        <w:rPr>
          <w:noProof/>
        </w:rPr>
        <w:t>.</w:t>
      </w:r>
    </w:p>
    <w:p>
      <w:pPr>
        <w:pStyle w:val="Point0"/>
        <w:rPr>
          <w:noProof/>
        </w:rPr>
      </w:pPr>
      <w:r>
        <w:rPr>
          <w:noProof/>
        </w:rPr>
        <w:t>(79)</w:t>
      </w:r>
      <w:r>
        <w:rPr>
          <w:noProof/>
        </w:rPr>
        <w:tab/>
        <w:t xml:space="preserve">Pentru a raționaliza procesul decizional în cadrul Europol, ar trebui să se introducă o structură de guvernanță eficientă și eficace. În acest scop, statele membre și Comisia ar trebui să fie reprezentate în cadrul unui Consiliu de administrație învestit cu competențele necesare, inclusiv competența de a aproba documentul unic de programare. Pentru a asigura o supraveghere politică eficace, Consiliul de administrație ar trebui să includă și un membru desemnat de Parlamentul European. Consiliul de administrație ar trebui să fie principalul organism responsabil cu conducerea strategică și supravegherea Europol. El ar trebui să stabilească prioritățile și obiectivele Europol, să supravegheze punerea lor în aplicare și să exercite competențele care îi sunt conferite în temeiul prezentului regulament în ceea ce privește programarea, chestiunile bugetare, structura organizatorică, guvernanța și responsabilitatea. </w:t>
      </w:r>
    </w:p>
    <w:p>
      <w:pPr>
        <w:pStyle w:val="Point0"/>
        <w:rPr>
          <w:noProof/>
        </w:rPr>
      </w:pPr>
      <w:r>
        <w:rPr>
          <w:noProof/>
        </w:rPr>
        <w:t>(80)</w:t>
      </w:r>
      <w:r>
        <w:rPr>
          <w:noProof/>
        </w:rPr>
        <w:tab/>
        <w:t>Pentru a asigura o guvernanță eficientă și eficace, Consiliul de administrație ar trebui să fie asistat de un comitet executiv responsabil cu sprijinirea elaborării și a monitorizării deciziilor strategice, administrative și bugetare. Astfel de dispoziții ar trebui să faciliteze un proces decizional eficace, menținând în același timp responsabilitățile Consiliului de administrație și, respectiv, ale directorului executiv.</w:t>
      </w:r>
    </w:p>
    <w:p>
      <w:pPr>
        <w:pStyle w:val="Point0"/>
        <w:rPr>
          <w:noProof/>
        </w:rPr>
      </w:pPr>
      <w:r>
        <w:rPr>
          <w:noProof/>
        </w:rPr>
        <w:t>(81)</w:t>
      </w:r>
      <w:r>
        <w:rPr>
          <w:noProof/>
        </w:rPr>
        <w:tab/>
        <w:t>Pentru a-și îndeplini atribuțiile, Europol are nevoie de o conducere executivă solidă, capabilă să asigure punerea în aplicare a priorităților strategice, alocarea eficientă a resurselor și îndeplinirea eficace a sarcinilor operaționale, administrative și organizatorice. Prin urmare, directorului executiv ar trebui să i se încredințeze gestionarea curentă a Europol și ar trebui să își îndeplinească aceste sarcini în mod independent. Dacă este necesar, directorul executiv ar trebui să fie asistat de unul sau mai mulți directori executivi adjuncți.</w:t>
      </w:r>
    </w:p>
    <w:p>
      <w:pPr>
        <w:pStyle w:val="Point0"/>
        <w:rPr>
          <w:noProof/>
        </w:rPr>
      </w:pPr>
      <w:r>
        <w:rPr>
          <w:noProof/>
        </w:rPr>
        <w:t>(82)</w:t>
      </w:r>
      <w:r>
        <w:rPr>
          <w:noProof/>
        </w:rPr>
        <w:tab/>
        <w:t>Pentru a se asigura că activitățile Europol rămân aliniate la obiectivele sale strategice și la prioritățile sale operaționale, Europol ar trebui să își desfășoare activitatea pe baza unui cadru coerent de programare și de gestionare a performanței, care să coreleze planificarea multianuală, activitățile anuale, alocarea resurselor și evaluarea performanței. Un astfel de cadru ar trebui să se bazeze pe principiile bunei gestiuni financiare, utilizării eficace a resurselor Uniunii și responsabilității pentru rezultate.</w:t>
      </w:r>
    </w:p>
    <w:p>
      <w:pPr>
        <w:pStyle w:val="Point0"/>
        <w:rPr>
          <w:noProof/>
        </w:rPr>
      </w:pPr>
      <w:r>
        <w:rPr>
          <w:noProof/>
        </w:rPr>
        <w:t>(83)</w:t>
      </w:r>
      <w:r>
        <w:rPr>
          <w:noProof/>
        </w:rPr>
        <w:tab/>
        <w:t>În ceea ce privește prevenirea și gestionarea conflictelor de interese, este esențial ca agenția să acționeze imparțial, să dea dovadă de integritate și să stabilească standarde profesionale ridicate. În acest scop, membrii structurii administrative și de conducere a Europol ar trebui să acționeze în interes public și să se supună normelor corespunzătoare privind transparența, declarațiile de interese și prevenirea și gestionarea conflictelor de interese.</w:t>
      </w:r>
    </w:p>
    <w:p>
      <w:pPr>
        <w:pStyle w:val="Point0"/>
        <w:rPr>
          <w:noProof/>
        </w:rPr>
      </w:pPr>
      <w:r>
        <w:rPr>
          <w:noProof/>
        </w:rPr>
        <w:t>(84)</w:t>
      </w:r>
      <w:r>
        <w:rPr>
          <w:noProof/>
        </w:rPr>
        <w:tab/>
        <w:t>Pentru a consolida arhitectura de securitate a Uniunii, Europol ar trebui să fie în măsură să dezvolte relații strânse cu organele, oficiile și agențiile relevante ale Uniunii. Europol ar trebui, de asemenea, să fie în măsură să dezvolte relații strânse cu instituțiile și misiunile Uniunii. Pentru a încadra și a facilita astfel de relații, Europol ar trebui să încheie acorduri de lucru cu acestea. Pentru a asigura coerența cu politicile Uniunii, încheierea unor acorduri de lucru cu organele, oficiile și agențiile Uniunii instituite în cadrul TFUE ar trebui să facă obiectul aprobării prealabile a Comisiei. Aceste acorduri de lucru ar trebui actualizate periodic pentru a-și păstra eficacitatea, relevanța operațională și alinierea la prioritățile Uniunii în ceea ce privește combaterea amenințărilor infracționale în continuă evoluție.</w:t>
      </w:r>
    </w:p>
    <w:p>
      <w:pPr>
        <w:pStyle w:val="Point0"/>
        <w:rPr>
          <w:noProof/>
        </w:rPr>
      </w:pPr>
      <w:r>
        <w:rPr>
          <w:noProof/>
        </w:rPr>
        <w:t>(85)</w:t>
      </w:r>
      <w:r>
        <w:rPr>
          <w:noProof/>
        </w:rPr>
        <w:tab/>
        <w:t xml:space="preserve">Europol ar trebui să fie în măsură să primească de la instituțiile, organele, misiunile, oficiile și agențiile Uniunii, precum și să transmită sau să transfere către acestea atât date cu caracter personal, cât și date fără caracter personal, în conformitate cu prezentul regulament și cu dreptul aplicabil al Uniunii. </w:t>
      </w:r>
    </w:p>
    <w:p>
      <w:pPr>
        <w:pStyle w:val="Point0"/>
        <w:rPr>
          <w:noProof/>
        </w:rPr>
      </w:pPr>
      <w:r>
        <w:rPr>
          <w:noProof/>
        </w:rPr>
        <w:t>(86)</w:t>
      </w:r>
      <w:r>
        <w:rPr>
          <w:noProof/>
        </w:rPr>
        <w:tab/>
        <w:t>Pentru a realiza un schimb eficient de informații, asigurând în același timp garanții adecvate, Europol ar trebui să se asigure că organele, oficiile și agențiile Uniunii au, în conformitate cu prezentul regulament, acces indirect la informațiile deținute de Europol pe baza unui sistem automatizat de tip răspuns pozitiv/negativ („hit/no hit”), în condiții de reciprocitate și fără a afecta nicio restricție indicată de furnizorul informațiilor în temeiul prezentului regulament. Un astfel de acces ar trebui să se limiteze la informațiile care intră strict în sfera de competență a respectivelor organe, oficii și agenții ale Uniunii, cum ar fi EPPO, Eurojust, OLAF și Autoritatea pentru Combaterea Spălării Banilor și a Finanțării Terorismului („ACSB”), instituită prin Regulamentul (UE) 2024/1620 al Parlamentului European și al Consiliului</w:t>
      </w:r>
      <w:r>
        <w:rPr>
          <w:rStyle w:val="FootnoteReference"/>
          <w:noProof/>
        </w:rPr>
        <w:footnoteReference w:id="54"/>
      </w:r>
      <w:r>
        <w:rPr>
          <w:noProof/>
        </w:rPr>
        <w:t>.</w:t>
      </w:r>
    </w:p>
    <w:p>
      <w:pPr>
        <w:pStyle w:val="Point0"/>
        <w:rPr>
          <w:noProof/>
        </w:rPr>
      </w:pPr>
      <w:r>
        <w:rPr>
          <w:noProof/>
        </w:rPr>
        <w:t>(87)</w:t>
      </w:r>
      <w:r>
        <w:rPr>
          <w:noProof/>
        </w:rPr>
        <w:tab/>
        <w:t>Pentru a se asigura că infracțiunile care aduc atingere intereselor financiare ale Uniunii sunt urmărite penal în mod eficace de EPPO și că informațiile primite de Europol de la EPPO consolidează datele operative în materie penală ale Europol privind formele de criminalitate care intră în sfera de competență a Europol, Europol ar trebui să dezvolte o cooperare structurată cu EPPO. Pentru a sprijini investigațiile EPPO, Europol ar trebui, la cererea EPPO, să furnizeze EPPO informații relevante și sprijin operațional și analitic. În acest scop, Europol ar trebui să se asigure că există măsuri organizatorice adecvate, inclusiv alocarea de resurse umane dedicate, de exemplu prin instituirea unei unități de sprijin dedicate. Acest lucru ar permite EPPO să beneficieze de sprijinul analitic al Europol, asigurând o utilizare eficientă a resurselor Uniunii în investigarea și urmărirea penală a infracțiunilor care aduc atingere intereselor financiare ale Uniunii. Având în vedere competențele atribuite EPPO în temeiul dreptului Uniunii, schimbul de informații dintre EPPO și Europol pe baza sistemului automatizat de tip răspuns pozitiv/negativ nu ar trebui să fie afectat de nicio restricție indicată de statul membru sau de instituția, organul, oficiul sau agenția Uniunii care a furnizat informațiile către Europol. Furnizarea unor astfel de informații către EPPO, independent de orice restricție, ar reduce întârzierile și ar evita parcurgerea unor etape procedurale suplimentare în urma obținerii unui răspuns pozitiv în ceea ce privește informațiile pe care EPPO le-ar putea obține altfel în conformitate cu dreptul Uniunii. Având în vedere că accesul la informații în timp util este esențial pentru desfășurarea eficace a investigațiilor de către EPPO, mecanismul respectiv ar maximiza câștigurile în materie de eficiență și valoarea adăugată a Europol ca hub centralizat de informații. În plus, Europol ar trebui să raporteze EPPO cu privire la comportamentul infracțional în privința căruia EPPO și-ar putea exercita competența, indiferent de orice restricție indicată de un stat membru sau de o instituție, un organ, un oficiu sau o agenție a(l) Uniunii. În ambele cazuri, Europol ar trebui să informeze furnizorul informațiilor</w:t>
      </w:r>
      <w:r>
        <w:rPr>
          <w:noProof/>
          <w:color w:val="000000" w:themeColor="text1"/>
        </w:rPr>
        <w:t>.</w:t>
      </w:r>
    </w:p>
    <w:p>
      <w:pPr>
        <w:pStyle w:val="Point0"/>
        <w:rPr>
          <w:noProof/>
        </w:rPr>
      </w:pPr>
      <w:r>
        <w:rPr>
          <w:noProof/>
        </w:rPr>
        <w:t>(88)</w:t>
      </w:r>
      <w:r>
        <w:rPr>
          <w:noProof/>
        </w:rPr>
        <w:tab/>
        <w:t>Pentru a asigura sinergii la nivelul Uniunii între cooperarea în materie de aplicare a legii, prin intermediul Europol, și cooperarea judiciară, prin intermediul Eurojust, Europol ar trebui să dezvolte o cooperare structurată cu Eurojust. În cazul în care se identifică necesitatea luării unor măsuri judiciare ulterioare eficace, Europol ar trebui să inițieze procedura pentru schimbul de informații relevante cu Eurojust, în conformitate cu normele prevăzute în prezentul regulament.</w:t>
      </w:r>
    </w:p>
    <w:p>
      <w:pPr>
        <w:pStyle w:val="Point0"/>
        <w:rPr>
          <w:noProof/>
        </w:rPr>
      </w:pPr>
      <w:r>
        <w:rPr>
          <w:noProof/>
        </w:rPr>
        <w:t>(89)</w:t>
      </w:r>
      <w:r>
        <w:rPr>
          <w:noProof/>
        </w:rPr>
        <w:tab/>
        <w:t xml:space="preserve">Pentru a consolida lupta împotriva criminalității financiare la nivelul Uniunii, Europol ar trebui să dezvolte relații strânse cu ACSB, inclusiv prin schimbul de informații operaționale, strategice și de alte informații, precum și prin detașarea de ofițeri de legătură la sediul celeilalte părți. În cazul în care Europol, în temeiul Directivei (UE) 2019/1153, este invitată să sprijine unitățile de informații financiare („FIU”) în contextul analizelor comune, iar acestea sunt </w:t>
      </w:r>
      <w:r>
        <w:rPr>
          <w:noProof/>
          <w:color w:val="000000" w:themeColor="text1"/>
        </w:rPr>
        <w:t xml:space="preserve">efectuate </w:t>
      </w:r>
      <w:r>
        <w:rPr>
          <w:noProof/>
        </w:rPr>
        <w:t xml:space="preserve">cu sprijinul ACSB, Europol ar trebui să coopereze cu ACSB pentru a sprijini mai eficace respectivele FIU în acest context. </w:t>
      </w:r>
    </w:p>
    <w:p>
      <w:pPr>
        <w:pStyle w:val="Point0"/>
        <w:rPr>
          <w:noProof/>
        </w:rPr>
      </w:pPr>
      <w:r>
        <w:rPr>
          <w:noProof/>
        </w:rPr>
        <w:t>(90)</w:t>
      </w:r>
      <w:r>
        <w:rPr>
          <w:noProof/>
        </w:rPr>
        <w:tab/>
        <w:t xml:space="preserve">Criminalitatea gravă și organizată exploatează tot mai mult fluxurile comerciale internaționale, lanțurile de aprovizionare și circulația transfrontalieră a mărfurilor. Prin urmare, cooperarea dintre Europol și Autoritatea vamală a Uniunii Europene (EUCA) instituită prin Regulamentul […] poate oferi informații valoroase pentru prevenirea și combaterea criminalității grave și organizate și a terorismului. Europol ar trebui să dezvolte relații strânse cu Autoritatea vamală a Uniunii Europene, în special pentru a permite schimbul reciproc de date și informații relevante, în conformitate cu Regulamentul […] și sub rezerva garanțiilor și condițiilor aplicabile prevăzute în acesta. </w:t>
      </w:r>
    </w:p>
    <w:p>
      <w:pPr>
        <w:pStyle w:val="Point0"/>
        <w:rPr>
          <w:noProof/>
        </w:rPr>
      </w:pPr>
      <w:r>
        <w:rPr>
          <w:noProof/>
        </w:rPr>
        <w:t>(91)</w:t>
      </w:r>
      <w:r>
        <w:rPr>
          <w:noProof/>
        </w:rPr>
        <w:tab/>
        <w:t>Pentru a contribui la protecția efectivă a intereselor financiare ale Uniunii, Europol ar trebui să coopereze cu ceilalți actori antifraudă implicați în protejarea intereselor financiare ale Uniunii, cum ar fi EPPO, Eurojust, OLAF, ACSB și Autoritatea vamală a UE, pentru a aborda aspecte relevante pentru coordonarea activităților antifraudă, cum ar fi facilitarea schimbului de informații, desfășurarea de acțiuni coordonate sau comune, schimbul de informații privind tendințele infracționale emergente în cadrul activităților care aduc atingere intereselor financiare ale Uniunii, schimbul de bune practici, inclusiv aspecte legate de securitatea și dezvoltarea tehnologiei informației, stabilirea de criterii pentru raportarea comună, coordonarea activităților de formare sau evoluțiile generale privind arhitectura antifraudă a Uniunii. Ca actor important în protejarea intereselor financiare ale Uniunii, Europol ar trebui să participe activ la astfel de activități comune de cooperare.</w:t>
      </w:r>
    </w:p>
    <w:p>
      <w:pPr>
        <w:pStyle w:val="Point0"/>
        <w:rPr>
          <w:noProof/>
        </w:rPr>
      </w:pPr>
      <w:r>
        <w:rPr>
          <w:noProof/>
        </w:rPr>
        <w:t>(92)</w:t>
      </w:r>
      <w:r>
        <w:rPr>
          <w:noProof/>
        </w:rPr>
        <w:tab/>
        <w:t xml:space="preserve">Pentru a consolida răspunsul operațional general al Uniunii la criminalitatea transfrontalieră, cum ar fi introducerea ilegală de migranți și traficul de persoane, Europol și Frontex ar trebui să fie în măsură să își valorifice capacitățile complementare. Ele ar trebui să coopereze îndeaproape, în special în cadrul gestionării europene integrate a frontierelor, astfel cum este definită în Regulamentul (UE) 2019/1896, și al ciclului multianual de politică strategică pentru gestionarea europeană integrată a frontierelor, asigurând coerența acțiunilor și evitând lacunele operaționale. </w:t>
      </w:r>
    </w:p>
    <w:p>
      <w:pPr>
        <w:pStyle w:val="Point0"/>
        <w:rPr>
          <w:noProof/>
        </w:rPr>
      </w:pPr>
      <w:r>
        <w:rPr>
          <w:noProof/>
        </w:rPr>
        <w:t>(93)</w:t>
      </w:r>
      <w:r>
        <w:rPr>
          <w:noProof/>
        </w:rPr>
        <w:tab/>
        <w:t>Pentru a spori eficiența, a evita dublarea investițiilor, a beneficia de economii de scară și a promova interoperabilitatea, Europol și eu-LISA ar trebui să coopereze în ceea ce privește dezvoltarea, achiziționarea și utilizarea componentelor tehnice de gestionare a informațiilor, inclusiv, după caz, a soluțiilor legate de prelucrarea datelor biometrice și de alte servicii partajate, în deplină conformitate cu mandatele lor și cu normele aplicabile privind protecția datelor.</w:t>
      </w:r>
    </w:p>
    <w:p>
      <w:pPr>
        <w:pStyle w:val="Point0"/>
        <w:rPr>
          <w:noProof/>
        </w:rPr>
      </w:pPr>
      <w:r>
        <w:rPr>
          <w:noProof/>
        </w:rPr>
        <w:t>(94)</w:t>
      </w:r>
      <w:r>
        <w:rPr>
          <w:noProof/>
        </w:rPr>
        <w:tab/>
        <w:t>Prevenirea și combaterea formelor de criminalitate care intră în sfera de competență a Europol necesită, într-o măsură din ce în ce mai mare, cooperarea în afara frontierelor Uniunii. Atunci când este necesar pentru îndeplinirea atribuțiilor sale, Europol ar trebui să stabilească și să întrețină relații de cooperare cu țări terțe, organizații internaționale și părți private, în conformitate cu dreptul Uniunii și sub rezerva unor garanții adecvate. Această cooperare ar trebui să se desfășoare într-un mod care să fie în concordanță cu politicile și prioritățile externe ale Uniunii. Pentru a asigura coerența și consecvența, angajamentul extern al Europol ar trebui să fie coordonat, după caz, cu instituțiile, organele, oficiile și agențiile relevante ale Uniunii.</w:t>
      </w:r>
    </w:p>
    <w:p>
      <w:pPr>
        <w:pStyle w:val="Point0"/>
        <w:rPr>
          <w:noProof/>
        </w:rPr>
      </w:pPr>
      <w:r>
        <w:rPr>
          <w:noProof/>
        </w:rPr>
        <w:t>(95)</w:t>
      </w:r>
      <w:r>
        <w:rPr>
          <w:noProof/>
        </w:rPr>
        <w:tab/>
      </w:r>
      <w:bookmarkStart w:id="1" w:name="_Hlk232093648"/>
      <w:r>
        <w:rPr>
          <w:noProof/>
        </w:rPr>
        <w:t>Colaborarea Europol cu țările terțe ar trebui să se axeze pe cooperarea operațională, inclusiv pe schimbul de informații, pe coordonarea operațională și pe sprijinul acordat investigațiilor. Concentrarea activităților externe ale Europol asupra obiectivelor operaționale asigură faptul că expertiza și resursele sale sunt direcționate către activități care oferă cea mai mare valoare adăugată operațională pentru autoritățile competente ale statelor membre, rămânând în același timp complementare rolului CEPOL în domeniul consolidării capacităților în țările terțe.</w:t>
      </w:r>
    </w:p>
    <w:p>
      <w:pPr>
        <w:pStyle w:val="Point0"/>
        <w:rPr>
          <w:noProof/>
        </w:rPr>
      </w:pPr>
      <w:r>
        <w:rPr>
          <w:noProof/>
        </w:rPr>
        <w:t>(96)</w:t>
      </w:r>
      <w:r>
        <w:rPr>
          <w:noProof/>
        </w:rPr>
        <w:tab/>
      </w:r>
      <w:bookmarkStart w:id="2" w:name="_Hlk232093865"/>
      <w:bookmarkEnd w:id="1"/>
      <w:r>
        <w:rPr>
          <w:noProof/>
        </w:rPr>
        <w:t>Funcționarea spațiului Schengen fără controale la frontierele interne creează un grad ridicat de dependență reciprocă între statele participante în ceea ce privește prevenirea și combaterea criminalității transfrontaliere. Țările asociate la implementarea, aplicarea și dezvoltarea acquis-ului Schengen sunt strâns integrate în respectivul cadru comun de securitate și contribuie în mod direct la securitatea spațiului Schengen. Protecția eficace a securității interne a Uniunii necesită, prin urmare, o cooperare deosebit de strânsă între Europol și țările respective. În acest scop, vor fi esențiale unele dispoziții specifice care să reflecte relația specială dintre aceste țări și Uniune. Având în vedere beneficiile reciproce care decurg dintr-o astfel de cooperare, este, de asemenea, important ca aceste dispoziții să se poată baza pe drepturi și obligații reciproce, inclusiv pe obligații de a face schimb de informații relevante și pe dispoziții privind contribuțiile financiare.</w:t>
      </w:r>
    </w:p>
    <w:bookmarkEnd w:id="2"/>
    <w:p>
      <w:pPr>
        <w:pStyle w:val="Point0"/>
        <w:rPr>
          <w:noProof/>
        </w:rPr>
      </w:pPr>
      <w:r>
        <w:rPr>
          <w:noProof/>
        </w:rPr>
        <w:t>(97)</w:t>
      </w:r>
      <w:r>
        <w:rPr>
          <w:noProof/>
        </w:rPr>
        <w:tab/>
        <w:t xml:space="preserve">Țările candidate la aderarea la Uniune, precum și țările potențial candidate sunt parteneri-cheie pentru consolidarea securității interne europene. Având în vedere proximitatea lor geografică față de Uniune, poziția lor de-a lungul principalelor rute infracționale și caracterul transregional al criminalității organizate, al terorismului și al infracțiunilor legate de o infracțiune care intră în sfera de competență a Europol, în cazul în care astfel de infracțiuni implică o dimensiune hibridă, cooperarea operațională strânsă cu țările respective este un element important pentru prevenirea și combaterea eficace a unor astfel de infracțiuni și amenințări. </w:t>
      </w:r>
    </w:p>
    <w:p>
      <w:pPr>
        <w:pStyle w:val="Point0"/>
        <w:rPr>
          <w:noProof/>
        </w:rPr>
      </w:pPr>
      <w:r>
        <w:rPr>
          <w:noProof/>
        </w:rPr>
        <w:t>(98)</w:t>
      </w:r>
      <w:r>
        <w:rPr>
          <w:noProof/>
        </w:rPr>
        <w:tab/>
        <w:t xml:space="preserve">Pentru a sprijini cooperarea operațională cu țările terțe și cu organizațiile internaționale, este necesar să se prevadă condiții clare în care datele cu caracter personal pot fi transferate, asigurând în același timp un nivel ridicat de protecție a drepturilor și libertăților fundamentale, în special a dreptului la protecția datelor cu caracter personal. Orice astfel de transfer ar trebui să aibă loc numai în conformitate cu Regulamentul (UE) 2018/1725 și cu dispozițiile specifice ale prezentului regulament și să facă obiectul condițiilor și garanțiilor prevăzute în acesta. Transferurile de date cu caracter personal către țări terțe și organizații internaționale pot necesita luarea unor decizii rapide. Pentru a asigura atât capacitatea de reacție operațională, cât și o alocare clară a responsabilității, directorul executiv ar trebui să ia decizii de autorizare a unor astfel de transferuri în condițiile și cu garanțiile prevăzute în Regulamentul (UE) 2018/1725. </w:t>
      </w:r>
    </w:p>
    <w:p>
      <w:pPr>
        <w:pStyle w:val="Point0"/>
        <w:rPr>
          <w:noProof/>
        </w:rPr>
      </w:pPr>
      <w:r>
        <w:rPr>
          <w:noProof/>
        </w:rPr>
        <w:t>(99)</w:t>
      </w:r>
      <w:r>
        <w:rPr>
          <w:noProof/>
        </w:rPr>
        <w:tab/>
        <w:t>Informațiile necesare pentru prevenirea și combaterea infracțiunilor provin din ce în ce mai mult de la părți private, inclusiv de la furnizori de servicii de comunicații electronice, platforme online, instituții financiare, operatori de transport și alte entități private. Europol ar trebui, în limitele competenței sale, să primească, să prelucreze și să facă schimb de informații și de date cu caracter personal care implică părți private, atunci când acest lucru este necesar și proporțional pentru îndeplinirea atribuțiilor sale, respectând în același timp responsabilitățile statelor membre.</w:t>
      </w:r>
    </w:p>
    <w:p>
      <w:pPr>
        <w:pStyle w:val="Point0"/>
        <w:rPr>
          <w:noProof/>
        </w:rPr>
      </w:pPr>
      <w:r>
        <w:rPr>
          <w:noProof/>
        </w:rPr>
        <w:t>(100)</w:t>
      </w:r>
      <w:r>
        <w:rPr>
          <w:noProof/>
        </w:rPr>
        <w:tab/>
        <w:t>Prevenirea amenințărilor grave la adresa securității publice, inclusiv a celor care rezultă din diseminarea conținutului cu caracter terorist și din situațiile de criză online, se bazează din ce în ce mai mult pe o cooperare eficace între autoritățile publice și părțile private. Punerea în aplicare eficace a anumitor măsuri și obligații prevăzute în dreptul Uniunii, inclusiv în Regulamentul (UE) 2021/784 și în Regulamentul (UE) 2022/2065, poate necesita schimburi de informații în timp util între Europol și părțile private relevante. Prin urmare, pentru a reconcilia eficacitatea operațională cu un nivel ridicat de protecție a drepturilor fundamentale, în special a dreptului la protecția datelor cu caracter personal, este necesar să se stabilească condițiile pentru astfel de schimburi.</w:t>
      </w:r>
    </w:p>
    <w:p>
      <w:pPr>
        <w:pStyle w:val="Point0"/>
        <w:rPr>
          <w:noProof/>
        </w:rPr>
      </w:pPr>
      <w:r>
        <w:rPr>
          <w:noProof/>
        </w:rPr>
        <w:t>(101)</w:t>
      </w:r>
      <w:r>
        <w:rPr>
          <w:noProof/>
        </w:rPr>
        <w:tab/>
        <w:t>Informațiile furnizate în mod voluntar de persoane fizice pot contribui la prevenirea și combaterea formelor de criminalitate care intră în sfera de competență a Europol. Sunt necesare condiții adecvate pentru a se asigura că astfel de informații pot fi utilizate atunci când este relevant din punct de vedere operațional, menținând în același timp rolul Europol de agenție de sprijin în materie de aplicare a legii și asigurând protecția drepturilor și libertăților persoanelor în cauză.</w:t>
      </w:r>
    </w:p>
    <w:p>
      <w:pPr>
        <w:pStyle w:val="Point0"/>
        <w:rPr>
          <w:noProof/>
        </w:rPr>
      </w:pPr>
      <w:r>
        <w:rPr>
          <w:noProof/>
        </w:rPr>
        <w:t>(102)</w:t>
      </w:r>
      <w:r>
        <w:rPr>
          <w:noProof/>
        </w:rPr>
        <w:tab/>
        <w:t xml:space="preserve">Regulamentul (UE) 2018/1725 al Parlamentului European și al Consiliului se aplică prelucrării datelor cu caracter personal de către Europol. Prin urmare, prezentul regulament ar trebui înțeles ca stabilind numai normele de protecție a datelor care sunt necesare pentru a completa, a clarifica sau a specifica aplicarea Regulamentului (UE) 2018/1725, având în vedere atribuțiile și activitățile operaționale specifice ale Europol. În consecință, dispozițiile prezentului regulament privind prelucrarea datelor cu caracter personal de către Europol constituie </w:t>
      </w:r>
      <w:r>
        <w:rPr>
          <w:i/>
          <w:noProof/>
        </w:rPr>
        <w:t>lex specialis</w:t>
      </w:r>
      <w:r>
        <w:rPr>
          <w:noProof/>
        </w:rPr>
        <w:t xml:space="preserve"> în raport cu Regulamentul (UE) 2018/1725 și ar trebui să prevaleze numai în măsura în care prevăd norme mai specifice.</w:t>
      </w:r>
    </w:p>
    <w:p>
      <w:pPr>
        <w:pStyle w:val="Point0"/>
        <w:rPr>
          <w:noProof/>
        </w:rPr>
      </w:pPr>
      <w:r>
        <w:rPr>
          <w:noProof/>
        </w:rPr>
        <w:t>(103)</w:t>
      </w:r>
      <w:r>
        <w:rPr>
          <w:noProof/>
        </w:rPr>
        <w:tab/>
        <w:t>Eficacitatea datelor operative în materie penală și a cooperării în materie de aplicare a legii depinde de calitatea informațiilor prelucrate de Europol. Prin urmare, ori de câte ori este posibil, fiabilitatea sursei informațiilor și exactitatea informațiilor primite, extrase sau analizate de Europol ar trebui evaluate pe baza unei metodologii comune de evaluare. În cazul în care Europol primește informații, responsabilitatea pentru evaluarea respectivă ar trebui să îi revină în continuare furnizorului informațiilor. În cazul în care consideră că o evaluare ar trebui revizuită, Europol ar trebui să încerce să ajungă la un acord cu furnizorul în cauză.</w:t>
      </w:r>
    </w:p>
    <w:p>
      <w:pPr>
        <w:pStyle w:val="Point0"/>
        <w:rPr>
          <w:noProof/>
        </w:rPr>
      </w:pPr>
      <w:r>
        <w:rPr>
          <w:noProof/>
        </w:rPr>
        <w:t>(104)</w:t>
      </w:r>
      <w:r>
        <w:rPr>
          <w:noProof/>
        </w:rPr>
        <w:tab/>
        <w:t xml:space="preserve">Datele cu caracter personal privind victimele infracțiunilor, martorii și alte persoane care pot furniza informații relevante pentru infracțiuni necesită o protecție specială, în conformitate cu dispozițiile Directivei 2012/29/UE de stabilire a unor norme minime privind drepturile, sprijinirea și protecția victimelor criminalității. Prin urmare, Europol ar trebui să prelucreze astfel de date numai în cazul în care acest lucru este strict necesar și proporțional pentru îndeplinirea atribuțiilor sale și sub rezerva unor garanții adecvate. Pentru a contribui mai bine la combaterea exploatării infracționale a tinerilor autori de infracțiuni și în interesul superior al copilului, Europol ar trebui să fie în măsură să prelucreze datele persoanelor cu vârsta sub 18 ani atunci când acest lucru este necesar și proporțional pentru prevenirea sau combaterea criminalității care intră în sfera de competență a Europol. </w:t>
      </w:r>
    </w:p>
    <w:p>
      <w:pPr>
        <w:pStyle w:val="Point0"/>
        <w:rPr>
          <w:noProof/>
        </w:rPr>
      </w:pPr>
      <w:r>
        <w:rPr>
          <w:noProof/>
        </w:rPr>
        <w:t>(105)</w:t>
      </w:r>
      <w:r>
        <w:rPr>
          <w:noProof/>
        </w:rPr>
        <w:tab/>
      </w:r>
      <w:r>
        <w:rPr>
          <w:noProof/>
          <w:color w:val="242424"/>
        </w:rPr>
        <w:t>Datele sensibile cu caracter personal prevăzute la articolul 4 punctele 13, 14 și 15, la articolul 9 și în considerentele 51-56 din Regulamentul (UE) 2016/679 ar trebui să fie prelucrate de Europol numai în cazul în care acest lucru este strict necesar și proporțional pentru îndeplinirea atribuțiilor sale și sub rezerva unor garanții și mecanisme de supraveghere adecvate</w:t>
      </w:r>
      <w:r>
        <w:rPr>
          <w:noProof/>
        </w:rPr>
        <w:t xml:space="preserve">. </w:t>
      </w:r>
    </w:p>
    <w:p>
      <w:pPr>
        <w:pStyle w:val="Point0"/>
        <w:rPr>
          <w:rFonts w:ascii="Calibri" w:eastAsia="Calibri" w:hAnsi="Calibri" w:cs="Calibri"/>
          <w:noProof/>
          <w:sz w:val="22"/>
        </w:rPr>
      </w:pPr>
      <w:r>
        <w:rPr>
          <w:noProof/>
        </w:rPr>
        <w:t>(106)</w:t>
      </w:r>
      <w:r>
        <w:rPr>
          <w:noProof/>
        </w:rPr>
        <w:tab/>
        <w:t>Datele biometrice pot fi prelucrate în scopuri diferite și nu prezintă, în toate circumstanțele, aceleași riscuri pentru drepturile și libertățile persoanelor vizate. Garanțiile specifice prevăzute în prezentul regulament pentru categoriile speciale de date cu caracter personal ar trebui, prin urmare, să se aplice datelor biometrice numai în cazul în care acestea sunt prelucrate în scopul identificării unice a unei persoane fizice, în conformitate cu Regulamentul (UE) 2018/1725. Prelucrarea datelor biometrice în scopul identificării unice a unei persoane fizice de către Europol în mediul analitic al Europol și în cazul în care dreptul Uniunii prevede altfel ar trebui să fie considerată strict necesară pentru prevenirea sau combaterea infracțiunilor care intră în sfera de competență a Europol.</w:t>
      </w:r>
    </w:p>
    <w:p>
      <w:pPr>
        <w:pStyle w:val="Point0"/>
        <w:rPr>
          <w:noProof/>
        </w:rPr>
      </w:pPr>
      <w:r>
        <w:rPr>
          <w:noProof/>
        </w:rPr>
        <w:t>(107)</w:t>
      </w:r>
      <w:r>
        <w:rPr>
          <w:noProof/>
        </w:rPr>
        <w:tab/>
        <w:t xml:space="preserve">Europol ar trebui să fie în măsură să prelucreze date cu caracter personal în scopuri de cercetare și inovare, sub rezerva unor garanții adecvate, inclusiv autorizarea prealabilă din partea directorului executiv și supravegherea de către Consiliul de administrație. În cazul în care consideră că un nou tip de proiect prezintă un risc semnificativ pentru drepturile și libertățile persoanelor vizate, Europol ar trebui, de asemenea, să efectueze o evaluare a impactului asupra protecției datelor și să informeze Autoritatea Europeană pentru Protecția Datelor înainte de lansarea proiectului. </w:t>
      </w:r>
    </w:p>
    <w:p>
      <w:pPr>
        <w:pStyle w:val="Point0"/>
        <w:rPr>
          <w:noProof/>
        </w:rPr>
      </w:pPr>
      <w:r>
        <w:rPr>
          <w:noProof/>
        </w:rPr>
        <w:t>(108)</w:t>
      </w:r>
      <w:r>
        <w:rPr>
          <w:noProof/>
        </w:rPr>
        <w:tab/>
        <w:t xml:space="preserve">Persoanele vizate ar trebui să își poată exercita dreptul de acces menționat în Regulamentul (UE) 2018/1725 prin depunerea unei cereri fie la Europol, fie prin intermediul autorității naționale desemnate în acest scop în orice stat membru. Având în vedere că datele cu caracter personal prelucrate de Europol provin adesea de la furnizori, deciziile privind cererile de acces ale persoanelor vizate ar trebui luate în strânsă cooperare cu statele membre și cu furnizorii de date în cauză, pentru a asigura atât protecția efectivă a drepturilor persoanelor vizate, cât și protejarea investigațiilor în curs. Pentru a se asigura că termenul de răspuns la cererile de acces ale persoanelor vizate poate fi întotdeauna respectat, statele membre și furnizorii consultați ar trebui să răspundă fără întârziere Europol. </w:t>
      </w:r>
    </w:p>
    <w:p>
      <w:pPr>
        <w:pStyle w:val="Point0"/>
        <w:rPr>
          <w:noProof/>
        </w:rPr>
      </w:pPr>
      <w:r>
        <w:rPr>
          <w:noProof/>
        </w:rPr>
        <w:t>(109)</w:t>
      </w:r>
      <w:r>
        <w:rPr>
          <w:noProof/>
        </w:rPr>
        <w:tab/>
        <w:t>Pentru a asigura un nivel ridicat de calitate și acuratețe a datelor, datele cu caracter personal prelucrate de Europol ar trebui să fie rectificate, șterse sau să facă obiectul unei restricționări a prelucrării în cazul în care sunt inexacte, prelucrate în mod ilegal sau nu mai sunt necesare în conformitate cu prezentul regulament și cu Regulamentul (UE) 2018/1725. Având în vedere că datele cu caracter personal prelucrate de Europol pot proveni dintr-o varietate de surse, Europol și furnizorul datelor în cauză ar trebui să coopereze îndeaproape atunci când iau măsuri care afectează acuratețea, stocarea sau utilizarea acestor date.</w:t>
      </w:r>
    </w:p>
    <w:p>
      <w:pPr>
        <w:pStyle w:val="Point0"/>
        <w:rPr>
          <w:noProof/>
        </w:rPr>
      </w:pPr>
      <w:r>
        <w:rPr>
          <w:noProof/>
        </w:rPr>
        <w:t>(110)</w:t>
      </w:r>
      <w:r>
        <w:rPr>
          <w:noProof/>
        </w:rPr>
        <w:tab/>
        <w:t>Mecanismul consultării prealabile cu Autoritatea Europeană pentru Protecția Datelor (AEPD) în temeiul Regulamentului (UE) 2018/1725 reprezintă o garanție esențială. El se aplică numai operațiunilor de prelucrare cu grad ridicat de risc, în cazul cărora riscurile potențiale pentru persoanele vizate sunt deosebit de semnificative. În același timp, consultarea prealabilă nu ar trebui să fie necesară pentru ajustarea, modificarea sau implementarea capacităților existente, inclusiv într-un context operațional definit, cu condiția ca astfel de activități să nu modifice natura, domeniul de aplicare sau scopul prelucrării într-un mod care ar determina creșterea riscului pentru drepturile și libertățile persoanelor vizate. Pentru a menține eficacitatea operațională a Europol, termenul în care AEPD este în măsură să furnizeze recomandări scrise în temeiul Regulamentului (UE) 2018/1725 ar trebui să fie de opt săptămâni și nu ar trebui să fie suspendat sau prelungit. În cazuri deosebit de urgente, de o importanță considerabilă pentru îndeplinirea atribuțiilor sale, Europol ar trebui să poată începe, în mod excepțional, prelucrarea atunci când acest lucru este necesar pentru a preveni și a combate o amenințare infracțională imediată sau pentru a proteja interesele vitale ale persoanei vizate sau ale unei alte persoane. În astfel de cazuri, Europol ar trebui să informeze AEPD înainte de începerea operațiunilor de prelucrare și ar trebui să furnizeze toate informațiile necesare în scopul consultării prealabile în termen de patru săptămâni de la începerea operațiunilor de prelucrare.</w:t>
      </w:r>
    </w:p>
    <w:p>
      <w:pPr>
        <w:pStyle w:val="Point0"/>
        <w:rPr>
          <w:noProof/>
        </w:rPr>
      </w:pPr>
      <w:r>
        <w:rPr>
          <w:noProof/>
        </w:rPr>
        <w:t>(111)</w:t>
      </w:r>
      <w:r>
        <w:rPr>
          <w:noProof/>
        </w:rPr>
        <w:tab/>
        <w:t>Regulamentul (CEE, Euratom) nr. 1182/71 al Consiliului</w:t>
      </w:r>
      <w:r>
        <w:rPr>
          <w:rStyle w:val="FootnoteReference"/>
          <w:noProof/>
        </w:rPr>
        <w:footnoteReference w:id="55"/>
      </w:r>
      <w:r>
        <w:rPr>
          <w:noProof/>
        </w:rPr>
        <w:t xml:space="preserve"> ar trebui să se aplice oricărei perioade prevăzute pentru AEPD în temeiul prezentului regulament. </w:t>
      </w:r>
    </w:p>
    <w:p>
      <w:pPr>
        <w:pStyle w:val="Point0"/>
        <w:rPr>
          <w:noProof/>
        </w:rPr>
      </w:pPr>
      <w:r>
        <w:rPr>
          <w:noProof/>
        </w:rPr>
        <w:t>(112)</w:t>
      </w:r>
      <w:r>
        <w:rPr>
          <w:noProof/>
        </w:rPr>
        <w:tab/>
        <w:t>Pentru a asigura respectarea strictă a normelor privind protecția datelor cu caracter personal, Consiliul de administrație al Europol ar trebui să numească un responsabil cu protecția datelor. Responsabilul cu protecția datelor ar trebui să fie în măsură să își îndeplinească îndatoririle în conformitate cu Regulamentul (UE) 2018/1725. În cazul în care responsabilul cu protecția datelor identifică un caz de nerespectare a normelor privind protecția datelor cu caracter personal, acesta ar trebui să poată solicita directorului executiv să ia măsuri corective într-un anumit interval de timp. În cazul în care directorul executiv nu ia măsuri, responsabilul cu protecția datelor ar trebui să fie împuternicit să sesizeze Consiliul de administrație și, dacă este necesar, în ultimă instanță, AEPD.</w:t>
      </w:r>
    </w:p>
    <w:p>
      <w:pPr>
        <w:pStyle w:val="Point0"/>
        <w:rPr>
          <w:noProof/>
        </w:rPr>
      </w:pPr>
      <w:r>
        <w:rPr>
          <w:noProof/>
        </w:rPr>
        <w:t>(113)</w:t>
      </w:r>
      <w:r>
        <w:rPr>
          <w:noProof/>
        </w:rPr>
        <w:tab/>
        <w:t xml:space="preserve">Pentru a sprijini Europol în ceea ce privește respectarea, promovarea și îndeplinirea drepturilor fundamentale în cadrul tuturor acțiunilor sale, Consiliul de administrație ar trebui să desemneze un ofițer pentru drepturile fundamentale. </w:t>
      </w:r>
    </w:p>
    <w:p>
      <w:pPr>
        <w:pStyle w:val="Point0"/>
        <w:rPr>
          <w:noProof/>
        </w:rPr>
      </w:pPr>
      <w:r>
        <w:rPr>
          <w:noProof/>
        </w:rPr>
        <w:t>(114)</w:t>
      </w:r>
      <w:r>
        <w:rPr>
          <w:noProof/>
        </w:rPr>
        <w:tab/>
        <w:t>Asigurarea respectării drepturilor fundamentale necesită cunoștințe de specialitate din partea personalului Europol. Prin urmare, personalul Europol ar trebui să beneficieze de formare adecvată privind drepturile și libertățile fundamentale. Personalul Europol implicat în activități operaționale ar trebui să beneficieze de formare specifică privind protecția datelor și aplicarea practică a garanțiilor prevăzute în prezentul regulament și în Regulamentul (UE) 2018/1725. Pentru a asigura un standard ridicat și coerent al formării, Europol ar trebui să coopereze cu Agenția pentru Drepturi Fundamentale a Uniunii Europene, instituită prin Regulamentul (CE) nr. 168/2007 al Consiliului</w:t>
      </w:r>
      <w:r>
        <w:rPr>
          <w:rStyle w:val="FootnoteReference"/>
          <w:noProof/>
        </w:rPr>
        <w:footnoteReference w:id="56"/>
      </w:r>
      <w:r>
        <w:rPr>
          <w:noProof/>
        </w:rPr>
        <w:t>, și cu CEPOL în ceea ce privește dezvoltarea acestei formări.</w:t>
      </w:r>
    </w:p>
    <w:p>
      <w:pPr>
        <w:pStyle w:val="Point0"/>
        <w:rPr>
          <w:noProof/>
        </w:rPr>
      </w:pPr>
      <w:r>
        <w:rPr>
          <w:noProof/>
        </w:rPr>
        <w:t>(115)</w:t>
      </w:r>
      <w:r>
        <w:rPr>
          <w:noProof/>
        </w:rPr>
        <w:tab/>
        <w:t xml:space="preserve">Autoritățile naționale competente în materie de supraveghere a prelucrării datelor cu caracter personal ar trebui să monitorizeze legalitatea oricărei furnizări de date cu caracter personal de către statele membre către Europol. AEPD ar trebui să monitorizeze legalitatea prelucrării datelor efectuate de Europol, exercitându-și funcțiile în conformitate cu Regulamentul (UE) 2018/1725. Pentru a asigura supravegherea eficace a Europol, AEPD și autoritățile naționale de supraveghere ar trebui să coopereze strâns în aspecte specifice care necesită implicare la nivel național. </w:t>
      </w:r>
    </w:p>
    <w:p>
      <w:pPr>
        <w:pStyle w:val="Point0"/>
        <w:rPr>
          <w:noProof/>
        </w:rPr>
      </w:pPr>
      <w:r>
        <w:rPr>
          <w:noProof/>
        </w:rPr>
        <w:t>(116)</w:t>
      </w:r>
      <w:r>
        <w:rPr>
          <w:noProof/>
        </w:rPr>
        <w:tab/>
        <w:t>În conformitate cu articolul 88 din TFUE, activitățile Europol trebuie să facă obiectul controlului exercitat de Parlamentul European, împreună cu parlamentele naționale. Un control parlamentar eficace contribuie la responsabilitatea democratică, la transparența și la legitimitatea activităților Europol, respectând în același timp independența operațională a acesteia și responsabilitățile autorităților competente din statele membre. Un control eficace necesită un dialog periodic cu Europol și accesul la informațiile necesare pentru îndeplinirea atribuției respective, respectând în același timp cerințele de confidențialitate și de protecție a investigațiilor și a activităților operaționale în curs. Protecția drepturilor fundamentale, în special a dreptului la protecția datelor cu caracter personal, are o importanță deosebită în exercitarea atribuțiilor Europol. Controlul parlamentar ar trebui, prin urmare, să fie sprijinit prin schimburi adecvate cu Autoritatea Europeană pentru Protecția Datelor și prin accesul la cunoștințe de specialitate cu caracter independent în materie de drepturi fundamentale.</w:t>
      </w:r>
    </w:p>
    <w:p>
      <w:pPr>
        <w:pStyle w:val="Point0"/>
        <w:rPr>
          <w:noProof/>
        </w:rPr>
      </w:pPr>
      <w:r>
        <w:rPr>
          <w:noProof/>
        </w:rPr>
        <w:t>(117)</w:t>
      </w:r>
      <w:r>
        <w:rPr>
          <w:noProof/>
        </w:rPr>
        <w:tab/>
        <w:t>Eficacitatea operațională a Europol depinde de menținerea cunoștințelor de specialitate specializate și a experienței practice în materie de aplicare a legii. Pentru a menține o legătură strânsă cu nevoile și realitățile operaționale ale autorităților competente ale statelor membre, anumite posturi ar trebui ocupate de personal cu experiență relevantă dobândită în cadrul autorităților respective. Acest lucru contribuie la asigurarea faptului că activitățile Europol rămân strâns aliniate la evoluțiile operaționale, la practicile de investigare și la amenințările emergente la adresa securității în întreaga Uniune.</w:t>
      </w:r>
    </w:p>
    <w:p>
      <w:pPr>
        <w:pStyle w:val="Point0"/>
        <w:rPr>
          <w:noProof/>
        </w:rPr>
      </w:pPr>
      <w:r>
        <w:rPr>
          <w:noProof/>
        </w:rPr>
        <w:t>(118)</w:t>
      </w:r>
      <w:r>
        <w:rPr>
          <w:noProof/>
        </w:rPr>
        <w:tab/>
        <w:t>Schimbul de cunoștințe de specialitate și de experiență operațională între Europol și autoritățile competente ale statelor membre contribuie la o cooperare eficace în materie de aplicare a legii în cadrul Uniunii. Recurgerea la experți naționali detașați consolidează înțelegerea reciprocă, facilitează schimbul de cunoștințe specializate și de bune practici și sprijină îndeplinirea eficace a atribuțiilor Europol.</w:t>
      </w:r>
    </w:p>
    <w:p>
      <w:pPr>
        <w:pStyle w:val="Point0"/>
        <w:rPr>
          <w:noProof/>
        </w:rPr>
      </w:pPr>
      <w:r>
        <w:rPr>
          <w:noProof/>
        </w:rPr>
        <w:t>(119)</w:t>
      </w:r>
      <w:r>
        <w:rPr>
          <w:noProof/>
        </w:rPr>
        <w:tab/>
        <w:t xml:space="preserve">Îndeplinirea atribuțiilor Europol necesită resurse bugetare proporționale cu responsabilitățile sale operaționale și capabile să sprijine planificarea pe termen lung, sprijinul operațional și dezvoltarea de capacități comune în beneficiul statelor membre. Pentru a-și îndeplini atribuțiile, Europol ar trebui să dispună de resurse adecvate și de un buget autonom. Aceasta ar trebui să fie finanțată în principal printr­o contribuție de la bugetul general al Uniunii. Procedura bugetară a Uniunii ar trebui să se aplice în ceea ce privește contribuția Uniunii și alte subvenții acordate din bugetul general al Uniunii. Auditarea conturilor ar trebui să fie efectuată de Curtea de Conturi Europeană. </w:t>
      </w:r>
    </w:p>
    <w:p>
      <w:pPr>
        <w:pStyle w:val="Point0"/>
        <w:rPr>
          <w:noProof/>
        </w:rPr>
      </w:pPr>
      <w:r>
        <w:rPr>
          <w:noProof/>
        </w:rPr>
        <w:t>(120)</w:t>
      </w:r>
      <w:r>
        <w:rPr>
          <w:noProof/>
        </w:rPr>
        <w:tab/>
        <w:t>Contribuțiile financiare prin intermediul granturilor reprezintă un element important al sprijinului operațional acordat de Europol statelor membre pentru prevenirea și combaterea formelor de criminalitate care intră în sfera de competență a Europol. În plus, având în vedere caracterul transnațional al criminalității grave și al terorismului, un sprijin operațional eficace ar putea necesita, de asemenea, contribuții financiare către țări terțe sau organizații internaționale implicate în activități operaționale cu statele membre. În acest sens, anumite activități necesare pentru îndeplinirea atribuțiilor Europol sunt intrinsec legate de actorii implicați într-o anumită activitate operațională. În plus, eficacitatea sprijinului financiar acordat de Europol poate depinde de punerea în aplicare în timp util, de confidențialitate și de continuitatea cooperării dintre actorii implicați. În astfel de cazuri, o cerere de propuneri competitivă nu ar fi în măsură să identifice un beneficiar alternativ. Prin urmare, ar trebui să fie posibil ca Europol, în cazuri justificate în mod corespunzător, să acorde granturi fără o cerere de propuneri pentru activități care intră în sfera atribuțiilor sale.</w:t>
      </w:r>
    </w:p>
    <w:p>
      <w:pPr>
        <w:pStyle w:val="Point0"/>
        <w:rPr>
          <w:noProof/>
        </w:rPr>
      </w:pPr>
      <w:r>
        <w:rPr>
          <w:noProof/>
        </w:rPr>
        <w:t>(121)</w:t>
      </w:r>
      <w:r>
        <w:rPr>
          <w:noProof/>
        </w:rPr>
        <w:tab/>
        <w:t>Dispozițiile necesare privind găzduirea Europol în Țările de Jos, unde își are sediul, și normele specifice aplicabile personalului Europol și membrilor de familie ai acestuia ar trebui stabilite într-un acord privind sediul, încheiat între Europol și Regatul Țărilor de Jos. Statul membru gazdă ar trebui să ofere cele mai bune condiții posibile pentru a asigura funcționarea eficace a Europol.</w:t>
      </w:r>
    </w:p>
    <w:p>
      <w:pPr>
        <w:pStyle w:val="Point0"/>
        <w:rPr>
          <w:noProof/>
        </w:rPr>
      </w:pPr>
      <w:r>
        <w:rPr>
          <w:noProof/>
        </w:rPr>
        <w:t>(122)</w:t>
      </w:r>
      <w:r>
        <w:rPr>
          <w:noProof/>
        </w:rPr>
        <w:tab/>
        <w:t>Europol instituită prin prezentul regulament ar trebui să succeadă Europol instituită prin Regulamentul (UE) 2016/794 în ceea ce privește toate drepturile și obligațiile sale. Pentru a asigura securitatea juridică, continuitatea operațională și stabilitatea relațiilor externe ale Europol, acordurile de cooperare și acordurile de lucru încheiate de Europol în temeiul Convenției Europol, al Deciziei 2009/371/JAI sau al Regulamentului (UE) 2016/794 ar trebui să rămână în vigoare și să se aplice până la expirarea lor sau până când sunt înlocuite.</w:t>
      </w:r>
    </w:p>
    <w:p>
      <w:pPr>
        <w:pStyle w:val="Point0"/>
        <w:rPr>
          <w:noProof/>
        </w:rPr>
      </w:pPr>
      <w:r>
        <w:rPr>
          <w:noProof/>
        </w:rPr>
        <w:t>(123)</w:t>
      </w:r>
      <w:r>
        <w:rPr>
          <w:noProof/>
        </w:rPr>
        <w:tab/>
        <w:t xml:space="preserve">Sunt necesare dispoziții tranzitorii adecvate pentru a asigura funcționarea neîntreruptă a Europol și continuitatea activităților sale. Prin urmare, deciziile, măsurile de punere în aplicare, normele și dispozițiile adoptate în temeiul Regulamentului (UE) 2016/794 ar trebui să rămână în vigoare până când sunt abrogate sau înlocuite. Pentru a asigura coerența cu cadrul juridic instituit prin prezentul regulament, Consiliul de administrație ar trebui să revizuiască măsurile respective fără întârzieri nejustificate și să stabilească dacă acestea rămân adecvate și compatibile cu prezentul regulament sau dacă ar trebui modificate sau abrogate. </w:t>
      </w:r>
      <w:r>
        <w:rPr>
          <w:noProof/>
          <w:color w:val="000000" w:themeColor="text1"/>
        </w:rPr>
        <w:t>Pentru a consolida continuitatea și conducerea strategică în cadrul Europol și pentru a îmbunătăți planificarea pe termen lung și punerea în aplicare a priorităților sale operaționale, este oportun, de asemenea, să se adapteze durata mandatului actual al directorului executiv și, respectiv, al directorilor executivi adjuncți. Asigurarea continuității conducerii executive actuale a Europol este necesară pentru a proteja stabilitatea instituțională și eficacitatea operațională a agenției. Prin urmare, durata mandatului membrilor conducerii executive a Europol care își exercită primul mandat la momentul intrării în vigoare a prezentului regulament ar trebui să permită un mandat total maxim de zece ani. Durata mandatului membrilor conducerii executive a Europol care își exercită al doilea mandat la momentul intrării în vigoare a prezentului regulament ar trebui să permită un mandat total maxim de nouă ani.</w:t>
      </w:r>
    </w:p>
    <w:p>
      <w:pPr>
        <w:pStyle w:val="Point0"/>
        <w:rPr>
          <w:rFonts w:eastAsia="Times New Roman"/>
          <w:noProof/>
        </w:rPr>
      </w:pPr>
      <w:r>
        <w:rPr>
          <w:noProof/>
        </w:rPr>
        <w:t>(124)</w:t>
      </w:r>
      <w:r>
        <w:rPr>
          <w:noProof/>
        </w:rPr>
        <w:tab/>
        <w:t>Digitalizarea tot mai mare a cooperării în materie de aplicare a legii și dezvoltarea unor sisteme avansate de informații, a unor infrastructuri de cloud și a unor servicii de comunicații securizate necesită o cooperare mai strânsă între Europol și eu-LISA. Având în vedere expertiza eu-LISA în ceea ce privește dezvoltarea și exploatarea sistemelor de informații la scară largă și a infrastructurilor de comunicații conexe în spațiul de libertate, securitate și justiție, precum și rolul Europol în sprijinirea cooperării operaționale în materie de aplicare a legii, este oportun să se prevadă norme privind cooperarea dintre cele două agenții. O astfel de cooperare ar trebui să permită sinergii, să evite suprapunerea eforturilor, să promoveze interoperabilitatea și eficiența din punctul de vedere al costurilor și să faciliteze reutilizarea componentelor tehnice, a serviciilor și a expertizei, respectând totodată pe deplin mandatele, structurile de guvernanță și responsabilitățile celor două agenții. Prin urmare, Regulamentul (UE) 2018/1726 al Parlamentului European și al Consiliului</w:t>
      </w:r>
      <w:r>
        <w:rPr>
          <w:rStyle w:val="FootnoteReference"/>
          <w:noProof/>
        </w:rPr>
        <w:footnoteReference w:id="57"/>
      </w:r>
      <w:r>
        <w:rPr>
          <w:noProof/>
        </w:rPr>
        <w:t xml:space="preserve"> ar trebui să fie modificat în consecință.</w:t>
      </w:r>
    </w:p>
    <w:p>
      <w:pPr>
        <w:pStyle w:val="Point0"/>
        <w:rPr>
          <w:noProof/>
        </w:rPr>
      </w:pPr>
      <w:r>
        <w:rPr>
          <w:noProof/>
        </w:rPr>
        <w:t>(125)</w:t>
      </w:r>
      <w:r>
        <w:rPr>
          <w:noProof/>
        </w:rPr>
        <w:tab/>
        <w:t>eu-LISA gestionează deja o infrastructură cu cheie publică și furnizează servicii de certificare care sprijină funcționarea în condiții de siguranță a sistemelor de informații ale Uniunii în spațiul de libertate, securitate și justiție. Pentru a asigura un nivel ridicat de securitate, încredere și interoperabilitate între serviciile și instrumentele Europol, Europol ar trebui să poată utiliza aceste servicii existente. În acest scop, eu-LISA ar trebui să poată furniza certificate de infrastructură cu cheie publică Europol și, după caz, autorităților competente ale statelor membre conectate la serviciile și instrumentele Europol. Acest lucru ar trebui să permită Europol să beneficieze, într-un mod eficient din punctul de vedere al costurilor, de capacitățile și cunoștințele de specialitate existente la nivelul Uniunii, contribuind la autentificarea securizată, la comunicațiile criptate și la interacțiunile electronice de încredere.</w:t>
      </w:r>
    </w:p>
    <w:p>
      <w:pPr>
        <w:pStyle w:val="Point0"/>
        <w:rPr>
          <w:noProof/>
        </w:rPr>
      </w:pPr>
      <w:r>
        <w:rPr>
          <w:noProof/>
        </w:rPr>
        <w:t>(126)</w:t>
      </w:r>
      <w:r>
        <w:rPr>
          <w:noProof/>
        </w:rPr>
        <w:tab/>
        <w:t xml:space="preserve">Pentru a consolida capacitatea Europol de a sprijini statele membre în prevenirea și combaterea criminalității grave și a terorismului și pentru a utiliza mai eficient cadrele existente ale Uniunii pentru schimbul de informații, Europol ar trebui să fie în măsură, în condiții clar definite, să efectueze căutări în bazele de date naționale conectate în temeiul cadrului Prüm II în numele statelor membre. Este important ca Europol să ofere sprijin operațional, analitic, tehnic și criminalistic în situațiile în care cunoștințele de specialitate, resursele sau perspectiva sa transfrontalieră pot oferi valoare adăugată, menținând în același timp pe deplin dreptul de proprietate al statelor membre asupra datelor, autonomia de investigare și arhitectura descentralizată care stă la baza sistemelor de schimb de informații ale Uniunii. Regulamentul (UE) 2024/982 permite în prezent Europol să efectueze căutări în bazele de date Prüm ale statelor membre utilizând date primite de la țări terțe. Pentru a elimina orice limitare operațională care ar putea împiedica identificarea legăturilor transfrontaliere relevante, Europol ar trebui, de asemenea, să poată efectua astfel de căutări utilizând date provenite din statele membre, în cazul în care acest lucru este autorizat de statul membru care deține datele. Acest lucru ar trebui să se aplice în special căutărilor care implică profiluri ADN, date dactiloscopice și imagini faciale, asigurându-se, în același timp, că statele membre vor putea decide cu privire la condițiile în care pot fi utilizate datele lor. Prin urmare, Regulamentul (UE) 2024/982 ar trebui modificat în consecință. </w:t>
      </w:r>
    </w:p>
    <w:p>
      <w:pPr>
        <w:pStyle w:val="Point0"/>
        <w:rPr>
          <w:noProof/>
        </w:rPr>
      </w:pPr>
      <w:r>
        <w:rPr>
          <w:noProof/>
        </w:rPr>
        <w:t>(127)</w:t>
      </w:r>
      <w:r>
        <w:rPr>
          <w:noProof/>
        </w:rPr>
        <w:tab/>
        <w:t>Pentru a spori eficacitatea accesului Europol la datele stocate în bazele de date ale statelor membre, asigurând în același timp protecția datelor cu caracter personal și respectarea dreptului intern, Europol ar trebui să aibă acces la datele stocate în bazele de date naționale și în registrele de evidențe ale poliției, sub rezerva unor condiții și limitări specifice, inclusiv utilizarea routerelor și a sistemelor desemnate, cum ar fi EPRIS, EUCARIS și routerul pentru date biometrice, precum și a cerinței privind factorul uman în supraveghere și în luarea deciziilor în ceea ce privește returnarea datelor de bază, ar trebui să utilizeze datele care provin din statele membre numai în cazul în care acest lucru este autorizat de statul membru care deține datele și ar trebui să prelucreze astfel de date în conformitate cu Regulamentul (UE) 2018/1725 și cu prezentul regulament, precum și cu acordul statului membru respectiv.</w:t>
      </w:r>
    </w:p>
    <w:p>
      <w:pPr>
        <w:pStyle w:val="Point0"/>
        <w:rPr>
          <w:noProof/>
        </w:rPr>
      </w:pPr>
      <w:r>
        <w:rPr>
          <w:noProof/>
        </w:rPr>
        <w:t>(128)</w:t>
      </w:r>
      <w:r>
        <w:rPr>
          <w:noProof/>
        </w:rPr>
        <w:tab/>
        <w:t>În cazul în care efectuează căutări utilizând date biometrice provenite din statele membre, Europol ar trebui să acționeze exclusiv în calitate de furnizor de servicii tehnice și de expertiză criminalistică în numele statului membru care acordă autorizația. Prin urmare, Europol ar trebui să efectueze astfel de căutări numai în limitele autorizației acordate de statul membru în cauză, fie de la caz la caz, fie prin autorizații permanente, sub rezerva condițiilor stabilite de statul membru respectiv. Europol ar trebui să respecte pe deplin orice restricție impusă de statul membru care acordă autorizația în ceea ce privește accesul la informațiile în cauză, utilizarea, transmiterea, păstrarea, ștergerea sau distrugerea acestora.</w:t>
      </w:r>
    </w:p>
    <w:p>
      <w:pPr>
        <w:pStyle w:val="Point0"/>
        <w:rPr>
          <w:noProof/>
        </w:rPr>
      </w:pPr>
      <w:r>
        <w:rPr>
          <w:noProof/>
        </w:rPr>
        <w:t>(129)</w:t>
      </w:r>
      <w:r>
        <w:rPr>
          <w:noProof/>
        </w:rPr>
        <w:tab/>
        <w:t>Întrucât obiectivele prezentului regulament, și anume sprijinirea și consolidarea activității autorităților competente ale statelor membre și a cooperării acestora pentru prevenirea și combaterea criminalității grave care afectează două sau mai multe state membre, a terorismului și a formelor de criminalitate ce aduc atingere unui interes comun care face obiectul unei politici a Uniunii, nu pot fi realizate în mod satisfăcător de către statele membre acționând individual, dar, având în vedere amploarea, caracterul transnațional și efectele amenințărilor respective, acestea pot fi realizate mai bine la nivelul Uniunii, aceasta poate adopta măsuri în conformitate cu principiul subsidiarității, astfel cum este prevăzut la articolul 5 din TUE. În conformitate cu principiul proporționalității, astfel cum este prevăzut la articolul respectiv, prezentul regulament nu depășește ceea ce este necesar pentru realizarea obiectivelor respective.</w:t>
      </w:r>
    </w:p>
    <w:p>
      <w:pPr>
        <w:pStyle w:val="Point0"/>
        <w:rPr>
          <w:noProof/>
        </w:rPr>
      </w:pPr>
      <w:r>
        <w:rPr>
          <w:noProof/>
        </w:rPr>
        <w:t>(130)</w:t>
      </w:r>
      <w:r>
        <w:rPr>
          <w:noProof/>
        </w:rPr>
        <w:tab/>
        <w:t>[În conformitate cu articolul 3 și cu articolul 4a alineatul (1) din Protocolul nr. 21 privind poziția Regatului Unit și a Irlandei cu privire la spațiul de libertate, securitate și justiție, anexat la Tratatul privind Uniunea Europeană (TUE) și la TFUE, Irlanda și-a notificat [</w:t>
      </w:r>
      <w:r>
        <w:rPr>
          <w:i/>
          <w:noProof/>
        </w:rPr>
        <w:t>, prin scrisoarea din...,</w:t>
      </w:r>
      <w:r>
        <w:rPr>
          <w:noProof/>
        </w:rPr>
        <w:t>] dorința de a participa la adoptarea și la aplicarea prezentului regulament] SAU [În conformitate cu articolele 1 și 2 și cu articolul 4a alineatul (1) din Protocolul nr. 21 privind poziția Regatului Unit și a Irlandei cu privire la spațiul de libertate, securitate și justiție, anexat la Tratatul privind Uniunea Europeană (TUE) și la TFUE, și fără a aduce atingere articolului 4 din protocolul respectiv, Irlanda nu participă la adoptarea prezentului [</w:t>
      </w:r>
      <w:r>
        <w:rPr>
          <w:i/>
          <w:noProof/>
        </w:rPr>
        <w:t>act</w:t>
      </w:r>
      <w:r>
        <w:rPr>
          <w:noProof/>
        </w:rPr>
        <w:t>], acesta nu este obligatoriu pentru respectivul stat membru și nu i se aplică.]</w:t>
      </w:r>
    </w:p>
    <w:p>
      <w:pPr>
        <w:pStyle w:val="Point0"/>
        <w:rPr>
          <w:noProof/>
        </w:rPr>
      </w:pPr>
      <w:r>
        <w:rPr>
          <w:noProof/>
        </w:rPr>
        <w:t>(131)</w:t>
      </w:r>
      <w:r>
        <w:rPr>
          <w:noProof/>
        </w:rPr>
        <w:tab/>
        <w:t>În conformitate cu articolele 1 și 2 din Protocolul nr. 22 privind poziția Danemarcei, anexat la TUE și la TFUE, Danemarca nu participă la adoptarea prezentului regulament, nu are obligații în temeiul acestuia și nu face obiectul aplicării sale.</w:t>
      </w:r>
    </w:p>
    <w:p>
      <w:pPr>
        <w:pStyle w:val="Point0"/>
        <w:rPr>
          <w:noProof/>
        </w:rPr>
      </w:pPr>
      <w:r>
        <w:rPr>
          <w:noProof/>
        </w:rPr>
        <w:t>(132)</w:t>
      </w:r>
      <w:r>
        <w:rPr>
          <w:noProof/>
        </w:rPr>
        <w:tab/>
        <w:t>AEPD a fost consultată în conformitate cu articolul 42 din Regulamentul (UE) 2018/1725 și a emis un aviz la [data].</w:t>
      </w:r>
    </w:p>
    <w:p>
      <w:pPr>
        <w:pStyle w:val="Point0"/>
        <w:rPr>
          <w:noProof/>
        </w:rPr>
      </w:pPr>
      <w:r>
        <w:rPr>
          <w:noProof/>
        </w:rPr>
        <w:t>(133)</w:t>
      </w:r>
      <w:r>
        <w:rPr>
          <w:noProof/>
        </w:rPr>
        <w:tab/>
        <w:t>Prezentul regulament respectă pe deplin drepturile și libertățile fundamentale și principiile recunoscute în special de Carta drepturilor fundamentale a Uniunii Europene, în special dreptul la protecția datelor cu caracter personal și dreptul la viață privată protejate de articolele 8 și, respectiv, 7 din Cartă, precum și de articolul 16 din TFUE, dreptul la o cale de atac eficientă și la un proces echitabil în temeiul articolului 47 din Cartă, prezumția de nevinovăție în temeiul articolului 48 din Cartă și drepturile victimelor criminalității.</w:t>
      </w:r>
    </w:p>
    <w:p>
      <w:pPr>
        <w:pStyle w:val="Point0"/>
        <w:spacing w:before="0" w:after="200" w:line="276" w:lineRule="auto"/>
        <w:jc w:val="left"/>
        <w:rPr>
          <w:noProof/>
        </w:rPr>
      </w:pPr>
      <w:r>
        <w:rPr>
          <w:noProof/>
        </w:rPr>
        <w:t>(134)</w:t>
      </w:r>
      <w:r>
        <w:rPr>
          <w:noProof/>
        </w:rPr>
        <w:tab/>
        <w:t>Prezentul regulament vizează modificarea și extinderea dispozițiilor Regulamentului (UE) 2016/794. Întrucât modificările care trebuie aduse sunt substanțiale ca număr și natură, ar trebui, din motive de claritate, ca acest act juridic să fie abrogat,</w:t>
      </w:r>
    </w:p>
    <w:p>
      <w:pPr>
        <w:pStyle w:val="Formuledadoption"/>
        <w:spacing w:before="480" w:after="480"/>
        <w:rPr>
          <w:noProof/>
        </w:rPr>
      </w:pPr>
      <w:r>
        <w:rPr>
          <w:noProof/>
        </w:rPr>
        <w:t>ADOPTĂ PREZENTUL REGULAMENT:</w:t>
      </w:r>
    </w:p>
    <w:p>
      <w:pPr>
        <w:pStyle w:val="ChapterTitle"/>
        <w:rPr>
          <w:noProof/>
        </w:rPr>
      </w:pPr>
      <w:bookmarkStart w:id="3" w:name="_Hlk232522110"/>
      <w:r>
        <w:rPr>
          <w:noProof/>
        </w:rPr>
        <w:t xml:space="preserve">Capitolul I </w:t>
      </w:r>
      <w:r>
        <w:rPr>
          <w:noProof/>
        </w:rPr>
        <w:br/>
        <w:t>Dispoziții generale</w:t>
      </w:r>
    </w:p>
    <w:p>
      <w:pPr>
        <w:pStyle w:val="Titrearticle"/>
        <w:rPr>
          <w:noProof/>
        </w:rPr>
      </w:pPr>
      <w:r>
        <w:rPr>
          <w:noProof/>
        </w:rPr>
        <w:t>Articolul 1</w:t>
      </w:r>
    </w:p>
    <w:p>
      <w:pPr>
        <w:pStyle w:val="NormalCentered"/>
        <w:rPr>
          <w:b/>
          <w:noProof/>
        </w:rPr>
      </w:pPr>
      <w:r>
        <w:rPr>
          <w:b/>
          <w:noProof/>
        </w:rPr>
        <w:t>Obiect</w:t>
      </w:r>
    </w:p>
    <w:p>
      <w:pPr>
        <w:pStyle w:val="ManualNumPar1"/>
        <w:rPr>
          <w:noProof/>
        </w:rPr>
      </w:pPr>
      <w:r>
        <w:rPr>
          <w:noProof/>
        </w:rPr>
        <w:t>(1)</w:t>
      </w:r>
      <w:r>
        <w:rPr>
          <w:noProof/>
        </w:rPr>
        <w:tab/>
        <w:t>Prezentul regulament instituie Agenția Uniunii Europene pentru Cooperare în Materie de Aplicare a Legii (Europol) pentru a susține și a consolida activitatea autorităților competente ale statelor membre și cooperarea acestora în scopul prevenirii și combaterii criminalității transfrontaliere grave, a terorismului și a formelor de criminalitate ce aduc atingere unui interes comun care face obiectul unei politici a Uniunii.</w:t>
      </w:r>
    </w:p>
    <w:p>
      <w:pPr>
        <w:pStyle w:val="ManualNumPar1"/>
        <w:rPr>
          <w:noProof/>
        </w:rPr>
      </w:pPr>
      <w:r>
        <w:rPr>
          <w:noProof/>
        </w:rPr>
        <w:t>(2)</w:t>
      </w:r>
      <w:r>
        <w:rPr>
          <w:noProof/>
        </w:rPr>
        <w:tab/>
        <w:t>Europol, astfel cum este instituită prin prezentul regulament, înlocuiește și succedă agenției instituite prin Regulamentul (UE) 2016/794.</w:t>
      </w:r>
    </w:p>
    <w:p>
      <w:pPr>
        <w:pStyle w:val="Titrearticle"/>
        <w:spacing w:before="0"/>
        <w:rPr>
          <w:noProof/>
          <w:szCs w:val="24"/>
        </w:rPr>
      </w:pPr>
      <w:r>
        <w:rPr>
          <w:noProof/>
        </w:rPr>
        <w:t>Articolul 2</w:t>
      </w:r>
    </w:p>
    <w:p>
      <w:pPr>
        <w:pStyle w:val="Titrearticle"/>
        <w:spacing w:before="0"/>
        <w:rPr>
          <w:b/>
          <w:bCs/>
          <w:i w:val="0"/>
          <w:iCs/>
          <w:noProof/>
          <w:szCs w:val="24"/>
        </w:rPr>
      </w:pPr>
      <w:r>
        <w:rPr>
          <w:b/>
          <w:i w:val="0"/>
          <w:noProof/>
        </w:rPr>
        <w:t>Statutul juridic</w:t>
      </w:r>
    </w:p>
    <w:p>
      <w:pPr>
        <w:pStyle w:val="ManualNumPar1"/>
        <w:rPr>
          <w:noProof/>
        </w:rPr>
      </w:pPr>
      <w:r>
        <w:rPr>
          <w:noProof/>
        </w:rPr>
        <w:t>(1)</w:t>
      </w:r>
      <w:r>
        <w:rPr>
          <w:noProof/>
        </w:rPr>
        <w:tab/>
        <w:t>Europol este o agenție a Uniunii și are personalitate juridică.</w:t>
      </w:r>
    </w:p>
    <w:p>
      <w:pPr>
        <w:pStyle w:val="ManualNumPar1"/>
        <w:rPr>
          <w:noProof/>
        </w:rPr>
      </w:pPr>
      <w:r>
        <w:rPr>
          <w:noProof/>
        </w:rPr>
        <w:t>(2)</w:t>
      </w:r>
      <w:r>
        <w:rPr>
          <w:noProof/>
        </w:rPr>
        <w:tab/>
        <w:t>În fiecare dintre statele membre, Europol beneficiază de cea mai extinsă capacitate juridică recunoscută persoanelor juridice în temeiul dreptului intern. Aceasta poate, în special, să dobândească și să înstrăineze bunuri mobile și imobile și se poate constitui ca parte în proceduri judiciare.</w:t>
      </w:r>
    </w:p>
    <w:p>
      <w:pPr>
        <w:pStyle w:val="ManualNumPar1"/>
        <w:rPr>
          <w:noProof/>
        </w:rPr>
      </w:pPr>
      <w:r>
        <w:rPr>
          <w:noProof/>
        </w:rPr>
        <w:t>(3)</w:t>
      </w:r>
      <w:r>
        <w:rPr>
          <w:noProof/>
        </w:rPr>
        <w:tab/>
        <w:t>Europol este reprezentată de un director executiv.</w:t>
      </w:r>
    </w:p>
    <w:p>
      <w:pPr>
        <w:pStyle w:val="Titrearticle"/>
        <w:spacing w:before="0"/>
        <w:rPr>
          <w:noProof/>
          <w:szCs w:val="24"/>
        </w:rPr>
      </w:pPr>
    </w:p>
    <w:p>
      <w:pPr>
        <w:pStyle w:val="Titrearticle"/>
        <w:spacing w:before="0"/>
        <w:rPr>
          <w:noProof/>
        </w:rPr>
      </w:pPr>
      <w:r>
        <w:rPr>
          <w:noProof/>
        </w:rPr>
        <w:t>Articolul 3</w:t>
      </w:r>
    </w:p>
    <w:p>
      <w:pPr>
        <w:pStyle w:val="Titrearticle"/>
        <w:spacing w:before="0"/>
        <w:rPr>
          <w:b/>
          <w:bCs/>
          <w:i w:val="0"/>
          <w:iCs/>
          <w:noProof/>
          <w:szCs w:val="24"/>
        </w:rPr>
      </w:pPr>
      <w:r>
        <w:rPr>
          <w:b/>
          <w:i w:val="0"/>
          <w:noProof/>
        </w:rPr>
        <w:t>Sediu</w:t>
      </w:r>
    </w:p>
    <w:p>
      <w:pPr>
        <w:rPr>
          <w:noProof/>
        </w:rPr>
      </w:pPr>
      <w:r>
        <w:rPr>
          <w:noProof/>
        </w:rPr>
        <w:t>Sediul Europol este la Haga, Țările de Jos.</w:t>
      </w:r>
    </w:p>
    <w:p>
      <w:pPr>
        <w:pStyle w:val="Titrearticle"/>
        <w:rPr>
          <w:noProof/>
        </w:rPr>
      </w:pPr>
      <w:r>
        <w:rPr>
          <w:noProof/>
        </w:rPr>
        <w:t>Articolul 4</w:t>
      </w:r>
    </w:p>
    <w:p>
      <w:pPr>
        <w:pStyle w:val="NormalCentered"/>
        <w:rPr>
          <w:noProof/>
        </w:rPr>
      </w:pPr>
      <w:r>
        <w:rPr>
          <w:b/>
          <w:noProof/>
        </w:rPr>
        <w:t>Definiții</w:t>
      </w:r>
    </w:p>
    <w:p>
      <w:pPr>
        <w:pStyle w:val="Text1"/>
        <w:rPr>
          <w:noProof/>
        </w:rPr>
      </w:pPr>
      <w:r>
        <w:rPr>
          <w:noProof/>
        </w:rPr>
        <w:t>În sensul prezentului regulament, se aplică următoarele definiții: </w:t>
      </w:r>
    </w:p>
    <w:p>
      <w:pPr>
        <w:pStyle w:val="Point0"/>
        <w:rPr>
          <w:noProof/>
        </w:rPr>
      </w:pPr>
      <w:r>
        <w:rPr>
          <w:noProof/>
        </w:rPr>
        <w:t>1.</w:t>
      </w:r>
      <w:r>
        <w:rPr>
          <w:noProof/>
        </w:rPr>
        <w:tab/>
        <w:t>„autoritățile competente ale statelor membre” înseamnă toate autoritățile polițienești și alte servicii de aplicare a legii existente în statele membre care sunt responsabile, în temeiul dreptului intern, de prevenirea și combaterea infracțiunilor, precum și alte autorități publice existente în statele membre care sunt responsabile, în temeiul dreptului intern, de prevenirea și combaterea infracțiunilor care țin de competența Europol;</w:t>
      </w:r>
    </w:p>
    <w:p>
      <w:pPr>
        <w:pStyle w:val="Point0"/>
        <w:rPr>
          <w:noProof/>
        </w:rPr>
      </w:pPr>
      <w:r>
        <w:rPr>
          <w:noProof/>
        </w:rPr>
        <w:t>2.</w:t>
      </w:r>
      <w:r>
        <w:rPr>
          <w:noProof/>
        </w:rPr>
        <w:tab/>
        <w:t>„analiză strategică” înseamnă toate metodele și tehnicile de colectare, stocare, prelucrare și evaluare a informațiilor în scopul sprijinirii și elaborării unei politici privind criminalitatea care contribuie la prevenirea și combaterea eficientă și eficace a criminalității;</w:t>
      </w:r>
    </w:p>
    <w:p>
      <w:pPr>
        <w:pStyle w:val="Point0"/>
        <w:rPr>
          <w:noProof/>
        </w:rPr>
      </w:pPr>
      <w:r>
        <w:rPr>
          <w:noProof/>
        </w:rPr>
        <w:t>3.</w:t>
      </w:r>
      <w:r>
        <w:rPr>
          <w:noProof/>
        </w:rPr>
        <w:tab/>
        <w:t>„analiză operațională” înseamnă toate metodele și tehnicile de colectare, stocare, prelucrare și evaluare a informațiilor în scopul sprijinirii anchetelor penale și a activităților de colectare a datelor operative în materie penală;</w:t>
      </w:r>
    </w:p>
    <w:p>
      <w:pPr>
        <w:pStyle w:val="Point0"/>
        <w:rPr>
          <w:noProof/>
        </w:rPr>
      </w:pPr>
      <w:r>
        <w:rPr>
          <w:noProof/>
        </w:rPr>
        <w:t>4.</w:t>
      </w:r>
      <w:r>
        <w:rPr>
          <w:noProof/>
        </w:rPr>
        <w:tab/>
        <w:t>„părți private” înseamnă entități și organisme instituite în temeiul dreptului unui stat membru sau al unei țări terțe, inclusiv societăți și firme, asociații de întreprinderi, organizații fără scop lucrativ și alte persoane juridice care nu sunt menționate la punctul 5;</w:t>
      </w:r>
    </w:p>
    <w:p>
      <w:pPr>
        <w:pStyle w:val="Point0"/>
        <w:rPr>
          <w:noProof/>
        </w:rPr>
      </w:pPr>
      <w:r>
        <w:rPr>
          <w:noProof/>
        </w:rPr>
        <w:t>5.</w:t>
      </w:r>
      <w:r>
        <w:rPr>
          <w:noProof/>
        </w:rPr>
        <w:tab/>
        <w:t>„destinatar” înseamnă persoana fizică sau juridică, autoritatea publică, agenția sau oricare alt organism căruia îi sunt divulgate datele, fie că aceasta este sau nu o parte terță;</w:t>
      </w:r>
    </w:p>
    <w:p>
      <w:pPr>
        <w:pStyle w:val="Point0"/>
        <w:rPr>
          <w:noProof/>
        </w:rPr>
      </w:pPr>
      <w:r>
        <w:rPr>
          <w:noProof/>
        </w:rPr>
        <w:t>6.</w:t>
      </w:r>
      <w:r>
        <w:rPr>
          <w:noProof/>
        </w:rPr>
        <w:tab/>
        <w:t>„date administrative cu caracter personal” înseamnă alte date cu caracter personal prelucrate de Europol decât datele operaționale cu caracter personal;</w:t>
      </w:r>
    </w:p>
    <w:p>
      <w:pPr>
        <w:pStyle w:val="Point0"/>
        <w:rPr>
          <w:noProof/>
        </w:rPr>
      </w:pPr>
      <w:r>
        <w:rPr>
          <w:noProof/>
        </w:rPr>
        <w:t>7.</w:t>
      </w:r>
      <w:r>
        <w:rPr>
          <w:noProof/>
        </w:rPr>
        <w:tab/>
        <w:t xml:space="preserve">„conținut cu caracter terorist” înseamnă conținut cu caracter terorist în sensul definiției de la </w:t>
      </w:r>
      <w:hyperlink r:id="rId11" w:tooltip="http://data.europa.eu/eli/reg/2021/784/art_2/pnt_7/oj">
        <w:r>
          <w:rPr>
            <w:rStyle w:val="Hyperlink"/>
            <w:noProof/>
          </w:rPr>
          <w:t>articolul 2 punctul 7 din Regulamentul (UE) 2021/784</w:t>
        </w:r>
      </w:hyperlink>
      <w:r>
        <w:rPr>
          <w:noProof/>
        </w:rPr>
        <w:t>;</w:t>
      </w:r>
    </w:p>
    <w:p>
      <w:pPr>
        <w:pStyle w:val="Point0"/>
        <w:rPr>
          <w:noProof/>
        </w:rPr>
      </w:pPr>
      <w:r>
        <w:rPr>
          <w:noProof/>
        </w:rPr>
        <w:t>8.</w:t>
      </w:r>
      <w:r>
        <w:rPr>
          <w:noProof/>
        </w:rPr>
        <w:tab/>
        <w:t xml:space="preserve">„abuz sexual online asupra copiilor” înseamnă diseminarea în mediul online de materiale care conțin abuzuri sexuale asupra copiilor și ademenirea copiilor; </w:t>
      </w:r>
    </w:p>
    <w:p>
      <w:pPr>
        <w:pStyle w:val="Point0"/>
        <w:rPr>
          <w:noProof/>
        </w:rPr>
      </w:pPr>
      <w:r>
        <w:rPr>
          <w:noProof/>
        </w:rPr>
        <w:t>9.</w:t>
      </w:r>
      <w:r>
        <w:rPr>
          <w:noProof/>
        </w:rPr>
        <w:tab/>
        <w:t xml:space="preserve">„situație de criză online” înseamnă diseminarea de conținut online rezultat în urma unui eveniment real aflat în derulare sau recent care înfățișează atingeri aduse vieții sau integrității fizice sau îndeamnă la aducerea unor atingeri iminente vieții sau integrității fizice; </w:t>
      </w:r>
    </w:p>
    <w:p>
      <w:pPr>
        <w:pStyle w:val="Point0"/>
        <w:rPr>
          <w:noProof/>
        </w:rPr>
      </w:pPr>
      <w:r>
        <w:rPr>
          <w:noProof/>
        </w:rPr>
        <w:t>10.</w:t>
      </w:r>
      <w:r>
        <w:rPr>
          <w:noProof/>
        </w:rPr>
        <w:tab/>
        <w:t>„ofițer de legătură în materie de imigrație” înseamnă un ofițer de legătură în materie de imigrație în sensul definiției de la articolul 2 punctul 1 din Regulamentul (UE) 2019/1240 al Parlamentului European și al Consiliului</w:t>
      </w:r>
      <w:r>
        <w:rPr>
          <w:rStyle w:val="FootnoteReference"/>
          <w:noProof/>
        </w:rPr>
        <w:footnoteReference w:id="58"/>
      </w:r>
      <w:r>
        <w:rPr>
          <w:noProof/>
          <w:color w:val="6500B2"/>
          <w:u w:val="single" w:color="6500B2"/>
        </w:rPr>
        <w:t>;</w:t>
      </w:r>
    </w:p>
    <w:p>
      <w:pPr>
        <w:pStyle w:val="Point0"/>
        <w:rPr>
          <w:noProof/>
        </w:rPr>
      </w:pPr>
      <w:r>
        <w:rPr>
          <w:noProof/>
        </w:rPr>
        <w:t>11.</w:t>
      </w:r>
      <w:r>
        <w:rPr>
          <w:noProof/>
        </w:rPr>
        <w:tab/>
        <w:t>„punct de contact unic” înseamnă entitatea centrală responsabilă de coordonarea și facilitarea schimbului de informații în conformitate cu articolul 14 din Directiva (UE) 2023/977 a Parlamentului European și a Consiliului</w:t>
      </w:r>
      <w:r>
        <w:rPr>
          <w:rStyle w:val="FootnoteReference"/>
          <w:rFonts w:eastAsia="Arial Unicode MS"/>
          <w:noProof/>
        </w:rPr>
        <w:footnoteReference w:id="59"/>
      </w:r>
      <w:r>
        <w:rPr>
          <w:noProof/>
        </w:rPr>
        <w:t>;</w:t>
      </w:r>
    </w:p>
    <w:p>
      <w:pPr>
        <w:pStyle w:val="Point0"/>
        <w:rPr>
          <w:noProof/>
        </w:rPr>
      </w:pPr>
      <w:r>
        <w:rPr>
          <w:noProof/>
        </w:rPr>
        <w:t>12.</w:t>
      </w:r>
      <w:r>
        <w:rPr>
          <w:noProof/>
        </w:rPr>
        <w:tab/>
        <w:t>„capacități avansate” înseamnă capacități tehnologice, analitice sau operaționale care oferă funcționalități îmbunătățite sau noi de sprijinire a prevenirii și combaterii formelor de criminalitate care intră în sfera de competență a Europol și a cooperării dintre autoritățile competente ale statelor membre.</w:t>
      </w:r>
    </w:p>
    <w:p>
      <w:pPr>
        <w:pStyle w:val="Titrearticle"/>
        <w:rPr>
          <w:noProof/>
        </w:rPr>
      </w:pPr>
      <w:r>
        <w:rPr>
          <w:noProof/>
        </w:rPr>
        <w:t>Articolul 5</w:t>
      </w:r>
    </w:p>
    <w:p>
      <w:pPr>
        <w:pStyle w:val="NormalCentered"/>
        <w:rPr>
          <w:b/>
          <w:noProof/>
        </w:rPr>
      </w:pPr>
      <w:r>
        <w:rPr>
          <w:b/>
          <w:noProof/>
        </w:rPr>
        <w:t>Competența</w:t>
      </w:r>
    </w:p>
    <w:p>
      <w:pPr>
        <w:pStyle w:val="ManualNumPar1"/>
        <w:rPr>
          <w:noProof/>
        </w:rPr>
      </w:pPr>
      <w:r>
        <w:rPr>
          <w:noProof/>
        </w:rPr>
        <w:t>(1)</w:t>
      </w:r>
      <w:r>
        <w:rPr>
          <w:noProof/>
        </w:rPr>
        <w:tab/>
        <w:t>Europol susține și consolidează activitatea autorităților competente ale statelor membre și cooperarea acestora pentru prevenirea și combaterea criminalității grave care afectează două sau mai multe state membre, a terorismului și a formelor de criminalitate ce aduc atingere unui interes comun care face obiectul unei politici a Uniunii, astfel cum sunt enumerate în anexa I.</w:t>
      </w:r>
    </w:p>
    <w:p>
      <w:pPr>
        <w:pStyle w:val="ManualNumPar1"/>
        <w:rPr>
          <w:noProof/>
        </w:rPr>
      </w:pPr>
      <w:r>
        <w:rPr>
          <w:noProof/>
        </w:rPr>
        <w:t>(2)</w:t>
      </w:r>
      <w:r>
        <w:rPr>
          <w:noProof/>
        </w:rPr>
        <w:tab/>
        <w:t>Competența Europol acoperă, de asemenea, infracțiunile legate de formele de criminalitate enumerate în anexa I, în special infracțiunile săvârșite în scopul pregătirii, facilitării, sprijinirii sau disimulării unor astfel de forme de criminalitate, infracțiunile săvârșite în legătură cu acestea sau infracțiunile săvârșite pentru a asigura impunitatea persoanelor implicate în astfel de forme de criminalitate, inclusiv în cazul în care astfel de infracțiuni implică o dimensiune hibridă.</w:t>
      </w:r>
    </w:p>
    <w:p>
      <w:pPr>
        <w:pStyle w:val="Titrearticle"/>
        <w:rPr>
          <w:noProof/>
        </w:rPr>
      </w:pPr>
      <w:bookmarkStart w:id="4" w:name="_Hlk232520033"/>
      <w:r>
        <w:rPr>
          <w:noProof/>
        </w:rPr>
        <w:t>Articolul 6</w:t>
      </w:r>
    </w:p>
    <w:p>
      <w:pPr>
        <w:pStyle w:val="NormalCentered"/>
        <w:rPr>
          <w:noProof/>
        </w:rPr>
      </w:pPr>
      <w:r>
        <w:rPr>
          <w:b/>
          <w:noProof/>
        </w:rPr>
        <w:t>Atribuții</w:t>
      </w:r>
    </w:p>
    <w:p>
      <w:pPr>
        <w:pStyle w:val="ManualNumPar1"/>
        <w:rPr>
          <w:noProof/>
        </w:rPr>
      </w:pPr>
      <w:r>
        <w:rPr>
          <w:noProof/>
        </w:rPr>
        <w:t>(1)</w:t>
      </w:r>
      <w:r>
        <w:rPr>
          <w:noProof/>
        </w:rPr>
        <w:tab/>
        <w:t>Europol îndeplinește următoarele atribuții:</w:t>
      </w:r>
    </w:p>
    <w:p>
      <w:pPr>
        <w:pStyle w:val="Point1"/>
        <w:rPr>
          <w:noProof/>
        </w:rPr>
      </w:pPr>
      <w:r>
        <w:rPr>
          <w:noProof/>
        </w:rPr>
        <w:t>(a)</w:t>
      </w:r>
      <w:r>
        <w:rPr>
          <w:noProof/>
        </w:rPr>
        <w:tab/>
        <w:t>colectează, stochează, prelucrează, analizează și face schimb de informații, inclusiv informații operative în materie penală;</w:t>
      </w:r>
    </w:p>
    <w:p>
      <w:pPr>
        <w:pStyle w:val="Point1"/>
        <w:rPr>
          <w:noProof/>
        </w:rPr>
      </w:pPr>
      <w:r>
        <w:rPr>
          <w:noProof/>
        </w:rPr>
        <w:t>(b)</w:t>
      </w:r>
      <w:r>
        <w:rPr>
          <w:noProof/>
        </w:rPr>
        <w:tab/>
        <w:t>oferă sprijin operațional autorităților competente ale statelor membre, inclusiv coordonarea, organizarea și implementarea investigațiilor și a acțiunilor operaționale, sprijin analitic prin analiză operațională, precum și sprijin tehnic și criminalistic;</w:t>
      </w:r>
    </w:p>
    <w:p>
      <w:pPr>
        <w:pStyle w:val="Point1"/>
        <w:rPr>
          <w:noProof/>
        </w:rPr>
      </w:pPr>
      <w:r>
        <w:rPr>
          <w:noProof/>
        </w:rPr>
        <w:t>(c)</w:t>
      </w:r>
      <w:r>
        <w:rPr>
          <w:noProof/>
        </w:rPr>
        <w:tab/>
        <w:t>oferă sprijin de natură strategică și tematică autorităților competente ale statelor membre și instituțiilor Uniunii prin analize strategice și prin pregătirea de produse analitice, inclusiv evaluări ale amenințărilor, analize strategice, rapoarte privind tendințele și informări situaționale;</w:t>
      </w:r>
    </w:p>
    <w:p>
      <w:pPr>
        <w:pStyle w:val="Point1"/>
        <w:rPr>
          <w:noProof/>
        </w:rPr>
      </w:pPr>
      <w:r>
        <w:rPr>
          <w:noProof/>
        </w:rPr>
        <w:t>(d)</w:t>
      </w:r>
      <w:r>
        <w:rPr>
          <w:noProof/>
        </w:rPr>
        <w:tab/>
        <w:t>cooperează cu instituțiile, organele, misiunile, oficiile și agențiile Uniunii, după caz, prin schimburi de informații și furnizarea de sprijin analitic în domeniile care intră sub incidența mandatelor acestora;</w:t>
      </w:r>
    </w:p>
    <w:p>
      <w:pPr>
        <w:pStyle w:val="Point1"/>
        <w:rPr>
          <w:noProof/>
        </w:rPr>
      </w:pPr>
      <w:r>
        <w:rPr>
          <w:noProof/>
        </w:rPr>
        <w:t>(e)</w:t>
      </w:r>
      <w:r>
        <w:rPr>
          <w:noProof/>
        </w:rPr>
        <w:tab/>
        <w:t>cooperează cu țările terțe și cu alți parteneri relevanți, în special prin schimburi de informații;</w:t>
      </w:r>
    </w:p>
    <w:p>
      <w:pPr>
        <w:pStyle w:val="Point1"/>
        <w:rPr>
          <w:noProof/>
        </w:rPr>
      </w:pPr>
      <w:r>
        <w:rPr>
          <w:noProof/>
        </w:rPr>
        <w:t>(f)</w:t>
      </w:r>
      <w:r>
        <w:rPr>
          <w:noProof/>
        </w:rPr>
        <w:tab/>
        <w:t xml:space="preserve">desfășoară activități de cercetare și inovare în temeiul Programului-cadru al Uniunii pentru cercetare și inovare și dezvoltă capacități avansate; </w:t>
      </w:r>
    </w:p>
    <w:p>
      <w:pPr>
        <w:pStyle w:val="Point1"/>
        <w:rPr>
          <w:noProof/>
        </w:rPr>
      </w:pPr>
      <w:r>
        <w:rPr>
          <w:noProof/>
        </w:rPr>
        <w:t>(g)</w:t>
      </w:r>
      <w:r>
        <w:rPr>
          <w:noProof/>
        </w:rPr>
        <w:tab/>
        <w:t>dezvoltă și menține servicii, instrumente și componente de gestionare a informațiilor și din domeniul TIC care îi permit să îndeplinească atribuțiile menționate la literele (a)-(e);</w:t>
      </w:r>
    </w:p>
    <w:p>
      <w:pPr>
        <w:pStyle w:val="Point1"/>
        <w:rPr>
          <w:noProof/>
        </w:rPr>
      </w:pPr>
      <w:r>
        <w:rPr>
          <w:noProof/>
        </w:rPr>
        <w:t>(h)</w:t>
      </w:r>
      <w:r>
        <w:rPr>
          <w:noProof/>
        </w:rPr>
        <w:tab/>
        <w:t>oferă sprijin financiar pentru activitățile operaționale desfășurate în contextul acțiunilor de investigare sau operaționale.</w:t>
      </w:r>
    </w:p>
    <w:p>
      <w:pPr>
        <w:pStyle w:val="ManualNumPar1"/>
        <w:rPr>
          <w:noProof/>
        </w:rPr>
      </w:pPr>
      <w:r>
        <w:rPr>
          <w:noProof/>
        </w:rPr>
        <w:t>(2)</w:t>
      </w:r>
      <w:r>
        <w:rPr>
          <w:noProof/>
        </w:rPr>
        <w:tab/>
        <w:t>Pe lângă atribuțiile prevăzute la alineatul (1), Europol îndeplinește următoarele atribuții de sprijin:</w:t>
      </w:r>
    </w:p>
    <w:p>
      <w:pPr>
        <w:pStyle w:val="Point1"/>
        <w:rPr>
          <w:noProof/>
        </w:rPr>
      </w:pPr>
      <w:r>
        <w:rPr>
          <w:noProof/>
        </w:rPr>
        <w:t>(a)</w:t>
      </w:r>
      <w:r>
        <w:rPr>
          <w:noProof/>
        </w:rPr>
        <w:tab/>
        <w:t xml:space="preserve">furnizează statelor membre informații și sprijin operațional în legătură cu evenimente internaționale majore; </w:t>
      </w:r>
    </w:p>
    <w:p>
      <w:pPr>
        <w:pStyle w:val="Point1"/>
        <w:rPr>
          <w:noProof/>
        </w:rPr>
      </w:pPr>
      <w:r>
        <w:rPr>
          <w:noProof/>
        </w:rPr>
        <w:t>(b)</w:t>
      </w:r>
      <w:r>
        <w:rPr>
          <w:noProof/>
        </w:rPr>
        <w:tab/>
        <w:t>furnizează informații și sprijin operațional pentru structurile și misiunile Uniunii de gestionare a crizelor instituite în baza TUE, în limitele competenței Europol;</w:t>
      </w:r>
    </w:p>
    <w:p>
      <w:pPr>
        <w:pStyle w:val="Point1"/>
        <w:rPr>
          <w:noProof/>
        </w:rPr>
      </w:pPr>
      <w:r>
        <w:rPr>
          <w:noProof/>
        </w:rPr>
        <w:t>(c)</w:t>
      </w:r>
      <w:r>
        <w:rPr>
          <w:noProof/>
        </w:rPr>
        <w:tab/>
        <w:t xml:space="preserve">furnizează sprijin administrativ, financiar și tehnic pentru proiectele operaționale finanțate de Uniune și pentru rețelele europene de aplicare a legii care intră în sfera de competență a Europol, pentru a îmbunătăți coordonarea, continuitatea și coerența acțiunilor; </w:t>
      </w:r>
    </w:p>
    <w:p>
      <w:pPr>
        <w:pStyle w:val="Point1"/>
        <w:rPr>
          <w:noProof/>
        </w:rPr>
      </w:pPr>
      <w:r>
        <w:rPr>
          <w:noProof/>
        </w:rPr>
        <w:t>(d)</w:t>
      </w:r>
      <w:r>
        <w:rPr>
          <w:noProof/>
        </w:rPr>
        <w:tab/>
        <w:t xml:space="preserve">acționează în calitate de birou central pentru combaterea falsificării monedei euro, în conformitate cu </w:t>
      </w:r>
      <w:hyperlink r:id="rId12" w:tooltip="http://data.europa.eu/eli/dec/2005/511/oj">
        <w:r>
          <w:rPr>
            <w:noProof/>
          </w:rPr>
          <w:t>Decizia 2005/511/JAI a Consiliului</w:t>
        </w:r>
        <w:r>
          <w:rPr>
            <w:rStyle w:val="FootnoteReference"/>
            <w:noProof/>
          </w:rPr>
          <w:footnoteReference w:id="60"/>
        </w:r>
      </w:hyperlink>
      <w:r>
        <w:rPr>
          <w:noProof/>
        </w:rPr>
        <w:t>, inclusiv prin încurajarea coordonării măsurilor puse în aplicare în vederea combaterii falsificării monedei euro de către autoritățile competente ale statelor membre sau în cadrul echipelor comune de anchetă, dacă este cazul, în colaborare cu organele, oficiile și agențiile Uniunii și cu autoritățile țărilor terțe;</w:t>
      </w:r>
    </w:p>
    <w:p>
      <w:pPr>
        <w:pStyle w:val="Point1"/>
        <w:rPr>
          <w:noProof/>
        </w:rPr>
      </w:pPr>
      <w:r>
        <w:rPr>
          <w:noProof/>
        </w:rPr>
        <w:t>(e)</w:t>
      </w:r>
      <w:r>
        <w:rPr>
          <w:noProof/>
        </w:rPr>
        <w:tab/>
        <w:t xml:space="preserve">sprijină statele membre în ceea ce privește examinarea, din perspectiva implicațiilor preconizate pentru securitate, a cazurilor specifice de investiții străine directe în Uniune în temeiul </w:t>
      </w:r>
      <w:hyperlink r:id="rId13">
        <w:r>
          <w:rPr>
            <w:noProof/>
          </w:rPr>
          <w:t>Regulamentului (UE) 2019/452</w:t>
        </w:r>
      </w:hyperlink>
      <w:r>
        <w:rPr>
          <w:noProof/>
        </w:rPr>
        <w:t xml:space="preserve"> al Parlamentului European și al Consiliului</w:t>
      </w:r>
      <w:r>
        <w:rPr>
          <w:rStyle w:val="FootnoteReference"/>
          <w:noProof/>
        </w:rPr>
        <w:footnoteReference w:id="61"/>
      </w:r>
      <w:r>
        <w:rPr>
          <w:noProof/>
        </w:rPr>
        <w:t xml:space="preserve"> care privesc întreprinderi care furnizează tehnologii, inclusiv software, utilizate de Europol pentru prevenirea și combaterea infracțiunilor care intră în sfera de competență a Europol;</w:t>
      </w:r>
    </w:p>
    <w:p>
      <w:pPr>
        <w:pStyle w:val="Point1"/>
        <w:rPr>
          <w:noProof/>
        </w:rPr>
      </w:pPr>
      <w:r>
        <w:rPr>
          <w:noProof/>
        </w:rPr>
        <w:t>(f)</w:t>
      </w:r>
      <w:r>
        <w:rPr>
          <w:noProof/>
        </w:rPr>
        <w:tab/>
        <w:t xml:space="preserve">contribuie la punerea în aplicare a mecanismului de evaluare și monitorizare Schengen în vederea verificării aplicării acquis-ului Schengen în temeiul </w:t>
      </w:r>
      <w:hyperlink r:id="rId14" w:tooltip="http://data.europa.eu/eli/reg/2022/922/oj">
        <w:r>
          <w:rPr>
            <w:noProof/>
          </w:rPr>
          <w:t>Regulamentului (UE) 2022/922</w:t>
        </w:r>
        <w:r>
          <w:rPr>
            <w:rStyle w:val="FootnoteReference"/>
            <w:noProof/>
          </w:rPr>
          <w:footnoteReference w:id="62"/>
        </w:r>
      </w:hyperlink>
      <w:r>
        <w:rPr>
          <w:noProof/>
        </w:rPr>
        <w:t xml:space="preserve"> al Consiliului și al </w:t>
      </w:r>
      <w:hyperlink r:id="rId15">
        <w:r>
          <w:rPr>
            <w:noProof/>
          </w:rPr>
          <w:t>Regulamentului (UE) 2022/922</w:t>
        </w:r>
      </w:hyperlink>
      <w:r>
        <w:rPr>
          <w:noProof/>
        </w:rPr>
        <w:t>, în limitele competenței Europol, prin participarea la misiuni de evaluare Schengen și la alte vizite la fața locului, prin furnizarea de cunoștințe de specialitate și analiză, la cererea Comisiei.</w:t>
      </w:r>
    </w:p>
    <w:p>
      <w:pPr>
        <w:pStyle w:val="Point1"/>
        <w:rPr>
          <w:noProof/>
        </w:rPr>
      </w:pPr>
      <w:r>
        <w:rPr>
          <w:noProof/>
        </w:rPr>
        <w:t>(g)</w:t>
      </w:r>
      <w:r>
        <w:rPr>
          <w:noProof/>
        </w:rPr>
        <w:tab/>
        <w:t>cooperează în mod structurat și periodic, inclusiv prin încheierea de acorduri de lucru bilaterale sau multilaterale care reglementează modalitățile acestei cooperări, cu actorii antifraudă implicați în protecția intereselor financiare ale Uniunii, cum ar fi EPPO, Eurojust, OLAF, ACSB și Autoritatea vamală a UE.</w:t>
      </w:r>
    </w:p>
    <w:p>
      <w:pPr>
        <w:pStyle w:val="ManualNumPar1"/>
        <w:rPr>
          <w:noProof/>
        </w:rPr>
      </w:pPr>
      <w:r>
        <w:rPr>
          <w:noProof/>
        </w:rPr>
        <w:t>(3)</w:t>
      </w:r>
      <w:r>
        <w:rPr>
          <w:noProof/>
        </w:rPr>
        <w:tab/>
        <w:t>Europol nu aplică măsuri coercitive în îndeplinirea oricăreia dintre atribuțiile sale.</w:t>
      </w:r>
    </w:p>
    <w:p>
      <w:pPr>
        <w:pStyle w:val="Text1"/>
        <w:rPr>
          <w:noProof/>
        </w:rPr>
      </w:pPr>
      <w:r>
        <w:rPr>
          <w:noProof/>
        </w:rPr>
        <w:t>În timpul întreprinderii măsurilor de anchetă de către autoritățile naționale competente ale statelor membre, Europol poate sprijini autoritățile competente respective, la cererea acestora și în conformitate cu dreptul lor intern, în special prin facilitarea schimbului transfrontalier de informații și a altor forme de prelucrare a datelor și prin acordarea de sprijin operațional de la distanță sau prin prezența pe parcursul întreprinderii măsurilor respective. Europol nu are competența de a desfășura măsuri de anchetă.</w:t>
      </w:r>
    </w:p>
    <w:bookmarkEnd w:id="4"/>
    <w:p>
      <w:pPr>
        <w:pStyle w:val="Titrearticle"/>
        <w:rPr>
          <w:noProof/>
        </w:rPr>
      </w:pPr>
      <w:r>
        <w:rPr>
          <w:noProof/>
        </w:rPr>
        <w:t>Articolul 7</w:t>
      </w:r>
    </w:p>
    <w:p>
      <w:pPr>
        <w:pStyle w:val="NormalCentered"/>
        <w:rPr>
          <w:noProof/>
        </w:rPr>
      </w:pPr>
      <w:r>
        <w:rPr>
          <w:b/>
          <w:noProof/>
        </w:rPr>
        <w:t>Sprijinul strategic al Europol</w:t>
      </w:r>
    </w:p>
    <w:p>
      <w:pPr>
        <w:pStyle w:val="ManualNumPar1"/>
        <w:rPr>
          <w:noProof/>
        </w:rPr>
      </w:pPr>
      <w:r>
        <w:rPr>
          <w:noProof/>
        </w:rPr>
        <w:t>(1)</w:t>
      </w:r>
      <w:r>
        <w:rPr>
          <w:noProof/>
        </w:rPr>
        <w:tab/>
        <w:t>Europol contribuie la dezvoltarea unui cadru analitic strategic comun al Uniunii privind criminalitatea gravă și terorismul.</w:t>
      </w:r>
    </w:p>
    <w:p>
      <w:pPr>
        <w:pStyle w:val="Text1"/>
        <w:rPr>
          <w:noProof/>
        </w:rPr>
      </w:pPr>
      <w:r>
        <w:rPr>
          <w:noProof/>
        </w:rPr>
        <w:t>În acest scop, Europol pregătește periodic produse analitice privind securitatea internă, inclusiv analize strategice, evaluări ale amenințărilor, rapoarte privind tendințele și informări situaționale, și le pune la dispoziție în conformitate cu articolul 129.</w:t>
      </w:r>
    </w:p>
    <w:p>
      <w:pPr>
        <w:pStyle w:val="ManualNumPar1"/>
        <w:rPr>
          <w:noProof/>
        </w:rPr>
      </w:pPr>
      <w:r>
        <w:rPr>
          <w:noProof/>
        </w:rPr>
        <w:t>(2)</w:t>
      </w:r>
      <w:r>
        <w:rPr>
          <w:noProof/>
        </w:rPr>
        <w:tab/>
        <w:t>Europol sprijină elaborarea și utilizarea unor metodologii și standarde analitice comune, în special pentru evaluările amenințărilor la nivelul Uniunii, pentru a asigura comparabilitatea, interoperabilitatea și coerența produselor analitice.</w:t>
      </w:r>
    </w:p>
    <w:p>
      <w:pPr>
        <w:pStyle w:val="ManualNumPar1"/>
        <w:rPr>
          <w:noProof/>
        </w:rPr>
      </w:pPr>
      <w:r>
        <w:rPr>
          <w:noProof/>
        </w:rPr>
        <w:t>(3)</w:t>
      </w:r>
      <w:r>
        <w:rPr>
          <w:noProof/>
        </w:rPr>
        <w:tab/>
        <w:t xml:space="preserve">Statele membre furnizează Europol toate informațiile necesare pentru pregătirea produselor analitice menționate la alineatul (1). </w:t>
      </w:r>
    </w:p>
    <w:p>
      <w:pPr>
        <w:pStyle w:val="Text1"/>
        <w:rPr>
          <w:noProof/>
        </w:rPr>
      </w:pPr>
      <w:r>
        <w:rPr>
          <w:noProof/>
        </w:rPr>
        <w:t xml:space="preserve">Statele membre pot refuza să furnizeze informații pe baza unuia sau mai multora dintre următoarele motive: </w:t>
      </w:r>
    </w:p>
    <w:p>
      <w:pPr>
        <w:pStyle w:val="Point1"/>
        <w:rPr>
          <w:noProof/>
        </w:rPr>
      </w:pPr>
      <w:r>
        <w:rPr>
          <w:noProof/>
        </w:rPr>
        <w:t>(a)</w:t>
      </w:r>
      <w:r>
        <w:rPr>
          <w:noProof/>
        </w:rPr>
        <w:tab/>
        <w:t>furnizarea de informații contravine intereselor esențiale ale siguranței statului membru în cauză;</w:t>
      </w:r>
    </w:p>
    <w:p>
      <w:pPr>
        <w:pStyle w:val="Point1"/>
        <w:rPr>
          <w:noProof/>
        </w:rPr>
      </w:pPr>
      <w:r>
        <w:rPr>
          <w:noProof/>
        </w:rPr>
        <w:t>(b)</w:t>
      </w:r>
      <w:r>
        <w:rPr>
          <w:noProof/>
        </w:rPr>
        <w:tab/>
        <w:t>furnizarea de informații pune în pericol reușita unei anchete în curs sau siguranța unei persoane;</w:t>
      </w:r>
    </w:p>
    <w:p>
      <w:pPr>
        <w:pStyle w:val="Point1"/>
        <w:rPr>
          <w:noProof/>
        </w:rPr>
      </w:pPr>
      <w:r>
        <w:rPr>
          <w:noProof/>
        </w:rPr>
        <w:t>(c)</w:t>
      </w:r>
      <w:r>
        <w:rPr>
          <w:noProof/>
        </w:rPr>
        <w:tab/>
        <w:t>furnizarea de informații ar divulga informații referitoare la organizații sau la activități specifice ale serviciilor de informații în domeniul securității naționale.</w:t>
      </w:r>
    </w:p>
    <w:p>
      <w:pPr>
        <w:pStyle w:val="Text1"/>
        <w:rPr>
          <w:noProof/>
        </w:rPr>
      </w:pPr>
      <w:r>
        <w:rPr>
          <w:noProof/>
        </w:rPr>
        <w:t>Statele membre furnizează informații de îndată ce motivele menționate la litera (a), (b) sau (c) încetează să existe.</w:t>
      </w:r>
    </w:p>
    <w:p>
      <w:pPr>
        <w:pStyle w:val="ManualNumPar1"/>
        <w:rPr>
          <w:noProof/>
        </w:rPr>
      </w:pPr>
      <w:r>
        <w:rPr>
          <w:noProof/>
        </w:rPr>
        <w:t>(4)</w:t>
      </w:r>
      <w:r>
        <w:rPr>
          <w:noProof/>
        </w:rPr>
        <w:tab/>
        <w:t>Instituțiile, organele, oficiile și agențiile Uniunii, în limitele competențelor lor și în conformitate cu dreptul aplicabil al Uniunii, furnizează Europol informații relevante pentru pregătirea produselor analitice menționate la alineatul (1).</w:t>
      </w:r>
    </w:p>
    <w:p>
      <w:pPr>
        <w:pStyle w:val="ManualNumPar1"/>
        <w:rPr>
          <w:noProof/>
        </w:rPr>
      </w:pPr>
      <w:r>
        <w:rPr>
          <w:noProof/>
        </w:rPr>
        <w:t>(5)</w:t>
      </w:r>
      <w:r>
        <w:rPr>
          <w:noProof/>
        </w:rPr>
        <w:tab/>
        <w:t>Europol poate utiliza informații din surse deschise și contribuții din partea partenerilor relevanți ca surse complementare pentru pregătirea produselor analitice menționate la alineatul (1).</w:t>
      </w:r>
    </w:p>
    <w:p>
      <w:pPr>
        <w:pStyle w:val="ManualNumPar1"/>
        <w:rPr>
          <w:noProof/>
        </w:rPr>
      </w:pPr>
      <w:r>
        <w:rPr>
          <w:noProof/>
        </w:rPr>
        <w:t>(6)</w:t>
      </w:r>
      <w:r>
        <w:rPr>
          <w:noProof/>
        </w:rPr>
        <w:tab/>
        <w:t>Produsele analitice menționate la alineatul (1) sunt puse la dispoziția Consiliului și a Comisiei pentru identificarea, elaborarea și punerea în aplicare a priorităților strategice, operaționale și de politică ale Uniunii pentru combaterea criminalității, precum și în punerea în aplicare a acestora.</w:t>
      </w:r>
    </w:p>
    <w:p>
      <w:pPr>
        <w:pStyle w:val="ManualNumPar1"/>
        <w:rPr>
          <w:noProof/>
        </w:rPr>
      </w:pPr>
      <w:r>
        <w:rPr>
          <w:noProof/>
        </w:rPr>
        <w:t>(7)</w:t>
      </w:r>
      <w:r>
        <w:rPr>
          <w:noProof/>
        </w:rPr>
        <w:tab/>
        <w:t>Europol utilizează produsele analitice menționate la alineatul (1) pentru a sprijini planificarea și desfășurarea activităților operaționale în temeiul prezentului capitol și ține seama de aceste produse la elaborarea și actualizarea periodică a cadrului menționat la articolul 57.</w:t>
      </w:r>
    </w:p>
    <w:p>
      <w:pPr>
        <w:pStyle w:val="ManualNumPar1"/>
        <w:rPr>
          <w:noProof/>
        </w:rPr>
      </w:pPr>
      <w:r>
        <w:rPr>
          <w:noProof/>
        </w:rPr>
        <w:t>(8)</w:t>
      </w:r>
      <w:r>
        <w:rPr>
          <w:noProof/>
        </w:rPr>
        <w:tab/>
        <w:t>Statele membre iau în considerare produsele analitice menționate la alineatul (1) atunci când își stabilesc participarea la activitățile operaționale sprijinite de Europol, când alocă resurse operaționale și când pun în aplicare prioritățile strategice și operaționale ale Uniunii la nivel național.</w:t>
      </w:r>
    </w:p>
    <w:p>
      <w:pPr>
        <w:pStyle w:val="ManualNumPar1"/>
        <w:rPr>
          <w:noProof/>
        </w:rPr>
      </w:pPr>
      <w:r>
        <w:rPr>
          <w:noProof/>
        </w:rPr>
        <w:t>(9)</w:t>
      </w:r>
      <w:r>
        <w:rPr>
          <w:noProof/>
        </w:rPr>
        <w:tab/>
        <w:t>Produsele analitice menționate la alineatul (1) pot fi utilizate în scopul analizelor efectuate de Comisie și de statele membre și pentru evaluările Schengen și activitățile de monitorizare desfășurate în conformitate cu Regulamentul (UE) 2022/922 în domeniile de politică ce intră în sfera de competență a Europol.</w:t>
      </w:r>
    </w:p>
    <w:bookmarkEnd w:id="3"/>
    <w:p>
      <w:pPr>
        <w:pStyle w:val="ChapterTitle"/>
        <w:rPr>
          <w:noProof/>
        </w:rPr>
      </w:pPr>
      <w:r>
        <w:rPr>
          <w:noProof/>
        </w:rPr>
        <w:t xml:space="preserve">Capitolul II </w:t>
      </w:r>
      <w:r>
        <w:rPr>
          <w:noProof/>
        </w:rPr>
        <w:br/>
        <w:t>Cooperare operațională</w:t>
      </w:r>
    </w:p>
    <w:p>
      <w:pPr>
        <w:pStyle w:val="SectionTitle"/>
        <w:rPr>
          <w:noProof/>
        </w:rPr>
      </w:pPr>
      <w:r>
        <w:rPr>
          <w:noProof/>
        </w:rPr>
        <w:t xml:space="preserve">Secțiunea 1 </w:t>
      </w:r>
      <w:r>
        <w:rPr>
          <w:noProof/>
        </w:rPr>
        <w:br/>
        <w:t>Sprijin operațional și coordonare</w:t>
      </w:r>
    </w:p>
    <w:p>
      <w:pPr>
        <w:pStyle w:val="Titrearticle"/>
        <w:rPr>
          <w:noProof/>
        </w:rPr>
      </w:pPr>
      <w:r>
        <w:rPr>
          <w:noProof/>
        </w:rPr>
        <w:t>Articolul 8</w:t>
      </w:r>
    </w:p>
    <w:p>
      <w:pPr>
        <w:pStyle w:val="NormalCentered"/>
        <w:rPr>
          <w:noProof/>
        </w:rPr>
      </w:pPr>
      <w:r>
        <w:rPr>
          <w:b/>
          <w:noProof/>
        </w:rPr>
        <w:t>Sprijinul operațional acordat de Europol</w:t>
      </w:r>
    </w:p>
    <w:p>
      <w:pPr>
        <w:pStyle w:val="ManualNumPar1"/>
        <w:rPr>
          <w:noProof/>
        </w:rPr>
      </w:pPr>
      <w:r>
        <w:rPr>
          <w:noProof/>
        </w:rPr>
        <w:t>(1)</w:t>
      </w:r>
      <w:r>
        <w:rPr>
          <w:noProof/>
        </w:rPr>
        <w:tab/>
        <w:t>Europol acordă sprijin operațional autorităților competente ale statelor membre pentru a contribui la prevenirea și combaterea formelor de criminalitate care intră în sfera de competență a Europol.</w:t>
      </w:r>
    </w:p>
    <w:p>
      <w:pPr>
        <w:pStyle w:val="ManualNumPar1"/>
        <w:rPr>
          <w:noProof/>
        </w:rPr>
      </w:pPr>
      <w:r>
        <w:rPr>
          <w:noProof/>
        </w:rPr>
        <w:t>(2)</w:t>
      </w:r>
      <w:r>
        <w:rPr>
          <w:noProof/>
        </w:rPr>
        <w:tab/>
        <w:t>Europol instituie și menține capacitățile necesare pentru a oferi sprijin operațional continuu și eficace autorităților competente ale statelor membre.</w:t>
      </w:r>
    </w:p>
    <w:p>
      <w:pPr>
        <w:pStyle w:val="ManualNumPar1"/>
        <w:rPr>
          <w:noProof/>
        </w:rPr>
      </w:pPr>
      <w:r>
        <w:rPr>
          <w:noProof/>
        </w:rPr>
        <w:t>(3)</w:t>
      </w:r>
      <w:r>
        <w:rPr>
          <w:noProof/>
        </w:rPr>
        <w:tab/>
        <w:t>Europol sprijină în special:</w:t>
      </w:r>
    </w:p>
    <w:p>
      <w:pPr>
        <w:pStyle w:val="Point1"/>
        <w:rPr>
          <w:noProof/>
        </w:rPr>
      </w:pPr>
      <w:r>
        <w:rPr>
          <w:noProof/>
        </w:rPr>
        <w:t>(a)</w:t>
      </w:r>
      <w:r>
        <w:rPr>
          <w:noProof/>
        </w:rPr>
        <w:tab/>
        <w:t>investigațiile și activitățile operaționale care necesită o acțiune coordonată la nivelul Uniunii;</w:t>
      </w:r>
    </w:p>
    <w:p>
      <w:pPr>
        <w:pStyle w:val="Point1"/>
        <w:rPr>
          <w:noProof/>
        </w:rPr>
      </w:pPr>
      <w:r>
        <w:rPr>
          <w:noProof/>
        </w:rPr>
        <w:t>(b)</w:t>
      </w:r>
      <w:r>
        <w:rPr>
          <w:noProof/>
        </w:rPr>
        <w:tab/>
        <w:t>identificarea, urmărirea și dezmembrarea rețelelor infracționale cu grad ridicat de risc și a infrastructurii infracționale de sprijin a acestora;</w:t>
      </w:r>
    </w:p>
    <w:p>
      <w:pPr>
        <w:pStyle w:val="Point1"/>
        <w:rPr>
          <w:noProof/>
        </w:rPr>
      </w:pPr>
      <w:r>
        <w:rPr>
          <w:noProof/>
        </w:rPr>
        <w:t>(c)</w:t>
      </w:r>
      <w:r>
        <w:rPr>
          <w:noProof/>
        </w:rPr>
        <w:tab/>
        <w:t>activitățile operaționale care necesită capacități analitice, tehnice, digitale, criminalistice sau multidisciplinare specializate;</w:t>
      </w:r>
    </w:p>
    <w:p>
      <w:pPr>
        <w:pStyle w:val="Point1"/>
        <w:rPr>
          <w:noProof/>
        </w:rPr>
      </w:pPr>
      <w:r>
        <w:rPr>
          <w:noProof/>
        </w:rPr>
        <w:t>(d)</w:t>
      </w:r>
      <w:r>
        <w:rPr>
          <w:noProof/>
        </w:rPr>
        <w:tab/>
        <w:t>detectarea, analiza și coordonarea acțiunilor împotriva amenințărilor la adresa securității la scară largă, emergente și cu evoluție rapidă, inclusiv a infracțiunilor legate de formele de criminalitate enumerate în anexa I, în cazul în care aceste infracțiuni implică o dimensiune hibridă, precum și coordonarea răspunsurilor autorităților de aplicare a legii la acestea;</w:t>
      </w:r>
    </w:p>
    <w:p>
      <w:pPr>
        <w:pStyle w:val="Point1"/>
        <w:rPr>
          <w:noProof/>
        </w:rPr>
      </w:pPr>
      <w:r>
        <w:rPr>
          <w:noProof/>
        </w:rPr>
        <w:t>(e)</w:t>
      </w:r>
      <w:r>
        <w:rPr>
          <w:noProof/>
        </w:rPr>
        <w:tab/>
        <w:t>punerea în aplicare a priorităților strategice și operaționale ale Uniunii legate de securitatea internă.</w:t>
      </w:r>
    </w:p>
    <w:p>
      <w:pPr>
        <w:pStyle w:val="ManualNumPar1"/>
        <w:rPr>
          <w:noProof/>
        </w:rPr>
      </w:pPr>
      <w:r>
        <w:rPr>
          <w:noProof/>
        </w:rPr>
        <w:t>(4)</w:t>
      </w:r>
      <w:r>
        <w:rPr>
          <w:noProof/>
        </w:rPr>
        <w:tab/>
        <w:t xml:space="preserve">Sprijinul operațional din partea Europol poate fi furnizat, după caz și în conformitate cu nevoile operaționale, </w:t>
      </w:r>
      <w:r>
        <w:rPr>
          <w:noProof/>
          <w:bdr w:val="none" w:sz="0" w:space="0" w:color="auto" w:frame="1"/>
        </w:rPr>
        <w:t>printre altele,</w:t>
      </w:r>
      <w:r>
        <w:rPr>
          <w:noProof/>
        </w:rPr>
        <w:t xml:space="preserve"> prin:</w:t>
      </w:r>
    </w:p>
    <w:p>
      <w:pPr>
        <w:pStyle w:val="Point1"/>
        <w:rPr>
          <w:noProof/>
        </w:rPr>
      </w:pPr>
      <w:r>
        <w:rPr>
          <w:noProof/>
        </w:rPr>
        <w:t>(a)</w:t>
      </w:r>
      <w:r>
        <w:rPr>
          <w:noProof/>
        </w:rPr>
        <w:tab/>
        <w:t>centrele specializate ale Uniunii („centrele”), astfel cum se menționează la articolele 13-19;</w:t>
      </w:r>
    </w:p>
    <w:p>
      <w:pPr>
        <w:pStyle w:val="Point1"/>
        <w:rPr>
          <w:noProof/>
        </w:rPr>
      </w:pPr>
      <w:r>
        <w:rPr>
          <w:noProof/>
        </w:rPr>
        <w:t>(b)</w:t>
      </w:r>
      <w:r>
        <w:rPr>
          <w:noProof/>
        </w:rPr>
        <w:tab/>
        <w:t>grupuri de acțiune operaționale, în conformitate cu articolul 20;</w:t>
      </w:r>
    </w:p>
    <w:p>
      <w:pPr>
        <w:pStyle w:val="Point1"/>
        <w:rPr>
          <w:noProof/>
        </w:rPr>
      </w:pPr>
      <w:r>
        <w:rPr>
          <w:noProof/>
        </w:rPr>
        <w:t>(c)</w:t>
      </w:r>
      <w:r>
        <w:rPr>
          <w:noProof/>
        </w:rPr>
        <w:tab/>
        <w:t>echipe comune de anchetă, în conformitate cu articolul 21, inclusiv în cooperare cu Eurojust;</w:t>
      </w:r>
    </w:p>
    <w:p>
      <w:pPr>
        <w:pStyle w:val="Point1"/>
        <w:rPr>
          <w:noProof/>
        </w:rPr>
      </w:pPr>
      <w:r>
        <w:rPr>
          <w:noProof/>
        </w:rPr>
        <w:t>(d)</w:t>
      </w:r>
      <w:r>
        <w:rPr>
          <w:noProof/>
        </w:rPr>
        <w:tab/>
        <w:t>detașări din partea Europol, în conformitate cu articolul 22;</w:t>
      </w:r>
    </w:p>
    <w:p>
      <w:pPr>
        <w:pStyle w:val="Point1"/>
        <w:rPr>
          <w:noProof/>
        </w:rPr>
      </w:pPr>
      <w:r>
        <w:rPr>
          <w:noProof/>
        </w:rPr>
        <w:t>(e)</w:t>
      </w:r>
      <w:r>
        <w:rPr>
          <w:noProof/>
        </w:rPr>
        <w:tab/>
        <w:t>sprijin pentru activitățile strategice și operaționale desfășurate în cadrul Platformei multidisciplinare europene împotriva amenințărilor infracționale (EMPACT), în conformitate cu articolul 23.</w:t>
      </w:r>
    </w:p>
    <w:p>
      <w:pPr>
        <w:pStyle w:val="ManualNumPar1"/>
        <w:rPr>
          <w:noProof/>
        </w:rPr>
      </w:pPr>
      <w:r>
        <w:rPr>
          <w:noProof/>
        </w:rPr>
        <w:t>(5)</w:t>
      </w:r>
      <w:r>
        <w:rPr>
          <w:noProof/>
        </w:rPr>
        <w:tab/>
        <w:t>Europol asigură coordonarea, coerența și complementaritatea sprijinului operațional, a structurilor și a instrumentelor de cooperare menționate în prezentul capitol, inclusiv în cazul în care sunt trimise simultan mai multe forme de sprijin operațional.</w:t>
      </w:r>
    </w:p>
    <w:p>
      <w:pPr>
        <w:pStyle w:val="ManualNumPar1"/>
        <w:rPr>
          <w:noProof/>
        </w:rPr>
      </w:pPr>
      <w:r>
        <w:rPr>
          <w:noProof/>
        </w:rPr>
        <w:t>(6)</w:t>
      </w:r>
      <w:r>
        <w:rPr>
          <w:noProof/>
        </w:rPr>
        <w:tab/>
        <w:t>Statele membre urmăresc să utilizeze în mod eficace formele de sprijin operațional menționate la alineatul (4), în special în cazul în care este necesară o acțiune coordonată la nivelul Uniunii pentru a asigura un răspuns eficace la criminalitatea gravă și organizată și la terorism.</w:t>
      </w:r>
    </w:p>
    <w:p>
      <w:pPr>
        <w:pStyle w:val="ManualNumPar1"/>
        <w:rPr>
          <w:noProof/>
        </w:rPr>
      </w:pPr>
      <w:r>
        <w:rPr>
          <w:noProof/>
        </w:rPr>
        <w:t>(7)</w:t>
      </w:r>
      <w:r>
        <w:rPr>
          <w:noProof/>
        </w:rPr>
        <w:tab/>
        <w:t>În cazul în care Serviciul operațional și de analiză sau centrele identifică legături operaționale sau nevoi de coordonare legate de activități infracționale transfrontaliere, Europol solicită autorităților competente ale statelor membre în cauză să furnizeze informații relevante, informații operative în materie penală sau să contribuie la măsurile de coordonare.</w:t>
      </w:r>
    </w:p>
    <w:p>
      <w:pPr>
        <w:pStyle w:val="Text1"/>
        <w:rPr>
          <w:noProof/>
        </w:rPr>
      </w:pPr>
      <w:r>
        <w:rPr>
          <w:noProof/>
        </w:rPr>
        <w:t>Autoritățile competente ale statelor membre în cauză răspund fără întârzieri nejustificate și, în cazul în care decid să nu furnizeze contribuția solicitată sau să nu participe la măsurile de coordonare propuse, acestea furnizează Europol o justificare motivată.</w:t>
      </w:r>
    </w:p>
    <w:p>
      <w:pPr>
        <w:pStyle w:val="Titrearticle"/>
        <w:rPr>
          <w:noProof/>
        </w:rPr>
      </w:pPr>
      <w:r>
        <w:rPr>
          <w:noProof/>
        </w:rPr>
        <w:t>Articolul 9</w:t>
      </w:r>
    </w:p>
    <w:p>
      <w:pPr>
        <w:pStyle w:val="NormalCentered"/>
        <w:rPr>
          <w:noProof/>
        </w:rPr>
      </w:pPr>
      <w:r>
        <w:rPr>
          <w:b/>
          <w:noProof/>
        </w:rPr>
        <w:t>Sprijin operațional pentru investigațiile financiare și recuperarea activelor</w:t>
      </w:r>
    </w:p>
    <w:p>
      <w:pPr>
        <w:pStyle w:val="ManualNumPar1"/>
        <w:rPr>
          <w:noProof/>
        </w:rPr>
      </w:pPr>
      <w:r>
        <w:rPr>
          <w:noProof/>
        </w:rPr>
        <w:t>(1)</w:t>
      </w:r>
      <w:r>
        <w:rPr>
          <w:noProof/>
        </w:rPr>
        <w:tab/>
        <w:t>Europol cooperează cu birourile de recuperare a activelor instituite în temeiul articolului 5 din Directiva (UE) 2024/1260.</w:t>
      </w:r>
    </w:p>
    <w:p>
      <w:pPr>
        <w:pStyle w:val="ManualNumPar1"/>
        <w:rPr>
          <w:noProof/>
        </w:rPr>
      </w:pPr>
      <w:r>
        <w:rPr>
          <w:noProof/>
        </w:rPr>
        <w:t>(2)</w:t>
      </w:r>
      <w:r>
        <w:rPr>
          <w:noProof/>
        </w:rPr>
        <w:tab/>
        <w:t>Statele membre se asigură că Europol are acces direct și imediat la informațiile menționate la articolul 6 alineatul (2) din Directiva (UE) 2024/1260 în condițiile prevăzute la articolul respectiv și în măsura în care acest lucru este necesar pentru îndeplinirea atribuțiilor menționate la articolul 16 din prezentul regulament.</w:t>
      </w:r>
    </w:p>
    <w:p>
      <w:pPr>
        <w:pStyle w:val="Text1"/>
        <w:rPr>
          <w:noProof/>
        </w:rPr>
      </w:pPr>
      <w:r>
        <w:rPr>
          <w:noProof/>
        </w:rPr>
        <w:t>Statele membre se asigură, de asemenea, că Europol poate obține rapid informațiile enumerate la articolul 6 alineatul (3) din Directiva (UE) 2024/1260, la cererea biroului relevant de recuperare a activelor și în situațiile descrise la articolul 6 alineatul (4) din directiva respectivă, în măsura în care acest lucru este necesar pentru îndeplinirea atribuțiilor menționate la articolul 16 din prezentul regulament. </w:t>
      </w:r>
    </w:p>
    <w:p>
      <w:pPr>
        <w:pStyle w:val="Text1"/>
        <w:rPr>
          <w:noProof/>
        </w:rPr>
      </w:pPr>
      <w:r>
        <w:rPr>
          <w:noProof/>
        </w:rPr>
        <w:t>Accesul la informațiile menționate la prezentul alineat respectă cerințele de la articolul 6 alineatele (5) și (6) din Directiva (UE) 2024/1260.</w:t>
      </w:r>
    </w:p>
    <w:p>
      <w:pPr>
        <w:pStyle w:val="ManualNumPar1"/>
        <w:rPr>
          <w:noProof/>
        </w:rPr>
      </w:pPr>
      <w:r>
        <w:rPr>
          <w:noProof/>
        </w:rPr>
        <w:t>(3)</w:t>
      </w:r>
      <w:r>
        <w:rPr>
          <w:noProof/>
        </w:rPr>
        <w:tab/>
        <w:t>În cazul în care consideră că există un risc iminent de dispariție a unor bunuri urmărite și identificate ca urmare a activităților menționate la articolul 16 din prezentul regulament, Europol transmite autorităților competente ale statelor membre în cauză o cerere de a lua măsuri imediate în conformitate cu articolul 11 alineatul (2) din Directiva (UE) 2024/1260.</w:t>
      </w:r>
    </w:p>
    <w:p>
      <w:pPr>
        <w:pStyle w:val="Text1"/>
        <w:rPr>
          <w:noProof/>
        </w:rPr>
      </w:pPr>
      <w:r>
        <w:rPr>
          <w:noProof/>
        </w:rPr>
        <w:t>Autoritatea competentă a statului membru în cauză decide cu privire la cerere fără întârziere și, dacă este posibil, în termen de 24 de ore.</w:t>
      </w:r>
    </w:p>
    <w:p>
      <w:pPr>
        <w:pStyle w:val="Text1"/>
        <w:rPr>
          <w:noProof/>
        </w:rPr>
      </w:pPr>
      <w:r>
        <w:rPr>
          <w:noProof/>
        </w:rPr>
        <w:t xml:space="preserve">În cazul în care autoritatea competentă a statului membru în cauză decide să nu ia măsuri imediate, aceasta informează Europol și prezintă motivele deciziei sale. Aceste motive pot să nu fie comunicate în următoarele cazuri: </w:t>
      </w:r>
    </w:p>
    <w:p>
      <w:pPr>
        <w:pStyle w:val="Point1"/>
        <w:rPr>
          <w:noProof/>
        </w:rPr>
      </w:pPr>
      <w:r>
        <w:rPr>
          <w:noProof/>
        </w:rPr>
        <w:t>(a)</w:t>
      </w:r>
      <w:r>
        <w:rPr>
          <w:noProof/>
        </w:rPr>
        <w:tab/>
        <w:t xml:space="preserve">divulgarea motivelor contravine intereselor esențiale ale siguranței statului membru în cauză; </w:t>
      </w:r>
    </w:p>
    <w:p>
      <w:pPr>
        <w:pStyle w:val="Point1"/>
        <w:rPr>
          <w:noProof/>
        </w:rPr>
      </w:pPr>
      <w:r>
        <w:rPr>
          <w:noProof/>
        </w:rPr>
        <w:t>(b)</w:t>
      </w:r>
      <w:r>
        <w:rPr>
          <w:noProof/>
        </w:rPr>
        <w:tab/>
        <w:t>divulgarea motivelor pune în pericol reușita unei anchete în curs sau siguranța unei persoane.</w:t>
      </w:r>
    </w:p>
    <w:p>
      <w:pPr>
        <w:pStyle w:val="ManualNumPar1"/>
        <w:rPr>
          <w:noProof/>
        </w:rPr>
      </w:pPr>
      <w:r>
        <w:rPr>
          <w:noProof/>
        </w:rPr>
        <w:t>(4)</w:t>
      </w:r>
      <w:r>
        <w:rPr>
          <w:noProof/>
        </w:rPr>
        <w:tab/>
        <w:t>Europol cooperează, în conformitate cu articolul 12 din Directiva (UE) 2019/1153 a Parlamentului European și a Consiliului</w:t>
      </w:r>
      <w:r>
        <w:rPr>
          <w:rStyle w:val="FootnoteReference"/>
          <w:noProof/>
        </w:rPr>
        <w:footnoteReference w:id="63"/>
      </w:r>
      <w:r>
        <w:rPr>
          <w:noProof/>
        </w:rPr>
        <w:t>, cu unitățile de informații financiare (FIU) instituite în temeiul Directivei (UE) 2015/849 a Parlamentului European și a Consiliului</w:t>
      </w:r>
      <w:r>
        <w:rPr>
          <w:rStyle w:val="FootnoteReference"/>
          <w:noProof/>
        </w:rPr>
        <w:footnoteReference w:id="64"/>
      </w:r>
      <w:r>
        <w:rPr>
          <w:noProof/>
        </w:rPr>
        <w:t>, prin intermediul unității naționale Europol relevante sau, în cazul în care statul membru relevant permite acest lucru, prin contact direct, în special prin schimburi de informații și prin furnizarea de analize statelor membre pentru a sprijini investigațiile transfrontaliere care intră în sfera de competență a Europol.</w:t>
      </w:r>
    </w:p>
    <w:p>
      <w:pPr>
        <w:pStyle w:val="ManualNumPar1"/>
        <w:rPr>
          <w:noProof/>
        </w:rPr>
      </w:pPr>
      <w:r>
        <w:rPr>
          <w:noProof/>
        </w:rPr>
        <w:t>(5)</w:t>
      </w:r>
      <w:r>
        <w:rPr>
          <w:noProof/>
        </w:rPr>
        <w:tab/>
        <w:t>Fiecare stat membru se asigură că FIU său, în limitele mandatului său și ale competenței sale și cu respectarea garanțiilor procedurale naționale, are dreptul să răspundă solicitărilor justificate în mod corespunzător care sunt formulate de Europol în conformitate cu articolul 12 din Directiva (UE) 2019/1153 în ceea ce privește informațiile și analizele financiare, fie prin intermediul unității sale naționale Europol sau, în cazul în care acest lucru este permis de statul membru respectiv, prin contact direct între FIU și Europol.</w:t>
      </w:r>
    </w:p>
    <w:p>
      <w:pPr>
        <w:pStyle w:val="Titrearticle"/>
        <w:rPr>
          <w:noProof/>
        </w:rPr>
      </w:pPr>
      <w:r>
        <w:rPr>
          <w:noProof/>
        </w:rPr>
        <w:t>Articolul 10</w:t>
      </w:r>
    </w:p>
    <w:p>
      <w:pPr>
        <w:pStyle w:val="NormalCentered"/>
        <w:rPr>
          <w:noProof/>
        </w:rPr>
      </w:pPr>
      <w:r>
        <w:rPr>
          <w:b/>
          <w:noProof/>
        </w:rPr>
        <w:t>Sprijin financiar pentru activitățile operaționale</w:t>
      </w:r>
    </w:p>
    <w:p>
      <w:pPr>
        <w:pStyle w:val="ManualNumPar1"/>
        <w:rPr>
          <w:noProof/>
        </w:rPr>
      </w:pPr>
      <w:r>
        <w:rPr>
          <w:noProof/>
        </w:rPr>
        <w:t>(1)</w:t>
      </w:r>
      <w:r>
        <w:rPr>
          <w:noProof/>
        </w:rPr>
        <w:tab/>
        <w:t>La primirea unei cereri scrise justificate în mod corespunzător din partea unui stat membru, Europol poate oferi sprijin financiar specific pentru activitățile operaționale desfășurate în contextul unei investigații prioritare sau al unei acțiuni operaționale sprijinite de Europol și care intră în sfera sa de competență.</w:t>
      </w:r>
    </w:p>
    <w:p>
      <w:pPr>
        <w:pStyle w:val="ManualNumPar1"/>
        <w:rPr>
          <w:noProof/>
        </w:rPr>
      </w:pPr>
      <w:r>
        <w:rPr>
          <w:noProof/>
        </w:rPr>
        <w:t>(2)</w:t>
      </w:r>
      <w:r>
        <w:rPr>
          <w:noProof/>
        </w:rPr>
        <w:tab/>
        <w:t>Sprijinul financiar menționat la alineatul (1) se limitează la ceea ce este necesar și proporțional în scopul investigației prioritare sau al acțiunii operaționale relevante și poate acoperi cheltuielile operaționale, tehnice, logistice și alte cheltuieli necesare pentru punerea sa efectivă în aplicare.</w:t>
      </w:r>
    </w:p>
    <w:p>
      <w:pPr>
        <w:pStyle w:val="ManualNumPar1"/>
        <w:rPr>
          <w:noProof/>
        </w:rPr>
      </w:pPr>
      <w:r>
        <w:rPr>
          <w:noProof/>
        </w:rPr>
        <w:t>(3)</w:t>
      </w:r>
      <w:r>
        <w:rPr>
          <w:noProof/>
        </w:rPr>
        <w:tab/>
        <w:t>Europol poate, după caz și în conformitate cu prioritățile operaționale, să acorde prioritate sprijinului financiar destinat activităților operaționale transfrontaliere coordonate.</w:t>
      </w:r>
    </w:p>
    <w:p>
      <w:pPr>
        <w:pStyle w:val="ManualNumPar1"/>
        <w:rPr>
          <w:noProof/>
        </w:rPr>
      </w:pPr>
      <w:r>
        <w:rPr>
          <w:noProof/>
        </w:rPr>
        <w:t>(4)</w:t>
      </w:r>
      <w:r>
        <w:rPr>
          <w:noProof/>
        </w:rPr>
        <w:tab/>
        <w:t>Deciziile de acordare a sprijinului financiar menționat la alineatul (1) sunt luate de Europol de la caz la caz, în conformitate cu normele de punere în aplicare adoptate de Consiliul de administrație la propunerea directorului executiv și după consultarea Comisiei.</w:t>
      </w:r>
    </w:p>
    <w:p>
      <w:pPr>
        <w:pStyle w:val="Text1"/>
        <w:rPr>
          <w:noProof/>
        </w:rPr>
      </w:pPr>
      <w:r>
        <w:rPr>
          <w:noProof/>
        </w:rPr>
        <w:t>Respectivele norme de punere în aplicare prevăd condițiile și procedurile de acordare, gestionare și monitorizare a unui astfel de sprijin, inclusiv cerințe care să asigure responsabilitatea, trasabilitatea, posibilitatea auditării și conformitatea cu normele financiare aplicabile ale Uniunii.</w:t>
      </w:r>
    </w:p>
    <w:p>
      <w:pPr>
        <w:pStyle w:val="Titrearticle"/>
        <w:rPr>
          <w:noProof/>
        </w:rPr>
      </w:pPr>
      <w:r>
        <w:rPr>
          <w:noProof/>
        </w:rPr>
        <w:t>Articolul 11</w:t>
      </w:r>
    </w:p>
    <w:p>
      <w:pPr>
        <w:pStyle w:val="NormalCentered"/>
        <w:rPr>
          <w:noProof/>
        </w:rPr>
      </w:pPr>
      <w:r>
        <w:rPr>
          <w:b/>
          <w:noProof/>
        </w:rPr>
        <w:t xml:space="preserve">Cerere de inițiere a unei anchete penale </w:t>
      </w:r>
    </w:p>
    <w:p>
      <w:pPr>
        <w:pStyle w:val="ManualNumPar1"/>
        <w:rPr>
          <w:noProof/>
        </w:rPr>
      </w:pPr>
      <w:r>
        <w:rPr>
          <w:noProof/>
        </w:rPr>
        <w:t>(1)</w:t>
      </w:r>
      <w:r>
        <w:rPr>
          <w:noProof/>
        </w:rPr>
        <w:tab/>
        <w:t>În cazurile specifice în care consideră că ar trebui să fie inițiată o anchetă penală cu privire la o infracțiune care se încadrează în sfera sa de competență, Europol solicită autorităților competente ale statului membru în cauză, prin intermediul unității sale naționale Europol, să inițieze, să conducă sau să coordoneze această anchetă penală.</w:t>
      </w:r>
    </w:p>
    <w:p>
      <w:pPr>
        <w:pStyle w:val="ManualNumPar1"/>
        <w:rPr>
          <w:noProof/>
        </w:rPr>
      </w:pPr>
      <w:r>
        <w:rPr>
          <w:noProof/>
        </w:rPr>
        <w:t>(2)</w:t>
      </w:r>
      <w:r>
        <w:rPr>
          <w:noProof/>
        </w:rPr>
        <w:tab/>
        <w:t>Fără a aduce atingere alineatului (1), în cazul în care consideră că ar trebui inițiată o anchetă penală cu privire la o infracțiune specifică ce privește un singur stat membru, dar care aduce atingere unui interes comun care face obiectul unei politici a Uniunii, directorul executiv poate solicita autorităților competente ale statului membru în cauză, prin intermediul unității sale naționale Europol, să inițieze, să conducă sau să coordoneze o astfel de anchetă penală.</w:t>
      </w:r>
    </w:p>
    <w:p>
      <w:pPr>
        <w:pStyle w:val="ManualNumPar1"/>
        <w:rPr>
          <w:noProof/>
        </w:rPr>
      </w:pPr>
      <w:r>
        <w:rPr>
          <w:noProof/>
        </w:rPr>
        <w:t>(3)</w:t>
      </w:r>
      <w:r>
        <w:rPr>
          <w:noProof/>
        </w:rPr>
        <w:tab/>
        <w:t xml:space="preserve">Alineatele (1) și (2) nu se aplică în ceea ce privește infracțiunile care aduc atingere intereselor financiare ale Uniunii și care intră în sfera de competență a EPPO. </w:t>
      </w:r>
    </w:p>
    <w:p>
      <w:pPr>
        <w:pStyle w:val="ManualNumPar1"/>
        <w:rPr>
          <w:noProof/>
        </w:rPr>
      </w:pPr>
      <w:r>
        <w:rPr>
          <w:noProof/>
        </w:rPr>
        <w:t>(4)</w:t>
      </w:r>
      <w:r>
        <w:rPr>
          <w:noProof/>
        </w:rPr>
        <w:tab/>
        <w:t xml:space="preserve">Autoritățile competente ale statelor membre în cauză examinează cu prioritate orice cerere formulată în temeiul alineatelor (1) și (2) și iau o decizie motivată fără întârzieri nejustificate. </w:t>
      </w:r>
    </w:p>
    <w:p>
      <w:pPr>
        <w:pStyle w:val="Text1"/>
        <w:rPr>
          <w:noProof/>
        </w:rPr>
      </w:pPr>
      <w:r>
        <w:rPr>
          <w:noProof/>
        </w:rPr>
        <w:t>Unitățile naționale Europol informează fără întârzieri nejustificate Europol cu privire la decizia autorităților competente ale statelor membre în ceea ce privește orice solicitare formulată în temeiul alineatului (1) sau (2).</w:t>
      </w:r>
    </w:p>
    <w:p>
      <w:pPr>
        <w:pStyle w:val="ManualNumPar1"/>
        <w:rPr>
          <w:noProof/>
        </w:rPr>
      </w:pPr>
      <w:r>
        <w:rPr>
          <w:noProof/>
        </w:rPr>
        <w:t>(5)</w:t>
      </w:r>
      <w:r>
        <w:rPr>
          <w:noProof/>
        </w:rPr>
        <w:tab/>
        <w:t>În cazul în care autoritățile competente ale unui stat membru decid să nu dea curs unei solicitări formulate în temeiul alineatelor (1) și (2), acestea informează Europol cu privire la motivele deciziei, fără întârziere nejustificată și, în orice caz, în termen de o lună de la primirea solicitării. Motivele respective pot să nu fie comunicate în următoarele cazuri:</w:t>
      </w:r>
    </w:p>
    <w:p>
      <w:pPr>
        <w:pStyle w:val="Text1"/>
        <w:ind w:left="1701" w:hanging="851"/>
        <w:rPr>
          <w:noProof/>
        </w:rPr>
      </w:pPr>
      <w:r>
        <w:rPr>
          <w:noProof/>
        </w:rPr>
        <w:t>(a)</w:t>
      </w:r>
      <w:r>
        <w:rPr>
          <w:noProof/>
        </w:rPr>
        <w:tab/>
        <w:t xml:space="preserve">divulgarea motivelor contravine intereselor esențiale ale siguranței statului membru în cauză; </w:t>
      </w:r>
    </w:p>
    <w:p>
      <w:pPr>
        <w:pStyle w:val="Text1"/>
        <w:ind w:left="1701" w:hanging="851"/>
        <w:rPr>
          <w:noProof/>
        </w:rPr>
      </w:pPr>
      <w:r>
        <w:rPr>
          <w:noProof/>
        </w:rPr>
        <w:t>(b)</w:t>
      </w:r>
      <w:r>
        <w:rPr>
          <w:noProof/>
        </w:rPr>
        <w:tab/>
        <w:t>divulgarea motivelor pune în pericol reușita unei anchete în curs sau siguranța unei persoane.</w:t>
      </w:r>
    </w:p>
    <w:p>
      <w:pPr>
        <w:pStyle w:val="ManualNumPar1"/>
        <w:rPr>
          <w:noProof/>
        </w:rPr>
      </w:pPr>
      <w:r>
        <w:rPr>
          <w:noProof/>
        </w:rPr>
        <w:t>(6)</w:t>
      </w:r>
      <w:r>
        <w:rPr>
          <w:noProof/>
        </w:rPr>
        <w:tab/>
        <w:t>Europol informează imediat Eurojust cu privire la orice solicitare formulată în temeiul alineatelor (1) și (2) și cu privire la orice decizie a unei autorități competente a unui stat membru luată în temeiul alineatelor (4) și (5) pentru a permite Eurojust să ia măsuri judiciare ulterioare în timp util la nivel național și să își exercite competența, inclusiv, după caz, capacitatea de a acționa din proprie inițiativă în conformitate cu dispozițiile aplicabile din Regulamentul (UE) 2018/1727.</w:t>
      </w:r>
    </w:p>
    <w:p>
      <w:pPr>
        <w:pStyle w:val="ManualNumPar1"/>
        <w:rPr>
          <w:noProof/>
        </w:rPr>
      </w:pPr>
      <w:r>
        <w:rPr>
          <w:noProof/>
        </w:rPr>
        <w:t>(7)</w:t>
      </w:r>
      <w:r>
        <w:rPr>
          <w:noProof/>
        </w:rPr>
        <w:tab/>
        <w:t>Europol informează imediat EPPO cu privire la solicitările formulate în temeiul alineatelor (1) și (2) privind infracțiuni care intră în sfera de competență a EPPO, precum și cu privire la orice decizie conexă a unei autorități competente a unui stat membru în temeiul alineatelor (4) și (5).</w:t>
      </w:r>
    </w:p>
    <w:p>
      <w:pPr>
        <w:pStyle w:val="SectionTitle"/>
        <w:rPr>
          <w:noProof/>
        </w:rPr>
      </w:pPr>
      <w:r>
        <w:rPr>
          <w:noProof/>
        </w:rPr>
        <w:t xml:space="preserve">Secțiunea 2 </w:t>
      </w:r>
      <w:r>
        <w:rPr>
          <w:noProof/>
        </w:rPr>
        <w:br/>
        <w:t>Capacități operaționale specializate</w:t>
      </w:r>
    </w:p>
    <w:p>
      <w:pPr>
        <w:pStyle w:val="Titrearticle"/>
        <w:rPr>
          <w:noProof/>
        </w:rPr>
      </w:pPr>
      <w:r>
        <w:rPr>
          <w:noProof/>
        </w:rPr>
        <w:t>Articolul 12</w:t>
      </w:r>
    </w:p>
    <w:p>
      <w:pPr>
        <w:pStyle w:val="NormalCentered"/>
        <w:keepNext/>
        <w:rPr>
          <w:noProof/>
        </w:rPr>
      </w:pPr>
      <w:r>
        <w:rPr>
          <w:b/>
          <w:noProof/>
        </w:rPr>
        <w:t>Serviciul operațional și de analiză</w:t>
      </w:r>
    </w:p>
    <w:p>
      <w:pPr>
        <w:pStyle w:val="ManualNumPar1"/>
        <w:rPr>
          <w:noProof/>
        </w:rPr>
      </w:pPr>
      <w:r>
        <w:rPr>
          <w:noProof/>
        </w:rPr>
        <w:t>(1)</w:t>
      </w:r>
      <w:r>
        <w:rPr>
          <w:noProof/>
        </w:rPr>
        <w:tab/>
        <w:t>Europol menține, prin intermediul Serviciului operațional și de analiză, 24 de ore din 24, 7 zile din 7, o capacitate operațională și analitică continuă pentru a sprijini coordonarea, organizarea și implementarea investigațiilor și a acțiunilor operaționale desfășurate în comun cu statele membre în temeiul prezentului regulament.</w:t>
      </w:r>
    </w:p>
    <w:p>
      <w:pPr>
        <w:pStyle w:val="ManualNumPar1"/>
        <w:rPr>
          <w:noProof/>
        </w:rPr>
      </w:pPr>
      <w:r>
        <w:rPr>
          <w:noProof/>
        </w:rPr>
        <w:t>(2)</w:t>
      </w:r>
      <w:r>
        <w:rPr>
          <w:noProof/>
        </w:rPr>
        <w:tab/>
        <w:t>Serviciul operațional și de analiză asigură: </w:t>
      </w:r>
    </w:p>
    <w:p>
      <w:pPr>
        <w:pStyle w:val="Point1"/>
        <w:rPr>
          <w:noProof/>
        </w:rPr>
      </w:pPr>
      <w:r>
        <w:rPr>
          <w:noProof/>
        </w:rPr>
        <w:t>(a)</w:t>
      </w:r>
      <w:r>
        <w:rPr>
          <w:noProof/>
        </w:rPr>
        <w:tab/>
        <w:t>analiza operațională și strategică a informațiilor și a datelor operative în materie penală, inclusiv în sprijinul activităților desfășurate de centre;</w:t>
      </w:r>
    </w:p>
    <w:p>
      <w:pPr>
        <w:pStyle w:val="Point1"/>
        <w:rPr>
          <w:noProof/>
        </w:rPr>
      </w:pPr>
      <w:r>
        <w:rPr>
          <w:noProof/>
        </w:rPr>
        <w:t>(b)</w:t>
      </w:r>
      <w:r>
        <w:rPr>
          <w:noProof/>
        </w:rPr>
        <w:tab/>
        <w:t>sprijinirea și coordonarea proiectelor de analiză;</w:t>
      </w:r>
    </w:p>
    <w:p>
      <w:pPr>
        <w:pStyle w:val="Point1"/>
        <w:rPr>
          <w:noProof/>
        </w:rPr>
      </w:pPr>
      <w:r>
        <w:rPr>
          <w:noProof/>
        </w:rPr>
        <w:t>(c)</w:t>
      </w:r>
      <w:r>
        <w:rPr>
          <w:noProof/>
        </w:rPr>
        <w:tab/>
        <w:t>furnizarea de servicii transversale în domeniul interoperabilității, al biometriei, al informațiilor din surse deschise (OSINT), al informațiilor privind călătoriile și al imaginilor prin satelit;</w:t>
      </w:r>
    </w:p>
    <w:p>
      <w:pPr>
        <w:pStyle w:val="Point1"/>
        <w:rPr>
          <w:noProof/>
        </w:rPr>
      </w:pPr>
      <w:r>
        <w:rPr>
          <w:noProof/>
        </w:rPr>
        <w:t>(d)</w:t>
      </w:r>
      <w:r>
        <w:rPr>
          <w:noProof/>
        </w:rPr>
        <w:tab/>
        <w:t>identificarea legăturilor operaționale și coordonarea răspunsurilor operaționale și de investigare transfrontaliere, inclusiv, după caz, prin propunerea instituirii unui caz de analiză operațională comună (JOAC);</w:t>
      </w:r>
    </w:p>
    <w:p>
      <w:pPr>
        <w:pStyle w:val="Point1"/>
        <w:rPr>
          <w:noProof/>
        </w:rPr>
      </w:pPr>
      <w:r>
        <w:rPr>
          <w:noProof/>
        </w:rPr>
        <w:t>(e)</w:t>
      </w:r>
      <w:r>
        <w:rPr>
          <w:noProof/>
        </w:rPr>
        <w:tab/>
        <w:t>coordonarea și coerența sprijinului operațional acordat în temeiul prezentului regulament, inclusiv în cadrul grupurilor de acțiune operaționale, al echipelor comune de anchetă, al detașărilor din partea Europol și al activităților EMPACT;</w:t>
      </w:r>
    </w:p>
    <w:p>
      <w:pPr>
        <w:pStyle w:val="Point1"/>
        <w:rPr>
          <w:noProof/>
        </w:rPr>
      </w:pPr>
      <w:r>
        <w:rPr>
          <w:noProof/>
        </w:rPr>
        <w:t>(f)</w:t>
      </w:r>
      <w:r>
        <w:rPr>
          <w:noProof/>
        </w:rPr>
        <w:tab/>
        <w:t>pregătirea produselor analitice menționate la articolul 7.</w:t>
      </w:r>
    </w:p>
    <w:p>
      <w:pPr>
        <w:pStyle w:val="ManualNumPar1"/>
        <w:rPr>
          <w:noProof/>
        </w:rPr>
      </w:pPr>
      <w:r>
        <w:rPr>
          <w:noProof/>
        </w:rPr>
        <w:t>(3)</w:t>
      </w:r>
      <w:r>
        <w:rPr>
          <w:noProof/>
        </w:rPr>
        <w:tab/>
        <w:t>Serviciul operațional și de analiză asigură coordonarea, cooperarea și coerența operațională între centrele specializate ale Uniunii, în special în cazul în care activitățile operaționale, datele operative în materie penală sau investigațiile se referă la mai multe forme de criminalitate sau la infracțiuni legate de formele de criminalitate enumerate în anexa I, în cazul în care astfel de infracțiuni implică o dimensiune hibridă sau necesită altfel un răspuns multidisciplinar.</w:t>
      </w:r>
    </w:p>
    <w:p>
      <w:pPr>
        <w:pStyle w:val="Titrearticle"/>
        <w:rPr>
          <w:noProof/>
        </w:rPr>
      </w:pPr>
      <w:r>
        <w:rPr>
          <w:noProof/>
        </w:rPr>
        <w:t>Articolul 13</w:t>
      </w:r>
    </w:p>
    <w:p>
      <w:pPr>
        <w:pStyle w:val="NormalCentered"/>
        <w:rPr>
          <w:noProof/>
        </w:rPr>
      </w:pPr>
      <w:r>
        <w:rPr>
          <w:b/>
          <w:noProof/>
        </w:rPr>
        <w:t>Centrele specializate ale Uniunii</w:t>
      </w:r>
    </w:p>
    <w:p>
      <w:pPr>
        <w:pStyle w:val="ManualNumPar1"/>
        <w:rPr>
          <w:noProof/>
        </w:rPr>
      </w:pPr>
      <w:r>
        <w:rPr>
          <w:noProof/>
        </w:rPr>
        <w:t>(1)</w:t>
      </w:r>
      <w:r>
        <w:rPr>
          <w:noProof/>
        </w:rPr>
        <w:tab/>
        <w:t xml:space="preserve">Se instituie Centrul european de combatere a criminalității informatice, Centrul european de combatere a terorismului, Centrul european de combatere a criminalității economice și financiare, Centrul european privind formele grave de criminalitate și criminalitatea organizată și Centrul european de combatere a introducerii ilegale de migranți ca centre specializate ale Uniunii (denumite în continuare „centre”). </w:t>
      </w:r>
    </w:p>
    <w:p>
      <w:pPr>
        <w:pStyle w:val="ManualNumPar1"/>
        <w:rPr>
          <w:noProof/>
        </w:rPr>
      </w:pPr>
      <w:r>
        <w:rPr>
          <w:noProof/>
        </w:rPr>
        <w:t>(2)</w:t>
      </w:r>
      <w:r>
        <w:rPr>
          <w:noProof/>
        </w:rPr>
        <w:tab/>
        <w:t>Centrele fac parte din structura organizatorică a Europol și nu au personalitate juridică separată. Ele servesc drept principale structuri de capacități și expertiză specializate ale Europol în domeniile respective și sprijină prevenirea și combaterea formelor de criminalitate, inclusiv a infracțiunilor legate de formele de criminalitate enumerate în anexa I, în cazul în care astfel de infracțiuni implică o dimensiune hibridă și intră în sfera de competență a Europol.</w:t>
      </w:r>
    </w:p>
    <w:p>
      <w:pPr>
        <w:pStyle w:val="ManualNumPar1"/>
        <w:rPr>
          <w:noProof/>
        </w:rPr>
      </w:pPr>
      <w:r>
        <w:rPr>
          <w:noProof/>
        </w:rPr>
        <w:t>(3)</w:t>
      </w:r>
      <w:r>
        <w:rPr>
          <w:noProof/>
        </w:rPr>
        <w:tab/>
        <w:t>În special, centrele:</w:t>
      </w:r>
    </w:p>
    <w:p>
      <w:pPr>
        <w:pStyle w:val="Point1"/>
        <w:rPr>
          <w:noProof/>
        </w:rPr>
      </w:pPr>
      <w:r>
        <w:rPr>
          <w:noProof/>
        </w:rPr>
        <w:t>(a)</w:t>
      </w:r>
      <w:r>
        <w:rPr>
          <w:noProof/>
        </w:rPr>
        <w:tab/>
        <w:t>oferă sprijin operațional specializat autorităților competente ale statelor membre;</w:t>
      </w:r>
    </w:p>
    <w:p>
      <w:pPr>
        <w:pStyle w:val="Point1"/>
        <w:rPr>
          <w:noProof/>
        </w:rPr>
      </w:pPr>
      <w:r>
        <w:rPr>
          <w:noProof/>
        </w:rPr>
        <w:t>(b)</w:t>
      </w:r>
      <w:r>
        <w:rPr>
          <w:noProof/>
        </w:rPr>
        <w:tab/>
        <w:t>oferă sprijin operațional în cadrul grupurilor de acțiune operaționale, al echipelor comune de anchetă și al EMPACT;</w:t>
      </w:r>
    </w:p>
    <w:p>
      <w:pPr>
        <w:pStyle w:val="Point1"/>
        <w:rPr>
          <w:noProof/>
        </w:rPr>
      </w:pPr>
      <w:r>
        <w:rPr>
          <w:noProof/>
        </w:rPr>
        <w:t>(c)</w:t>
      </w:r>
      <w:r>
        <w:rPr>
          <w:noProof/>
        </w:rPr>
        <w:tab/>
        <w:t>facilitează coordonarea și cooperarea dintre statele membre și, după caz, cu alte instituții, organe, oficii și agenții ale Uniunii și cu partenerii relevanți, inclusiv identificarea legăturilor operaționale;</w:t>
      </w:r>
    </w:p>
    <w:p>
      <w:pPr>
        <w:pStyle w:val="Point1"/>
        <w:rPr>
          <w:noProof/>
        </w:rPr>
      </w:pPr>
      <w:r>
        <w:rPr>
          <w:noProof/>
        </w:rPr>
        <w:t>(d)</w:t>
      </w:r>
      <w:r>
        <w:rPr>
          <w:noProof/>
        </w:rPr>
        <w:tab/>
        <w:t>sprijină acțiunea operațională integrată, sub coordonarea Serviciului operațional și de analiză, care implică mai multe forme de criminalitate care intră în sfera de competență a Europol sau infracțiuni legate de formele de criminalitate enumerate în anexa I, în cazul în care astfel de infracțiuni implică o dimensiune hibridă, inclusiv prin mobilizarea și coordonarea cunoștințelor de specialitate și a capacităților specializate în mai multe domenii operaționale;</w:t>
      </w:r>
    </w:p>
    <w:p>
      <w:pPr>
        <w:pStyle w:val="Point1"/>
        <w:rPr>
          <w:noProof/>
        </w:rPr>
      </w:pPr>
      <w:r>
        <w:rPr>
          <w:noProof/>
        </w:rPr>
        <w:t>(e)</w:t>
      </w:r>
      <w:r>
        <w:rPr>
          <w:noProof/>
        </w:rPr>
        <w:tab/>
        <w:t>identifică nevoile în materie de capacități și contribuie la dezvoltarea, implementarea și integrarea capacităților avansate în activitățile Europol și ale autorităților competente ale statelor membre, inclusiv prin formare de specialitate, în coordonare cu Serviciul pentru analiză prospectivă și capacități și în strânsă cooperare cu birourile de sprijin Europol;</w:t>
      </w:r>
    </w:p>
    <w:p>
      <w:pPr>
        <w:pStyle w:val="Point1"/>
        <w:rPr>
          <w:noProof/>
        </w:rPr>
      </w:pPr>
      <w:r>
        <w:rPr>
          <w:noProof/>
        </w:rPr>
        <w:t>(f)</w:t>
      </w:r>
      <w:r>
        <w:rPr>
          <w:noProof/>
        </w:rPr>
        <w:tab/>
        <w:t>contribuie la pregătirea produselor analitice menționate la articolul 7.</w:t>
      </w:r>
    </w:p>
    <w:p>
      <w:pPr>
        <w:pStyle w:val="ManualNumPar1"/>
        <w:rPr>
          <w:noProof/>
        </w:rPr>
      </w:pPr>
      <w:r>
        <w:rPr>
          <w:noProof/>
        </w:rPr>
        <w:t>(4)</w:t>
      </w:r>
      <w:r>
        <w:rPr>
          <w:noProof/>
        </w:rPr>
        <w:tab/>
        <w:t>Europol se asigură că activitățile centrelor sunt în concordanță cu prioritățile strategice și operaționale ale Uniunii privind securitatea internă, inclusiv cu cele stabilite în cadrul EMPACT.</w:t>
      </w:r>
    </w:p>
    <w:p>
      <w:pPr>
        <w:pStyle w:val="ManualNumPar1"/>
        <w:rPr>
          <w:noProof/>
        </w:rPr>
      </w:pPr>
      <w:r>
        <w:rPr>
          <w:noProof/>
        </w:rPr>
        <w:t>(5)</w:t>
      </w:r>
      <w:r>
        <w:rPr>
          <w:noProof/>
        </w:rPr>
        <w:tab/>
        <w:t>Centrele pot include ofițeri de legătură și reprezentanți ai altor organe, oficii și agenții ale Uniunii, în conformitate cu normele de punere în aplicare menționate la alineatul (6).</w:t>
      </w:r>
    </w:p>
    <w:p>
      <w:pPr>
        <w:pStyle w:val="Text1"/>
        <w:rPr>
          <w:noProof/>
        </w:rPr>
      </w:pPr>
      <w:r>
        <w:rPr>
          <w:noProof/>
        </w:rPr>
        <w:t>Europol poate invita, de asemenea, parteneri care dețin cunoștințe de specialitate relevante să contribuie la activitățile menționate la alineatul (3) literele (e) și (f), în conformitate cu normele de punere în aplicare menționate la alineatul (6).</w:t>
      </w:r>
    </w:p>
    <w:p>
      <w:pPr>
        <w:pStyle w:val="ManualNumPar1"/>
        <w:rPr>
          <w:noProof/>
        </w:rPr>
      </w:pPr>
      <w:r>
        <w:rPr>
          <w:noProof/>
        </w:rPr>
        <w:t>(6)</w:t>
      </w:r>
      <w:r>
        <w:rPr>
          <w:noProof/>
        </w:rPr>
        <w:tab/>
        <w:t>La propunerea directorului executiv, Consiliul de administrație adoptă norme de punere în aplicare privind organizarea, funcțiile specifice, componența și funcționarea centrelor și revizuiește periodic și, dacă este necesar, adaptează aceste norme în funcție de nevoile operaționale și de evoluția amenințărilor la adresa securității.</w:t>
      </w:r>
    </w:p>
    <w:p>
      <w:pPr>
        <w:pStyle w:val="Titrearticle"/>
        <w:rPr>
          <w:noProof/>
        </w:rPr>
      </w:pPr>
      <w:r>
        <w:rPr>
          <w:noProof/>
        </w:rPr>
        <w:t>Articolul 14</w:t>
      </w:r>
    </w:p>
    <w:p>
      <w:pPr>
        <w:pStyle w:val="NormalCentered"/>
        <w:rPr>
          <w:noProof/>
        </w:rPr>
      </w:pPr>
      <w:r>
        <w:rPr>
          <w:b/>
          <w:noProof/>
        </w:rPr>
        <w:t>Centrul european privind formele grave de criminalitate și criminalitatea organizată</w:t>
      </w:r>
    </w:p>
    <w:p>
      <w:pPr>
        <w:rPr>
          <w:noProof/>
        </w:rPr>
      </w:pPr>
      <w:r>
        <w:rPr>
          <w:noProof/>
        </w:rPr>
        <w:t xml:space="preserve">În conformitate cu articolul 6 alineatul (1) litera (b), sprijinul acordat de Europol, în special prin intermediul Centrului european privind formele grave de criminalitate și criminalitatea organizată, constă în special în: </w:t>
      </w:r>
    </w:p>
    <w:p>
      <w:pPr>
        <w:pStyle w:val="Point1"/>
        <w:rPr>
          <w:noProof/>
        </w:rPr>
      </w:pPr>
      <w:r>
        <w:rPr>
          <w:noProof/>
        </w:rPr>
        <w:t>(a)</w:t>
      </w:r>
      <w:r>
        <w:rPr>
          <w:noProof/>
        </w:rPr>
        <w:tab/>
        <w:t>sprijinirea identificării, a stabilirii priorităților, a vizării și a neutralizării țintelor de mare importanță și a rețelelor infracționale cu grad ridicat de risc;</w:t>
      </w:r>
    </w:p>
    <w:p>
      <w:pPr>
        <w:pStyle w:val="Point1"/>
        <w:rPr>
          <w:noProof/>
        </w:rPr>
      </w:pPr>
      <w:r>
        <w:rPr>
          <w:noProof/>
        </w:rPr>
        <w:t>(b)</w:t>
      </w:r>
      <w:r>
        <w:rPr>
          <w:noProof/>
        </w:rPr>
        <w:tab/>
        <w:t>sprijinirea și coordonarea investigațiilor transfrontaliere și a activităților operaționale legate de traficul de droguri, traficul de arme de foc și materiale explozibile, infracțiunile împotriva mediului, infracțiunile contra patrimoniului și alte forme de criminalitate gravă și organizată;</w:t>
      </w:r>
    </w:p>
    <w:p>
      <w:pPr>
        <w:pStyle w:val="Point1"/>
        <w:rPr>
          <w:noProof/>
        </w:rPr>
      </w:pPr>
      <w:r>
        <w:rPr>
          <w:noProof/>
        </w:rPr>
        <w:t>(c)</w:t>
      </w:r>
      <w:r>
        <w:rPr>
          <w:noProof/>
        </w:rPr>
        <w:tab/>
        <w:t>furnizarea de cunoștințe de specialitate în sprijinul investigațiilor complexe și care implică mai multe jurisdicții și al activităților operaționale, inclusiv în cadrul grupurilor de acțiune operaționale, al echipelor comune de anchetă și al activităților EMPACT;</w:t>
      </w:r>
    </w:p>
    <w:p>
      <w:pPr>
        <w:pStyle w:val="Point1"/>
        <w:rPr>
          <w:noProof/>
        </w:rPr>
      </w:pPr>
      <w:r>
        <w:rPr>
          <w:noProof/>
        </w:rPr>
        <w:t>(d)</w:t>
      </w:r>
      <w:r>
        <w:rPr>
          <w:noProof/>
        </w:rPr>
        <w:tab/>
        <w:t>sprijinirea identificării, a monitorizării și a contracarării recrutării și exploatării copiilor și tinerilor de către rețelele infracționale, inclusiv prin intermediul serviciilor și platformelor online, în scopul săvârșirii, facilitării sau disimulării de activități infracționale.</w:t>
      </w:r>
    </w:p>
    <w:p>
      <w:pPr>
        <w:pStyle w:val="Titrearticle"/>
        <w:rPr>
          <w:noProof/>
        </w:rPr>
      </w:pPr>
      <w:r>
        <w:rPr>
          <w:noProof/>
        </w:rPr>
        <w:t>Articolul 15</w:t>
      </w:r>
    </w:p>
    <w:p>
      <w:pPr>
        <w:pStyle w:val="NormalCentered"/>
        <w:rPr>
          <w:noProof/>
        </w:rPr>
      </w:pPr>
      <w:r>
        <w:rPr>
          <w:b/>
          <w:noProof/>
        </w:rPr>
        <w:t>Centrul european de combatere a criminalității informatice</w:t>
      </w:r>
    </w:p>
    <w:p>
      <w:pPr>
        <w:rPr>
          <w:noProof/>
        </w:rPr>
      </w:pPr>
      <w:r>
        <w:rPr>
          <w:noProof/>
        </w:rPr>
        <w:t xml:space="preserve">În conformitate cu articolul 6 alineatul (1) litera (b), sprijinul acordat de Europol, în special prin intermediul Centrului european de combatere a criminalității informatice, constă în special în: </w:t>
      </w:r>
    </w:p>
    <w:p>
      <w:pPr>
        <w:pStyle w:val="Point1"/>
        <w:rPr>
          <w:noProof/>
        </w:rPr>
      </w:pPr>
      <w:r>
        <w:rPr>
          <w:noProof/>
        </w:rPr>
        <w:t>(a)</w:t>
      </w:r>
      <w:r>
        <w:rPr>
          <w:noProof/>
        </w:rPr>
        <w:tab/>
        <w:t>sprijinirea statelor membre și, după caz, a părților private în prevenirea și răspunsul la atacurile cibernetice de presupusă origine infracțională și la activitățile online răuvoitoare la scară largă, inclusiv în cooperare cu Agenția Uniunii Europene pentru Securitate Cibernetică (ENISA), inclusiv în ceea ce privește incidentele de tip ransomware, precum și prin accesarea infrastructurii utilizate pentru desfășurarea atacului;</w:t>
      </w:r>
    </w:p>
    <w:p>
      <w:pPr>
        <w:pStyle w:val="Point1"/>
        <w:rPr>
          <w:noProof/>
        </w:rPr>
      </w:pPr>
      <w:r>
        <w:rPr>
          <w:noProof/>
        </w:rPr>
        <w:t>(b)</w:t>
      </w:r>
      <w:r>
        <w:rPr>
          <w:noProof/>
        </w:rPr>
        <w:tab/>
        <w:t>sprijinirea statelor membre și, după caz, a părților private în soluționarea situațiilor de criză online, în special prin furnizarea către părțile private a informațiilor necesare pentru identificarea conținutului online, a serviciilor, a conturilor, a infrastructurilor sau a activităților digitale relevante, inclusiv prin semnalarea conținutului online către furnizorii de servicii online;</w:t>
      </w:r>
    </w:p>
    <w:p>
      <w:pPr>
        <w:pStyle w:val="Point1"/>
        <w:rPr>
          <w:noProof/>
        </w:rPr>
      </w:pPr>
      <w:r>
        <w:rPr>
          <w:noProof/>
        </w:rPr>
        <w:t>(c)</w:t>
      </w:r>
      <w:r>
        <w:rPr>
          <w:noProof/>
        </w:rPr>
        <w:tab/>
        <w:t>sprijinirea statelor membre în prevenirea și combaterea abuzului sexual asupra copiilor, a diseminării de materiale online care conțin abuzuri sexuale asupra copiilor și a ademenirii copiilor;</w:t>
      </w:r>
    </w:p>
    <w:p>
      <w:pPr>
        <w:pStyle w:val="Point1"/>
        <w:rPr>
          <w:noProof/>
        </w:rPr>
      </w:pPr>
      <w:r>
        <w:rPr>
          <w:noProof/>
        </w:rPr>
        <w:t>(d)</w:t>
      </w:r>
      <w:r>
        <w:rPr>
          <w:noProof/>
        </w:rPr>
        <w:tab/>
        <w:t>contribuirea la identificarea victimelor și a autorilor infracțiunilor informatice și a activităților infracționale facilitate prin mijloace informatice, inclusiv a abuzului sexual online asupra copiilor;</w:t>
      </w:r>
    </w:p>
    <w:p>
      <w:pPr>
        <w:pStyle w:val="Point1"/>
        <w:rPr>
          <w:noProof/>
        </w:rPr>
      </w:pPr>
      <w:r>
        <w:rPr>
          <w:noProof/>
        </w:rPr>
        <w:t>(e)</w:t>
      </w:r>
      <w:r>
        <w:rPr>
          <w:noProof/>
        </w:rPr>
        <w:tab/>
        <w:t>menținerea și implementarea expertizei și capacităților specializate în domeniul tehnic, analitic, de investigare și al criminalisticii digitale, inclusiv pentru a sprijini prelucrarea și analiza datelor digitale și a datelor criptate obținute în mod legal;</w:t>
      </w:r>
    </w:p>
    <w:p>
      <w:pPr>
        <w:pStyle w:val="Point1"/>
        <w:rPr>
          <w:noProof/>
        </w:rPr>
      </w:pPr>
      <w:r>
        <w:rPr>
          <w:noProof/>
        </w:rPr>
        <w:t>(f)</w:t>
      </w:r>
      <w:r>
        <w:rPr>
          <w:noProof/>
        </w:rPr>
        <w:tab/>
        <w:t>găzduirea și sprijinirea platformelor de coordonare operațională și a cadrelor de cooperare operațională specializate în domeniul criminalității informatice și al accesului transfrontalier la probe electronice, inclusiv a Grupului operativ comun de acțiune împotriva criminalității informatice.</w:t>
      </w:r>
    </w:p>
    <w:p>
      <w:pPr>
        <w:pStyle w:val="Titrearticle"/>
        <w:rPr>
          <w:noProof/>
        </w:rPr>
      </w:pPr>
      <w:r>
        <w:rPr>
          <w:noProof/>
        </w:rPr>
        <w:t>Articolul 16</w:t>
      </w:r>
    </w:p>
    <w:p>
      <w:pPr>
        <w:pStyle w:val="NormalCentered"/>
        <w:keepNext/>
        <w:rPr>
          <w:noProof/>
        </w:rPr>
      </w:pPr>
      <w:r>
        <w:rPr>
          <w:b/>
          <w:noProof/>
        </w:rPr>
        <w:t>Centrul european de combatere a criminalității economice și financiare</w:t>
      </w:r>
    </w:p>
    <w:p>
      <w:pPr>
        <w:rPr>
          <w:noProof/>
        </w:rPr>
      </w:pPr>
      <w:r>
        <w:rPr>
          <w:noProof/>
        </w:rPr>
        <w:t>În conformitate cu articolul 6 alineatul (1) litera (b), sprijinul acordat de Europol, în special prin intermediul Centrului european de combatere a criminalității economice și financiare, constă în special în:</w:t>
      </w:r>
    </w:p>
    <w:p>
      <w:pPr>
        <w:pStyle w:val="Point1"/>
        <w:rPr>
          <w:noProof/>
        </w:rPr>
      </w:pPr>
      <w:r>
        <w:rPr>
          <w:noProof/>
        </w:rPr>
        <w:t>(a)</w:t>
      </w:r>
      <w:r>
        <w:rPr>
          <w:noProof/>
        </w:rPr>
        <w:tab/>
        <w:t>sprijinirea birourilor de recuperare a activelor din statele membre în ceea ce privește urmărirea și identificarea instrumentelor, a produselor și a bunurilor care fac sau care ar putea face obiectul unui ordin de indisponibilizare sau de confiscare, în conformitate cu articolul 9;</w:t>
      </w:r>
    </w:p>
    <w:p>
      <w:pPr>
        <w:pStyle w:val="Point1"/>
        <w:rPr>
          <w:noProof/>
        </w:rPr>
      </w:pPr>
      <w:r>
        <w:rPr>
          <w:noProof/>
        </w:rPr>
        <w:t>(b)</w:t>
      </w:r>
      <w:r>
        <w:rPr>
          <w:noProof/>
        </w:rPr>
        <w:tab/>
        <w:t>sprijinirea detectării, a analizei și a monitorizării fluxurilor financiare infracționale, a rețelelor financiare ilicite și a modelelor de afaceri infracționale legate de criminalitatea organizată și de finanțarea terorismului;</w:t>
      </w:r>
    </w:p>
    <w:p>
      <w:pPr>
        <w:pStyle w:val="Point1"/>
        <w:rPr>
          <w:noProof/>
        </w:rPr>
      </w:pPr>
      <w:r>
        <w:rPr>
          <w:noProof/>
        </w:rPr>
        <w:t>(c)</w:t>
      </w:r>
      <w:r>
        <w:rPr>
          <w:noProof/>
        </w:rPr>
        <w:tab/>
        <w:t>furnizarea de sprijin operațional și analitic către EPPO în legătură cu infracțiunile care intră în sfera de competență a Europol și a EPPO, în conformitate cu articolul 81;</w:t>
      </w:r>
    </w:p>
    <w:p>
      <w:pPr>
        <w:pStyle w:val="Point1"/>
        <w:rPr>
          <w:noProof/>
        </w:rPr>
      </w:pPr>
      <w:r>
        <w:rPr>
          <w:noProof/>
        </w:rPr>
        <w:t>(d)</w:t>
      </w:r>
      <w:r>
        <w:rPr>
          <w:noProof/>
        </w:rPr>
        <w:tab/>
        <w:t>sprijinirea statelor membre în combaterea fraudei digitale la scară largă, inclusiv prin facilitarea raportării fraudelor și prin cooperarea cu instituțiile financiare, platformele online și partenerii internaționali.</w:t>
      </w:r>
    </w:p>
    <w:p>
      <w:pPr>
        <w:pStyle w:val="Titrearticle"/>
        <w:rPr>
          <w:noProof/>
        </w:rPr>
      </w:pPr>
      <w:r>
        <w:rPr>
          <w:noProof/>
        </w:rPr>
        <w:t>Articolul 17</w:t>
      </w:r>
    </w:p>
    <w:p>
      <w:pPr>
        <w:pStyle w:val="NormalCentered"/>
        <w:rPr>
          <w:noProof/>
        </w:rPr>
      </w:pPr>
      <w:r>
        <w:rPr>
          <w:b/>
          <w:noProof/>
        </w:rPr>
        <w:t>Centrul european de combatere a introducerii ilegale de migranți</w:t>
      </w:r>
    </w:p>
    <w:p>
      <w:pPr>
        <w:rPr>
          <w:noProof/>
        </w:rPr>
      </w:pPr>
      <w:r>
        <w:rPr>
          <w:noProof/>
        </w:rPr>
        <w:t xml:space="preserve">În conformitate cu articolul 6 alineatul (1) litera (b), sprijinul acordat de Europol, în special prin intermediul Centrului european de combatere a introducerii ilegale de migranți, constă în special în: </w:t>
      </w:r>
    </w:p>
    <w:p>
      <w:pPr>
        <w:pStyle w:val="Point1"/>
        <w:rPr>
          <w:noProof/>
        </w:rPr>
      </w:pPr>
      <w:r>
        <w:rPr>
          <w:noProof/>
        </w:rPr>
        <w:t>(a)</w:t>
      </w:r>
      <w:r>
        <w:rPr>
          <w:noProof/>
        </w:rPr>
        <w:tab/>
        <w:t>sprijinirea identificării, a monitorizării și a analizei rețelelor infracționale implicate în introducerea ilegală de migranți și în traficul de persoane, inclusiv a modelelor lor de afaceri, a modurilor lor de operare și a infrastructurii infracționale;</w:t>
      </w:r>
    </w:p>
    <w:p>
      <w:pPr>
        <w:pStyle w:val="Point1"/>
        <w:rPr>
          <w:noProof/>
        </w:rPr>
      </w:pPr>
      <w:r>
        <w:rPr>
          <w:noProof/>
        </w:rPr>
        <w:t>(b)</w:t>
      </w:r>
      <w:r>
        <w:rPr>
          <w:noProof/>
        </w:rPr>
        <w:tab/>
        <w:t>sprijinirea detectării și a analizei dimensiunii digitale a introducerii ilegale de migranți și a traficului de persoane, inclusiv prin analiza cu sursă deschisă, cooperarea cu furnizorii de servicii online și cu rețelele de practicieni specializați;</w:t>
      </w:r>
    </w:p>
    <w:p>
      <w:pPr>
        <w:pStyle w:val="Point1"/>
        <w:rPr>
          <w:noProof/>
        </w:rPr>
      </w:pPr>
      <w:r>
        <w:rPr>
          <w:noProof/>
        </w:rPr>
        <w:t>(c)</w:t>
      </w:r>
      <w:r>
        <w:rPr>
          <w:noProof/>
        </w:rPr>
        <w:tab/>
        <w:t>sprijinirea detectării, a analizei și a neutralizării fluxurilor financiare ilicite, a activelor provenite din săvârșirea de infracțiuni și a infrastructurii financiare utilizate de rețelele de introducere ilegală de migranți și de trafic de persoane, în strânsă cooperare cu Centrul european de combatere a criminalității economice și financiare;</w:t>
      </w:r>
    </w:p>
    <w:p>
      <w:pPr>
        <w:pStyle w:val="Point1"/>
        <w:rPr>
          <w:noProof/>
        </w:rPr>
      </w:pPr>
      <w:r>
        <w:rPr>
          <w:noProof/>
        </w:rPr>
        <w:t>(d)</w:t>
      </w:r>
      <w:r>
        <w:rPr>
          <w:noProof/>
        </w:rPr>
        <w:tab/>
        <w:t>sprijinirea cooperării și a coordonării operaționale cu statele membre, Frontex, Eurojust, alte organe, oficii și agenții relevante ale Uniunii, țări terțe și parteneri internaționali în chestiuni legate de introducerea ilegală de migranți și de traficul de persoane.</w:t>
      </w:r>
    </w:p>
    <w:p>
      <w:pPr>
        <w:pStyle w:val="Titrearticle"/>
        <w:rPr>
          <w:noProof/>
        </w:rPr>
      </w:pPr>
      <w:r>
        <w:rPr>
          <w:noProof/>
        </w:rPr>
        <w:t>Articolul 18</w:t>
      </w:r>
    </w:p>
    <w:p>
      <w:pPr>
        <w:pStyle w:val="NormalCentered"/>
        <w:keepNext/>
        <w:rPr>
          <w:noProof/>
        </w:rPr>
      </w:pPr>
      <w:r>
        <w:rPr>
          <w:b/>
          <w:noProof/>
        </w:rPr>
        <w:t>Centrul european de combatere a terorismului</w:t>
      </w:r>
    </w:p>
    <w:p>
      <w:pPr>
        <w:rPr>
          <w:noProof/>
        </w:rPr>
      </w:pPr>
      <w:r>
        <w:rPr>
          <w:noProof/>
        </w:rPr>
        <w:t>În conformitate cu articolul 6 alineatul (1) litera (d), sprijinul acordat de Europol, în special prin intermediul Centrului european de combatere a terorismului, constă în special în:</w:t>
      </w:r>
    </w:p>
    <w:p>
      <w:pPr>
        <w:pStyle w:val="Point1"/>
        <w:rPr>
          <w:noProof/>
        </w:rPr>
      </w:pPr>
      <w:r>
        <w:rPr>
          <w:noProof/>
        </w:rPr>
        <w:t>(a)</w:t>
      </w:r>
      <w:r>
        <w:rPr>
          <w:noProof/>
        </w:rPr>
        <w:tab/>
        <w:t>combaterea diseminării conținutului online cu caracter terorist și extremist violent, inclusiv prin cooperarea cu autoritățile competente ale statelor membre în ceea ce privește ordinele de eliminare, în conformitate cu articolul 14 din Regulamentul (UE) 2021/784, și prin semnalarea conținutului online furnizorilor de servicii online;</w:t>
      </w:r>
    </w:p>
    <w:p>
      <w:pPr>
        <w:pStyle w:val="Point1"/>
        <w:rPr>
          <w:noProof/>
        </w:rPr>
      </w:pPr>
      <w:r>
        <w:rPr>
          <w:noProof/>
        </w:rPr>
        <w:t>(b)</w:t>
      </w:r>
      <w:r>
        <w:rPr>
          <w:noProof/>
        </w:rPr>
        <w:tab/>
        <w:t>sprijinirea investigațiilor, inclusiv prin detectarea și analizarea fluxurilor și rețelelor de finanțare a terorismului, a amenințărilor legate de substanțele chimice, biologice, radiologice și nucleare și de materialele explozibile, a radicalizării online și a utilizării abuzive a platformelor online în scopuri teroriste și a noilor tehnologii în scopuri teroriste;</w:t>
      </w:r>
    </w:p>
    <w:p>
      <w:pPr>
        <w:pStyle w:val="Point1"/>
        <w:rPr>
          <w:noProof/>
        </w:rPr>
      </w:pPr>
      <w:r>
        <w:rPr>
          <w:noProof/>
        </w:rPr>
        <w:t>(c)</w:t>
      </w:r>
      <w:r>
        <w:rPr>
          <w:noProof/>
        </w:rPr>
        <w:tab/>
        <w:t>sprijinirea răspunsului în situații de criză și a coordonării operaționale, inclusiv în situații de criză online, prin capacități, instrumente, structuri de coordonare comune și mecanisme de sprijin specifice, inclusiv prin mecanismul de schimb de informații menționat la articolul 47;</w:t>
      </w:r>
    </w:p>
    <w:p>
      <w:pPr>
        <w:pStyle w:val="Point1"/>
        <w:rPr>
          <w:noProof/>
        </w:rPr>
      </w:pPr>
      <w:r>
        <w:rPr>
          <w:noProof/>
        </w:rPr>
        <w:t>(d)</w:t>
      </w:r>
      <w:r>
        <w:rPr>
          <w:noProof/>
        </w:rPr>
        <w:tab/>
        <w:t>sprijinirea prevenirii radicalizării care duce la terorism prin facilitarea schimbului de informații, de date operative în materie penală și de produse analitice între autoritățile competente ale statelor membre și, după caz, cu organele, oficiile și agențiile relevante ale Uniunii și cu părțile private.</w:t>
      </w:r>
    </w:p>
    <w:p>
      <w:pPr>
        <w:pStyle w:val="Titrearticle"/>
        <w:rPr>
          <w:noProof/>
        </w:rPr>
      </w:pPr>
      <w:r>
        <w:rPr>
          <w:noProof/>
        </w:rPr>
        <w:t>Articolul 19</w:t>
      </w:r>
    </w:p>
    <w:p>
      <w:pPr>
        <w:pStyle w:val="NormalCentered"/>
        <w:rPr>
          <w:noProof/>
        </w:rPr>
      </w:pPr>
      <w:r>
        <w:rPr>
          <w:b/>
          <w:noProof/>
        </w:rPr>
        <w:t>Înființarea și guvernanța unor centre specializate suplimentare ale Uniunii</w:t>
      </w:r>
    </w:p>
    <w:p>
      <w:pPr>
        <w:pStyle w:val="ManualNumPar1"/>
        <w:rPr>
          <w:noProof/>
        </w:rPr>
      </w:pPr>
      <w:r>
        <w:rPr>
          <w:noProof/>
        </w:rPr>
        <w:t>(1)</w:t>
      </w:r>
      <w:r>
        <w:rPr>
          <w:noProof/>
        </w:rPr>
        <w:tab/>
        <w:t>În cadrul Europol pot fi instituite centre specializate suplimentare ale Uniunii, în special în cazul în care directorul executiv identifică necesitatea unor capacități specializate permanente sau a unei acțiuni coordonate la nivelul Uniunii pentru îndeplinirea atribuțiilor Europol.</w:t>
      </w:r>
    </w:p>
    <w:p>
      <w:pPr>
        <w:pStyle w:val="ManualNumPar1"/>
        <w:rPr>
          <w:noProof/>
        </w:rPr>
      </w:pPr>
      <w:r>
        <w:rPr>
          <w:noProof/>
        </w:rPr>
        <w:t>(2)</w:t>
      </w:r>
      <w:r>
        <w:rPr>
          <w:noProof/>
        </w:rPr>
        <w:tab/>
        <w:t>Înființarea, adaptarea și, după caz, fuziunea și desființarea centrelor suplimentare se decid prin intermediul unor acte delegate adoptate în conformitate cu articolul 139, ținând seama, în special, de:</w:t>
      </w:r>
    </w:p>
    <w:p>
      <w:pPr>
        <w:pStyle w:val="Point1"/>
        <w:rPr>
          <w:noProof/>
        </w:rPr>
      </w:pPr>
      <w:r>
        <w:rPr>
          <w:noProof/>
        </w:rPr>
        <w:t>(a)</w:t>
      </w:r>
      <w:r>
        <w:rPr>
          <w:noProof/>
        </w:rPr>
        <w:tab/>
        <w:t>amploarea, complexitatea sau dimensiunea transfrontalieră a amenințărilor infracționale sau la adresa securității relevante și a infracțiunilor legate de formele de criminalitate enumerate în anexa I, în cazul în care astfel de infracțiuni implică o dimensiune hibridă;</w:t>
      </w:r>
    </w:p>
    <w:p>
      <w:pPr>
        <w:pStyle w:val="Point1"/>
        <w:rPr>
          <w:noProof/>
        </w:rPr>
      </w:pPr>
      <w:r>
        <w:rPr>
          <w:noProof/>
        </w:rPr>
        <w:t>(b)</w:t>
      </w:r>
      <w:r>
        <w:rPr>
          <w:noProof/>
        </w:rPr>
        <w:tab/>
        <w:t>nevoile operaționale ale statelor membre și necesitatea unor capacități specializate permanente la nivelul Uniunii;</w:t>
      </w:r>
    </w:p>
    <w:p>
      <w:pPr>
        <w:pStyle w:val="Point1"/>
        <w:rPr>
          <w:noProof/>
        </w:rPr>
      </w:pPr>
      <w:r>
        <w:rPr>
          <w:noProof/>
        </w:rPr>
        <w:t>(c)</w:t>
      </w:r>
      <w:r>
        <w:rPr>
          <w:noProof/>
        </w:rPr>
        <w:tab/>
        <w:t>necesitatea de a asigura coerența și complementaritatea cu centrele existente și cu alte cadre operaționale ale Uniunii;</w:t>
      </w:r>
    </w:p>
    <w:p>
      <w:pPr>
        <w:pStyle w:val="Point1"/>
        <w:rPr>
          <w:noProof/>
        </w:rPr>
      </w:pPr>
      <w:r>
        <w:rPr>
          <w:noProof/>
        </w:rPr>
        <w:t>(d)</w:t>
      </w:r>
      <w:r>
        <w:rPr>
          <w:noProof/>
        </w:rPr>
        <w:tab/>
        <w:t>disponibilitatea resurselor în cadrul Europol.</w:t>
      </w:r>
    </w:p>
    <w:p>
      <w:pPr>
        <w:pStyle w:val="ManualNumPar1"/>
        <w:rPr>
          <w:noProof/>
        </w:rPr>
      </w:pPr>
      <w:r>
        <w:rPr>
          <w:noProof/>
        </w:rPr>
        <w:t>(3)</w:t>
      </w:r>
      <w:r>
        <w:rPr>
          <w:noProof/>
        </w:rPr>
        <w:tab/>
        <w:t>Articolul 13 alineatele (2)-(6) se aplică centrelor înființate în temeiul prezentului articol.</w:t>
      </w:r>
    </w:p>
    <w:p>
      <w:pPr>
        <w:pStyle w:val="Text1"/>
        <w:rPr>
          <w:noProof/>
        </w:rPr>
      </w:pPr>
    </w:p>
    <w:p>
      <w:pPr>
        <w:pStyle w:val="SectionTitle"/>
        <w:rPr>
          <w:noProof/>
        </w:rPr>
      </w:pPr>
      <w:r>
        <w:rPr>
          <w:noProof/>
        </w:rPr>
        <w:t xml:space="preserve">Secțiunea 3 </w:t>
      </w:r>
      <w:r>
        <w:rPr>
          <w:noProof/>
        </w:rPr>
        <w:br/>
        <w:t>Instrumente de cooperare operațională</w:t>
      </w:r>
    </w:p>
    <w:p>
      <w:pPr>
        <w:pStyle w:val="Titrearticle"/>
        <w:rPr>
          <w:noProof/>
        </w:rPr>
      </w:pPr>
      <w:r>
        <w:rPr>
          <w:noProof/>
        </w:rPr>
        <w:t>Articolul 20</w:t>
      </w:r>
    </w:p>
    <w:p>
      <w:pPr>
        <w:pStyle w:val="NormalCentered"/>
        <w:rPr>
          <w:noProof/>
        </w:rPr>
      </w:pPr>
      <w:r>
        <w:rPr>
          <w:b/>
          <w:noProof/>
        </w:rPr>
        <w:t>Grupuri de acțiune operaționale</w:t>
      </w:r>
    </w:p>
    <w:p>
      <w:pPr>
        <w:pStyle w:val="ManualNumPar1"/>
        <w:rPr>
          <w:noProof/>
        </w:rPr>
      </w:pPr>
      <w:r>
        <w:rPr>
          <w:noProof/>
        </w:rPr>
        <w:t>(1)</w:t>
      </w:r>
      <w:r>
        <w:rPr>
          <w:noProof/>
        </w:rPr>
        <w:tab/>
        <w:t>Grupurile de acțiune operaționale pot fi înființate de autoritățile competente ale statelor membre, cu sprijinul Europol, în scopul soluționării amenințărilor infracționale transfrontaliere specifice care intră în sfera de competență a Europol.</w:t>
      </w:r>
    </w:p>
    <w:p>
      <w:pPr>
        <w:pStyle w:val="Text1"/>
        <w:ind w:left="851"/>
        <w:rPr>
          <w:noProof/>
        </w:rPr>
      </w:pPr>
      <w:r>
        <w:rPr>
          <w:noProof/>
        </w:rPr>
        <w:t>Un grup de acțiune operațional poate fi înființat în cazul în care amenințarea infracțională în cauză implică două sau mai multe state membre și, având în vedere amploarea, complexitatea sau dimensiunea sa transfrontalieră, necesită o acțiune operațională și de investigare coordonată la nivelul Uniunii.</w:t>
      </w:r>
    </w:p>
    <w:p>
      <w:pPr>
        <w:pStyle w:val="ManualNumPar1"/>
        <w:rPr>
          <w:noProof/>
        </w:rPr>
      </w:pPr>
      <w:r>
        <w:rPr>
          <w:noProof/>
        </w:rPr>
        <w:t>(2)</w:t>
      </w:r>
      <w:r>
        <w:rPr>
          <w:noProof/>
        </w:rPr>
        <w:tab/>
        <w:t>Statele membre care participă la un grup de acțiune operațional și Europol asigură coerența și, dacă este posibil, integrarea în cadrul EMPACT.</w:t>
      </w:r>
    </w:p>
    <w:p>
      <w:pPr>
        <w:pStyle w:val="ManualNumPar1"/>
        <w:rPr>
          <w:noProof/>
        </w:rPr>
      </w:pPr>
      <w:r>
        <w:rPr>
          <w:noProof/>
        </w:rPr>
        <w:t>(3)</w:t>
      </w:r>
      <w:r>
        <w:rPr>
          <w:noProof/>
        </w:rPr>
        <w:tab/>
        <w:t>Statele membre care înființează un grup de acțiune operațional pot decide să invite alte state membre și țări terțe menționate în capitolul VII să participe la grupul de acțiune operațional sau să îl sprijine.</w:t>
      </w:r>
    </w:p>
    <w:p>
      <w:pPr>
        <w:pStyle w:val="ManualNumPar1"/>
        <w:rPr>
          <w:noProof/>
        </w:rPr>
      </w:pPr>
      <w:r>
        <w:rPr>
          <w:noProof/>
        </w:rPr>
        <w:t>(4)</w:t>
      </w:r>
      <w:r>
        <w:rPr>
          <w:noProof/>
        </w:rPr>
        <w:tab/>
        <w:t>Europol, de comun acord cu statele membre care participă la un grup de acțiune operațional, sprijină planificarea, coordonarea și punerea în practică a activităților operaționale și de colectare a datelor operative în materie penală desfășurate în cadrul respectivului grup de acțiune.</w:t>
      </w:r>
    </w:p>
    <w:p>
      <w:pPr>
        <w:pStyle w:val="Text1"/>
        <w:ind w:left="851"/>
        <w:rPr>
          <w:noProof/>
        </w:rPr>
      </w:pPr>
      <w:r>
        <w:rPr>
          <w:noProof/>
        </w:rPr>
        <w:t>Europol pune la dispoziție sprijinul operațional și financiar relevant.</w:t>
      </w:r>
    </w:p>
    <w:p>
      <w:pPr>
        <w:pStyle w:val="ManualNumPar1"/>
        <w:rPr>
          <w:noProof/>
        </w:rPr>
      </w:pPr>
      <w:r>
        <w:rPr>
          <w:noProof/>
        </w:rPr>
        <w:t>(5)</w:t>
      </w:r>
      <w:r>
        <w:rPr>
          <w:noProof/>
        </w:rPr>
        <w:tab/>
        <w:t>Statele membre care participă la un grup de acțiune operațional, în conformitate cu dreptul intern:</w:t>
      </w:r>
    </w:p>
    <w:p>
      <w:pPr>
        <w:pStyle w:val="Point1"/>
        <w:rPr>
          <w:noProof/>
        </w:rPr>
      </w:pPr>
      <w:r>
        <w:rPr>
          <w:noProof/>
        </w:rPr>
        <w:t>(a)</w:t>
      </w:r>
      <w:r>
        <w:rPr>
          <w:noProof/>
        </w:rPr>
        <w:tab/>
        <w:t>asigură schimbul continuu și structurat al tuturor informațiilor relevante cu Europol și cu celelalte state membre participante, în timp util, prin intermediul aplicației de rețea pentru schimbul securizat de informații (SIENA) și, după caz, se asigură că aceste informații sunt puse la dispoziție pentru acces direct în conformitate cu articolele 39, 40 și 41;</w:t>
      </w:r>
    </w:p>
    <w:p>
      <w:pPr>
        <w:pStyle w:val="Point1"/>
        <w:rPr>
          <w:noProof/>
        </w:rPr>
      </w:pPr>
      <w:r>
        <w:rPr>
          <w:noProof/>
        </w:rPr>
        <w:t>(b)</w:t>
      </w:r>
      <w:r>
        <w:rPr>
          <w:noProof/>
        </w:rPr>
        <w:tab/>
        <w:t>utilizează în mod eficace sprijinul operațional și financiar oferit de Europol;</w:t>
      </w:r>
    </w:p>
    <w:p>
      <w:pPr>
        <w:pStyle w:val="Point1"/>
        <w:rPr>
          <w:noProof/>
        </w:rPr>
      </w:pPr>
      <w:r>
        <w:rPr>
          <w:noProof/>
        </w:rPr>
        <w:t>(c)</w:t>
      </w:r>
      <w:r>
        <w:rPr>
          <w:noProof/>
        </w:rPr>
        <w:tab/>
        <w:t>desfășoară, atunci când este necesar și în conformitate cu dreptul intern, activități coordonate de colectare a datelor operative în materie penală și investigații pentru a soluționa amenințările infracționale în cauză;</w:t>
      </w:r>
    </w:p>
    <w:p>
      <w:pPr>
        <w:pStyle w:val="Point1"/>
        <w:rPr>
          <w:noProof/>
        </w:rPr>
      </w:pPr>
      <w:r>
        <w:rPr>
          <w:noProof/>
        </w:rPr>
        <w:t>(d)</w:t>
      </w:r>
      <w:r>
        <w:rPr>
          <w:noProof/>
        </w:rPr>
        <w:tab/>
        <w:t>inițiază investigații financiare paralele pentru identificarea, indisponibilizarea și confiscarea activelor provenite din săvârșirea de infracțiuni;</w:t>
      </w:r>
    </w:p>
    <w:p>
      <w:pPr>
        <w:pStyle w:val="Text1"/>
        <w:ind w:left="1418" w:hanging="568"/>
        <w:rPr>
          <w:noProof/>
        </w:rPr>
      </w:pPr>
      <w:r>
        <w:rPr>
          <w:noProof/>
        </w:rPr>
        <w:t>(e)</w:t>
      </w:r>
      <w:r>
        <w:rPr>
          <w:noProof/>
        </w:rPr>
        <w:tab/>
        <w:t>mobilizează, după caz, ofițeri de legătură trimiși în țări terțe în care sunt investigate activități infracționale în contextul grupului de acțiune operațional pentru a consolida cooperarea și schimbul de informații și pentru a furniza Europol informațiile obținute.</w:t>
      </w:r>
    </w:p>
    <w:p>
      <w:pPr>
        <w:pStyle w:val="ManualNumPar1"/>
        <w:rPr>
          <w:noProof/>
        </w:rPr>
      </w:pPr>
      <w:r>
        <w:rPr>
          <w:noProof/>
        </w:rPr>
        <w:t>(6)</w:t>
      </w:r>
      <w:r>
        <w:rPr>
          <w:noProof/>
        </w:rPr>
        <w:tab/>
        <w:t>Directorul executiv propune autorităților competente ale statelor membre în cauză, prin intermediul unității naționale Europol, înființarea unui grup de acțiune operațional în cazul în care, pe baza unor criterii obiective, un astfel de grup de acțiune ar oferi valoare adăugată în soluționarea unei amenințări infracționale transfrontaliere specifice care intră în sfera de competență a Europol și ar răspunde nevoilor operaționale identificate.</w:t>
      </w:r>
    </w:p>
    <w:p>
      <w:pPr>
        <w:pStyle w:val="ManualNumPar1"/>
        <w:rPr>
          <w:noProof/>
        </w:rPr>
      </w:pPr>
      <w:r>
        <w:rPr>
          <w:noProof/>
        </w:rPr>
        <w:t>(7)</w:t>
      </w:r>
      <w:r>
        <w:rPr>
          <w:noProof/>
        </w:rPr>
        <w:tab/>
        <w:t>Consiliul de administrație adoptă norme de punere în aplicare pentru înființarea și funcționarea grupurilor de acțiune operaționale, inclusiv garanțiile necesare pentru participarea țărilor terțe.</w:t>
      </w:r>
    </w:p>
    <w:p>
      <w:pPr>
        <w:pStyle w:val="ManualNumPar1"/>
        <w:rPr>
          <w:noProof/>
        </w:rPr>
      </w:pPr>
      <w:r>
        <w:rPr>
          <w:noProof/>
        </w:rPr>
        <w:t>(8)</w:t>
      </w:r>
      <w:r>
        <w:rPr>
          <w:noProof/>
        </w:rPr>
        <w:tab/>
        <w:t>Europol, împreună cu statele membre care participă la un grup de acțiune operațional, evaluează, în toate etapele activităților operaționale, dacă este necesară constituirea unei echipe comune de anchetă în conformitate cu articolul 21 pentru a sprijini o acțiune coordonată și susținută la nivelul Uniunii.</w:t>
      </w:r>
    </w:p>
    <w:p>
      <w:pPr>
        <w:pStyle w:val="Titrearticle"/>
        <w:rPr>
          <w:noProof/>
        </w:rPr>
      </w:pPr>
      <w:r>
        <w:rPr>
          <w:noProof/>
        </w:rPr>
        <w:t>Articolul 21</w:t>
      </w:r>
    </w:p>
    <w:p>
      <w:pPr>
        <w:pStyle w:val="NormalCentered"/>
        <w:rPr>
          <w:noProof/>
        </w:rPr>
      </w:pPr>
      <w:r>
        <w:rPr>
          <w:b/>
          <w:noProof/>
        </w:rPr>
        <w:t>Participarea la echipele comune de anchetă</w:t>
      </w:r>
    </w:p>
    <w:p>
      <w:pPr>
        <w:pStyle w:val="ManualNumPar1"/>
        <w:rPr>
          <w:noProof/>
        </w:rPr>
      </w:pPr>
      <w:r>
        <w:rPr>
          <w:noProof/>
        </w:rPr>
        <w:t>(1)</w:t>
      </w:r>
      <w:r>
        <w:rPr>
          <w:noProof/>
        </w:rPr>
        <w:tab/>
        <w:t>Europol poate participa la activitățile echipelor comune de anchetă, inclusiv ale celor instituite în conformitate cu Decizia-cadru 2002/465/JAI a Consiliului</w:t>
      </w:r>
      <w:r>
        <w:rPr>
          <w:rStyle w:val="FootnoteReference"/>
          <w:noProof/>
        </w:rPr>
        <w:footnoteReference w:id="65"/>
      </w:r>
      <w:r>
        <w:rPr>
          <w:noProof/>
        </w:rPr>
        <w:t xml:space="preserve"> și cu </w:t>
      </w:r>
      <w:r>
        <w:rPr>
          <w:noProof/>
          <w:color w:val="333333"/>
        </w:rPr>
        <w:t>Convenția elaborată de Consiliu în temeiul articolului 34 din TUE, cu privire la asistența judiciară reciprocă în materie penală între statele membre ale Uniunii Europene</w:t>
      </w:r>
      <w:r>
        <w:rPr>
          <w:rStyle w:val="FootnoteReference"/>
          <w:noProof/>
        </w:rPr>
        <w:footnoteReference w:id="66"/>
      </w:r>
      <w:r>
        <w:rPr>
          <w:noProof/>
          <w:color w:val="333333"/>
        </w:rPr>
        <w:t>,</w:t>
      </w:r>
      <w:r>
        <w:rPr>
          <w:noProof/>
        </w:rPr>
        <w:t xml:space="preserve"> care se ocupă de formele de criminalitate care intră în sfera de competență a Europol. Acordul prin care se înființează o echipă comună de anchetă stabilește condițiile privind participarea Europol în cadrul echipei și include informațiile cu privire la normele privind răspunderea.</w:t>
      </w:r>
    </w:p>
    <w:p>
      <w:pPr>
        <w:pStyle w:val="ManualNumPar1"/>
        <w:rPr>
          <w:noProof/>
        </w:rPr>
      </w:pPr>
      <w:r>
        <w:rPr>
          <w:noProof/>
        </w:rPr>
        <w:t>(2)</w:t>
      </w:r>
      <w:r>
        <w:rPr>
          <w:noProof/>
        </w:rPr>
        <w:tab/>
        <w:t>Europol poate, în limitele actelor cu putere de lege ale statelor membre în care își desfășoară activitatea o echipă comună de anchetă, să acorde asistență pentru toate activitățile și schimburile de informații cu toți membrii echipei comune de anchetă.</w:t>
      </w:r>
    </w:p>
    <w:p>
      <w:pPr>
        <w:pStyle w:val="ManualNumPar1"/>
        <w:rPr>
          <w:noProof/>
        </w:rPr>
      </w:pPr>
      <w:r>
        <w:rPr>
          <w:noProof/>
        </w:rPr>
        <w:t>(3)</w:t>
      </w:r>
      <w:r>
        <w:rPr>
          <w:noProof/>
        </w:rPr>
        <w:tab/>
        <w:t>Atunci când participă într-o echipă comună de anchetă, Europol poate, în conformitate cu prezentul regulament, să pună la dispoziția tuturor membrilor echipei informațiile necesare prelucrate de Europol în scopurile prevăzute la articolul 32 alineatul (2). Europol informează în același timp unitățile naționale Europol ale statelor membre reprezentate în echipă, precum și pe cele ale statelor membre care au furnizat informațiile.</w:t>
      </w:r>
    </w:p>
    <w:p>
      <w:pPr>
        <w:pStyle w:val="ManualNumPar1"/>
        <w:rPr>
          <w:noProof/>
        </w:rPr>
      </w:pPr>
      <w:r>
        <w:rPr>
          <w:noProof/>
        </w:rPr>
        <w:t>(4)</w:t>
      </w:r>
      <w:r>
        <w:rPr>
          <w:noProof/>
        </w:rPr>
        <w:tab/>
        <w:t>Europol poate prelucra, în scopurile prevăzute la articolul 32 alineatul (2), informațiile obținute în timpul participării la o echipă comună de anchetă, cu acordul statului membru care a furnizat informațiile, în condițiile prevăzute în prezentul regulament.</w:t>
      </w:r>
    </w:p>
    <w:p>
      <w:pPr>
        <w:pStyle w:val="ManualNumPar1"/>
        <w:rPr>
          <w:noProof/>
        </w:rPr>
      </w:pPr>
      <w:r>
        <w:rPr>
          <w:noProof/>
        </w:rPr>
        <w:t>(5)</w:t>
      </w:r>
      <w:r>
        <w:rPr>
          <w:noProof/>
        </w:rPr>
        <w:tab/>
        <w:t>În cazul în care are motive să considere că înființarea unei echipe comune de anchetă ar oferi valoare adăugată unei anchete, Europol poate să propună acest lucru statelor membre în cauză și să ia măsuri pentru a le acorda asistență în ceea ce privește constituirea de echipe comune de anchetă.</w:t>
      </w:r>
    </w:p>
    <w:p>
      <w:pPr>
        <w:pStyle w:val="ManualNumPar1"/>
        <w:rPr>
          <w:noProof/>
        </w:rPr>
      </w:pPr>
      <w:r>
        <w:rPr>
          <w:noProof/>
        </w:rPr>
        <w:t>(6)</w:t>
      </w:r>
      <w:r>
        <w:rPr>
          <w:noProof/>
        </w:rPr>
        <w:tab/>
        <w:t xml:space="preserve">La cererea autorității competente a unui stat membru, formulată în urma avizului Eurojust în temeiul articolului 27 alineatul (1) din Regulamentul (UE) …/… </w:t>
      </w:r>
      <w:r>
        <w:rPr>
          <w:i/>
          <w:noProof/>
        </w:rPr>
        <w:t>[propunerea de regulament privind Eurojust]</w:t>
      </w:r>
      <w:r>
        <w:rPr>
          <w:noProof/>
        </w:rPr>
        <w:t>, Europol participă, în limitele competenței sale, la echipa comună de anchetă în cauză, cu excepția cazului în care prezintă motive justificate în mod corespunzător pentru a nu participa.</w:t>
      </w:r>
    </w:p>
    <w:p>
      <w:pPr>
        <w:pStyle w:val="Titrearticle"/>
        <w:rPr>
          <w:noProof/>
        </w:rPr>
      </w:pPr>
      <w:r>
        <w:rPr>
          <w:noProof/>
        </w:rPr>
        <w:t>Articolul 22</w:t>
      </w:r>
    </w:p>
    <w:p>
      <w:pPr>
        <w:pStyle w:val="NormalCentered"/>
        <w:rPr>
          <w:noProof/>
        </w:rPr>
      </w:pPr>
      <w:r>
        <w:rPr>
          <w:b/>
          <w:noProof/>
        </w:rPr>
        <w:t>Detașări din partea Europol</w:t>
      </w:r>
    </w:p>
    <w:p>
      <w:pPr>
        <w:pStyle w:val="ManualNumPar1"/>
        <w:rPr>
          <w:noProof/>
        </w:rPr>
      </w:pPr>
      <w:r>
        <w:rPr>
          <w:noProof/>
        </w:rPr>
        <w:t>(1)</w:t>
      </w:r>
      <w:r>
        <w:rPr>
          <w:noProof/>
        </w:rPr>
        <w:tab/>
        <w:t>Un stat membru poate solicita, în conformitate cu dreptul său intern, detașări din partea Europol pe teritoriul său pentru a utiliza sprijinul operațional pus la dispoziție de Europol.</w:t>
      </w:r>
    </w:p>
    <w:p>
      <w:pPr>
        <w:pStyle w:val="ManualNumPar1"/>
        <w:rPr>
          <w:noProof/>
        </w:rPr>
      </w:pPr>
      <w:r>
        <w:rPr>
          <w:noProof/>
        </w:rPr>
        <w:t>(2)</w:t>
      </w:r>
      <w:r>
        <w:rPr>
          <w:noProof/>
        </w:rPr>
        <w:tab/>
        <w:t>Detașările din partea Europol în vederea acordării de sprijin operațional au loc, în special, în contextul unor investigații complexe sau la scară largă sau al unor activități de colectare a datelor operative în materie penală care necesită un sprijin coordonat la nivelul Uniunii. Detașările din partea Europol pot include participarea la echipe comune de anchetă instituite în conformitate cu articolul 21, la grupuri de acțiune operaționale instituite în conformitate cu articolul 20 sau la alte activități operaționale coordonate.</w:t>
      </w:r>
    </w:p>
    <w:p>
      <w:pPr>
        <w:pStyle w:val="Text1"/>
        <w:rPr>
          <w:noProof/>
        </w:rPr>
      </w:pPr>
      <w:r>
        <w:rPr>
          <w:noProof/>
        </w:rPr>
        <w:t xml:space="preserve">Detașările din partea Europol pot avea loc, de asemenea, pentru a sprijini verificările prin consultarea bazelor de date relevante, inclusiv în contextul consolidării controalelor la frontierele externe ale Uniunii sau al sprijinirii activităților de gestionare a migrației în conformitate cu </w:t>
      </w:r>
      <w:hyperlink r:id="rId16" w:tooltip="http://data.europa.eu/eli/reg/2019/1896/oj">
        <w:r>
          <w:rPr>
            <w:noProof/>
          </w:rPr>
          <w:t>Regulamentul (UE) 2019/1896</w:t>
        </w:r>
      </w:hyperlink>
      <w:r>
        <w:rPr>
          <w:noProof/>
        </w:rPr>
        <w:t>, sau pentru a sprijini statele membre în cadrul unor evenimente internaționale majore.</w:t>
      </w:r>
    </w:p>
    <w:p>
      <w:pPr>
        <w:pStyle w:val="Text1"/>
        <w:rPr>
          <w:noProof/>
        </w:rPr>
      </w:pPr>
      <w:r>
        <w:rPr>
          <w:noProof/>
        </w:rPr>
        <w:t>Detașările din partea Europol au loc, de asemenea, în special pentru a asigura utilizarea, integrarea și implementarea eficace a serviciilor, a instrumentelor și a capacităților avansate ale Europol în mediile operaționale ale statelor membre.</w:t>
      </w:r>
    </w:p>
    <w:p>
      <w:pPr>
        <w:pStyle w:val="ManualNumPar1"/>
        <w:rPr>
          <w:noProof/>
        </w:rPr>
      </w:pPr>
      <w:r>
        <w:rPr>
          <w:noProof/>
        </w:rPr>
        <w:t>(3)</w:t>
      </w:r>
      <w:r>
        <w:rPr>
          <w:noProof/>
        </w:rPr>
        <w:tab/>
        <w:t>Europol evaluează orice solicitare formulată de un stat membru în temeiul alineatului (1) și poate autoriza o detașare din partea Europol, ținând seama de resursele disponibile ale Europol.</w:t>
      </w:r>
    </w:p>
    <w:p>
      <w:pPr>
        <w:pStyle w:val="ManualNumPar1"/>
        <w:rPr>
          <w:noProof/>
        </w:rPr>
      </w:pPr>
      <w:r>
        <w:rPr>
          <w:noProof/>
        </w:rPr>
        <w:t>(4)</w:t>
      </w:r>
      <w:r>
        <w:rPr>
          <w:noProof/>
        </w:rPr>
        <w:tab/>
        <w:t xml:space="preserve">În urma autorizării unei detașări din partea Europol în temeiul alineatului (3), Europol și statul membru în cauză convin asupra modalităților detașării respective. </w:t>
      </w:r>
    </w:p>
    <w:p>
      <w:pPr>
        <w:pStyle w:val="ManualNumPar1"/>
        <w:rPr>
          <w:noProof/>
        </w:rPr>
      </w:pPr>
      <w:r>
        <w:rPr>
          <w:noProof/>
        </w:rPr>
        <w:t>(5)</w:t>
      </w:r>
      <w:r>
        <w:rPr>
          <w:noProof/>
        </w:rPr>
        <w:tab/>
        <w:t xml:space="preserve">Personalul Europol și experții naționali detașați pe teritoriul statului membru în cauză acționează în conformitate cu prezentul regulament și cu dreptul intern al statului membru pe al cărui teritoriu are loc detașarea. </w:t>
      </w:r>
    </w:p>
    <w:p>
      <w:pPr>
        <w:pStyle w:val="ManualNumPar1"/>
        <w:rPr>
          <w:noProof/>
        </w:rPr>
      </w:pPr>
      <w:r>
        <w:rPr>
          <w:noProof/>
        </w:rPr>
        <w:t>(6)</w:t>
      </w:r>
      <w:r>
        <w:rPr>
          <w:noProof/>
        </w:rPr>
        <w:tab/>
        <w:t>Statul membru pe teritoriul căruia are loc detașarea, în conformitate cu modalitățile convenite în temeiul alineatului (4):</w:t>
      </w:r>
    </w:p>
    <w:p>
      <w:pPr>
        <w:pStyle w:val="Point1"/>
        <w:rPr>
          <w:noProof/>
        </w:rPr>
      </w:pPr>
      <w:r>
        <w:rPr>
          <w:noProof/>
        </w:rPr>
        <w:t>(a)</w:t>
      </w:r>
      <w:r>
        <w:rPr>
          <w:noProof/>
        </w:rPr>
        <w:tab/>
        <w:t>furnizează Europol toate informațiile relevante fără întârzieri nejustificate și, dacă este posibil, permit accesul direct la astfel de informații pentru detașările din partea Europol, în conformitate cu dreptul intern;</w:t>
      </w:r>
    </w:p>
    <w:p>
      <w:pPr>
        <w:pStyle w:val="Point1"/>
        <w:rPr>
          <w:noProof/>
        </w:rPr>
      </w:pPr>
      <w:r>
        <w:rPr>
          <w:noProof/>
        </w:rPr>
        <w:t>(b)</w:t>
      </w:r>
      <w:r>
        <w:rPr>
          <w:noProof/>
        </w:rPr>
        <w:tab/>
        <w:t>permite ca detașările din partea Europol să fie prezente în timpul întreprinderii măsurilor de anchetă, în conformitate cu dreptul intern;</w:t>
      </w:r>
    </w:p>
    <w:p>
      <w:pPr>
        <w:pStyle w:val="Point1"/>
        <w:rPr>
          <w:noProof/>
        </w:rPr>
      </w:pPr>
      <w:r>
        <w:rPr>
          <w:noProof/>
        </w:rPr>
        <w:t>(c)</w:t>
      </w:r>
      <w:r>
        <w:rPr>
          <w:noProof/>
        </w:rPr>
        <w:tab/>
        <w:t>facilitează mobilizarea expertizei specializate, inclusiv a expertizei analitice, criminalistice digitale, informatice și de integrare a sistemelor;</w:t>
      </w:r>
    </w:p>
    <w:p>
      <w:pPr>
        <w:pStyle w:val="Point1"/>
        <w:rPr>
          <w:noProof/>
        </w:rPr>
      </w:pPr>
      <w:r>
        <w:rPr>
          <w:noProof/>
        </w:rPr>
        <w:t>(d)</w:t>
      </w:r>
      <w:r>
        <w:rPr>
          <w:noProof/>
        </w:rPr>
        <w:tab/>
        <w:t>ia măsurile necesare, în conformitate cu dreptul intern, pentru a se asigura că rezultatele obținute prin intermediul sprijinului operațional furnizat de detașările din partea Europol pot fi utilizate ca probe în cadrul procedurilor judiciare și de investigare naționale, inclusiv prin asigurarea faptului că aceste rezultate sunt generate, documentate și transmise într-un mod compatibil cu cerințele dreptului intern.</w:t>
      </w:r>
    </w:p>
    <w:p>
      <w:pPr>
        <w:pStyle w:val="ManualNumPar1"/>
        <w:rPr>
          <w:noProof/>
        </w:rPr>
      </w:pPr>
      <w:r>
        <w:rPr>
          <w:noProof/>
        </w:rPr>
        <w:t>(7)</w:t>
      </w:r>
      <w:r>
        <w:rPr>
          <w:noProof/>
        </w:rPr>
        <w:tab/>
        <w:t>Directorul executiv poate propune autorităților competente ale unui stat membru, prin intermediul biroului de sprijin Europol, o detașare din partea Europol în cazul în care consideră că o astfel de detașare ar oferi valoare adăugată în prevenirea sau combaterea formelor de criminalitate care intră în sfera de competență a Europol.</w:t>
      </w:r>
    </w:p>
    <w:p>
      <w:pPr>
        <w:pStyle w:val="ManualNumPar1"/>
        <w:rPr>
          <w:noProof/>
        </w:rPr>
      </w:pPr>
      <w:r>
        <w:rPr>
          <w:noProof/>
        </w:rPr>
        <w:t>(8)</w:t>
      </w:r>
      <w:r>
        <w:rPr>
          <w:noProof/>
        </w:rPr>
        <w:tab/>
        <w:t>În cazul în care o țară terță cu care Europol a stabilit relații de cooperare în temeiul prezentului regulament sau al Regulamentului (UE) 2018/1725 solicită detașări din partea Europol pe teritoriul său în temeiul prezentului articol, se aplică cerințele și procedura prevăzute la alineatele (2), (3) și (4) de la prezentul articol, în conformitate cu normele de punere în aplicare menționate la alineatul (9) de la prezentul articol.</w:t>
      </w:r>
    </w:p>
    <w:p>
      <w:pPr>
        <w:pStyle w:val="ManualNumPar1"/>
        <w:ind w:left="851" w:hanging="851"/>
        <w:rPr>
          <w:noProof/>
        </w:rPr>
      </w:pPr>
      <w:r>
        <w:rPr>
          <w:noProof/>
        </w:rPr>
        <w:t>(9)</w:t>
      </w:r>
      <w:r>
        <w:rPr>
          <w:noProof/>
        </w:rPr>
        <w:tab/>
        <w:t>La propunerea directorului executiv, Consiliul de administrație adoptă norme de punere în aplicare privind pregătirea și desfășurarea detașărilor din partea Europol.</w:t>
      </w:r>
    </w:p>
    <w:p>
      <w:pPr>
        <w:pStyle w:val="Titrearticle"/>
        <w:rPr>
          <w:noProof/>
        </w:rPr>
      </w:pPr>
      <w:r>
        <w:rPr>
          <w:noProof/>
        </w:rPr>
        <w:t>Articolul 23</w:t>
      </w:r>
    </w:p>
    <w:p>
      <w:pPr>
        <w:pStyle w:val="NormalCentered"/>
        <w:rPr>
          <w:noProof/>
        </w:rPr>
      </w:pPr>
      <w:r>
        <w:rPr>
          <w:b/>
          <w:noProof/>
        </w:rPr>
        <w:t>Sprijinul acordat de Europol pentru EMPACT</w:t>
      </w:r>
    </w:p>
    <w:p>
      <w:pPr>
        <w:pStyle w:val="ManualNumPar1"/>
        <w:ind w:left="851"/>
        <w:rPr>
          <w:noProof/>
        </w:rPr>
      </w:pPr>
      <w:r>
        <w:rPr>
          <w:noProof/>
        </w:rPr>
        <w:t>(1)</w:t>
      </w:r>
      <w:r>
        <w:rPr>
          <w:noProof/>
        </w:rPr>
        <w:tab/>
        <w:t xml:space="preserve">Pentru a sprijini statele membre în consolidarea în continuare a EMPACT ca un cadru coerent de prevenire și combatere a amenințărilor reprezentate de rețelele infracționale la nivelul Uniunii, Europol oferă sprijin administrativ, logistic, financiar și operațional pentru activitățile operaționale și strategice desfășurate de statele membre și de țările terțe, inclusiv pentru schimbul de informații aferent, precum și pentru țările terțe care participă la astfel de activități. </w:t>
      </w:r>
    </w:p>
    <w:p>
      <w:pPr>
        <w:pStyle w:val="Text1"/>
        <w:rPr>
          <w:noProof/>
        </w:rPr>
      </w:pPr>
      <w:r>
        <w:rPr>
          <w:noProof/>
        </w:rPr>
        <w:t>În acest sens, Europol completează funcțiile de coordonare îndeplinite la nivel național de unitățile naționale Europol.</w:t>
      </w:r>
    </w:p>
    <w:p>
      <w:pPr>
        <w:pStyle w:val="ManualNumPar1"/>
        <w:ind w:left="851"/>
        <w:rPr>
          <w:noProof/>
        </w:rPr>
      </w:pPr>
      <w:r>
        <w:rPr>
          <w:noProof/>
        </w:rPr>
        <w:t>(2)</w:t>
      </w:r>
      <w:r>
        <w:rPr>
          <w:noProof/>
        </w:rPr>
        <w:tab/>
        <w:t>În sensul alineatului (1), Europol, prin intermediul echipei de sprijin EMPACT, în special:</w:t>
      </w:r>
    </w:p>
    <w:p>
      <w:pPr>
        <w:pStyle w:val="Text1"/>
        <w:ind w:left="1701" w:hanging="851"/>
        <w:rPr>
          <w:noProof/>
        </w:rPr>
      </w:pPr>
      <w:r>
        <w:rPr>
          <w:noProof/>
        </w:rPr>
        <w:t>(a)</w:t>
      </w:r>
      <w:r>
        <w:rPr>
          <w:noProof/>
        </w:rPr>
        <w:tab/>
        <w:t>sprijină elaborarea și punerea în aplicare a planurilor de acțiune operaționale bienale, inclusiv prin acordarea de asistență la definirea priorităților operaționale, a obiectivelor și a rezultatelor;</w:t>
      </w:r>
    </w:p>
    <w:p>
      <w:pPr>
        <w:pStyle w:val="Text1"/>
        <w:ind w:left="1701" w:hanging="851"/>
        <w:rPr>
          <w:noProof/>
        </w:rPr>
      </w:pPr>
      <w:r>
        <w:rPr>
          <w:noProof/>
        </w:rPr>
        <w:t>(b)</w:t>
      </w:r>
      <w:r>
        <w:rPr>
          <w:noProof/>
        </w:rPr>
        <w:tab/>
        <w:t>facilitează reuniunile coordonatorilor EMPACT de la nivel național;</w:t>
      </w:r>
    </w:p>
    <w:p>
      <w:pPr>
        <w:pStyle w:val="Text1"/>
        <w:ind w:left="1701" w:hanging="851"/>
        <w:rPr>
          <w:noProof/>
        </w:rPr>
      </w:pPr>
      <w:r>
        <w:rPr>
          <w:noProof/>
        </w:rPr>
        <w:t>(c)</w:t>
      </w:r>
      <w:r>
        <w:rPr>
          <w:noProof/>
        </w:rPr>
        <w:tab/>
        <w:t>sprijină elaborarea și gestionarea planurilor de acțiune operaționale;</w:t>
      </w:r>
    </w:p>
    <w:p>
      <w:pPr>
        <w:pStyle w:val="Text1"/>
        <w:ind w:left="1701" w:hanging="851"/>
        <w:rPr>
          <w:noProof/>
        </w:rPr>
      </w:pPr>
      <w:r>
        <w:rPr>
          <w:noProof/>
        </w:rPr>
        <w:t xml:space="preserve">(d) </w:t>
      </w:r>
      <w:r>
        <w:rPr>
          <w:noProof/>
        </w:rPr>
        <w:tab/>
        <w:t>sprijinirea implicării țărilor terțe în EMPACT, în special a țărilor candidate și potențial candidate la UE.</w:t>
      </w:r>
    </w:p>
    <w:p>
      <w:pPr>
        <w:pStyle w:val="ManualNumPar1"/>
        <w:ind w:left="851"/>
        <w:rPr>
          <w:noProof/>
        </w:rPr>
      </w:pPr>
      <w:r>
        <w:rPr>
          <w:noProof/>
        </w:rPr>
        <w:t>(3)</w:t>
      </w:r>
      <w:r>
        <w:rPr>
          <w:noProof/>
        </w:rPr>
        <w:tab/>
        <w:t xml:space="preserve">În cadrul acordării sprijinului menționat la alineatul (2), Europol cooperează îndeaproape, prin intermediul echipei de sprijin EMPACT, cu unitățile naționale Europol, cu coordonatorii EMPACT de la nivel național și cu alte organe, oficii și agenții relevante ale Uniunii implicate în EMPACT și, după caz, cu țări terțe și cu alți parteneri, în conformitate cu prezentul regulament. </w:t>
      </w:r>
    </w:p>
    <w:p>
      <w:pPr>
        <w:pStyle w:val="Titrearticle"/>
        <w:rPr>
          <w:b/>
          <w:noProof/>
        </w:rPr>
      </w:pPr>
      <w:r>
        <w:rPr>
          <w:noProof/>
        </w:rPr>
        <w:t>Articolul 24</w:t>
      </w:r>
    </w:p>
    <w:p>
      <w:pPr>
        <w:pStyle w:val="NormalCentered"/>
        <w:rPr>
          <w:b/>
          <w:noProof/>
        </w:rPr>
      </w:pPr>
      <w:r>
        <w:rPr>
          <w:b/>
          <w:noProof/>
        </w:rPr>
        <w:t>Utilizarea rezervelor operaționale și tehnice</w:t>
      </w:r>
    </w:p>
    <w:p>
      <w:pPr>
        <w:pStyle w:val="ManualNumPar1"/>
        <w:ind w:left="851" w:hanging="851"/>
        <w:rPr>
          <w:noProof/>
        </w:rPr>
      </w:pPr>
      <w:r>
        <w:rPr>
          <w:noProof/>
        </w:rPr>
        <w:t>(1)</w:t>
      </w:r>
      <w:r>
        <w:rPr>
          <w:noProof/>
        </w:rPr>
        <w:tab/>
        <w:t>Europol instituie și menține rezerve operaționale și tehnice specializate alcătuite din experți desemnați de statele membre pentru a asigura disponibilitatea expertizei de înaltă specializare necesare pentru îndeplinirea atribuțiilor Europol și pentru a sprijini statele membre.</w:t>
      </w:r>
    </w:p>
    <w:p>
      <w:pPr>
        <w:pStyle w:val="ManualNumPar1"/>
        <w:ind w:left="851" w:hanging="851"/>
        <w:rPr>
          <w:noProof/>
        </w:rPr>
      </w:pPr>
      <w:r>
        <w:rPr>
          <w:noProof/>
        </w:rPr>
        <w:t>(2)</w:t>
      </w:r>
      <w:r>
        <w:rPr>
          <w:noProof/>
        </w:rPr>
        <w:tab/>
        <w:t>Statele membre desemnează experți care urmează să fie incluși în rezervele operaționale și tehnice specializate menționate la alineatul (1), în conformitate cu profilurile și cerințele de participare stabilite de Consiliul de administrație, pentru a asigura disponibilitatea expertizei specializate. Desemnarea unui expert în cadrul unei rezerve nu afectează raportul de muncă dintre expertul respectiv și autoritatea competentă a statului membru în cauză.</w:t>
      </w:r>
    </w:p>
    <w:p>
      <w:pPr>
        <w:pStyle w:val="ManualNumPar1"/>
        <w:ind w:left="851" w:hanging="851"/>
        <w:rPr>
          <w:noProof/>
        </w:rPr>
      </w:pPr>
      <w:r>
        <w:rPr>
          <w:noProof/>
        </w:rPr>
        <w:t>(3)</w:t>
      </w:r>
      <w:r>
        <w:rPr>
          <w:noProof/>
        </w:rPr>
        <w:tab/>
        <w:t>Experții care participă la rezerve pot fi detașați la Europol, cu acordul autorității competente a statului membru în cauză.</w:t>
      </w:r>
    </w:p>
    <w:p>
      <w:pPr>
        <w:pStyle w:val="ManualNumPar1"/>
        <w:ind w:left="851" w:hanging="851"/>
        <w:rPr>
          <w:noProof/>
        </w:rPr>
      </w:pPr>
      <w:r>
        <w:rPr>
          <w:noProof/>
        </w:rPr>
        <w:t>(4)</w:t>
      </w:r>
      <w:r>
        <w:rPr>
          <w:noProof/>
        </w:rPr>
        <w:tab/>
        <w:t>Europol poate oferi sprijin financiar statelor membre în ceea ce privește formarea și detașarea experților care participă la rezerve.</w:t>
      </w:r>
    </w:p>
    <w:p>
      <w:pPr>
        <w:pStyle w:val="ManualNumPar1"/>
        <w:ind w:left="851" w:hanging="851"/>
        <w:rPr>
          <w:noProof/>
        </w:rPr>
      </w:pPr>
      <w:r>
        <w:rPr>
          <w:noProof/>
        </w:rPr>
        <w:t>(5)</w:t>
      </w:r>
      <w:r>
        <w:rPr>
          <w:noProof/>
        </w:rPr>
        <w:tab/>
        <w:t>La propunerea directorului executiv, Consiliul de administrație adoptă norme de punere în aplicare privind funcționarea rezervelor, inclusiv modalitățile de detașare a experților, organizarea formării și furnizarea de sprijin financiar menționate la alineatul (4).</w:t>
      </w:r>
    </w:p>
    <w:p>
      <w:pPr>
        <w:pStyle w:val="Text1"/>
        <w:rPr>
          <w:noProof/>
        </w:rPr>
      </w:pPr>
    </w:p>
    <w:p>
      <w:pPr>
        <w:pStyle w:val="SectionTitle"/>
        <w:rPr>
          <w:noProof/>
        </w:rPr>
      </w:pPr>
      <w:r>
        <w:rPr>
          <w:noProof/>
        </w:rPr>
        <w:t xml:space="preserve">Secțiunea 4 </w:t>
      </w:r>
      <w:r>
        <w:rPr>
          <w:noProof/>
        </w:rPr>
        <w:br/>
        <w:t>Structuri naționale de cooperare operațională</w:t>
      </w:r>
    </w:p>
    <w:p>
      <w:pPr>
        <w:pStyle w:val="Titrearticle"/>
        <w:rPr>
          <w:noProof/>
        </w:rPr>
      </w:pPr>
      <w:r>
        <w:rPr>
          <w:noProof/>
        </w:rPr>
        <w:t>Articolul 25</w:t>
      </w:r>
    </w:p>
    <w:p>
      <w:pPr>
        <w:pStyle w:val="NormalCentered"/>
        <w:rPr>
          <w:noProof/>
        </w:rPr>
      </w:pPr>
      <w:r>
        <w:rPr>
          <w:b/>
          <w:noProof/>
        </w:rPr>
        <w:t>Unitățile naționale Europol</w:t>
      </w:r>
    </w:p>
    <w:p>
      <w:pPr>
        <w:pStyle w:val="ManualNumPar1"/>
        <w:rPr>
          <w:noProof/>
        </w:rPr>
      </w:pPr>
      <w:r>
        <w:rPr>
          <w:noProof/>
        </w:rPr>
        <w:t>(1)</w:t>
      </w:r>
      <w:r>
        <w:rPr>
          <w:noProof/>
        </w:rPr>
        <w:tab/>
        <w:t>Statele membre cooperează cu Europol în ceea ce privește îndeplinirea atribuțiilor care le revin, prevăzute în prezentul regulament.</w:t>
      </w:r>
    </w:p>
    <w:p>
      <w:pPr>
        <w:pStyle w:val="ManualNumPar1"/>
        <w:rPr>
          <w:noProof/>
        </w:rPr>
      </w:pPr>
      <w:r>
        <w:rPr>
          <w:noProof/>
        </w:rPr>
        <w:t>(2)</w:t>
      </w:r>
      <w:r>
        <w:rPr>
          <w:noProof/>
        </w:rPr>
        <w:tab/>
        <w:t>Fiecare stat membru înființează sau desemnează o unitate națională Europol.</w:t>
      </w:r>
    </w:p>
    <w:p>
      <w:pPr>
        <w:pStyle w:val="Text1"/>
        <w:rPr>
          <w:noProof/>
        </w:rPr>
      </w:pPr>
      <w:r>
        <w:rPr>
          <w:noProof/>
        </w:rPr>
        <w:t>Unitatea națională Europol constituie organismul de legătură și punctul central de coordonare dintre Europol și autoritățile competente ale statului membru. Fiecare stat membru se asigură că unitatea sa națională Europol este competentă să îndeplinească atribuțiile care i-au fost desemnate în temeiul prezentului regulament și, în special, că are acces la datele naționale privind aplicarea legii și la alte date relevante necesare pentru cooperarea cu Europol.</w:t>
      </w:r>
    </w:p>
    <w:p>
      <w:pPr>
        <w:pStyle w:val="ManualNumPar1"/>
        <w:rPr>
          <w:noProof/>
        </w:rPr>
      </w:pPr>
      <w:r>
        <w:rPr>
          <w:noProof/>
        </w:rPr>
        <w:t>(3)</w:t>
      </w:r>
      <w:r>
        <w:rPr>
          <w:noProof/>
        </w:rPr>
        <w:tab/>
        <w:t>Unitățile naționale Europol asigură coordonarea strategică la nivel național a autorităților competente ale statelor membre ale căror activități intră în sfera de competență a Europol, în scopul cooperării cu Europol.</w:t>
      </w:r>
    </w:p>
    <w:p>
      <w:pPr>
        <w:pStyle w:val="Text1"/>
        <w:rPr>
          <w:noProof/>
        </w:rPr>
      </w:pPr>
      <w:r>
        <w:rPr>
          <w:noProof/>
        </w:rPr>
        <w:t>În acest scop, unitățile naționale Europol, în special:</w:t>
      </w:r>
    </w:p>
    <w:p>
      <w:pPr>
        <w:pStyle w:val="Point1"/>
        <w:rPr>
          <w:noProof/>
        </w:rPr>
      </w:pPr>
      <w:r>
        <w:rPr>
          <w:noProof/>
        </w:rPr>
        <w:t>(a)</w:t>
      </w:r>
      <w:r>
        <w:rPr>
          <w:noProof/>
        </w:rPr>
        <w:tab/>
        <w:t>identifică, consolidează și comunică Europol prioritățile operaționale și nevoile în materie de capacități ale autorităților competente ale statului membru, inclusiv în contextul cadrului menționat la articolul 57;</w:t>
      </w:r>
    </w:p>
    <w:p>
      <w:pPr>
        <w:pStyle w:val="Point1"/>
        <w:rPr>
          <w:noProof/>
        </w:rPr>
      </w:pPr>
      <w:r>
        <w:rPr>
          <w:noProof/>
        </w:rPr>
        <w:t>(b)</w:t>
      </w:r>
      <w:r>
        <w:rPr>
          <w:noProof/>
        </w:rPr>
        <w:tab/>
        <w:t>coordonează contribuțiile naționale la activitățile strategice și analitice ale Europol;</w:t>
      </w:r>
    </w:p>
    <w:p>
      <w:pPr>
        <w:pStyle w:val="Point1"/>
        <w:rPr>
          <w:noProof/>
        </w:rPr>
      </w:pPr>
      <w:r>
        <w:rPr>
          <w:noProof/>
        </w:rPr>
        <w:t>(c)</w:t>
      </w:r>
      <w:r>
        <w:rPr>
          <w:noProof/>
        </w:rPr>
        <w:tab/>
        <w:t>sprijină alinierea priorităților naționale la prioritățile Uniunii pentru prevenirea și combaterea formelor de criminalitate care intră în sfera de competență a Europol.</w:t>
      </w:r>
    </w:p>
    <w:p>
      <w:pPr>
        <w:pStyle w:val="ManualNumPar1"/>
        <w:rPr>
          <w:noProof/>
        </w:rPr>
      </w:pPr>
      <w:r>
        <w:rPr>
          <w:noProof/>
        </w:rPr>
        <w:t>(4)</w:t>
      </w:r>
      <w:r>
        <w:rPr>
          <w:noProof/>
        </w:rPr>
        <w:tab/>
        <w:t>Șefii unităților naționale Europol se reunesc periodic pentru a coordona prioritățile strategice de cooperare cu Europol și pentru a identifica prioritățile operaționale comune și nevoile în materie de capacități.</w:t>
      </w:r>
    </w:p>
    <w:p>
      <w:pPr>
        <w:pStyle w:val="ManualNumPar1"/>
        <w:rPr>
          <w:noProof/>
        </w:rPr>
      </w:pPr>
      <w:r>
        <w:rPr>
          <w:noProof/>
        </w:rPr>
        <w:t>(5)</w:t>
      </w:r>
      <w:r>
        <w:rPr>
          <w:noProof/>
        </w:rPr>
        <w:tab/>
        <w:t>Unitățile naționale Europol facilitează schimbul de informații dintre Europol și autoritățile competente ale statelor lor membre. În acest scop, unitățile naționale Europol:</w:t>
      </w:r>
    </w:p>
    <w:p>
      <w:pPr>
        <w:pStyle w:val="Point1"/>
        <w:rPr>
          <w:noProof/>
        </w:rPr>
      </w:pPr>
      <w:r>
        <w:rPr>
          <w:noProof/>
        </w:rPr>
        <w:t>(a)</w:t>
      </w:r>
      <w:r>
        <w:rPr>
          <w:noProof/>
        </w:rPr>
        <w:tab/>
        <w:t>primesc din partea Europol toate informațiile schimbate în cursul contactelor directe dintre Europol și autoritățile competente ale statelor lor membre, cu excepția cazului în care unitatea națională Europol precizează că nu are nevoie să primească aceste informații;</w:t>
      </w:r>
    </w:p>
    <w:p>
      <w:pPr>
        <w:pStyle w:val="Point1"/>
        <w:rPr>
          <w:noProof/>
        </w:rPr>
      </w:pPr>
      <w:r>
        <w:rPr>
          <w:noProof/>
        </w:rPr>
        <w:t>(b)</w:t>
      </w:r>
      <w:r>
        <w:rPr>
          <w:noProof/>
        </w:rPr>
        <w:tab/>
        <w:t>au acces la datele naționale privind aplicarea legii și la alte date relevante necesare pentru cooperarea cu Europol;</w:t>
      </w:r>
    </w:p>
    <w:p>
      <w:pPr>
        <w:pStyle w:val="Point1"/>
        <w:rPr>
          <w:noProof/>
        </w:rPr>
      </w:pPr>
      <w:r>
        <w:rPr>
          <w:noProof/>
        </w:rPr>
        <w:t>(c)</w:t>
      </w:r>
      <w:r>
        <w:rPr>
          <w:noProof/>
        </w:rPr>
        <w:tab/>
        <w:t>contribuie la îndeplinirea sarcinilor atribuite autorităților competente ale statelor membre în legătură cu obligațiile care le revin în ceea ce privește schimbul de informații cu Europol, în conformitate cu capitolul III.</w:t>
      </w:r>
    </w:p>
    <w:p>
      <w:pPr>
        <w:pStyle w:val="ManualNumPar1"/>
        <w:rPr>
          <w:noProof/>
        </w:rPr>
      </w:pPr>
      <w:r>
        <w:rPr>
          <w:noProof/>
        </w:rPr>
        <w:t>(6)</w:t>
      </w:r>
      <w:r>
        <w:rPr>
          <w:noProof/>
        </w:rPr>
        <w:tab/>
        <w:t>Unitatea națională Europol se asigură că statele membre beneficiază în mod corespunzător de sprijinul operațional acordat de Europol, inclusiv prin facilitarea integrării sprijinului și a instrumentelor Europol în investigațiile naționale și a participării autorităților competente ale statului membru la activitățile operaționale coordonate, organizate sau sprijinite de Europol, inclusiv la grupurile de acțiune operaționale și la detașările din partea Europol.</w:t>
      </w:r>
    </w:p>
    <w:p>
      <w:pPr>
        <w:pStyle w:val="Text1"/>
        <w:rPr>
          <w:noProof/>
        </w:rPr>
      </w:pPr>
      <w:r>
        <w:rPr>
          <w:noProof/>
        </w:rPr>
        <w:t>În scopurile menționate la primul paragraf, unitatea națională Europol include un birou de sprijin Europol, înființat în conformitate cu articolul 26.</w:t>
      </w:r>
    </w:p>
    <w:p>
      <w:pPr>
        <w:pStyle w:val="ManualNumPar1"/>
        <w:rPr>
          <w:noProof/>
        </w:rPr>
      </w:pPr>
      <w:r>
        <w:rPr>
          <w:noProof/>
        </w:rPr>
        <w:t>(7)</w:t>
      </w:r>
      <w:r>
        <w:rPr>
          <w:noProof/>
        </w:rPr>
        <w:tab/>
        <w:t>Unitățile naționale Europol asigură coordonarea la nivel național a activităților desfășurate în cadrul EMPACT, inclusiv prin sprijinirea coordonatorului național EMPACT în planificarea și punerea în practică a activităților EMPACT și prin facilitarea implicării autorităților competente ale statului membru.</w:t>
      </w:r>
    </w:p>
    <w:p>
      <w:pPr>
        <w:pStyle w:val="Text1"/>
        <w:rPr>
          <w:noProof/>
        </w:rPr>
      </w:pPr>
      <w:r>
        <w:rPr>
          <w:noProof/>
        </w:rPr>
        <w:t>În scopurile menționate la primul paragraf, unitatea națională Europol include o echipă de sprijin EMPACT.</w:t>
      </w:r>
    </w:p>
    <w:p>
      <w:pPr>
        <w:pStyle w:val="Text1"/>
        <w:rPr>
          <w:noProof/>
        </w:rPr>
      </w:pPr>
      <w:r>
        <w:rPr>
          <w:noProof/>
        </w:rPr>
        <w:t>Fiecare stat membru care inițiază sau participă la o acțiune operațională a EMPACT sprijinită de Europol utilizează SIENA, ori de câte ori este fezabil, pentru a furniza fără întârziere toate informațiile relevante către Europol și alte state membre.</w:t>
      </w:r>
    </w:p>
    <w:p>
      <w:pPr>
        <w:pStyle w:val="ManualNumPar1"/>
        <w:rPr>
          <w:noProof/>
        </w:rPr>
      </w:pPr>
      <w:r>
        <w:rPr>
          <w:noProof/>
        </w:rPr>
        <w:t>(8)</w:t>
      </w:r>
      <w:r>
        <w:rPr>
          <w:noProof/>
        </w:rPr>
        <w:tab/>
        <w:t>Costurile suportate de unitățile naționale Europol în cadrul procesului de comunicare cu Europol sunt suportate de statele membre și, cu excepția costurilor de conectare, nu sunt imputate Europol.</w:t>
      </w:r>
    </w:p>
    <w:p>
      <w:pPr>
        <w:pStyle w:val="Text1"/>
        <w:rPr>
          <w:noProof/>
        </w:rPr>
      </w:pPr>
      <w:r>
        <w:rPr>
          <w:noProof/>
        </w:rPr>
        <w:t>Europol sprijină funcționarea și capacitatea unităților naționale Europol, inclusiv funcțiile de sprijin ale acestora.</w:t>
      </w:r>
    </w:p>
    <w:p>
      <w:pPr>
        <w:pStyle w:val="Text1"/>
        <w:rPr>
          <w:noProof/>
        </w:rPr>
      </w:pPr>
      <w:r>
        <w:rPr>
          <w:noProof/>
        </w:rPr>
        <w:t xml:space="preserve">Acest sprijin include contribuții financiare pentru unitățile naționale Europol, prevăzute în conformitate cu normele adoptate în temeiul articolului 124. </w:t>
      </w:r>
    </w:p>
    <w:p>
      <w:pPr>
        <w:pStyle w:val="Titrearticle"/>
        <w:rPr>
          <w:noProof/>
        </w:rPr>
      </w:pPr>
      <w:r>
        <w:rPr>
          <w:noProof/>
        </w:rPr>
        <w:t>Articolul 26</w:t>
      </w:r>
    </w:p>
    <w:p>
      <w:pPr>
        <w:pStyle w:val="NormalCentered"/>
        <w:keepNext/>
        <w:rPr>
          <w:noProof/>
        </w:rPr>
      </w:pPr>
      <w:r>
        <w:rPr>
          <w:b/>
          <w:noProof/>
        </w:rPr>
        <w:t>Birourile de sprijin Europol</w:t>
      </w:r>
    </w:p>
    <w:p>
      <w:pPr>
        <w:pStyle w:val="ManualNumPar1"/>
        <w:rPr>
          <w:noProof/>
        </w:rPr>
      </w:pPr>
      <w:r>
        <w:rPr>
          <w:noProof/>
        </w:rPr>
        <w:t>(1)</w:t>
      </w:r>
      <w:r>
        <w:rPr>
          <w:noProof/>
        </w:rPr>
        <w:tab/>
        <w:t>Statele membre înființează un birou de sprijin Europol în cadrul unității naționale Europol pentru a se asigura că statele membre beneficiază în mod corespunzător de sprijinul acordat de Europol.</w:t>
      </w:r>
    </w:p>
    <w:p>
      <w:pPr>
        <w:pStyle w:val="ManualNumPar1"/>
        <w:rPr>
          <w:noProof/>
        </w:rPr>
      </w:pPr>
      <w:r>
        <w:rPr>
          <w:noProof/>
        </w:rPr>
        <w:t>(2)</w:t>
      </w:r>
      <w:r>
        <w:rPr>
          <w:noProof/>
        </w:rPr>
        <w:tab/>
        <w:t>După caz, birourile de sprijin Europol:</w:t>
      </w:r>
    </w:p>
    <w:p>
      <w:pPr>
        <w:pStyle w:val="Point1"/>
        <w:rPr>
          <w:noProof/>
        </w:rPr>
      </w:pPr>
      <w:r>
        <w:rPr>
          <w:noProof/>
        </w:rPr>
        <w:t>(a)</w:t>
      </w:r>
      <w:r>
        <w:rPr>
          <w:noProof/>
        </w:rPr>
        <w:tab/>
        <w:t>facilitează utilizarea și integrarea sprijinului operațional, a produselor analitice și a cunoștințelor de specialitate ale Europol de către autoritățile competente ale statului membru;</w:t>
      </w:r>
    </w:p>
    <w:p>
      <w:pPr>
        <w:pStyle w:val="Point1"/>
        <w:rPr>
          <w:noProof/>
        </w:rPr>
      </w:pPr>
      <w:r>
        <w:rPr>
          <w:noProof/>
        </w:rPr>
        <w:t>(b)</w:t>
      </w:r>
      <w:r>
        <w:rPr>
          <w:noProof/>
        </w:rPr>
        <w:tab/>
        <w:t>sprijină pregătirea, desfășurarea și monitorizarea activităților operaționale sprijinite de Europol, inclusiv a grupurilor de acțiune operaționale și a detașărilor din partea Europol;</w:t>
      </w:r>
    </w:p>
    <w:p>
      <w:pPr>
        <w:pStyle w:val="Point1"/>
        <w:rPr>
          <w:noProof/>
        </w:rPr>
      </w:pPr>
      <w:r>
        <w:rPr>
          <w:noProof/>
        </w:rPr>
        <w:t>(c)</w:t>
      </w:r>
      <w:r>
        <w:rPr>
          <w:noProof/>
        </w:rPr>
        <w:tab/>
        <w:t xml:space="preserve">facilitează mobilizarea capacităților specializate pentru investigații la nivel național. </w:t>
      </w:r>
    </w:p>
    <w:p>
      <w:pPr>
        <w:pStyle w:val="ManualNumPar1"/>
        <w:rPr>
          <w:noProof/>
        </w:rPr>
      </w:pPr>
      <w:r>
        <w:rPr>
          <w:noProof/>
        </w:rPr>
        <w:t>(3)</w:t>
      </w:r>
      <w:r>
        <w:rPr>
          <w:noProof/>
        </w:rPr>
        <w:tab/>
        <w:t>Birourile de sprijin Europol sunt alcătuite din personal Europol detașat cu experiență anterioară în cadrul autorităților competente ale statului membru în care este stabilit biroul de sprijin Europol. Personalul respectiv își desfășoară activitatea sub responsabilitatea Europol și a statului membru în care este stabilit biroul de sprijin Europol, în conformitate cu normele de punere în aplicare menționate la alineatul (4).</w:t>
      </w:r>
    </w:p>
    <w:p>
      <w:pPr>
        <w:pStyle w:val="ManualNumPar1"/>
        <w:rPr>
          <w:noProof/>
        </w:rPr>
      </w:pPr>
      <w:r>
        <w:rPr>
          <w:noProof/>
        </w:rPr>
        <w:t>(4)</w:t>
      </w:r>
      <w:r>
        <w:rPr>
          <w:noProof/>
        </w:rPr>
        <w:tab/>
        <w:t>La propunerea directorului executiv, Consiliul de administrație adoptă normele de punere în aplicare care reglementează înființarea, organizarea și funcționarea birourilor de sprijin Europol, inclusiv cerințele minime care trebuie îndeplinite de către personalul Europol detașat la aceste birouri, dispozițiile care reglementează detașarea acestora și repartizarea responsabilităților între Europol și statul membru în care este stabilit biroul de sprijin Europol.</w:t>
      </w:r>
    </w:p>
    <w:p>
      <w:pPr>
        <w:pStyle w:val="Titrearticle"/>
        <w:rPr>
          <w:noProof/>
        </w:rPr>
      </w:pPr>
      <w:r>
        <w:rPr>
          <w:noProof/>
        </w:rPr>
        <w:t>Articolul 27</w:t>
      </w:r>
    </w:p>
    <w:p>
      <w:pPr>
        <w:pStyle w:val="NormalCentered"/>
        <w:rPr>
          <w:noProof/>
        </w:rPr>
      </w:pPr>
      <w:r>
        <w:rPr>
          <w:b/>
          <w:noProof/>
        </w:rPr>
        <w:t>Ofițerii de legătură</w:t>
      </w:r>
    </w:p>
    <w:p>
      <w:pPr>
        <w:pStyle w:val="ManualNumPar1"/>
        <w:rPr>
          <w:noProof/>
        </w:rPr>
      </w:pPr>
      <w:r>
        <w:rPr>
          <w:noProof/>
        </w:rPr>
        <w:t>(1)</w:t>
      </w:r>
      <w:r>
        <w:rPr>
          <w:noProof/>
        </w:rPr>
        <w:tab/>
        <w:t>Fiecare unitate națională Europol desemnează cel puțin un ofițer de legătură care să fie atașat pe lângă Europol.</w:t>
      </w:r>
    </w:p>
    <w:p>
      <w:pPr>
        <w:pStyle w:val="Text1"/>
        <w:rPr>
          <w:noProof/>
        </w:rPr>
      </w:pPr>
      <w:r>
        <w:rPr>
          <w:noProof/>
        </w:rPr>
        <w:t>Sub rezerva unor dispoziții contrare prevăzute de prezentul regulament, ofițerii de legătură se supun dreptului intern al statului membru care i-a desemnat.</w:t>
      </w:r>
    </w:p>
    <w:p>
      <w:pPr>
        <w:pStyle w:val="ManualNumPar1"/>
        <w:rPr>
          <w:noProof/>
        </w:rPr>
      </w:pPr>
      <w:r>
        <w:rPr>
          <w:noProof/>
        </w:rPr>
        <w:t>(2)</w:t>
      </w:r>
      <w:r>
        <w:rPr>
          <w:noProof/>
        </w:rPr>
        <w:tab/>
        <w:t>Ofițerii de legătură constituie birourile naționale de legătură la Europol și sunt instruiți de către unitățile naționale Europol să reprezinte interesele statului membru pe care îl reprezintă în cadrul Europol, în conformitate cu dreptul intern al statului membru care i-a desemnat și cu dispozițiile aplicabile administrației Europol.</w:t>
      </w:r>
    </w:p>
    <w:p>
      <w:pPr>
        <w:pStyle w:val="ManualNumPar1"/>
        <w:rPr>
          <w:noProof/>
        </w:rPr>
      </w:pPr>
      <w:r>
        <w:rPr>
          <w:noProof/>
        </w:rPr>
        <w:t>(3)</w:t>
      </w:r>
      <w:r>
        <w:rPr>
          <w:noProof/>
        </w:rPr>
        <w:tab/>
        <w:t>Ofițerii de legătură sprijină integrarea efectivă a sprijinului acordat de Europol în activitățile operaționale naționale.</w:t>
      </w:r>
    </w:p>
    <w:p>
      <w:pPr>
        <w:pStyle w:val="Text1"/>
        <w:rPr>
          <w:noProof/>
        </w:rPr>
      </w:pPr>
      <w:r>
        <w:rPr>
          <w:noProof/>
        </w:rPr>
        <w:t>În acest scop, ofițerii de legătură, în coordonare cu Europol, contribuie la furnizarea de sprijin adaptat nevoilor și cerințelor operaționale ale statului lor membru.</w:t>
      </w:r>
    </w:p>
    <w:p>
      <w:pPr>
        <w:pStyle w:val="ManualNumPar1"/>
        <w:rPr>
          <w:noProof/>
        </w:rPr>
      </w:pPr>
      <w:r>
        <w:rPr>
          <w:noProof/>
        </w:rPr>
        <w:t>(4)</w:t>
      </w:r>
      <w:r>
        <w:rPr>
          <w:noProof/>
        </w:rPr>
        <w:tab/>
        <w:t>Ofițerii de legătură acordă asistență în ceea ce privește schimbul de informații între Europol și statele membre.</w:t>
      </w:r>
    </w:p>
    <w:p>
      <w:pPr>
        <w:pStyle w:val="ManualNumPar1"/>
        <w:rPr>
          <w:noProof/>
        </w:rPr>
      </w:pPr>
      <w:r>
        <w:rPr>
          <w:noProof/>
        </w:rPr>
        <w:t>(5)</w:t>
      </w:r>
      <w:r>
        <w:rPr>
          <w:noProof/>
        </w:rPr>
        <w:tab/>
        <w:t>Ofițerii de legătură acordă, în conformitate cu dreptul intern, asistență în ceea ce privește schimbul de informații între statele membre și ofițerii de legătură ai altor state membre, țări terțe și organizații internaționale.</w:t>
      </w:r>
    </w:p>
    <w:p>
      <w:pPr>
        <w:pStyle w:val="Text1"/>
        <w:rPr>
          <w:noProof/>
        </w:rPr>
      </w:pPr>
      <w:r>
        <w:rPr>
          <w:noProof/>
        </w:rPr>
        <w:t>Infrastructura Europol poate fi utilizată, în conformitate cu dreptul intern, pentru astfel de schimburi bilaterale, inclusiv pentru a acoperi forme de criminalitate care nu intră în sfera de competență a Europol. Toate aceste schimburi de informații respectă dreptul Uniunii și dreptul intern aplicabile.</w:t>
      </w:r>
    </w:p>
    <w:p>
      <w:pPr>
        <w:pStyle w:val="ManualNumPar1"/>
        <w:rPr>
          <w:noProof/>
        </w:rPr>
      </w:pPr>
      <w:r>
        <w:rPr>
          <w:noProof/>
        </w:rPr>
        <w:t>(6)</w:t>
      </w:r>
      <w:r>
        <w:rPr>
          <w:noProof/>
        </w:rPr>
        <w:tab/>
        <w:t>Prin schimbul de informații menționat la alineatul (5), ofițerii de legătură sprijină identificarea legăturilor operaționale și coordonarea răspunsurilor operaționale și de investigare transfrontaliere, în strânsă cooperare cu Serviciul operațional și de analiză.</w:t>
      </w:r>
    </w:p>
    <w:p>
      <w:pPr>
        <w:pStyle w:val="ManualNumPar1"/>
        <w:rPr>
          <w:noProof/>
        </w:rPr>
      </w:pPr>
      <w:r>
        <w:rPr>
          <w:noProof/>
        </w:rPr>
        <w:t>(7)</w:t>
      </w:r>
      <w:r>
        <w:rPr>
          <w:noProof/>
        </w:rPr>
        <w:tab/>
        <w:t>Consiliul de administrație stabilește drepturile și obligațiile ofițerilor de legătură în relația cu Europol. Ofițerii de legătură se bucură de privilegiile și imunitățile necesare pentru îndeplinirea atribuțiilor care le revin, în conformitate cu articolul 125 alineatul (2).</w:t>
      </w:r>
    </w:p>
    <w:p>
      <w:pPr>
        <w:pStyle w:val="ManualNumPar1"/>
        <w:rPr>
          <w:noProof/>
        </w:rPr>
      </w:pPr>
      <w:r>
        <w:rPr>
          <w:noProof/>
        </w:rPr>
        <w:t>(8)</w:t>
      </w:r>
      <w:r>
        <w:rPr>
          <w:noProof/>
        </w:rPr>
        <w:tab/>
        <w:t>Europol se asigură că ofițerii de legătură sunt pe deplin informați și implicați în toate activitățile sale, în măsura necesară pentru îndeplinirea atribuțiilor lor.</w:t>
      </w:r>
    </w:p>
    <w:p>
      <w:pPr>
        <w:pStyle w:val="ManualNumPar1"/>
        <w:rPr>
          <w:noProof/>
        </w:rPr>
      </w:pPr>
      <w:r>
        <w:rPr>
          <w:noProof/>
        </w:rPr>
        <w:t>(9)</w:t>
      </w:r>
      <w:r>
        <w:rPr>
          <w:noProof/>
        </w:rPr>
        <w:tab/>
        <w:t>Europol suportă costurile pentru punerea la dispoziția statelor membre a spațiilor necesare în sediul Europol și acordă ofițerilor de legătură sprijinul adecvat în scopul îndeplinirii sarcinilor care le revin. Toate celelalte costuri aferente desemnării ofițerilor de legătură sunt suportate de statul membru care i-a desemnat, inclusiv costurile cu echipamentele ofițerilor de legătură.</w:t>
      </w:r>
    </w:p>
    <w:p>
      <w:pPr>
        <w:pStyle w:val="ChapterTitle"/>
        <w:rPr>
          <w:noProof/>
        </w:rPr>
      </w:pPr>
      <w:r>
        <w:rPr>
          <w:noProof/>
        </w:rPr>
        <w:t xml:space="preserve">CAPITOLUL III </w:t>
      </w:r>
      <w:r>
        <w:rPr>
          <w:noProof/>
        </w:rPr>
        <w:br/>
        <w:t>Gestionarea informațiilor</w:t>
      </w:r>
    </w:p>
    <w:p>
      <w:pPr>
        <w:pStyle w:val="SectionTitle"/>
        <w:rPr>
          <w:noProof/>
        </w:rPr>
      </w:pPr>
      <w:r>
        <w:rPr>
          <w:noProof/>
        </w:rPr>
        <w:t xml:space="preserve">Secțiunea 1 </w:t>
      </w:r>
      <w:r>
        <w:rPr>
          <w:noProof/>
        </w:rPr>
        <w:br/>
        <w:t>Norme orizontale privind prelucrarea datelor</w:t>
      </w:r>
    </w:p>
    <w:p>
      <w:pPr>
        <w:keepNext/>
        <w:spacing w:before="360"/>
        <w:jc w:val="center"/>
        <w:rPr>
          <w:i/>
          <w:noProof/>
        </w:rPr>
      </w:pPr>
      <w:r>
        <w:rPr>
          <w:i/>
          <w:noProof/>
        </w:rPr>
        <w:t>Articolul 28</w:t>
      </w:r>
    </w:p>
    <w:p>
      <w:pPr>
        <w:pStyle w:val="NormalCentered"/>
        <w:rPr>
          <w:noProof/>
        </w:rPr>
      </w:pPr>
      <w:r>
        <w:rPr>
          <w:b/>
          <w:noProof/>
        </w:rPr>
        <w:t>Surse de informații</w:t>
      </w:r>
    </w:p>
    <w:p>
      <w:pPr>
        <w:pStyle w:val="ManualNumPar1"/>
        <w:rPr>
          <w:noProof/>
        </w:rPr>
      </w:pPr>
      <w:r>
        <w:rPr>
          <w:noProof/>
        </w:rPr>
        <w:t>(1)</w:t>
      </w:r>
      <w:r>
        <w:rPr>
          <w:noProof/>
        </w:rPr>
        <w:tab/>
        <w:t>Europol poate prelucra doar informațiile care i-au fost furnizate:</w:t>
      </w:r>
    </w:p>
    <w:p>
      <w:pPr>
        <w:pStyle w:val="Point1"/>
        <w:rPr>
          <w:noProof/>
        </w:rPr>
      </w:pPr>
      <w:r>
        <w:rPr>
          <w:noProof/>
        </w:rPr>
        <w:t>(a)</w:t>
      </w:r>
      <w:r>
        <w:rPr>
          <w:noProof/>
        </w:rPr>
        <w:tab/>
        <w:t>de către statele membre, în conformitate cu dreptul intern al acestora și cu articolul 29;</w:t>
      </w:r>
    </w:p>
    <w:p>
      <w:pPr>
        <w:pStyle w:val="Point1"/>
        <w:rPr>
          <w:noProof/>
        </w:rPr>
      </w:pPr>
      <w:r>
        <w:rPr>
          <w:noProof/>
        </w:rPr>
        <w:t>(b)</w:t>
      </w:r>
      <w:r>
        <w:rPr>
          <w:noProof/>
        </w:rPr>
        <w:tab/>
        <w:t>de către instituțiile, organele, misiunile, oficiile și agențiile Uniunii, țările terțe și organizațiile internaționale;</w:t>
      </w:r>
    </w:p>
    <w:p>
      <w:pPr>
        <w:pStyle w:val="Point1"/>
        <w:rPr>
          <w:noProof/>
        </w:rPr>
      </w:pPr>
      <w:r>
        <w:rPr>
          <w:noProof/>
        </w:rPr>
        <w:t>(c)</w:t>
      </w:r>
      <w:r>
        <w:rPr>
          <w:noProof/>
        </w:rPr>
        <w:tab/>
        <w:t>de către părți private și persoane fizice.</w:t>
      </w:r>
    </w:p>
    <w:p>
      <w:pPr>
        <w:pStyle w:val="ManualNumPar1"/>
        <w:rPr>
          <w:noProof/>
        </w:rPr>
      </w:pPr>
      <w:r>
        <w:rPr>
          <w:noProof/>
        </w:rPr>
        <w:t>(2)</w:t>
      </w:r>
      <w:r>
        <w:rPr>
          <w:noProof/>
        </w:rPr>
        <w:tab/>
        <w:t>Europol poate extrage și prelucra în mod direct informații, inclusiv date cu caracter personal, din surse aflate la dispoziția publicului, inclusiv internetul și datele publice.</w:t>
      </w:r>
    </w:p>
    <w:p>
      <w:pPr>
        <w:pStyle w:val="ManualNumPar1"/>
        <w:rPr>
          <w:noProof/>
        </w:rPr>
      </w:pPr>
      <w:r>
        <w:rPr>
          <w:noProof/>
        </w:rPr>
        <w:t>(3)</w:t>
      </w:r>
      <w:r>
        <w:rPr>
          <w:noProof/>
        </w:rPr>
        <w:tab/>
        <w:t>În măsura în care are dreptul, în temeiul instrumentelor juridice ale Uniunii, internaționale sau naționale, să acceseze date din sisteme informaționale naționale, internaționale sau ale Uniunii, Europol poate extrage și prelucra informații, inclusiv date cu caracter personal, prin aceste mijloace, dacă și în măsura în care acest lucru este necesar pentru îndeplinirea atribuțiilor sale. Dispozițiile aplicabile ale respectivelor instrumente juridice ale Uniunii, internaționale sau naționale reglementează accesul la astfel de informații și utilizarea acestora de către Europol, în măsura în care prevăd reguli de acces și de utilizare mai stricte decât cele prevăzute în prezentul regulament. Accesul la astfel de sisteme de informații este acordat doar personalului autorizat în mod corespunzător, și numai în măsura în care este necesar și proporțional pentru îndeplinirea atribuțiilor acestuia.</w:t>
      </w:r>
    </w:p>
    <w:p>
      <w:pPr>
        <w:keepNext/>
        <w:spacing w:before="360"/>
        <w:jc w:val="center"/>
        <w:rPr>
          <w:i/>
          <w:noProof/>
        </w:rPr>
      </w:pPr>
      <w:r>
        <w:rPr>
          <w:i/>
          <w:noProof/>
        </w:rPr>
        <w:t>Articolul 29</w:t>
      </w:r>
    </w:p>
    <w:p>
      <w:pPr>
        <w:pStyle w:val="NormalCentered"/>
        <w:rPr>
          <w:noProof/>
        </w:rPr>
      </w:pPr>
      <w:r>
        <w:rPr>
          <w:b/>
          <w:noProof/>
        </w:rPr>
        <w:t>Furnizarea de informații de către statele membre</w:t>
      </w:r>
    </w:p>
    <w:p>
      <w:pPr>
        <w:pStyle w:val="ManualNumPar1"/>
        <w:rPr>
          <w:noProof/>
        </w:rPr>
      </w:pPr>
      <w:r>
        <w:rPr>
          <w:noProof/>
        </w:rPr>
        <w:t>(1)</w:t>
      </w:r>
      <w:r>
        <w:rPr>
          <w:noProof/>
        </w:rPr>
        <w:tab/>
        <w:t>Statele membre furnizează Europol în timp util informațiile necesare pentru ca Europol să își îndeplinească atribuțiile.</w:t>
      </w:r>
    </w:p>
    <w:p>
      <w:pPr>
        <w:pStyle w:val="ManualNumPar1"/>
        <w:rPr>
          <w:noProof/>
        </w:rPr>
      </w:pPr>
      <w:r>
        <w:rPr>
          <w:noProof/>
        </w:rPr>
        <w:t>(2)</w:t>
      </w:r>
      <w:r>
        <w:rPr>
          <w:noProof/>
        </w:rPr>
        <w:tab/>
        <w:t>Statele membre asigură participarea efectivă a autorităților competente ale statelor membre la cadrele privind schimbul de informații și gestionarea datelor operaționale instituite în temeiul prezentului regulament și, după caz, permit furnizarea structurată, automatizată și interoperabilă de informații către Europol în conformitate cu dreptul Uniunii și cu dreptul intern aplicabil.</w:t>
      </w:r>
    </w:p>
    <w:p>
      <w:pPr>
        <w:pStyle w:val="ManualNumPar1"/>
        <w:rPr>
          <w:noProof/>
        </w:rPr>
      </w:pPr>
      <w:r>
        <w:rPr>
          <w:noProof/>
        </w:rPr>
        <w:t>(3)</w:t>
      </w:r>
      <w:r>
        <w:rPr>
          <w:noProof/>
        </w:rPr>
        <w:tab/>
        <w:t>Ofițerii de legătură în materie de imigrație desemnați de autoritățile competente ale statelor membre furnizează Europol informațiile relevante prin intermediul cadrelor privind schimbul de informații instituite în temeiul prezentului regulament, utilizând sistemul SIENA. În cazul în care acest lucru nu este posibil din motive juridice, organizatorice sau tehnice, statele membre se asigură că informațiile relevante sunt transmise Europol prin alte canale securizate de către autoritățile competente ale statelor membre în cauză.</w:t>
      </w:r>
    </w:p>
    <w:p>
      <w:pPr>
        <w:pStyle w:val="ManualNumPar1"/>
        <w:rPr>
          <w:noProof/>
        </w:rPr>
      </w:pPr>
      <w:r>
        <w:rPr>
          <w:noProof/>
        </w:rPr>
        <w:t>(4)</w:t>
      </w:r>
      <w:r>
        <w:rPr>
          <w:noProof/>
        </w:rPr>
        <w:tab/>
        <w:t>În conformitate cu articolul 107, unitatea națională Europol și autoritățile competente ale statului membru în cauză sunt responsabile de asigurarea respectării dreptului intern atunci când furnizează informații Europol și de asigurarea, în măsura posibilului, a caracterului complet, a exactității și a actualității acestor informații.</w:t>
      </w:r>
    </w:p>
    <w:p>
      <w:pPr>
        <w:pStyle w:val="ManualNumPar1"/>
        <w:rPr>
          <w:noProof/>
        </w:rPr>
      </w:pPr>
      <w:r>
        <w:rPr>
          <w:noProof/>
        </w:rPr>
        <w:t>(5)</w:t>
      </w:r>
      <w:r>
        <w:rPr>
          <w:noProof/>
        </w:rPr>
        <w:tab/>
        <w:t xml:space="preserve">Fără a aduce atingere exercitării atribuțiilor care le revin statelor membre cu privire la menținerea ordinii publice și apărarea securității interne, statele membre pot refuza să furnizeze informații pe baza unuia sau mai multora dintre următoarele motive: </w:t>
      </w:r>
    </w:p>
    <w:p>
      <w:pPr>
        <w:pStyle w:val="Point1"/>
        <w:rPr>
          <w:noProof/>
        </w:rPr>
      </w:pPr>
      <w:r>
        <w:rPr>
          <w:noProof/>
        </w:rPr>
        <w:t>(a)</w:t>
      </w:r>
      <w:r>
        <w:rPr>
          <w:noProof/>
        </w:rPr>
        <w:tab/>
        <w:t>furnizarea de informații contravine intereselor esențiale ale siguranței statului membru în cauză;</w:t>
      </w:r>
    </w:p>
    <w:p>
      <w:pPr>
        <w:pStyle w:val="Point1"/>
        <w:rPr>
          <w:noProof/>
        </w:rPr>
      </w:pPr>
      <w:r>
        <w:rPr>
          <w:noProof/>
        </w:rPr>
        <w:t>(b)</w:t>
      </w:r>
      <w:r>
        <w:rPr>
          <w:noProof/>
        </w:rPr>
        <w:tab/>
        <w:t>furnizarea de informații pune în pericol reușita unei anchete în curs sau siguranța unei persoane;</w:t>
      </w:r>
    </w:p>
    <w:p>
      <w:pPr>
        <w:pStyle w:val="Point1"/>
        <w:rPr>
          <w:noProof/>
        </w:rPr>
      </w:pPr>
      <w:r>
        <w:rPr>
          <w:noProof/>
        </w:rPr>
        <w:t>(c)</w:t>
      </w:r>
      <w:r>
        <w:rPr>
          <w:noProof/>
        </w:rPr>
        <w:tab/>
        <w:t>furnizarea de informații ar divulga informații referitoare la organizații sau la activități specifice ale serviciilor de informații în domeniul securității naționale.</w:t>
      </w:r>
    </w:p>
    <w:p>
      <w:pPr>
        <w:pStyle w:val="Text1"/>
        <w:rPr>
          <w:noProof/>
        </w:rPr>
      </w:pPr>
      <w:r>
        <w:rPr>
          <w:noProof/>
        </w:rPr>
        <w:t>Statele membre furnizează informații de îndată ce motivele menționate la primul paragraf litera (a), (b) sau (c) încetează să existe.</w:t>
      </w:r>
    </w:p>
    <w:p>
      <w:pPr>
        <w:pStyle w:val="ManualNumPar1"/>
        <w:rPr>
          <w:noProof/>
        </w:rPr>
      </w:pPr>
      <w:r>
        <w:rPr>
          <w:noProof/>
        </w:rPr>
        <w:t>(6)</w:t>
      </w:r>
      <w:r>
        <w:rPr>
          <w:noProof/>
        </w:rPr>
        <w:tab/>
        <w:t>Europol realizează o evaluare anuală a informațiilor furnizate de statele membre în temeiul prezentului articol pe baza criteriilor cantitative și calitative definite de Consiliul de administrație. Evaluarea este transmisă Parlamentului European, Consiliului, Comisiei și parlamentelor naționale.</w:t>
      </w:r>
    </w:p>
    <w:p>
      <w:pPr>
        <w:keepNext/>
        <w:spacing w:before="360"/>
        <w:jc w:val="center"/>
        <w:rPr>
          <w:i/>
          <w:noProof/>
        </w:rPr>
      </w:pPr>
      <w:r>
        <w:rPr>
          <w:i/>
          <w:noProof/>
        </w:rPr>
        <w:t>Articolul 30</w:t>
      </w:r>
    </w:p>
    <w:p>
      <w:pPr>
        <w:pStyle w:val="NormalCentered"/>
        <w:keepNext/>
        <w:rPr>
          <w:noProof/>
        </w:rPr>
      </w:pPr>
      <w:r>
        <w:rPr>
          <w:b/>
          <w:noProof/>
        </w:rPr>
        <w:t>Rolul Europol în ceea ce privește Sistemul de informații Schengen</w:t>
      </w:r>
    </w:p>
    <w:p>
      <w:pPr>
        <w:pStyle w:val="ManualNumPar1"/>
        <w:rPr>
          <w:noProof/>
        </w:rPr>
      </w:pPr>
      <w:r>
        <w:rPr>
          <w:noProof/>
        </w:rPr>
        <w:t>(1)</w:t>
      </w:r>
      <w:r>
        <w:rPr>
          <w:noProof/>
        </w:rPr>
        <w:tab/>
        <w:t>Europol asigură, prin intermediul biroului SIRENE, schimbul de informații suplimentare și disponibilitatea acestora, în conformitate cu Regulamentele (UE) 2018/1860</w:t>
      </w:r>
      <w:r>
        <w:rPr>
          <w:rStyle w:val="FootnoteReference"/>
          <w:noProof/>
        </w:rPr>
        <w:footnoteReference w:id="67"/>
      </w:r>
      <w:r>
        <w:rPr>
          <w:noProof/>
        </w:rPr>
        <w:t>, (UE) 2018/1861</w:t>
      </w:r>
      <w:r>
        <w:rPr>
          <w:rStyle w:val="FootnoteReference"/>
          <w:noProof/>
        </w:rPr>
        <w:footnoteReference w:id="68"/>
      </w:r>
      <w:r>
        <w:rPr>
          <w:noProof/>
        </w:rPr>
        <w:t xml:space="preserve"> și (UE) 2018/1862</w:t>
      </w:r>
      <w:r>
        <w:rPr>
          <w:rStyle w:val="FootnoteReference"/>
          <w:noProof/>
        </w:rPr>
        <w:footnoteReference w:id="69"/>
      </w:r>
      <w:r>
        <w:rPr>
          <w:noProof/>
        </w:rPr>
        <w:t xml:space="preserve"> ale Parlamentului European și ale Consiliului. </w:t>
      </w:r>
    </w:p>
    <w:p>
      <w:pPr>
        <w:pStyle w:val="ManualNumPar1"/>
        <w:rPr>
          <w:noProof/>
        </w:rPr>
      </w:pPr>
      <w:r>
        <w:rPr>
          <w:noProof/>
        </w:rPr>
        <w:t>(2)</w:t>
      </w:r>
      <w:r>
        <w:rPr>
          <w:noProof/>
        </w:rPr>
        <w:tab/>
        <w:t>Europol sprijină statele membre, la cererea statului membru care a emis semnalarea, prin facilitarea verificării încrucișate și a analizei datelor semnalării și a informațiilor suplimentare în raport cu informațiile stocate la Europol, în special pentru a localiza persoanele care fac obiectul unei semnalări.</w:t>
      </w:r>
    </w:p>
    <w:p>
      <w:pPr>
        <w:pStyle w:val="ManualNumPar1"/>
        <w:rPr>
          <w:noProof/>
        </w:rPr>
      </w:pPr>
      <w:r>
        <w:rPr>
          <w:noProof/>
        </w:rPr>
        <w:t>(3)</w:t>
      </w:r>
      <w:r>
        <w:rPr>
          <w:noProof/>
        </w:rPr>
        <w:tab/>
        <w:t>Europol transmite statelor membre, la cerere, informațiile pe care le primește în conformitate cu articolul 35 alineatul (8) din Regulamentul (UE) 2018/1861 și în conformitate cu articolul 48 alineatul (8) din Regulamentul (UE) 2018/1862, prin schimb de informații suplimentare, sub rezerva restricțiilor privind prelucrarea informațiilor indicate de statul membru care a emis semnalarea.</w:t>
      </w:r>
    </w:p>
    <w:p>
      <w:pPr>
        <w:pStyle w:val="ManualNumPar1"/>
        <w:rPr>
          <w:noProof/>
        </w:rPr>
      </w:pPr>
      <w:r>
        <w:rPr>
          <w:noProof/>
        </w:rPr>
        <w:t>(4)</w:t>
      </w:r>
      <w:r>
        <w:rPr>
          <w:noProof/>
        </w:rPr>
        <w:tab/>
        <w:t>Europol sprijină statele membre în prelucrarea datelor furnizate Europol de țări terțe sau de organizații internaționale cu privire la persoanele implicate în terorism sau în forme grave de criminalitate.</w:t>
      </w:r>
    </w:p>
    <w:p>
      <w:pPr>
        <w:ind w:left="850"/>
        <w:rPr>
          <w:noProof/>
        </w:rPr>
      </w:pPr>
      <w:r>
        <w:rPr>
          <w:noProof/>
        </w:rPr>
        <w:t>Pentru astfel de date, Europol propune statelor membre să introducă în Sistemul de informații Schengen (SIS) semnalări privind existența unor informații referitoare la resortisanți ai țărilor terțe în interesul Uniunii („semnalări privind existența unor informații”), în conformitate cu articolul 37a din Regulamentul (UE) 2018/1862. </w:t>
      </w:r>
    </w:p>
    <w:p>
      <w:pPr>
        <w:pStyle w:val="ManualNumPar1"/>
        <w:rPr>
          <w:noProof/>
        </w:rPr>
      </w:pPr>
      <w:r>
        <w:rPr>
          <w:noProof/>
        </w:rPr>
        <w:t>(5)</w:t>
      </w:r>
      <w:r>
        <w:rPr>
          <w:noProof/>
        </w:rPr>
        <w:tab/>
        <w:t>Statele membre informează Europol cu privire la orice semnalare privind existența de informații introdusă în SIS și cu privire la orice răspuns pozitiv („hit”) referitor la astfel de semnalări privind existența de informații și pot informa, prin intermediul Europol, țara terță sau organizația internațională care a furnizat datele care au condus la introducerea semnalării privind existența de informații cu privire la răspunsurile pozitive referitoare la o astfel de semnalare privind existența unor informații, în conformitate cu procedura prevăzută în Regulamentul (UE) 2018/1862.</w:t>
      </w:r>
    </w:p>
    <w:p>
      <w:pPr>
        <w:ind w:left="850"/>
        <w:rPr>
          <w:noProof/>
        </w:rPr>
      </w:pPr>
      <w:r>
        <w:rPr>
          <w:noProof/>
        </w:rPr>
        <w:t>Europol poate transmite statelor membre în cauză informații referitoare la răspunsuri pozitive în scopul coordonării operaționale, al verificării încrucișate și al sprijinului în materie de investigare, în conformitate cu capitolul III din prezentul regulament.</w:t>
      </w:r>
    </w:p>
    <w:p>
      <w:pPr>
        <w:keepNext/>
        <w:spacing w:before="360"/>
        <w:jc w:val="center"/>
        <w:rPr>
          <w:i/>
          <w:noProof/>
        </w:rPr>
      </w:pPr>
      <w:r>
        <w:rPr>
          <w:i/>
          <w:noProof/>
        </w:rPr>
        <w:t>Articolul 31</w:t>
      </w:r>
    </w:p>
    <w:p>
      <w:pPr>
        <w:pStyle w:val="NormalCentered"/>
        <w:rPr>
          <w:noProof/>
        </w:rPr>
      </w:pPr>
      <w:r>
        <w:rPr>
          <w:b/>
          <w:noProof/>
        </w:rPr>
        <w:t>Rolul Europol în ceea ce privește Sistemul de informații privind vizele și Sistemul european de informații și de autorizare privind călătoriile</w:t>
      </w:r>
    </w:p>
    <w:p>
      <w:pPr>
        <w:pStyle w:val="ManualNumPar1"/>
        <w:rPr>
          <w:noProof/>
        </w:rPr>
      </w:pPr>
      <w:r>
        <w:rPr>
          <w:noProof/>
        </w:rPr>
        <w:t>(1)</w:t>
      </w:r>
      <w:r>
        <w:rPr>
          <w:noProof/>
        </w:rPr>
        <w:tab/>
        <w:t>Europol ia toate măsurile corespunzătoare pentru a permite autorităților desemnate pentru VIS, în sensul Regulamentului (CE) nr. 767/2008 al Parlamentului European și al Consiliului</w:t>
      </w:r>
      <w:r>
        <w:rPr>
          <w:rStyle w:val="FootnoteReference"/>
          <w:noProof/>
        </w:rPr>
        <w:footnoteReference w:id="70"/>
      </w:r>
      <w:r>
        <w:rPr>
          <w:noProof/>
        </w:rPr>
        <w:t>, să aibă acces indirect, pe baza unui sistem de tip răspuns pozitiv/negativ („hit/no hit”), la date care au fost furnizate în sensul articolului 32 alineatul (2) litera (a) din prezentul regulament, fără a aduce atingere niciunei restricții indicate de furnizorul informațiilor în conformitate cu articolul 33 alineatul (2).</w:t>
      </w:r>
    </w:p>
    <w:p>
      <w:pPr>
        <w:pStyle w:val="ManualNumPar1"/>
        <w:rPr>
          <w:noProof/>
        </w:rPr>
      </w:pPr>
      <w:r>
        <w:rPr>
          <w:noProof/>
        </w:rPr>
        <w:t>(2)</w:t>
      </w:r>
      <w:r>
        <w:rPr>
          <w:noProof/>
        </w:rPr>
        <w:tab/>
        <w:t>În cazul unui răspuns pozitiv („hit”) în temeiul alineatului (1), Europol inițiază procedura prin care informațiile care au generat răspunsul pozitiv pot face obiectul unui schimb, în conformitate cu decizia furnizorului de informații către Europol și numai în măsura în care datele care generează răspunsul pozitiv („hit”) sunt necesare pentru îndeplinirea atribuțiilor legate de Sistemul de informații privind vizele care le revin autorităților desemnate pentru VIS.</w:t>
      </w:r>
    </w:p>
    <w:p>
      <w:pPr>
        <w:pStyle w:val="ManualNumPar1"/>
        <w:rPr>
          <w:noProof/>
        </w:rPr>
      </w:pPr>
      <w:r>
        <w:rPr>
          <w:noProof/>
        </w:rPr>
        <w:t>(3)</w:t>
      </w:r>
      <w:r>
        <w:rPr>
          <w:noProof/>
        </w:rPr>
        <w:tab/>
        <w:t>Europol gestionează lista de supraveghere din ETIAS în conformitate cu articolele 34 și 35 din Regulamentul (UE) 2018/1240 al Parlamentului European și al Consiliului</w:t>
      </w:r>
      <w:r>
        <w:rPr>
          <w:rStyle w:val="FootnoteReference"/>
          <w:noProof/>
        </w:rPr>
        <w:footnoteReference w:id="71"/>
      </w:r>
      <w:r>
        <w:rPr>
          <w:noProof/>
        </w:rPr>
        <w:t>.</w:t>
      </w:r>
    </w:p>
    <w:p>
      <w:pPr>
        <w:pStyle w:val="ManualNumPar1"/>
        <w:rPr>
          <w:noProof/>
        </w:rPr>
      </w:pPr>
      <w:r>
        <w:rPr>
          <w:noProof/>
        </w:rPr>
        <w:t>(4)</w:t>
      </w:r>
      <w:r>
        <w:rPr>
          <w:noProof/>
        </w:rPr>
        <w:tab/>
        <w:t>Europol poate introduce date în lista de supraveghere din ETIAS, informații referitoare la infracțiuni de terorism sau la alte infracțiuni grave, obținute de Europol, fără a aduce atingere condițiilor care reglementează cooperarea internațională a Europol.</w:t>
      </w:r>
    </w:p>
    <w:p>
      <w:pPr>
        <w:pStyle w:val="ManualNumPar1"/>
        <w:rPr>
          <w:noProof/>
        </w:rPr>
      </w:pPr>
      <w:r>
        <w:rPr>
          <w:noProof/>
        </w:rPr>
        <w:t>(5)</w:t>
      </w:r>
      <w:r>
        <w:rPr>
          <w:noProof/>
        </w:rPr>
        <w:tab/>
        <w:t>Europol emite un aviz motivat în urma unei cereri de consultare menționate la:</w:t>
      </w:r>
    </w:p>
    <w:p>
      <w:pPr>
        <w:pStyle w:val="Point1"/>
        <w:rPr>
          <w:noProof/>
        </w:rPr>
      </w:pPr>
      <w:r>
        <w:rPr>
          <w:noProof/>
        </w:rPr>
        <w:t>(a)</w:t>
      </w:r>
      <w:r>
        <w:rPr>
          <w:noProof/>
        </w:rPr>
        <w:tab/>
        <w:t>articolul 29 din Regulamentul (UE) 2018/1240;</w:t>
      </w:r>
    </w:p>
    <w:p>
      <w:pPr>
        <w:pStyle w:val="Point1"/>
        <w:rPr>
          <w:noProof/>
        </w:rPr>
      </w:pPr>
      <w:r>
        <w:rPr>
          <w:noProof/>
        </w:rPr>
        <w:t>(b)</w:t>
      </w:r>
      <w:r>
        <w:rPr>
          <w:noProof/>
        </w:rPr>
        <w:tab/>
        <w:t>articolul 9e alineatul (4) din Regulamentul (CE) nr. 767/2008;</w:t>
      </w:r>
    </w:p>
    <w:p>
      <w:pPr>
        <w:pStyle w:val="Point1"/>
        <w:rPr>
          <w:noProof/>
        </w:rPr>
      </w:pPr>
      <w:r>
        <w:rPr>
          <w:noProof/>
        </w:rPr>
        <w:t>(c)</w:t>
      </w:r>
      <w:r>
        <w:rPr>
          <w:noProof/>
        </w:rPr>
        <w:tab/>
        <w:t>articolul 9g alineatul (4) din Regulamentul (CE) nr. 767/2008;</w:t>
      </w:r>
    </w:p>
    <w:p>
      <w:pPr>
        <w:pStyle w:val="Point1"/>
        <w:rPr>
          <w:noProof/>
        </w:rPr>
      </w:pPr>
      <w:r>
        <w:rPr>
          <w:noProof/>
        </w:rPr>
        <w:t>(d)</w:t>
      </w:r>
      <w:r>
        <w:rPr>
          <w:noProof/>
        </w:rPr>
        <w:tab/>
        <w:t>articolul 22b alineatele (14) și (16) din Regulamentul (CE) nr. 767/2008.</w:t>
      </w:r>
    </w:p>
    <w:p>
      <w:pPr>
        <w:ind w:left="850"/>
        <w:rPr>
          <w:noProof/>
        </w:rPr>
      </w:pPr>
      <w:r>
        <w:rPr>
          <w:noProof/>
        </w:rPr>
        <w:t>În sensul literei (a), Europol poate emite un aviz motivat pozitiv sau negativ. Europol transmite, prin intermediul SIENA, un raport în sprijinul avizului respectiv către unitatea națională Europol din statul membru responsabil de dosarul de cerere ETIAS. Unitatea națională Europol pune raportul respectiv la dispoziția unității naționale a ETIAS în cauză în scopul evaluării și al luării deciziilor în temeiul Regulamentului (UE) 2018/1240.</w:t>
      </w:r>
    </w:p>
    <w:p>
      <w:pPr>
        <w:pStyle w:val="ManualNumPar1"/>
        <w:rPr>
          <w:noProof/>
        </w:rPr>
      </w:pPr>
      <w:r>
        <w:rPr>
          <w:noProof/>
        </w:rPr>
        <w:t>(6)</w:t>
      </w:r>
      <w:r>
        <w:rPr>
          <w:noProof/>
        </w:rPr>
        <w:tab/>
        <w:t>În scopul îndeplinirii sarcinii menționate la alineatul (3), Consiliul de administrație al Europol adoptă, după consultarea Autorității Europene pentru Protecția Datelor, procedurile menționate la articolul 35 din Regulamentul (UE) 2018/1240.</w:t>
      </w:r>
    </w:p>
    <w:p>
      <w:pPr>
        <w:pStyle w:val="ManualNumPar1"/>
        <w:rPr>
          <w:noProof/>
        </w:rPr>
      </w:pPr>
      <w:r>
        <w:rPr>
          <w:noProof/>
        </w:rPr>
        <w:t>(7)</w:t>
      </w:r>
      <w:r>
        <w:rPr>
          <w:noProof/>
        </w:rPr>
        <w:tab/>
        <w:t>Europol ia toate măsurile corespunzătoare pentru a permite Agenției Europene pentru Poliția de Frontieră și Garda de Coastă, în limitele mandatului său și în sensul Regulamentului (UE) 2018/1240, să aibă acces indirect, pe baza unui sistem de tip răspuns pozitiv/negativ („hit/no hit”), la datele furnizate în sensul articolului 32 alineatul (2) litera (a) din prezentul regulament, fără a aduce atingere niciunei restricții indicate de furnizorul informațiilor în cauză în conformitate cu articolul 33 alineatul (2) din prezentul regulament.</w:t>
      </w:r>
    </w:p>
    <w:p>
      <w:pPr>
        <w:pStyle w:val="ManualNumPar1"/>
        <w:rPr>
          <w:noProof/>
        </w:rPr>
      </w:pPr>
      <w:r>
        <w:rPr>
          <w:noProof/>
        </w:rPr>
        <w:t>(8)</w:t>
      </w:r>
      <w:r>
        <w:rPr>
          <w:noProof/>
        </w:rPr>
        <w:tab/>
        <w:t>În cazul unui răspuns pozitiv („hit”), Europol inițiază procedura prin care informațiile care au generat răspunsul pozitiv pot face obiectul unui schimb, în conformitate cu decizia furnizorului de informații către Europol și numai în măsura în care datele care generează răspunsul pozitiv („hit”) sunt necesare pentru îndeplinirea atribuțiilor legate de ETIAS care revin Agenției Europene pentru Poliția de Frontieră și Garda de Coastă. Alineatele (2)-(6) din prezentul articol se aplică în consecință.</w:t>
      </w:r>
    </w:p>
    <w:p>
      <w:pPr>
        <w:keepNext/>
        <w:spacing w:before="360"/>
        <w:jc w:val="center"/>
        <w:rPr>
          <w:i/>
          <w:noProof/>
        </w:rPr>
      </w:pPr>
      <w:r>
        <w:rPr>
          <w:i/>
          <w:noProof/>
        </w:rPr>
        <w:t>Articolul 32</w:t>
      </w:r>
    </w:p>
    <w:p>
      <w:pPr>
        <w:pStyle w:val="NormalCentered"/>
        <w:rPr>
          <w:noProof/>
        </w:rPr>
      </w:pPr>
      <w:r>
        <w:rPr>
          <w:b/>
          <w:noProof/>
        </w:rPr>
        <w:t>Scopurile activităților de prelucrare a informațiilor</w:t>
      </w:r>
    </w:p>
    <w:p>
      <w:pPr>
        <w:pStyle w:val="ManualNumPar1"/>
        <w:rPr>
          <w:noProof/>
        </w:rPr>
      </w:pPr>
      <w:r>
        <w:rPr>
          <w:noProof/>
        </w:rPr>
        <w:t>(1)</w:t>
      </w:r>
      <w:r>
        <w:rPr>
          <w:noProof/>
        </w:rPr>
        <w:tab/>
        <w:t>În măsura în care acest lucru este necesar pentru îndeplinirea atribuțiilor sale, Europol poate prelucra informații, inclusiv date cu caracter personal.</w:t>
      </w:r>
    </w:p>
    <w:p>
      <w:pPr>
        <w:pStyle w:val="ManualNumPar1"/>
        <w:rPr>
          <w:noProof/>
        </w:rPr>
      </w:pPr>
      <w:r>
        <w:rPr>
          <w:noProof/>
        </w:rPr>
        <w:t>(2)</w:t>
      </w:r>
      <w:r>
        <w:rPr>
          <w:noProof/>
        </w:rPr>
        <w:tab/>
        <w:t>Datele cu caracter personal pot fi prelucrate numai în următoarele scopuri:</w:t>
      </w:r>
    </w:p>
    <w:p>
      <w:pPr>
        <w:pStyle w:val="Point1"/>
        <w:rPr>
          <w:noProof/>
        </w:rPr>
      </w:pPr>
      <w:r>
        <w:rPr>
          <w:noProof/>
        </w:rPr>
        <w:t>(a)</w:t>
      </w:r>
      <w:r>
        <w:rPr>
          <w:noProof/>
        </w:rPr>
        <w:tab/>
        <w:t>verificarea încrucișată menită să identifice conexiunile sau alte legături relevante cu informații referitoare la o infracțiune care intră în sfera de competență a Europol;</w:t>
      </w:r>
    </w:p>
    <w:p>
      <w:pPr>
        <w:pStyle w:val="Point1"/>
        <w:rPr>
          <w:noProof/>
        </w:rPr>
      </w:pPr>
      <w:r>
        <w:rPr>
          <w:noProof/>
        </w:rPr>
        <w:t>(b)</w:t>
      </w:r>
      <w:r>
        <w:rPr>
          <w:noProof/>
        </w:rPr>
        <w:tab/>
        <w:t>efectuarea de analize strategice sau tematice;</w:t>
      </w:r>
    </w:p>
    <w:p>
      <w:pPr>
        <w:pStyle w:val="Point1"/>
        <w:rPr>
          <w:noProof/>
        </w:rPr>
      </w:pPr>
      <w:r>
        <w:rPr>
          <w:noProof/>
        </w:rPr>
        <w:t>(c)</w:t>
      </w:r>
      <w:r>
        <w:rPr>
          <w:noProof/>
        </w:rPr>
        <w:tab/>
        <w:t>efectuarea de analize operaționale;</w:t>
      </w:r>
    </w:p>
    <w:p>
      <w:pPr>
        <w:pStyle w:val="Point1"/>
        <w:rPr>
          <w:noProof/>
        </w:rPr>
      </w:pPr>
      <w:r>
        <w:rPr>
          <w:noProof/>
        </w:rPr>
        <w:t>(d)</w:t>
      </w:r>
      <w:r>
        <w:rPr>
          <w:noProof/>
        </w:rPr>
        <w:tab/>
        <w:t>facilitarea schimbului de informații între statele membre, Europol, alte instituții, organe, misiuni, oficii și agenții ale Uniunii, țări terțe, organizații internaționale și părți private;</w:t>
      </w:r>
    </w:p>
    <w:p>
      <w:pPr>
        <w:pStyle w:val="Point1"/>
        <w:rPr>
          <w:noProof/>
        </w:rPr>
      </w:pPr>
      <w:r>
        <w:rPr>
          <w:noProof/>
        </w:rPr>
        <w:t>(e)</w:t>
      </w:r>
      <w:r>
        <w:rPr>
          <w:noProof/>
        </w:rPr>
        <w:tab/>
        <w:t>proiectele relevante de cercetare și inovare desfășurate în temeiul Programului­cadru al Uniunii pentru cercetare și inovare;</w:t>
      </w:r>
    </w:p>
    <w:p>
      <w:pPr>
        <w:pStyle w:val="Point1"/>
        <w:rPr>
          <w:noProof/>
        </w:rPr>
      </w:pPr>
      <w:r>
        <w:rPr>
          <w:noProof/>
        </w:rPr>
        <w:t>(f)</w:t>
      </w:r>
      <w:r>
        <w:rPr>
          <w:noProof/>
        </w:rPr>
        <w:tab/>
        <w:t>sprijinirea statelor membre, la cererea acestora, în vederea informării publicului cu privire la persoanele suspectate sau condamnate care sunt căutate, în baza unei hotărâri judecătorești naționale referitoare la o infracțiune care intră în sfera de competență a Europol, și facilitarea furnizării de către public de informații referitoare la respectivele persoane către statele membre și Europol;</w:t>
      </w:r>
    </w:p>
    <w:p>
      <w:pPr>
        <w:pStyle w:val="Point1"/>
        <w:rPr>
          <w:noProof/>
        </w:rPr>
      </w:pPr>
      <w:r>
        <w:rPr>
          <w:noProof/>
        </w:rPr>
        <w:t>(g)</w:t>
      </w:r>
      <w:r>
        <w:rPr>
          <w:noProof/>
        </w:rPr>
        <w:tab/>
      </w:r>
      <w:r>
        <w:rPr>
          <w:noProof/>
          <w:color w:val="000000"/>
        </w:rPr>
        <w:t>realizarea unei distincții între datele operaționale care se referă la diferitele categorii de persoane vizate enumerate în anexa II la prezentul regulament, în conformitate cu articolul 73 din Regulamentul (UE) 2018/1725.</w:t>
      </w:r>
    </w:p>
    <w:p>
      <w:pPr>
        <w:pStyle w:val="ManualNumPar1"/>
        <w:rPr>
          <w:noProof/>
        </w:rPr>
      </w:pPr>
      <w:r>
        <w:rPr>
          <w:noProof/>
        </w:rPr>
        <w:t>(3)</w:t>
      </w:r>
      <w:r>
        <w:rPr>
          <w:noProof/>
        </w:rPr>
        <w:tab/>
        <w:t>Prelucrarea în scopul efectuării de analize operaționale menționate la alineatul (2) litera (c) se efectuează prin intermediul unor proiecte de analiză operațională, pentru care se aplică următoarele garanții specifice în materie de protecție a datelor:</w:t>
      </w:r>
    </w:p>
    <w:p>
      <w:pPr>
        <w:pStyle w:val="Point1"/>
        <w:rPr>
          <w:noProof/>
        </w:rPr>
      </w:pPr>
      <w:r>
        <w:rPr>
          <w:noProof/>
        </w:rPr>
        <w:t>(a)</w:t>
      </w:r>
      <w:r>
        <w:rPr>
          <w:noProof/>
        </w:rPr>
        <w:tab/>
        <w:t>pentru fiecare proiect de analiză operațională, directorul executiv definește scopul specific, categoriile de date cu caracter personal și categoriile de persoane vizate, participanții, perioada de stocare și condițiile de acces, de transmitere sau de transfer și de utilizare a datelor vizate și informează Consiliul de administrație și Autoritatea Europeană pentru Protecția Datelor (AEPD) în acest sens;</w:t>
      </w:r>
    </w:p>
    <w:p>
      <w:pPr>
        <w:pStyle w:val="Point1"/>
        <w:rPr>
          <w:noProof/>
        </w:rPr>
      </w:pPr>
      <w:r>
        <w:rPr>
          <w:noProof/>
        </w:rPr>
        <w:t>(b)</w:t>
      </w:r>
      <w:r>
        <w:rPr>
          <w:noProof/>
        </w:rPr>
        <w:tab/>
        <w:t>datele cu caracter personal pot fi colectate și prelucrate numai în scopul proiectului de analiză operațională specificat și stocate în mediul analitic al Europol menționat la articolul 40; atunci când se constată că datele cu caracter personal pot fi relevante pentru un alt proiect de analiză operațională, prelucrarea ulterioară a datelor cu caracter personal respective se permite doar în măsura în care prelucrarea ulterioară este necesară și proporțională, iar datele cu caracter personal sunt compatibile cu dispozițiile stabilite la litera (a) care se aplică celuilalt proiect de analiză;</w:t>
      </w:r>
    </w:p>
    <w:p>
      <w:pPr>
        <w:pStyle w:val="Point1"/>
        <w:rPr>
          <w:noProof/>
        </w:rPr>
      </w:pPr>
      <w:r>
        <w:rPr>
          <w:noProof/>
        </w:rPr>
        <w:t>(c)</w:t>
      </w:r>
      <w:r>
        <w:rPr>
          <w:noProof/>
        </w:rPr>
        <w:tab/>
        <w:t>doar personalul autorizat poate accesa și prelucra datele aferente proiectului relevant.</w:t>
      </w:r>
    </w:p>
    <w:p>
      <w:pPr>
        <w:pStyle w:val="ManualNumPar1"/>
        <w:rPr>
          <w:noProof/>
        </w:rPr>
      </w:pPr>
      <w:r>
        <w:rPr>
          <w:noProof/>
        </w:rPr>
        <w:t>(4)</w:t>
      </w:r>
      <w:r>
        <w:rPr>
          <w:noProof/>
        </w:rPr>
        <w:tab/>
        <w:t>Atunci când este necesar pentru atingerea obiectivelor proiectelor de cercetare și inovare desfășurate de Europol, prelucrarea datelor cu caracter personal în scopul respectiv se efectuează în conformitate cu articolul 102.</w:t>
      </w:r>
    </w:p>
    <w:p>
      <w:pPr>
        <w:pStyle w:val="ManualNumPar1"/>
        <w:rPr>
          <w:noProof/>
        </w:rPr>
      </w:pPr>
      <w:r>
        <w:rPr>
          <w:noProof/>
        </w:rPr>
        <w:t>(5)</w:t>
      </w:r>
      <w:r>
        <w:rPr>
          <w:noProof/>
        </w:rPr>
        <w:tab/>
        <w:t>Prelucrarea menționată la alineatele (2) și (3) se efectuează cu respectarea garanțiilor privind protecția datelor prevăzute de Regulamentul (UE) 2018/1725 și de prezentul regulament. Europol documentează în mod corespunzător respectivele operațiuni de prelucrare. Documentația este pusă, la cerere, la dispoziția responsabilului cu protecția datelor și a AEPD în scopul verificării legalității operațiunilor de prelucrare.</w:t>
      </w:r>
    </w:p>
    <w:p>
      <w:pPr>
        <w:pStyle w:val="ManualNumPar1"/>
        <w:rPr>
          <w:noProof/>
        </w:rPr>
      </w:pPr>
      <w:r>
        <w:rPr>
          <w:noProof/>
        </w:rPr>
        <w:t>(6)</w:t>
      </w:r>
      <w:r>
        <w:rPr>
          <w:noProof/>
        </w:rPr>
        <w:tab/>
        <w:t>În conformitate cu articolul 73 din Regulamentul (UE) 2018/1725, după caz și în măsura posibilului, Europol face o distincție clară între datele cu caracter personal care privesc diferite categorii de persoane vizate enumerate în anexa II.</w:t>
      </w:r>
    </w:p>
    <w:p>
      <w:pPr>
        <w:pStyle w:val="ManualNumPar1"/>
        <w:rPr>
          <w:noProof/>
        </w:rPr>
      </w:pPr>
      <w:r>
        <w:rPr>
          <w:noProof/>
        </w:rPr>
        <w:t>(7)</w:t>
      </w:r>
      <w:r>
        <w:rPr>
          <w:noProof/>
        </w:rPr>
        <w:tab/>
        <w:t>Europol poate prelucra date cu caracter personal care nu se încadrează în categoriile de persoane vizate enumerate în anexa II numai în cazul în care o astfel de prelucrare este relevantă și necesară în scopurile prevăzute la alineatul (2).</w:t>
      </w:r>
      <w:r>
        <w:rPr>
          <w:noProof/>
          <w:color w:val="FF0000"/>
        </w:rPr>
        <w:t xml:space="preserve"> </w:t>
      </w:r>
      <w:r>
        <w:rPr>
          <w:noProof/>
        </w:rPr>
        <w:t>Aceste date cu caracter personal sunt șterse imediat ce scopul prelucrării este îndeplinit.</w:t>
      </w:r>
    </w:p>
    <w:p>
      <w:pPr>
        <w:pStyle w:val="ManualNumPar1"/>
        <w:rPr>
          <w:noProof/>
        </w:rPr>
      </w:pPr>
      <w:r>
        <w:rPr>
          <w:noProof/>
        </w:rPr>
        <w:t>(8)</w:t>
      </w:r>
      <w:r>
        <w:rPr>
          <w:noProof/>
        </w:rPr>
        <w:tab/>
        <w:t>În cazul în care nu este posibil să se facă o distincție clară între datele cu caracter personal care privesc diferitele categorii de persoane vizate enumerate în anexa II sau în cazul în care Europol trebuie să prelucreze date cu caracter personal care nu se încadrează în categoriile de persoane vizate enumerate în anexa II, Europol își informează responsabilul cu protecția datelor.</w:t>
      </w:r>
    </w:p>
    <w:p>
      <w:pPr>
        <w:pStyle w:val="ManualNumPar1"/>
        <w:rPr>
          <w:noProof/>
        </w:rPr>
      </w:pPr>
      <w:r>
        <w:rPr>
          <w:noProof/>
        </w:rPr>
        <w:t>(9)</w:t>
      </w:r>
      <w:r>
        <w:rPr>
          <w:noProof/>
        </w:rPr>
        <w:tab/>
        <w:t>Datele cu caracter personal care nu privesc categoriile de persoane vizate enumerate în anexa II se păstrează separat din punct de vedere funcțional de alte date, după caz și în măsura posibilului și, în orice caz, se prelucrează numai în cazul în care acest lucru este necesar și proporțional în sensul alineatului (2).</w:t>
      </w:r>
    </w:p>
    <w:p>
      <w:pPr>
        <w:pStyle w:val="ManualNumPar1"/>
        <w:rPr>
          <w:noProof/>
        </w:rPr>
      </w:pPr>
      <w:r>
        <w:rPr>
          <w:noProof/>
        </w:rPr>
        <w:t>(10)</w:t>
      </w:r>
      <w:r>
        <w:rPr>
          <w:noProof/>
        </w:rPr>
        <w:tab/>
        <w:t>Europol poate prelucra temporar date în scopul de a stabili dacă prelucrarea unor astfel de date este relevantă și necesară pentru îndeplinirea de către Europol a atribuțiilor sale. Perioada în care sunt prelucrate astfel de date nu depășește șase luni de la primirea datelor respective.</w:t>
      </w:r>
    </w:p>
    <w:p>
      <w:pPr>
        <w:pStyle w:val="ManualNumPar1"/>
        <w:rPr>
          <w:noProof/>
        </w:rPr>
      </w:pPr>
      <w:r>
        <w:rPr>
          <w:noProof/>
        </w:rPr>
        <w:t>(11)</w:t>
      </w:r>
      <w:r>
        <w:rPr>
          <w:noProof/>
        </w:rPr>
        <w:tab/>
        <w:t>După consultarea AEPD, Consiliul de administrație adoptă, după caz, orientări care precizează procedurile pentru prelucrarea informațiilor în scopurile enumerate la alineatul (2) de la prezentul articol, în conformitate cu articolul 72 alineatul (2) litera (t).</w:t>
      </w:r>
    </w:p>
    <w:p>
      <w:pPr>
        <w:keepNext/>
        <w:spacing w:before="360"/>
        <w:jc w:val="center"/>
        <w:rPr>
          <w:i/>
          <w:noProof/>
        </w:rPr>
      </w:pPr>
      <w:r>
        <w:rPr>
          <w:i/>
          <w:noProof/>
        </w:rPr>
        <w:t>Articolul 33</w:t>
      </w:r>
    </w:p>
    <w:p>
      <w:pPr>
        <w:pStyle w:val="NormalCentered"/>
        <w:rPr>
          <w:noProof/>
        </w:rPr>
      </w:pPr>
      <w:r>
        <w:rPr>
          <w:b/>
          <w:noProof/>
        </w:rPr>
        <w:t>Stabilirea de către Europol a scopului prelucrării informațiilor și a restricțiilor referitoare la aceasta</w:t>
      </w:r>
    </w:p>
    <w:p>
      <w:pPr>
        <w:pStyle w:val="ManualNumPar1"/>
        <w:rPr>
          <w:noProof/>
        </w:rPr>
      </w:pPr>
      <w:r>
        <w:rPr>
          <w:noProof/>
        </w:rPr>
        <w:t>(1)</w:t>
      </w:r>
      <w:r>
        <w:rPr>
          <w:noProof/>
        </w:rPr>
        <w:tab/>
        <w:t>Un stat membru, o instituție, un organ, o misiune, un oficiu sau o agenție a(l) Uniunii, o țară terță sau o organizație internațională care furnizează informații către Europol stabilește scopul sau scopurile în care se prelucrează respectivele informații, în conformitate cu articolul 32.</w:t>
      </w:r>
    </w:p>
    <w:p>
      <w:pPr>
        <w:ind w:left="850"/>
        <w:rPr>
          <w:noProof/>
        </w:rPr>
      </w:pPr>
      <w:r>
        <w:rPr>
          <w:noProof/>
        </w:rPr>
        <w:t>În cazul în care un furnizor de informații menționat la primul paragraf nu a respectat paragraful respectiv, Europol, de comun acord cu furnizorul informațiilor în cauză, prelucrează informațiile pentru a stabili relevanța acestora, precum și scopul sau scopurile pentru care acestea urmează să fie prelucrate ulterior.</w:t>
      </w:r>
    </w:p>
    <w:p>
      <w:pPr>
        <w:ind w:left="850"/>
        <w:rPr>
          <w:noProof/>
        </w:rPr>
      </w:pPr>
      <w:r>
        <w:rPr>
          <w:noProof/>
        </w:rPr>
        <w:t>Europol prelucrează informații în alt scop decât cel pentru care au fost furnizate doar în cazul în care este autorizat în acest sens de furnizorul informațiilor.</w:t>
      </w:r>
    </w:p>
    <w:p>
      <w:pPr>
        <w:ind w:left="850"/>
        <w:rPr>
          <w:noProof/>
        </w:rPr>
      </w:pPr>
      <w:r>
        <w:rPr>
          <w:noProof/>
        </w:rPr>
        <w:t>Informațiile furnizate în scopurile menționate la articolul 32 alineatul (2) literele (a)-(d) pot fi prelucrate de Europol și în conformitate cu articolul 102, în sensul articolului 32 alineatul (2) litera (e).</w:t>
      </w:r>
    </w:p>
    <w:p>
      <w:pPr>
        <w:pStyle w:val="ManualNumPar1"/>
        <w:rPr>
          <w:noProof/>
        </w:rPr>
      </w:pPr>
      <w:r>
        <w:rPr>
          <w:noProof/>
        </w:rPr>
        <w:t>(2)</w:t>
      </w:r>
      <w:r>
        <w:rPr>
          <w:noProof/>
        </w:rPr>
        <w:tab/>
        <w:t>Statele membre, instituțiile, organele, misiunile, oficiile și agențiile Uniunii, țările terțe și organizațiile internaționale pot indica, la momentul furnizării informațiilor către Europol, orice restricție privind accesul, în termeni generali sau specifici, inclusiv în ceea ce privește utilizarea, transferul, transmiterea, ștergerea sau distrugerea acestora. În cazul în care necesitatea unor astfel de restricții se constată după furnizarea informațiilor, acestea informează Europol cu privire la acest lucru. Europol respectă restricțiile respective.</w:t>
      </w:r>
    </w:p>
    <w:p>
      <w:pPr>
        <w:pStyle w:val="ManualNumPar1"/>
        <w:rPr>
          <w:noProof/>
        </w:rPr>
      </w:pPr>
      <w:r>
        <w:rPr>
          <w:noProof/>
        </w:rPr>
        <w:t>(3)</w:t>
      </w:r>
      <w:r>
        <w:rPr>
          <w:noProof/>
        </w:rPr>
        <w:tab/>
        <w:t>În cazuri justificate în mod corespunzător, Europol poate impune statelor membre, instituțiilor, organelor, misiunilor, oficiilor și agențiilor Uniunii, țărilor terțe și organizațiilor internaționale restricții privind accesul la informații extrase din surse aflate la dispoziția publicului.</w:t>
      </w:r>
    </w:p>
    <w:p>
      <w:pPr>
        <w:keepNext/>
        <w:spacing w:before="360"/>
        <w:jc w:val="center"/>
        <w:rPr>
          <w:i/>
          <w:noProof/>
        </w:rPr>
      </w:pPr>
      <w:r>
        <w:rPr>
          <w:i/>
          <w:noProof/>
        </w:rPr>
        <w:t>Articolul 34</w:t>
      </w:r>
    </w:p>
    <w:p>
      <w:pPr>
        <w:pStyle w:val="NormalCentered"/>
        <w:rPr>
          <w:noProof/>
        </w:rPr>
      </w:pPr>
      <w:r>
        <w:rPr>
          <w:b/>
          <w:noProof/>
        </w:rPr>
        <w:t>Obligația de notificare a statelor membre</w:t>
      </w:r>
    </w:p>
    <w:p>
      <w:pPr>
        <w:pStyle w:val="ManualNumPar1"/>
        <w:rPr>
          <w:noProof/>
        </w:rPr>
      </w:pPr>
      <w:r>
        <w:rPr>
          <w:noProof/>
        </w:rPr>
        <w:t>(1)</w:t>
      </w:r>
      <w:r>
        <w:rPr>
          <w:noProof/>
        </w:rPr>
        <w:tab/>
        <w:t>Europol notifică statele membre fără întârziere cu privire la informațiile care le privesc. Dacă aceste informații fac obiectul unor restricții privind accesul, în temeiul articolului 33 alineatul (2), care ar interzice ca acestea să facă obiectul unui schimb, Europol se consultă cu furnizorul de informații, precizând restricțiile privind accesul și solicitând o autorizare din partea acestuia pentru a efectua schimbul de informații.</w:t>
      </w:r>
    </w:p>
    <w:p>
      <w:pPr>
        <w:ind w:left="850"/>
        <w:rPr>
          <w:noProof/>
        </w:rPr>
      </w:pPr>
      <w:r>
        <w:rPr>
          <w:noProof/>
        </w:rPr>
        <w:t>Într-un astfel de caz, informațiile nu pot face obiectul unui schimb fără o autorizare explicită din partea furnizorului.</w:t>
      </w:r>
    </w:p>
    <w:p>
      <w:pPr>
        <w:pStyle w:val="ManualNumPar1"/>
        <w:rPr>
          <w:noProof/>
        </w:rPr>
      </w:pPr>
      <w:r>
        <w:rPr>
          <w:noProof/>
        </w:rPr>
        <w:t>(2)</w:t>
      </w:r>
      <w:r>
        <w:rPr>
          <w:noProof/>
        </w:rPr>
        <w:tab/>
        <w:t>Fără a ține seama de existența oricăror restricții privind accesul, Europol notifică un stat membru cu privire la informațiile care îl vizează, în cazul în care acest lucru este absolut necesar în interesul prevenirii unei amenințări iminente la adresa vieții.</w:t>
      </w:r>
    </w:p>
    <w:p>
      <w:pPr>
        <w:ind w:left="850"/>
        <w:rPr>
          <w:noProof/>
        </w:rPr>
      </w:pPr>
      <w:r>
        <w:rPr>
          <w:noProof/>
        </w:rPr>
        <w:t>Într-un astfel de caz, Europol notifică furnizorul de informații cu privire la schimbul de astfel de informații și, în același timp, își justifică analiza situației.</w:t>
      </w:r>
    </w:p>
    <w:p>
      <w:pPr>
        <w:pStyle w:val="SectionTitle"/>
        <w:rPr>
          <w:noProof/>
        </w:rPr>
      </w:pPr>
      <w:r>
        <w:rPr>
          <w:noProof/>
        </w:rPr>
        <w:t xml:space="preserve">Secțiunea 2 </w:t>
      </w:r>
      <w:r>
        <w:rPr>
          <w:noProof/>
        </w:rPr>
        <w:br/>
        <w:t>Serviciile și instrumentele Europol</w:t>
      </w:r>
    </w:p>
    <w:p>
      <w:pPr>
        <w:keepNext/>
        <w:spacing w:before="360"/>
        <w:jc w:val="center"/>
        <w:rPr>
          <w:i/>
          <w:noProof/>
        </w:rPr>
      </w:pPr>
      <w:r>
        <w:rPr>
          <w:i/>
          <w:noProof/>
        </w:rPr>
        <w:t>Articolul 35</w:t>
      </w:r>
    </w:p>
    <w:p>
      <w:pPr>
        <w:pStyle w:val="NormalCentered"/>
        <w:rPr>
          <w:noProof/>
        </w:rPr>
      </w:pPr>
      <w:r>
        <w:rPr>
          <w:b/>
          <w:noProof/>
        </w:rPr>
        <w:t>Mediul de date al Europol</w:t>
      </w:r>
    </w:p>
    <w:p>
      <w:pPr>
        <w:pStyle w:val="ManualNumPar1"/>
        <w:rPr>
          <w:noProof/>
        </w:rPr>
      </w:pPr>
      <w:r>
        <w:rPr>
          <w:noProof/>
        </w:rPr>
        <w:t>(1)</w:t>
      </w:r>
      <w:r>
        <w:rPr>
          <w:noProof/>
        </w:rPr>
        <w:tab/>
        <w:t>Europol dezvoltă și menține serviciile și instrumentele necesare care îi permit să își îndeplinească atribuțiile care îi revin în temeiul prezentului regulament și, în special, să prelucreze informații în conformitate cu secțiunea 1 din prezentul capitol.</w:t>
      </w:r>
    </w:p>
    <w:p>
      <w:pPr>
        <w:pStyle w:val="ManualNumPar1"/>
        <w:rPr>
          <w:noProof/>
        </w:rPr>
      </w:pPr>
      <w:r>
        <w:rPr>
          <w:noProof/>
        </w:rPr>
        <w:t>(2)</w:t>
      </w:r>
      <w:r>
        <w:rPr>
          <w:noProof/>
        </w:rPr>
        <w:tab/>
        <w:t>Serviciile și instrumentele Europol constau în componente tehnice, infrastructuri și funcționalități interoperabile care permit Europol să își îndeplinească atribuțiile care îi revin în temeiul prezentului regulament.</w:t>
      </w:r>
    </w:p>
    <w:p>
      <w:pPr>
        <w:pStyle w:val="ManualNumPar1"/>
        <w:rPr>
          <w:noProof/>
        </w:rPr>
      </w:pPr>
      <w:r>
        <w:rPr>
          <w:noProof/>
        </w:rPr>
        <w:t>(3)</w:t>
      </w:r>
      <w:r>
        <w:rPr>
          <w:noProof/>
        </w:rPr>
        <w:tab/>
        <w:t>Europol dezvoltă, în special:</w:t>
      </w:r>
    </w:p>
    <w:p>
      <w:pPr>
        <w:pStyle w:val="Point1"/>
        <w:rPr>
          <w:noProof/>
        </w:rPr>
      </w:pPr>
      <w:r>
        <w:rPr>
          <w:noProof/>
        </w:rPr>
        <w:t>(a)</w:t>
      </w:r>
      <w:r>
        <w:rPr>
          <w:noProof/>
        </w:rPr>
        <w:tab/>
        <w:t>un serviciu de verificare încrucișată, în sensul articolului 32 alineatul (2) litera (a);</w:t>
      </w:r>
    </w:p>
    <w:p>
      <w:pPr>
        <w:pStyle w:val="Point1"/>
        <w:rPr>
          <w:noProof/>
        </w:rPr>
      </w:pPr>
      <w:r>
        <w:rPr>
          <w:noProof/>
        </w:rPr>
        <w:t>(b)</w:t>
      </w:r>
      <w:r>
        <w:rPr>
          <w:noProof/>
        </w:rPr>
        <w:tab/>
        <w:t>un mediu informatic în sensul articolului 32 alineatul (2);</w:t>
      </w:r>
    </w:p>
    <w:p>
      <w:pPr>
        <w:pStyle w:val="Point1"/>
        <w:rPr>
          <w:noProof/>
        </w:rPr>
      </w:pPr>
      <w:r>
        <w:rPr>
          <w:noProof/>
        </w:rPr>
        <w:t>(c)</w:t>
      </w:r>
      <w:r>
        <w:rPr>
          <w:noProof/>
        </w:rPr>
        <w:tab/>
        <w:t>SIENA, ca instrument securizat pentru schimbul de informații în sensul articolului 32 alineatul (2) litera (d);</w:t>
      </w:r>
    </w:p>
    <w:p>
      <w:pPr>
        <w:pStyle w:val="Point1"/>
        <w:rPr>
          <w:noProof/>
        </w:rPr>
      </w:pPr>
      <w:r>
        <w:rPr>
          <w:noProof/>
        </w:rPr>
        <w:t>(d)</w:t>
      </w:r>
      <w:r>
        <w:rPr>
          <w:noProof/>
        </w:rPr>
        <w:tab/>
        <w:t>un spațiu comun de date pentru analiza operațională comună, astfel cum se menționează la articolul 42;</w:t>
      </w:r>
    </w:p>
    <w:p>
      <w:pPr>
        <w:pStyle w:val="Point1"/>
        <w:rPr>
          <w:noProof/>
        </w:rPr>
      </w:pPr>
      <w:r>
        <w:rPr>
          <w:noProof/>
        </w:rPr>
        <w:t>(e)</w:t>
      </w:r>
      <w:r>
        <w:rPr>
          <w:noProof/>
        </w:rPr>
        <w:tab/>
        <w:t>o platformă pentru facilitarea cooperării și a schimbului de informații cu părțile private, astfel cum se menționează la articolul 47.</w:t>
      </w:r>
    </w:p>
    <w:p>
      <w:pPr>
        <w:keepNext/>
        <w:spacing w:before="360"/>
        <w:jc w:val="center"/>
        <w:rPr>
          <w:i/>
          <w:noProof/>
        </w:rPr>
      </w:pPr>
      <w:r>
        <w:rPr>
          <w:i/>
          <w:noProof/>
        </w:rPr>
        <w:t>Articolul 36</w:t>
      </w:r>
    </w:p>
    <w:p>
      <w:pPr>
        <w:pStyle w:val="NormalCentered"/>
        <w:rPr>
          <w:noProof/>
        </w:rPr>
      </w:pPr>
      <w:r>
        <w:rPr>
          <w:b/>
          <w:noProof/>
        </w:rPr>
        <w:t>Serviciul de verificare încrucișată al Europol</w:t>
      </w:r>
    </w:p>
    <w:p>
      <w:pPr>
        <w:pStyle w:val="ManualNumPar1"/>
        <w:rPr>
          <w:noProof/>
        </w:rPr>
      </w:pPr>
      <w:r>
        <w:rPr>
          <w:noProof/>
        </w:rPr>
        <w:t>(1)</w:t>
      </w:r>
      <w:r>
        <w:rPr>
          <w:noProof/>
        </w:rPr>
        <w:tab/>
        <w:t>Serviciul de verificare încrucișată al Europol este alcătuit din:</w:t>
      </w:r>
    </w:p>
    <w:p>
      <w:pPr>
        <w:pStyle w:val="Point1"/>
        <w:rPr>
          <w:noProof/>
        </w:rPr>
      </w:pPr>
      <w:r>
        <w:rPr>
          <w:noProof/>
        </w:rPr>
        <w:t>(a)</w:t>
      </w:r>
      <w:r>
        <w:rPr>
          <w:noProof/>
        </w:rPr>
        <w:tab/>
        <w:t>o infrastructură pentru stocarea informațiilor;</w:t>
      </w:r>
    </w:p>
    <w:p>
      <w:pPr>
        <w:pStyle w:val="Point1"/>
        <w:rPr>
          <w:noProof/>
        </w:rPr>
      </w:pPr>
      <w:r>
        <w:rPr>
          <w:noProof/>
        </w:rPr>
        <w:t>(b)</w:t>
      </w:r>
      <w:r>
        <w:rPr>
          <w:noProof/>
        </w:rPr>
        <w:tab/>
        <w:t>o interfață de căutare, care permite interogarea și extragerea oricărei informații relevante;</w:t>
      </w:r>
    </w:p>
    <w:p>
      <w:pPr>
        <w:pStyle w:val="Point1"/>
        <w:rPr>
          <w:noProof/>
        </w:rPr>
      </w:pPr>
      <w:r>
        <w:rPr>
          <w:noProof/>
        </w:rPr>
        <w:t>(c)</w:t>
      </w:r>
      <w:r>
        <w:rPr>
          <w:noProof/>
        </w:rPr>
        <w:tab/>
        <w:t>o interfață care permite încărcarea, actualizarea sau ștergerea informațiilor;</w:t>
      </w:r>
    </w:p>
    <w:p>
      <w:pPr>
        <w:pStyle w:val="Point1"/>
        <w:rPr>
          <w:noProof/>
        </w:rPr>
      </w:pPr>
      <w:r>
        <w:rPr>
          <w:noProof/>
        </w:rPr>
        <w:t>(d)</w:t>
      </w:r>
      <w:r>
        <w:rPr>
          <w:noProof/>
        </w:rPr>
        <w:tab/>
        <w:t>o infrastructură de comunicații securizată între serviciul de verificare încrucișată și statele membre, precum și organele, oficiile și agențiile Uniunii care au dreptul de a utiliza serviciul;</w:t>
      </w:r>
    </w:p>
    <w:p>
      <w:pPr>
        <w:pStyle w:val="Point1"/>
        <w:rPr>
          <w:noProof/>
        </w:rPr>
      </w:pPr>
      <w:r>
        <w:rPr>
          <w:noProof/>
        </w:rPr>
        <w:t>(e)</w:t>
      </w:r>
      <w:r>
        <w:rPr>
          <w:noProof/>
        </w:rPr>
        <w:tab/>
        <w:t>o infrastructură de comunicații securizată între serviciul de verificare încrucișată și portalul european de căutare instituit prin articolul 6 alineatul (2) litera (c) din Regulamentul (UE) 2019/818;</w:t>
      </w:r>
    </w:p>
    <w:p>
      <w:pPr>
        <w:pStyle w:val="Point1"/>
        <w:rPr>
          <w:noProof/>
        </w:rPr>
      </w:pPr>
      <w:r>
        <w:rPr>
          <w:noProof/>
        </w:rPr>
        <w:t>(f)</w:t>
      </w:r>
      <w:r>
        <w:rPr>
          <w:noProof/>
        </w:rPr>
        <w:tab/>
        <w:t>Europol asigură gestionarea operațională, securitatea, disponibilitatea și integritatea serviciului de verificare încrucișată.</w:t>
      </w:r>
    </w:p>
    <w:p>
      <w:pPr>
        <w:pStyle w:val="ManualNumPar1"/>
        <w:rPr>
          <w:noProof/>
        </w:rPr>
      </w:pPr>
      <w:r>
        <w:rPr>
          <w:noProof/>
        </w:rPr>
        <w:t>(2)</w:t>
      </w:r>
      <w:r>
        <w:rPr>
          <w:noProof/>
        </w:rPr>
        <w:tab/>
        <w:t>Statele membre se asigură că sistemele de gestionare a cazurilor ale punctelor lor de contact unice, ale unităților lor naționale Europol și ale autorităților competente ale statului membru sunt conectate din punct de vedere tehnic și interoperabile cu serviciul de verificare încrucișată al Europol.</w:t>
      </w:r>
    </w:p>
    <w:p>
      <w:pPr>
        <w:pStyle w:val="ManualNumPar1"/>
        <w:rPr>
          <w:noProof/>
        </w:rPr>
      </w:pPr>
      <w:r>
        <w:rPr>
          <w:noProof/>
        </w:rPr>
        <w:t>(3)</w:t>
      </w:r>
      <w:r>
        <w:rPr>
          <w:noProof/>
        </w:rPr>
        <w:tab/>
        <w:t>Comisia adoptă acte de punere în aplicare prin care se stabilesc procedurile pentru definirea conexiunii tehnice dintre sistemele naționale de gestionare a cazurilor și serviciul de verificare încrucișată și a conexiunii tehnice dintre serviciul respectiv și alte servicii și instrumente ale Europol. Actele de punere în aplicare respective se adoptă în conformitate cu procedura de examinare menționată la articolul 138 alineatul (2).</w:t>
      </w:r>
    </w:p>
    <w:p>
      <w:pPr>
        <w:pStyle w:val="ManualNumPar1"/>
        <w:rPr>
          <w:noProof/>
        </w:rPr>
      </w:pPr>
      <w:r>
        <w:rPr>
          <w:noProof/>
        </w:rPr>
        <w:t>(4)</w:t>
      </w:r>
      <w:r>
        <w:rPr>
          <w:noProof/>
        </w:rPr>
        <w:tab/>
        <w:t>Atunci când dezvoltă și exploatează serviciul de verificare încrucișată al Europol și, după caz, utilizează componentele și infrastructurile tehnologice existente dezvoltate și gestionate de Agenția Uniunii Europene pentru Gestionarea Operațională a Sistemelor Informatice la Scară Largă în Spațiul de Libertate, Securitate și Justiție (eu-LISA).</w:t>
      </w:r>
    </w:p>
    <w:p>
      <w:pPr>
        <w:ind w:left="850"/>
        <w:rPr>
          <w:noProof/>
        </w:rPr>
      </w:pPr>
      <w:r>
        <w:rPr>
          <w:noProof/>
        </w:rPr>
        <w:t xml:space="preserve">Europol urmărește realizarea de sinergii în ceea ce privește proiectarea și arhitectura tehnică a serviciului de verificare încrucișată, inclusiv prin reutilizarea serviciilor, a infrastructurilor de comunicații și a componentelor software partajate, în cazul în care acest lucru este fezabil din punct de vedere tehnic și nu afectează scopul specific, guvernanța sau cerințele în materie de protecție a datelor ale serviciului de verificare încrucișată, astfel cum sunt prevăzute în prezentul regulament și în </w:t>
      </w:r>
      <w:hyperlink r:id="rId17" w:tooltip="http://data.europa.eu/eli/reg/2018/1726/oj">
        <w:r>
          <w:rPr>
            <w:noProof/>
            <w:color w:val="0000FF" w:themeColor="hyperlink"/>
            <w:u w:val="single"/>
          </w:rPr>
          <w:t>Regulamentul (UE) 2018/1726</w:t>
        </w:r>
      </w:hyperlink>
      <w:r>
        <w:rPr>
          <w:noProof/>
        </w:rPr>
        <w:t>.</w:t>
      </w:r>
    </w:p>
    <w:p>
      <w:pPr>
        <w:ind w:left="850"/>
        <w:rPr>
          <w:noProof/>
        </w:rPr>
      </w:pPr>
      <w:r>
        <w:rPr>
          <w:noProof/>
        </w:rPr>
        <w:t>În scopul comparării datelor biometrice, Europol reutilizează și adaptează, în cazul în care acest lucru este fezabil din punct de vedere tehnic, tehnologia care stă la baza serviciului comun de comparare a datelor biometrice (sBMS), instituit prin articolul 12 din Regulamentul (UE) 2019/818 și dezvoltat de eu-LISA.</w:t>
      </w:r>
    </w:p>
    <w:p>
      <w:pPr>
        <w:keepNext/>
        <w:spacing w:before="360"/>
        <w:jc w:val="center"/>
        <w:rPr>
          <w:i/>
          <w:noProof/>
        </w:rPr>
      </w:pPr>
      <w:r>
        <w:rPr>
          <w:i/>
          <w:noProof/>
        </w:rPr>
        <w:t>Articolul 37</w:t>
      </w:r>
    </w:p>
    <w:p>
      <w:pPr>
        <w:pStyle w:val="NormalCentered"/>
        <w:rPr>
          <w:noProof/>
        </w:rPr>
      </w:pPr>
      <w:r>
        <w:rPr>
          <w:b/>
          <w:noProof/>
        </w:rPr>
        <w:t>Conținutul datelor serviciului de verificare încrucișată al Europol</w:t>
      </w:r>
    </w:p>
    <w:p>
      <w:pPr>
        <w:pStyle w:val="ManualNumPar1"/>
        <w:rPr>
          <w:noProof/>
        </w:rPr>
      </w:pPr>
      <w:r>
        <w:rPr>
          <w:noProof/>
        </w:rPr>
        <w:t>(1)</w:t>
      </w:r>
      <w:r>
        <w:rPr>
          <w:noProof/>
        </w:rPr>
        <w:tab/>
        <w:t>Serviciul de verificare încrucișată al Europol conține numai date referitoare la:</w:t>
      </w:r>
    </w:p>
    <w:p>
      <w:pPr>
        <w:pStyle w:val="Point1"/>
        <w:rPr>
          <w:noProof/>
        </w:rPr>
      </w:pPr>
      <w:r>
        <w:rPr>
          <w:noProof/>
        </w:rPr>
        <w:t>(a)</w:t>
      </w:r>
      <w:r>
        <w:rPr>
          <w:noProof/>
        </w:rPr>
        <w:tab/>
        <w:t>persoane care, în conformitate cu dreptul intern al statului membru respectiv, sunt suspectate că au săvârșit sau au participat la săvârșirea unei infracțiuni care intră în sfera de competență a Europol sau care au fost condamnate pentru o astfel de infracțiune;</w:t>
      </w:r>
    </w:p>
    <w:p>
      <w:pPr>
        <w:pStyle w:val="Point1"/>
        <w:rPr>
          <w:noProof/>
        </w:rPr>
      </w:pPr>
      <w:r>
        <w:rPr>
          <w:noProof/>
        </w:rPr>
        <w:t>(b)</w:t>
      </w:r>
      <w:r>
        <w:rPr>
          <w:noProof/>
        </w:rPr>
        <w:tab/>
        <w:t>persoane cu privire la care există indicii concrete sau motive rezonabile, în temeiul dreptului intern al statului membru respectiv, care justifică prezumția că vor săvârși infracțiuni de competența Europol;</w:t>
      </w:r>
    </w:p>
    <w:p>
      <w:pPr>
        <w:pStyle w:val="Point1"/>
        <w:rPr>
          <w:noProof/>
        </w:rPr>
      </w:pPr>
      <w:r>
        <w:rPr>
          <w:noProof/>
        </w:rPr>
        <w:t>(c)</w:t>
      </w:r>
      <w:r>
        <w:rPr>
          <w:noProof/>
        </w:rPr>
        <w:tab/>
        <w:t>obiecte identificabile utilizate în cadrul infracțiunilor sau legate de acestea, inclusiv documente, vehicule, arme și alte articole relevante.</w:t>
      </w:r>
    </w:p>
    <w:p>
      <w:pPr>
        <w:pStyle w:val="ManualNumPar1"/>
        <w:rPr>
          <w:noProof/>
        </w:rPr>
      </w:pPr>
      <w:r>
        <w:rPr>
          <w:noProof/>
        </w:rPr>
        <w:t>(2)</w:t>
      </w:r>
      <w:r>
        <w:rPr>
          <w:noProof/>
        </w:rPr>
        <w:tab/>
        <w:t>Datele care se referă la persoanele sau obiectele menționate la alineatul (1) pot include:</w:t>
      </w:r>
    </w:p>
    <w:p>
      <w:pPr>
        <w:pStyle w:val="Point1"/>
        <w:rPr>
          <w:noProof/>
        </w:rPr>
      </w:pPr>
      <w:r>
        <w:rPr>
          <w:noProof/>
        </w:rPr>
        <w:t>(a)</w:t>
      </w:r>
      <w:r>
        <w:rPr>
          <w:noProof/>
        </w:rPr>
        <w:tab/>
        <w:t>date de identitate, inclusiv date biografice și date biometrice;</w:t>
      </w:r>
    </w:p>
    <w:p>
      <w:pPr>
        <w:pStyle w:val="Point1"/>
        <w:rPr>
          <w:noProof/>
        </w:rPr>
      </w:pPr>
      <w:r>
        <w:rPr>
          <w:noProof/>
        </w:rPr>
        <w:t>(b)</w:t>
      </w:r>
      <w:r>
        <w:rPr>
          <w:noProof/>
        </w:rPr>
        <w:tab/>
        <w:t>date operative în materie penală;</w:t>
      </w:r>
    </w:p>
    <w:p>
      <w:pPr>
        <w:pStyle w:val="Point1"/>
        <w:rPr>
          <w:noProof/>
        </w:rPr>
      </w:pPr>
      <w:r>
        <w:rPr>
          <w:noProof/>
        </w:rPr>
        <w:t>(c)</w:t>
      </w:r>
      <w:r>
        <w:rPr>
          <w:noProof/>
        </w:rPr>
        <w:tab/>
        <w:t>date operaționale, inclusiv date privind activitățile infracționale, investigațiile și conexiunile dintre cazuri;</w:t>
      </w:r>
    </w:p>
    <w:p>
      <w:pPr>
        <w:pStyle w:val="Point1"/>
        <w:rPr>
          <w:noProof/>
        </w:rPr>
      </w:pPr>
      <w:r>
        <w:rPr>
          <w:noProof/>
        </w:rPr>
        <w:t>(d)</w:t>
      </w:r>
      <w:r>
        <w:rPr>
          <w:noProof/>
        </w:rPr>
        <w:tab/>
        <w:t>datele de referință, inclusiv identificatorii de caz naționali și referințele evidențelor poliției;</w:t>
      </w:r>
    </w:p>
    <w:p>
      <w:pPr>
        <w:pStyle w:val="Point1"/>
        <w:rPr>
          <w:noProof/>
        </w:rPr>
      </w:pPr>
      <w:r>
        <w:rPr>
          <w:noProof/>
        </w:rPr>
        <w:t>(e)</w:t>
      </w:r>
      <w:r>
        <w:rPr>
          <w:noProof/>
        </w:rPr>
        <w:tab/>
        <w:t>date referitoare la obiecte utilizate în cadrul infracțiunilor sau legate de acestea, inclusiv documente, vehicule, arme și alte articole relevante.</w:t>
      </w:r>
    </w:p>
    <w:p>
      <w:pPr>
        <w:pStyle w:val="ManualNumPar1"/>
        <w:rPr>
          <w:noProof/>
        </w:rPr>
      </w:pPr>
      <w:r>
        <w:rPr>
          <w:noProof/>
        </w:rPr>
        <w:t>(3)</w:t>
      </w:r>
      <w:r>
        <w:rPr>
          <w:noProof/>
        </w:rPr>
        <w:tab/>
        <w:t>În conformitate cu prezentul regulament, serviciul de verificare încrucișată al Europol poate conține date încărcate de următoarele entități:</w:t>
      </w:r>
    </w:p>
    <w:p>
      <w:pPr>
        <w:pStyle w:val="Point1"/>
        <w:rPr>
          <w:noProof/>
        </w:rPr>
      </w:pPr>
      <w:r>
        <w:rPr>
          <w:noProof/>
        </w:rPr>
        <w:t>(a)</w:t>
      </w:r>
      <w:r>
        <w:rPr>
          <w:noProof/>
        </w:rPr>
        <w:tab/>
        <w:t>unitățile naționale Europol înființate sau desemnate în temeiul articolului 25 alineatul (2);</w:t>
      </w:r>
    </w:p>
    <w:p>
      <w:pPr>
        <w:pStyle w:val="Point1"/>
        <w:rPr>
          <w:noProof/>
        </w:rPr>
      </w:pPr>
      <w:r>
        <w:rPr>
          <w:noProof/>
        </w:rPr>
        <w:t>(b)</w:t>
      </w:r>
      <w:r>
        <w:rPr>
          <w:noProof/>
        </w:rPr>
        <w:tab/>
        <w:t>autoritățile competente ale statelor membre;</w:t>
      </w:r>
    </w:p>
    <w:p>
      <w:pPr>
        <w:pStyle w:val="Point1"/>
        <w:rPr>
          <w:noProof/>
        </w:rPr>
      </w:pPr>
      <w:r>
        <w:rPr>
          <w:noProof/>
        </w:rPr>
        <w:t>(c)</w:t>
      </w:r>
      <w:r>
        <w:rPr>
          <w:noProof/>
        </w:rPr>
        <w:tab/>
        <w:t>Europol, inclusiv datele furnizate de țări terțe, instituții, organe, oficii și agenții ale Uniunii, părți private și organizații internaționale.</w:t>
      </w:r>
    </w:p>
    <w:p>
      <w:pPr>
        <w:pStyle w:val="ManualNumPar1"/>
        <w:rPr>
          <w:noProof/>
        </w:rPr>
      </w:pPr>
      <w:r>
        <w:rPr>
          <w:noProof/>
        </w:rPr>
        <w:t>(4)</w:t>
      </w:r>
      <w:r>
        <w:rPr>
          <w:noProof/>
        </w:rPr>
        <w:tab/>
        <w:t>Comisia adoptă acte de punere în aplicare prin care se stabilesc procedurile tehnice de stocare a datelor, inclusiv formatele de date, cerințele de calitate a datelor și normele de verificare încrucișată.</w:t>
      </w:r>
    </w:p>
    <w:p>
      <w:pPr>
        <w:ind w:left="850"/>
        <w:rPr>
          <w:noProof/>
        </w:rPr>
      </w:pPr>
      <w:r>
        <w:rPr>
          <w:noProof/>
        </w:rPr>
        <w:t>Actele de punere în aplicare respective se adoptă în conformitate cu procedura de examinare menționată la articolul 138 alineatul (2).</w:t>
      </w:r>
    </w:p>
    <w:p>
      <w:pPr>
        <w:keepNext/>
        <w:spacing w:before="360"/>
        <w:jc w:val="center"/>
        <w:rPr>
          <w:i/>
          <w:noProof/>
        </w:rPr>
      </w:pPr>
      <w:r>
        <w:rPr>
          <w:i/>
          <w:noProof/>
        </w:rPr>
        <w:t>Articolul 38</w:t>
      </w:r>
    </w:p>
    <w:p>
      <w:pPr>
        <w:pStyle w:val="NormalCentered"/>
        <w:rPr>
          <w:noProof/>
        </w:rPr>
      </w:pPr>
      <w:r>
        <w:rPr>
          <w:b/>
          <w:noProof/>
        </w:rPr>
        <w:t>Încărcarea datelor în serviciul de verificare încrucișată al Europol</w:t>
      </w:r>
    </w:p>
    <w:p>
      <w:pPr>
        <w:pStyle w:val="ManualNumPar1"/>
        <w:rPr>
          <w:noProof/>
        </w:rPr>
      </w:pPr>
      <w:r>
        <w:rPr>
          <w:noProof/>
        </w:rPr>
        <w:t>(1)</w:t>
      </w:r>
      <w:r>
        <w:rPr>
          <w:noProof/>
        </w:rPr>
        <w:tab/>
        <w:t>Statele membre se asigură că unitățile lor naționale Europol și autoritățile competente ale statului membru încarcă în mod sistematic și fără întârzieri nejustificate în serviciul de verificare încrucișată al Europol orice date care:</w:t>
      </w:r>
    </w:p>
    <w:p>
      <w:pPr>
        <w:pStyle w:val="Point1"/>
        <w:rPr>
          <w:noProof/>
        </w:rPr>
      </w:pPr>
      <w:r>
        <w:rPr>
          <w:noProof/>
        </w:rPr>
        <w:t>(a)</w:t>
      </w:r>
      <w:r>
        <w:rPr>
          <w:noProof/>
        </w:rPr>
        <w:tab/>
        <w:t xml:space="preserve">se referă la forme de criminalitate care intră în sfera de competență a Europol; </w:t>
      </w:r>
    </w:p>
    <w:p>
      <w:pPr>
        <w:pStyle w:val="Point1"/>
        <w:rPr>
          <w:noProof/>
        </w:rPr>
      </w:pPr>
      <w:r>
        <w:rPr>
          <w:noProof/>
        </w:rPr>
        <w:t>(b)</w:t>
      </w:r>
      <w:r>
        <w:rPr>
          <w:noProof/>
        </w:rPr>
        <w:tab/>
        <w:t>sunt relevante pentru cooperarea transfrontalieră sau în cazul în care există indicii concrete ale unei posibile legături cu alte state membre sau țări terțe.</w:t>
      </w:r>
    </w:p>
    <w:p>
      <w:pPr>
        <w:pStyle w:val="ManualNumPar1"/>
        <w:rPr>
          <w:noProof/>
        </w:rPr>
      </w:pPr>
      <w:r>
        <w:rPr>
          <w:noProof/>
        </w:rPr>
        <w:t>(2)</w:t>
      </w:r>
      <w:r>
        <w:rPr>
          <w:noProof/>
        </w:rPr>
        <w:tab/>
        <w:t>Prin derogare de la alineatul (1), autoritățile competente ale statelor membre pot decide să nu încarce date în serviciul de verificare încrucișată al Europol din motivele menționate la articolul 29 alineatul (5).</w:t>
      </w:r>
    </w:p>
    <w:p>
      <w:pPr>
        <w:pStyle w:val="ManualNumPar1"/>
        <w:rPr>
          <w:noProof/>
        </w:rPr>
      </w:pPr>
      <w:r>
        <w:rPr>
          <w:noProof/>
        </w:rPr>
        <w:t>(3)</w:t>
      </w:r>
      <w:r>
        <w:rPr>
          <w:noProof/>
        </w:rPr>
        <w:tab/>
        <w:t>Statele membre se asigură că unitățile naționale Europol și autoritățile competente ale statelor membre sunt dotate cu mijloace tehnice automatizate („sisteme de încărcare a datelor”) care permit încărcarea sistematică a datelor din sistemele lor naționale de gestionare a cazurilor în serviciul de verificare încrucișată al Europol, în conformitate cu alineatul (1).</w:t>
      </w:r>
    </w:p>
    <w:p>
      <w:pPr>
        <w:pStyle w:val="ManualNumPar1"/>
        <w:rPr>
          <w:noProof/>
        </w:rPr>
      </w:pPr>
      <w:r>
        <w:rPr>
          <w:noProof/>
        </w:rPr>
        <w:t>(4)</w:t>
      </w:r>
      <w:r>
        <w:rPr>
          <w:noProof/>
        </w:rPr>
        <w:tab/>
        <w:t>Europol încarcă în serviciul de verificare încrucișată al Europol, în mod sistematic și fără întârzieri nejustificate, date care îndeplinesc condițiile prevăzute la alineatul (1).</w:t>
      </w:r>
    </w:p>
    <w:p>
      <w:pPr>
        <w:pStyle w:val="ManualNumPar1"/>
        <w:rPr>
          <w:noProof/>
        </w:rPr>
      </w:pPr>
      <w:r>
        <w:rPr>
          <w:noProof/>
        </w:rPr>
        <w:t>(5)</w:t>
      </w:r>
      <w:r>
        <w:rPr>
          <w:noProof/>
        </w:rPr>
        <w:tab/>
        <w:t>Statele membre și Europol se asigură că datele încărcate în serviciul de verificare încrucișată al Europol sunt exacte, actualizate și complete și le actualizează sau le șterg, dacă este necesar.</w:t>
      </w:r>
    </w:p>
    <w:p>
      <w:pPr>
        <w:pStyle w:val="ManualNumPar1"/>
        <w:rPr>
          <w:noProof/>
        </w:rPr>
      </w:pPr>
      <w:r>
        <w:rPr>
          <w:noProof/>
        </w:rPr>
        <w:t>(6)</w:t>
      </w:r>
      <w:r>
        <w:rPr>
          <w:noProof/>
        </w:rPr>
        <w:tab/>
        <w:t>Serviciul de verificare încrucișată al Europol efectuează în mod automat o verificare încrucișată a oricăror date nou încărcate cu datele deja stocate în serviciu, pentru a identifica legăturile dintre:</w:t>
      </w:r>
    </w:p>
    <w:p>
      <w:pPr>
        <w:pStyle w:val="Point1"/>
        <w:rPr>
          <w:noProof/>
        </w:rPr>
      </w:pPr>
      <w:r>
        <w:rPr>
          <w:noProof/>
        </w:rPr>
        <w:t>(a)</w:t>
      </w:r>
      <w:r>
        <w:rPr>
          <w:noProof/>
        </w:rPr>
        <w:tab/>
        <w:t>persoane;</w:t>
      </w:r>
    </w:p>
    <w:p>
      <w:pPr>
        <w:pStyle w:val="Point1"/>
        <w:rPr>
          <w:noProof/>
        </w:rPr>
      </w:pPr>
      <w:r>
        <w:rPr>
          <w:noProof/>
        </w:rPr>
        <w:t>(b)</w:t>
      </w:r>
      <w:r>
        <w:rPr>
          <w:noProof/>
        </w:rPr>
        <w:tab/>
        <w:t>obiecte;</w:t>
      </w:r>
    </w:p>
    <w:p>
      <w:pPr>
        <w:pStyle w:val="Point1"/>
        <w:rPr>
          <w:noProof/>
        </w:rPr>
      </w:pPr>
      <w:r>
        <w:rPr>
          <w:noProof/>
        </w:rPr>
        <w:t>(c)</w:t>
      </w:r>
      <w:r>
        <w:rPr>
          <w:noProof/>
        </w:rPr>
        <w:tab/>
        <w:t xml:space="preserve">activități infracționale; </w:t>
      </w:r>
    </w:p>
    <w:p>
      <w:pPr>
        <w:pStyle w:val="Point1"/>
        <w:rPr>
          <w:noProof/>
        </w:rPr>
      </w:pPr>
      <w:r>
        <w:rPr>
          <w:noProof/>
        </w:rPr>
        <w:t>(d)</w:t>
      </w:r>
      <w:r>
        <w:rPr>
          <w:noProof/>
        </w:rPr>
        <w:tab/>
        <w:t>investigațiile efectuate în unul sau mai multe state membre sau cu țări terțe.</w:t>
      </w:r>
    </w:p>
    <w:p>
      <w:pPr>
        <w:pStyle w:val="ManualNumPar1"/>
        <w:rPr>
          <w:noProof/>
        </w:rPr>
      </w:pPr>
      <w:r>
        <w:rPr>
          <w:noProof/>
        </w:rPr>
        <w:t>(7)</w:t>
      </w:r>
      <w:r>
        <w:rPr>
          <w:noProof/>
        </w:rPr>
        <w:tab/>
        <w:t>După obținerea unui răspuns pozitiv în urma verificării încrucișate menționate la alineatul (6), serviciul de verificare încrucișată al Europol generează o semnalare și notifică entitatea relevantă în conformitate cu articolul 34.</w:t>
      </w:r>
    </w:p>
    <w:p>
      <w:pPr>
        <w:pStyle w:val="ManualNumPar1"/>
        <w:rPr>
          <w:noProof/>
        </w:rPr>
      </w:pPr>
      <w:r>
        <w:rPr>
          <w:noProof/>
        </w:rPr>
        <w:t>(8)</w:t>
      </w:r>
      <w:r>
        <w:rPr>
          <w:noProof/>
        </w:rPr>
        <w:tab/>
        <w:t>Comisia adoptă acte de punere în aplicare prin care se stabilesc procedurile tehnice pentru încărcarea datelor, inclusiv în ceea ce privește formatele de date, precum și procedurile de încărcare automată și de verificare încrucișată. Actele de punere în aplicare respective se adoptă în conformitate cu procedura de examinare menționată la articolul 138 alineatul (2).</w:t>
      </w:r>
    </w:p>
    <w:p>
      <w:pPr>
        <w:keepNext/>
        <w:spacing w:before="360"/>
        <w:jc w:val="center"/>
        <w:rPr>
          <w:i/>
          <w:noProof/>
        </w:rPr>
      </w:pPr>
      <w:r>
        <w:rPr>
          <w:i/>
          <w:noProof/>
        </w:rPr>
        <w:t>Articolul 39</w:t>
      </w:r>
    </w:p>
    <w:p>
      <w:pPr>
        <w:pStyle w:val="NormalCentered"/>
        <w:rPr>
          <w:noProof/>
        </w:rPr>
      </w:pPr>
      <w:r>
        <w:rPr>
          <w:b/>
          <w:noProof/>
        </w:rPr>
        <w:t>Interogarea datelor serviciului de verificare încrucișată al Europol și accesul la acestea</w:t>
      </w:r>
    </w:p>
    <w:p>
      <w:pPr>
        <w:pStyle w:val="ManualNumPar1"/>
        <w:rPr>
          <w:noProof/>
        </w:rPr>
      </w:pPr>
      <w:r>
        <w:rPr>
          <w:noProof/>
        </w:rPr>
        <w:t>(1)</w:t>
      </w:r>
      <w:r>
        <w:rPr>
          <w:noProof/>
        </w:rPr>
        <w:tab/>
        <w:t>Statele membre pot efectua interogări și pot avea acces la toate informațiile stocate în serviciul de verificare încrucișată al Europol, în conformitate cu prezentul regulament.</w:t>
      </w:r>
    </w:p>
    <w:p>
      <w:pPr>
        <w:pStyle w:val="ManualNumPar1"/>
        <w:rPr>
          <w:noProof/>
        </w:rPr>
      </w:pPr>
      <w:r>
        <w:rPr>
          <w:noProof/>
        </w:rPr>
        <w:t>(2)</w:t>
      </w:r>
      <w:r>
        <w:rPr>
          <w:noProof/>
        </w:rPr>
        <w:tab/>
        <w:t>Serviciul de verificare încrucișată al Europol permite unităților naționale Europol și autorităților competente ale statelor membre să efectueze interogări cu privire la informațiile stocate, prin intermediul:</w:t>
      </w:r>
    </w:p>
    <w:p>
      <w:pPr>
        <w:pStyle w:val="Point1"/>
        <w:rPr>
          <w:noProof/>
        </w:rPr>
      </w:pPr>
      <w:r>
        <w:rPr>
          <w:noProof/>
        </w:rPr>
        <w:t>(a)</w:t>
      </w:r>
      <w:r>
        <w:rPr>
          <w:noProof/>
        </w:rPr>
        <w:tab/>
        <w:t>datelor alfanumerice;</w:t>
      </w:r>
    </w:p>
    <w:p>
      <w:pPr>
        <w:pStyle w:val="Point1"/>
        <w:rPr>
          <w:noProof/>
        </w:rPr>
      </w:pPr>
      <w:r>
        <w:rPr>
          <w:noProof/>
        </w:rPr>
        <w:t>(b)</w:t>
      </w:r>
      <w:r>
        <w:rPr>
          <w:noProof/>
        </w:rPr>
        <w:tab/>
        <w:t>datelor biometrice;</w:t>
      </w:r>
    </w:p>
    <w:p>
      <w:pPr>
        <w:pStyle w:val="Point1"/>
        <w:rPr>
          <w:noProof/>
        </w:rPr>
      </w:pPr>
      <w:r>
        <w:rPr>
          <w:noProof/>
        </w:rPr>
        <w:t>(c)</w:t>
      </w:r>
      <w:r>
        <w:rPr>
          <w:noProof/>
        </w:rPr>
        <w:tab/>
        <w:t>datelor multimedia.</w:t>
      </w:r>
    </w:p>
    <w:p>
      <w:pPr>
        <w:pStyle w:val="ManualNumPar1"/>
        <w:rPr>
          <w:noProof/>
        </w:rPr>
      </w:pPr>
      <w:r>
        <w:rPr>
          <w:noProof/>
        </w:rPr>
        <w:t>(3)</w:t>
      </w:r>
      <w:r>
        <w:rPr>
          <w:noProof/>
        </w:rPr>
        <w:tab/>
        <w:t>Autoritățile competente ale statelor membre efectuează interogări sistematice ale serviciului de verificare încrucișată al Europol cu informațiile relevante:</w:t>
      </w:r>
    </w:p>
    <w:p>
      <w:pPr>
        <w:pStyle w:val="Point1"/>
        <w:rPr>
          <w:noProof/>
        </w:rPr>
      </w:pPr>
      <w:r>
        <w:rPr>
          <w:noProof/>
        </w:rPr>
        <w:t>(a)</w:t>
      </w:r>
      <w:r>
        <w:rPr>
          <w:noProof/>
        </w:rPr>
        <w:tab/>
        <w:t xml:space="preserve">atunci când desfășoară investigații privind forme de criminalitate care intră în sfera de competență a Europol; </w:t>
      </w:r>
    </w:p>
    <w:p>
      <w:pPr>
        <w:pStyle w:val="Point1"/>
        <w:rPr>
          <w:noProof/>
        </w:rPr>
      </w:pPr>
      <w:r>
        <w:rPr>
          <w:noProof/>
        </w:rPr>
        <w:t>(b)</w:t>
      </w:r>
      <w:r>
        <w:rPr>
          <w:noProof/>
        </w:rPr>
        <w:tab/>
        <w:t>atunci când există motive întemeiate pentru a considera că respectivul caz are o dimensiune transfrontalieră sau internațională.</w:t>
      </w:r>
    </w:p>
    <w:p>
      <w:pPr>
        <w:pStyle w:val="ManualNumPar1"/>
        <w:rPr>
          <w:noProof/>
        </w:rPr>
      </w:pPr>
      <w:r>
        <w:rPr>
          <w:noProof/>
        </w:rPr>
        <w:t>(4)</w:t>
      </w:r>
      <w:r>
        <w:rPr>
          <w:noProof/>
        </w:rPr>
        <w:tab/>
        <w:t>Europol nu are acces la conținutul interogării efectuate de autoritățile competente ale statelor membre și nici la rezultatele interogării.</w:t>
      </w:r>
    </w:p>
    <w:p>
      <w:pPr>
        <w:pStyle w:val="ManualNumPar1"/>
        <w:rPr>
          <w:noProof/>
        </w:rPr>
      </w:pPr>
      <w:r>
        <w:rPr>
          <w:noProof/>
        </w:rPr>
        <w:t>(5)</w:t>
      </w:r>
      <w:r>
        <w:rPr>
          <w:noProof/>
        </w:rPr>
        <w:tab/>
        <w:t>Europol efectuează interogări în serviciul de verificare încrucișată al Europol pentru a-și îndeplini atribuțiile prevăzute în prezentul regulament.</w:t>
      </w:r>
    </w:p>
    <w:p>
      <w:pPr>
        <w:pStyle w:val="ManualNumPar1"/>
        <w:rPr>
          <w:noProof/>
        </w:rPr>
      </w:pPr>
      <w:r>
        <w:rPr>
          <w:noProof/>
        </w:rPr>
        <w:t>(6)</w:t>
      </w:r>
      <w:r>
        <w:rPr>
          <w:noProof/>
        </w:rPr>
        <w:tab/>
        <w:t>Se pot efectua interogări în serviciul de verificare încrucișată al Europol în cazul în care acest lucru este prevăzut de alte acte legislative ale Uniunii.</w:t>
      </w:r>
    </w:p>
    <w:p>
      <w:pPr>
        <w:pStyle w:val="ManualNumPar1"/>
        <w:rPr>
          <w:noProof/>
        </w:rPr>
      </w:pPr>
      <w:r>
        <w:rPr>
          <w:noProof/>
        </w:rPr>
        <w:t>(7)</w:t>
      </w:r>
      <w:r>
        <w:rPr>
          <w:noProof/>
        </w:rPr>
        <w:tab/>
        <w:t>Rezultatul interogării include toate datele relevante stocate în serviciul de verificare încrucișată al Europol la care entitatea care efectuează interogarea în temeiul alineatelor (2) și (4) de la prezentul articol are acces în conformitate cu orice restricție indicată în temeiul articolului 33 alineatul (2).</w:t>
      </w:r>
    </w:p>
    <w:p>
      <w:pPr>
        <w:pStyle w:val="ManualNumPar1"/>
        <w:rPr>
          <w:noProof/>
        </w:rPr>
      </w:pPr>
      <w:r>
        <w:rPr>
          <w:noProof/>
        </w:rPr>
        <w:t>(8)</w:t>
      </w:r>
      <w:r>
        <w:rPr>
          <w:noProof/>
        </w:rPr>
        <w:tab/>
        <w:t>Comisia adoptă acte de punere în aplicare prin care se stabilesc procedurile tehnice pentru interogarea datelor, inclusiv în ceea ce privește formatele de date. Actele de punere în aplicare respective se adoptă în conformitate cu procedura de examinare menționată la articolul 138 alineatul (2).</w:t>
      </w:r>
    </w:p>
    <w:p>
      <w:pPr>
        <w:keepNext/>
        <w:spacing w:before="360"/>
        <w:jc w:val="center"/>
        <w:rPr>
          <w:i/>
          <w:noProof/>
        </w:rPr>
      </w:pPr>
      <w:r>
        <w:rPr>
          <w:i/>
          <w:noProof/>
        </w:rPr>
        <w:t>Articolul 40</w:t>
      </w:r>
    </w:p>
    <w:p>
      <w:pPr>
        <w:pStyle w:val="NormalCentered"/>
        <w:rPr>
          <w:noProof/>
        </w:rPr>
      </w:pPr>
      <w:bookmarkStart w:id="5" w:name="_Hlk231204284"/>
      <w:r>
        <w:rPr>
          <w:b/>
          <w:noProof/>
        </w:rPr>
        <w:t>Mediul analitic al Europol</w:t>
      </w:r>
      <w:bookmarkEnd w:id="5"/>
    </w:p>
    <w:p>
      <w:pPr>
        <w:pStyle w:val="ManualNumPar1"/>
        <w:rPr>
          <w:noProof/>
        </w:rPr>
      </w:pPr>
      <w:r>
        <w:rPr>
          <w:noProof/>
        </w:rPr>
        <w:t>(1)</w:t>
      </w:r>
      <w:r>
        <w:rPr>
          <w:noProof/>
        </w:rPr>
        <w:tab/>
        <w:t xml:space="preserve">Europol dezvoltă și menține mediul tehnic și operațional pentru stocarea, prelucrarea, verificarea încrucișată, vizualizarea și analiza datelor, inclusiv în sprijinul anchetelor penale și al coordonării operaționale (mediul analitic al Europol). </w:t>
      </w:r>
    </w:p>
    <w:p>
      <w:pPr>
        <w:pStyle w:val="ManualNumPar1"/>
        <w:rPr>
          <w:noProof/>
        </w:rPr>
      </w:pPr>
      <w:r>
        <w:rPr>
          <w:noProof/>
        </w:rPr>
        <w:t>(2)</w:t>
      </w:r>
      <w:r>
        <w:rPr>
          <w:noProof/>
        </w:rPr>
        <w:tab/>
        <w:t>Mediul analitic al Europol cuprinde spații de lucru analitice, funcționalități de gestionare a cazurilor, instrumente de colaborare, servicii de prelucrare a datelor și alte capacități necesare pentru a sprijini activitățile analitice ale Europol și cooperarea cu statele membre și cu alți parteneri autorizați și pentru a răspunde nevoilor operaționale, tehnice sau analitice identificate în contextul activităților sale.</w:t>
      </w:r>
    </w:p>
    <w:p>
      <w:pPr>
        <w:pStyle w:val="ManualNumPar1"/>
        <w:rPr>
          <w:noProof/>
        </w:rPr>
      </w:pPr>
      <w:r>
        <w:rPr>
          <w:noProof/>
        </w:rPr>
        <w:t>(3)</w:t>
      </w:r>
      <w:r>
        <w:rPr>
          <w:noProof/>
        </w:rPr>
        <w:tab/>
        <w:t>Mediul analitic al Europol prevede proiecte de analiză separate în mod logic pentru stocarea și prelucrarea datelor în scopuri analitice distincte, astfel cum se menționează la articolul 32 alineatul (3).</w:t>
      </w:r>
    </w:p>
    <w:p>
      <w:pPr>
        <w:pStyle w:val="ManualNumPar1"/>
        <w:rPr>
          <w:noProof/>
        </w:rPr>
      </w:pPr>
      <w:r>
        <w:rPr>
          <w:noProof/>
        </w:rPr>
        <w:t>(4)</w:t>
      </w:r>
      <w:r>
        <w:rPr>
          <w:noProof/>
        </w:rPr>
        <w:tab/>
        <w:t>Europol asigură gestionarea operațională, securitatea, disponibilitatea și integritatea mediului analitic al Europol.</w:t>
      </w:r>
    </w:p>
    <w:p>
      <w:pPr>
        <w:keepNext/>
        <w:spacing w:before="360"/>
        <w:jc w:val="center"/>
        <w:rPr>
          <w:i/>
          <w:noProof/>
        </w:rPr>
      </w:pPr>
      <w:r>
        <w:rPr>
          <w:i/>
          <w:noProof/>
        </w:rPr>
        <w:t>Articolul 41</w:t>
      </w:r>
    </w:p>
    <w:p>
      <w:pPr>
        <w:pStyle w:val="NormalCentered"/>
        <w:rPr>
          <w:noProof/>
        </w:rPr>
      </w:pPr>
      <w:r>
        <w:rPr>
          <w:b/>
          <w:noProof/>
        </w:rPr>
        <w:t>Interogarea datelor din mediul analitic al Europol și accesul la acestea</w:t>
      </w:r>
    </w:p>
    <w:p>
      <w:pPr>
        <w:pStyle w:val="ManualNumPar1"/>
        <w:rPr>
          <w:noProof/>
        </w:rPr>
      </w:pPr>
      <w:r>
        <w:rPr>
          <w:noProof/>
        </w:rPr>
        <w:t>(1)</w:t>
      </w:r>
      <w:r>
        <w:rPr>
          <w:noProof/>
        </w:rPr>
        <w:tab/>
        <w:t>Mediul analitic al Europol permite unităților naționale Europol și autorităților competente ale statelor membre să efectueze interogări ale datelor stocate pentru a identifica legături cu cazurile existente, prin intermediul:</w:t>
      </w:r>
    </w:p>
    <w:p>
      <w:pPr>
        <w:pStyle w:val="Point1"/>
        <w:rPr>
          <w:noProof/>
        </w:rPr>
      </w:pPr>
      <w:r>
        <w:rPr>
          <w:noProof/>
        </w:rPr>
        <w:t>(a)</w:t>
      </w:r>
      <w:r>
        <w:rPr>
          <w:noProof/>
        </w:rPr>
        <w:tab/>
        <w:t>datelor alfanumerice;</w:t>
      </w:r>
    </w:p>
    <w:p>
      <w:pPr>
        <w:pStyle w:val="Point1"/>
        <w:rPr>
          <w:noProof/>
        </w:rPr>
      </w:pPr>
      <w:r>
        <w:rPr>
          <w:noProof/>
        </w:rPr>
        <w:t>(b)</w:t>
      </w:r>
      <w:r>
        <w:rPr>
          <w:noProof/>
        </w:rPr>
        <w:tab/>
        <w:t>datelor biometrice;</w:t>
      </w:r>
    </w:p>
    <w:p>
      <w:pPr>
        <w:pStyle w:val="Point1"/>
        <w:rPr>
          <w:noProof/>
        </w:rPr>
      </w:pPr>
      <w:r>
        <w:rPr>
          <w:noProof/>
        </w:rPr>
        <w:t>(c)</w:t>
      </w:r>
      <w:r>
        <w:rPr>
          <w:noProof/>
        </w:rPr>
        <w:tab/>
      </w:r>
      <w:r>
        <w:rPr>
          <w:noProof/>
        </w:rPr>
        <w:tab/>
        <w:t>datelor multimedia.</w:t>
      </w:r>
    </w:p>
    <w:p>
      <w:pPr>
        <w:pStyle w:val="ManualNumPar1"/>
        <w:rPr>
          <w:noProof/>
        </w:rPr>
      </w:pPr>
      <w:r>
        <w:rPr>
          <w:noProof/>
        </w:rPr>
        <w:t>(2)</w:t>
      </w:r>
      <w:r>
        <w:rPr>
          <w:noProof/>
        </w:rPr>
        <w:tab/>
        <w:t>Europol efectuează interogări în mediul analitic al Europol pentru a-și îndeplini atribuțiile, inclusiv în ceea ce privește datele biometrice, în scopul identificării unice a unei persoane fizice.</w:t>
      </w:r>
    </w:p>
    <w:p>
      <w:pPr>
        <w:pStyle w:val="ManualNumPar1"/>
        <w:rPr>
          <w:noProof/>
        </w:rPr>
      </w:pPr>
      <w:r>
        <w:rPr>
          <w:noProof/>
        </w:rPr>
        <w:t>(3)</w:t>
      </w:r>
      <w:r>
        <w:rPr>
          <w:noProof/>
        </w:rPr>
        <w:tab/>
        <w:t>Unitățile naționale Europol și autoritățile competente ale statelor membre, inclusiv în contextul unui JOAC, care efectuează interogări în mediul analitic al Europol au acces indirect numai la rezultatele acestor interogări, pe baza unui răspuns pozitiv/răspuns negativ („hit/no hit”). În cazul unui răspuns pozitiv, Europol inițiază procedura prin care informațiile care au generat răspunsul pozitiv pot fi comunicate entității care efectuează interogarea, în conformitate cu articolul 34.</w:t>
      </w:r>
    </w:p>
    <w:p>
      <w:pPr>
        <w:pStyle w:val="ManualNumPar1"/>
        <w:rPr>
          <w:noProof/>
        </w:rPr>
      </w:pPr>
      <w:r>
        <w:rPr>
          <w:noProof/>
        </w:rPr>
        <w:t>(4)</w:t>
      </w:r>
      <w:r>
        <w:rPr>
          <w:noProof/>
        </w:rPr>
        <w:tab/>
        <w:t>Sistemele de informații ale Uniunii pot, de asemenea, să efectueze interogări în mediul analitic al Europol în cazul în care acest lucru este prevăzut de alte acte legislative ale Uniunii.</w:t>
      </w:r>
    </w:p>
    <w:p>
      <w:pPr>
        <w:pStyle w:val="Point1"/>
        <w:rPr>
          <w:noProof/>
        </w:rPr>
      </w:pPr>
      <w:r>
        <w:rPr>
          <w:noProof/>
        </w:rPr>
        <w:t>(a)</w:t>
      </w:r>
      <w:r>
        <w:rPr>
          <w:noProof/>
        </w:rPr>
        <w:tab/>
        <w:t>datelor alfanumerice;</w:t>
      </w:r>
    </w:p>
    <w:p>
      <w:pPr>
        <w:pStyle w:val="Point1"/>
        <w:rPr>
          <w:noProof/>
        </w:rPr>
      </w:pPr>
      <w:r>
        <w:rPr>
          <w:noProof/>
        </w:rPr>
        <w:t>(b)</w:t>
      </w:r>
      <w:r>
        <w:rPr>
          <w:noProof/>
        </w:rPr>
        <w:tab/>
        <w:t>datelor biometrice;</w:t>
      </w:r>
    </w:p>
    <w:p>
      <w:pPr>
        <w:pStyle w:val="Point1"/>
        <w:rPr>
          <w:noProof/>
        </w:rPr>
      </w:pPr>
      <w:r>
        <w:rPr>
          <w:noProof/>
        </w:rPr>
        <w:t>(c)</w:t>
      </w:r>
      <w:r>
        <w:rPr>
          <w:noProof/>
        </w:rPr>
        <w:tab/>
      </w:r>
      <w:r>
        <w:rPr>
          <w:noProof/>
        </w:rPr>
        <w:tab/>
        <w:t>datelor multimedia.</w:t>
      </w:r>
    </w:p>
    <w:p>
      <w:pPr>
        <w:pStyle w:val="ManualNumPar1"/>
        <w:rPr>
          <w:noProof/>
        </w:rPr>
      </w:pPr>
      <w:r>
        <w:rPr>
          <w:noProof/>
        </w:rPr>
        <w:t>(5)</w:t>
      </w:r>
      <w:r>
        <w:rPr>
          <w:noProof/>
        </w:rPr>
        <w:tab/>
        <w:t>Europol efectuează interogări în mediul analitic al Europol pentru a-și îndeplini atribuțiile, inclusiv în ceea ce privește datele biometrice, în scopul identificării unice a unei persoane fizice.</w:t>
      </w:r>
    </w:p>
    <w:p>
      <w:pPr>
        <w:pStyle w:val="ManualNumPar1"/>
        <w:rPr>
          <w:noProof/>
        </w:rPr>
      </w:pPr>
      <w:r>
        <w:rPr>
          <w:noProof/>
        </w:rPr>
        <w:t>(6)</w:t>
      </w:r>
      <w:r>
        <w:rPr>
          <w:noProof/>
        </w:rPr>
        <w:tab/>
        <w:t>Unitățile naționale Europol și autoritățile competente ale statelor membre, inclusiv în contextul unui JOAC, care efectuează interogări în mediul analitic al Europol au acces indirect numai la rezultatele acestor interogări, pe baza unui răspuns pozitiv/răspuns negativ („hit/no hit”). În cazul unui răspuns pozitiv, Europol inițiază procedura prin care informațiile care au generat răspunsul pozitiv pot fi comunicate entității care efectuează interogarea, în conformitate cu articolul 34.</w:t>
      </w:r>
    </w:p>
    <w:p>
      <w:pPr>
        <w:pStyle w:val="ManualNumPar1"/>
        <w:rPr>
          <w:noProof/>
        </w:rPr>
      </w:pPr>
      <w:r>
        <w:rPr>
          <w:noProof/>
        </w:rPr>
        <w:t>(7)</w:t>
      </w:r>
      <w:r>
        <w:rPr>
          <w:noProof/>
        </w:rPr>
        <w:tab/>
        <w:t>Orice restricție privind accesul la date, utilizarea sau stocarea acestora în mediul analitic al Europol respectă prezentul regulament, în special articolele 33 și 101.</w:t>
      </w:r>
    </w:p>
    <w:p>
      <w:pPr>
        <w:keepNext/>
        <w:spacing w:before="360"/>
        <w:jc w:val="center"/>
        <w:rPr>
          <w:noProof/>
        </w:rPr>
      </w:pPr>
      <w:r>
        <w:rPr>
          <w:i/>
          <w:noProof/>
        </w:rPr>
        <w:t>Articolul 42</w:t>
      </w:r>
    </w:p>
    <w:p>
      <w:pPr>
        <w:pStyle w:val="NormalCentered"/>
        <w:rPr>
          <w:b/>
          <w:bCs/>
          <w:noProof/>
        </w:rPr>
      </w:pPr>
      <w:r>
        <w:rPr>
          <w:b/>
          <w:noProof/>
        </w:rPr>
        <w:t>Instituirea spațiului comun de date al poliției</w:t>
      </w:r>
    </w:p>
    <w:p>
      <w:pPr>
        <w:pStyle w:val="ManualNumPar1"/>
        <w:rPr>
          <w:noProof/>
        </w:rPr>
      </w:pPr>
      <w:r>
        <w:rPr>
          <w:noProof/>
        </w:rPr>
        <w:t>(1)</w:t>
      </w:r>
      <w:r>
        <w:rPr>
          <w:noProof/>
        </w:rPr>
        <w:tab/>
        <w:t>Europol dezvoltă și menține un serviciu care permite unităților naționale Europol și autorităților competente ale statelor membre să deschidă JOAC-uri („spațiul comun de date al poliției”).</w:t>
      </w:r>
    </w:p>
    <w:p>
      <w:pPr>
        <w:pStyle w:val="ManualNumPar1"/>
        <w:rPr>
          <w:noProof/>
        </w:rPr>
      </w:pPr>
      <w:r>
        <w:rPr>
          <w:noProof/>
        </w:rPr>
        <w:t>(2)</w:t>
      </w:r>
      <w:r>
        <w:rPr>
          <w:noProof/>
        </w:rPr>
        <w:tab/>
        <w:t>Spațiul comun de date al poliției se bazează pe infrastructura de cloud a Europol menționată la articolul 50.</w:t>
      </w:r>
    </w:p>
    <w:p>
      <w:pPr>
        <w:pStyle w:val="ManualNumPar1"/>
        <w:rPr>
          <w:noProof/>
        </w:rPr>
      </w:pPr>
      <w:r>
        <w:rPr>
          <w:noProof/>
        </w:rPr>
        <w:t>(3)</w:t>
      </w:r>
      <w:r>
        <w:rPr>
          <w:noProof/>
        </w:rPr>
        <w:tab/>
        <w:t xml:space="preserve">Spațiul comun de date al poliției partajează și reutilizează, în măsura în care este posibil din punct de vedere tehnic, componentele hardware și software ale mediului analitic al Europol menționat la articolul 40. </w:t>
      </w:r>
    </w:p>
    <w:p>
      <w:pPr>
        <w:pStyle w:val="ManualNumPar1"/>
        <w:rPr>
          <w:noProof/>
        </w:rPr>
      </w:pPr>
      <w:r>
        <w:rPr>
          <w:noProof/>
        </w:rPr>
        <w:t>(4)</w:t>
      </w:r>
      <w:r>
        <w:rPr>
          <w:noProof/>
        </w:rPr>
        <w:tab/>
        <w:t>Spațiul comun de date al poliției pune la dispoziție instrumentele, funcționalitățile și modulele mediului respectiv, inclusiv funcționalitățile analitice, de prelucrare a datelor și de integrare a datelor, în măsura în care acest lucru este necesar pentru efectuarea de analize operaționale comune în cadrul JOAC-urilor.</w:t>
      </w:r>
    </w:p>
    <w:p>
      <w:pPr>
        <w:pStyle w:val="ManualNumPar1"/>
        <w:rPr>
          <w:noProof/>
        </w:rPr>
      </w:pPr>
      <w:r>
        <w:rPr>
          <w:noProof/>
        </w:rPr>
        <w:t>(5)</w:t>
      </w:r>
      <w:r>
        <w:rPr>
          <w:noProof/>
        </w:rPr>
        <w:tab/>
        <w:t>Comisia adoptă acte de punere în aplicare prin care se stabilesc procedurile pentru definirea funcționalităților necesare ale spațiului comun de date al poliției și modalitățile de asigurare a interoperabilității și a disponibilității instrumentelor și funcționalităților respective. Actele de punere în aplicare respective se adoptă în conformitate cu procedura de examinare menționată la articolul 138 alineatul (2).</w:t>
      </w:r>
    </w:p>
    <w:p>
      <w:pPr>
        <w:keepNext/>
        <w:spacing w:before="360"/>
        <w:jc w:val="center"/>
        <w:rPr>
          <w:i/>
          <w:noProof/>
        </w:rPr>
      </w:pPr>
      <w:r>
        <w:rPr>
          <w:i/>
          <w:noProof/>
        </w:rPr>
        <w:t>Articolul 43</w:t>
      </w:r>
    </w:p>
    <w:p>
      <w:pPr>
        <w:pStyle w:val="NormalCentered"/>
        <w:rPr>
          <w:b/>
          <w:bCs/>
          <w:noProof/>
        </w:rPr>
      </w:pPr>
      <w:r>
        <w:rPr>
          <w:b/>
          <w:noProof/>
        </w:rPr>
        <w:t>Crearea unui caz de analiză operațională comună</w:t>
      </w:r>
    </w:p>
    <w:p>
      <w:pPr>
        <w:pStyle w:val="ManualNumPar1"/>
        <w:rPr>
          <w:noProof/>
        </w:rPr>
      </w:pPr>
      <w:r>
        <w:rPr>
          <w:noProof/>
        </w:rPr>
        <w:t>(1)</w:t>
      </w:r>
      <w:r>
        <w:rPr>
          <w:noProof/>
        </w:rPr>
        <w:tab/>
        <w:t>Unitățile naționale Europol și autoritățile competente ale statelor membre pot decide să deschidă un JOAC pentru efectuarea de analize operaționale comune.</w:t>
      </w:r>
    </w:p>
    <w:p>
      <w:pPr>
        <w:pStyle w:val="ManualNumPar1"/>
        <w:rPr>
          <w:noProof/>
        </w:rPr>
      </w:pPr>
      <w:r>
        <w:rPr>
          <w:noProof/>
        </w:rPr>
        <w:t>(2)</w:t>
      </w:r>
      <w:r>
        <w:rPr>
          <w:noProof/>
        </w:rPr>
        <w:tab/>
        <w:t>Statul membru care deschide JOAC indică:</w:t>
      </w:r>
    </w:p>
    <w:p>
      <w:pPr>
        <w:pStyle w:val="Point1"/>
        <w:rPr>
          <w:noProof/>
        </w:rPr>
      </w:pPr>
      <w:r>
        <w:rPr>
          <w:noProof/>
        </w:rPr>
        <w:t>(a)</w:t>
      </w:r>
      <w:r>
        <w:rPr>
          <w:noProof/>
        </w:rPr>
        <w:tab/>
        <w:t>statul membru (statele membre) invitat(e) să ia parte la JOAC și să aibă acces la datele relevante încărcate în JOAC;</w:t>
      </w:r>
    </w:p>
    <w:p>
      <w:pPr>
        <w:pStyle w:val="Point1"/>
        <w:rPr>
          <w:noProof/>
        </w:rPr>
      </w:pPr>
      <w:r>
        <w:rPr>
          <w:noProof/>
        </w:rPr>
        <w:t>(b)</w:t>
      </w:r>
      <w:r>
        <w:rPr>
          <w:noProof/>
        </w:rPr>
        <w:tab/>
        <w:t>țara terță care poate participa la JOAC și care are acces la datele relevante încărcate în JOAC;</w:t>
      </w:r>
    </w:p>
    <w:p>
      <w:pPr>
        <w:pStyle w:val="Point1"/>
        <w:rPr>
          <w:noProof/>
        </w:rPr>
      </w:pPr>
      <w:r>
        <w:rPr>
          <w:noProof/>
        </w:rPr>
        <w:t>(c)</w:t>
      </w:r>
      <w:r>
        <w:rPr>
          <w:noProof/>
        </w:rPr>
        <w:tab/>
        <w:t>motivele pentru implicarea centrului (centrelor), a statelor membre sau a țărilor terțe în JOAC.</w:t>
      </w:r>
    </w:p>
    <w:p>
      <w:pPr>
        <w:pStyle w:val="ManualNumPar1"/>
        <w:rPr>
          <w:noProof/>
        </w:rPr>
      </w:pPr>
      <w:r>
        <w:rPr>
          <w:noProof/>
        </w:rPr>
        <w:t>(3)</w:t>
      </w:r>
      <w:r>
        <w:rPr>
          <w:noProof/>
        </w:rPr>
        <w:tab/>
        <w:t>Europol are acces la JOAC și, după caz, oferă sprijin analitic și cunoștințe de specialitate statelor membre în cauză în legătură cu JOAC.</w:t>
      </w:r>
    </w:p>
    <w:p>
      <w:pPr>
        <w:pStyle w:val="ManualNumPar1"/>
        <w:rPr>
          <w:noProof/>
        </w:rPr>
      </w:pPr>
      <w:r>
        <w:rPr>
          <w:noProof/>
        </w:rPr>
        <w:t>(4)</w:t>
      </w:r>
      <w:r>
        <w:rPr>
          <w:noProof/>
        </w:rPr>
        <w:tab/>
        <w:t>Statele membre participante desemnează reprezentanți ai autorităților competente respective ale statelor membre care vor participa la JOAC și vor avea acces la datele prelucrate în cadrul acestuia.</w:t>
      </w:r>
    </w:p>
    <w:p>
      <w:pPr>
        <w:pStyle w:val="ManualNumPar1"/>
        <w:rPr>
          <w:noProof/>
        </w:rPr>
      </w:pPr>
      <w:r>
        <w:rPr>
          <w:noProof/>
        </w:rPr>
        <w:t>(5)</w:t>
      </w:r>
      <w:r>
        <w:rPr>
          <w:noProof/>
        </w:rPr>
        <w:tab/>
        <w:t>Atunci când statul membru (statele membre) care deschid(e) JOAC propun(e) ca o țară terță să facă parte din JOAC, Europol are responsabilitatea de a permite participarea țării terțe și de a-i acorda acesteia acces la datele relevante stocate în spațiul comun de date al poliției, în cazul în care sunt îndeplinite următoarele condiții:</w:t>
      </w:r>
    </w:p>
    <w:p>
      <w:pPr>
        <w:pStyle w:val="Point1"/>
        <w:rPr>
          <w:noProof/>
        </w:rPr>
      </w:pPr>
      <w:r>
        <w:rPr>
          <w:noProof/>
        </w:rPr>
        <w:t>(a)</w:t>
      </w:r>
      <w:r>
        <w:rPr>
          <w:noProof/>
        </w:rPr>
        <w:tab/>
        <w:t>Europol consideră că este relevant ca țara terță să participe la JOAC, inclusiv pe baza informațiilor furnizate de statele membre care deschid un JOAC în temeiul alineatului (2) litera (c);</w:t>
      </w:r>
    </w:p>
    <w:p>
      <w:pPr>
        <w:pStyle w:val="Point1"/>
        <w:rPr>
          <w:noProof/>
        </w:rPr>
      </w:pPr>
      <w:r>
        <w:rPr>
          <w:noProof/>
        </w:rPr>
        <w:t>(b)</w:t>
      </w:r>
      <w:r>
        <w:rPr>
          <w:noProof/>
        </w:rPr>
        <w:tab/>
        <w:t>este în vigoare un acord care permite țării terțe să facă schimb de date cu caracter personal cu Europol.</w:t>
      </w:r>
    </w:p>
    <w:p>
      <w:pPr>
        <w:pStyle w:val="ManualNumPar1"/>
        <w:rPr>
          <w:noProof/>
        </w:rPr>
      </w:pPr>
      <w:r>
        <w:rPr>
          <w:noProof/>
        </w:rPr>
        <w:t>(6)</w:t>
      </w:r>
      <w:r>
        <w:rPr>
          <w:noProof/>
        </w:rPr>
        <w:tab/>
        <w:t>Țara terță autorizată să participe la JOAC își numește reprezentanții participanți.</w:t>
      </w:r>
    </w:p>
    <w:p>
      <w:pPr>
        <w:pStyle w:val="ManualNumPar1"/>
        <w:rPr>
          <w:noProof/>
        </w:rPr>
      </w:pPr>
      <w:r>
        <w:rPr>
          <w:noProof/>
        </w:rPr>
        <w:t>(7)</w:t>
      </w:r>
      <w:r>
        <w:rPr>
          <w:noProof/>
        </w:rPr>
        <w:tab/>
        <w:t xml:space="preserve">Europol numește unul sau mai mulți dintre reprezentanții săi pentru a participa la JOAC și pentru a avea acces la informațiile încărcate în acesta. </w:t>
      </w:r>
    </w:p>
    <w:p>
      <w:pPr>
        <w:keepNext/>
        <w:spacing w:before="360"/>
        <w:jc w:val="center"/>
        <w:rPr>
          <w:i/>
          <w:noProof/>
        </w:rPr>
      </w:pPr>
      <w:r>
        <w:rPr>
          <w:i/>
          <w:noProof/>
        </w:rPr>
        <w:t>Articolul 44</w:t>
      </w:r>
    </w:p>
    <w:p>
      <w:pPr>
        <w:pStyle w:val="NormalCentered"/>
        <w:rPr>
          <w:b/>
          <w:bCs/>
          <w:noProof/>
        </w:rPr>
      </w:pPr>
      <w:r>
        <w:rPr>
          <w:b/>
          <w:noProof/>
        </w:rPr>
        <w:t>Propunerea Europol de instituire a unui caz de analiză operațională comună</w:t>
      </w:r>
    </w:p>
    <w:p>
      <w:pPr>
        <w:pStyle w:val="ManualNumPar1"/>
        <w:rPr>
          <w:noProof/>
        </w:rPr>
      </w:pPr>
      <w:r>
        <w:rPr>
          <w:noProof/>
        </w:rPr>
        <w:t>(1)</w:t>
      </w:r>
      <w:r>
        <w:rPr>
          <w:noProof/>
        </w:rPr>
        <w:tab/>
        <w:t>Pe baza analizei informațiilor și a datelor de care dispune, Europol poate propune unuia sau mai multor state membre deschiderea unui JOAC, în cazul în care consideră că o analiză operațională coordonată ar putea oferi valoare adăugată în analiza operațională comună a unei infracțiuni care intră în sfera de competență a Europol.</w:t>
      </w:r>
    </w:p>
    <w:p>
      <w:pPr>
        <w:pStyle w:val="ManualNumPar1"/>
        <w:rPr>
          <w:noProof/>
        </w:rPr>
      </w:pPr>
      <w:r>
        <w:rPr>
          <w:noProof/>
        </w:rPr>
        <w:t>(2)</w:t>
      </w:r>
      <w:r>
        <w:rPr>
          <w:noProof/>
        </w:rPr>
        <w:tab/>
        <w:t>Propunerile formulate în temeiul alineatului (1) nu au caracter obligatoriu și nu aduc atingere libertății statelor membre în cauză de a decide dacă să deschidă sau nu un JOAC în conformitate cu articolul 43.</w:t>
      </w:r>
    </w:p>
    <w:p>
      <w:pPr>
        <w:pStyle w:val="ManualNumPar1"/>
        <w:rPr>
          <w:noProof/>
        </w:rPr>
      </w:pPr>
      <w:r>
        <w:rPr>
          <w:noProof/>
        </w:rPr>
        <w:t>(3)</w:t>
      </w:r>
      <w:r>
        <w:rPr>
          <w:noProof/>
        </w:rPr>
        <w:tab/>
        <w:t>În sensul alineatului (1), Europol poate identifica și marca informațiile relevante din mediul analitic al Europol care ar trebui încărcate în JOAC.</w:t>
      </w:r>
    </w:p>
    <w:p>
      <w:pPr>
        <w:keepNext/>
        <w:spacing w:before="360"/>
        <w:jc w:val="center"/>
        <w:rPr>
          <w:i/>
          <w:noProof/>
        </w:rPr>
      </w:pPr>
      <w:r>
        <w:rPr>
          <w:i/>
          <w:noProof/>
        </w:rPr>
        <w:t>Articolul 45</w:t>
      </w:r>
    </w:p>
    <w:p>
      <w:pPr>
        <w:pStyle w:val="NormalCentered"/>
        <w:rPr>
          <w:b/>
          <w:bCs/>
          <w:noProof/>
        </w:rPr>
      </w:pPr>
      <w:r>
        <w:rPr>
          <w:b/>
          <w:noProof/>
        </w:rPr>
        <w:t>Utilizarea unui caz de analiză operațională comună</w:t>
      </w:r>
    </w:p>
    <w:p>
      <w:pPr>
        <w:pStyle w:val="ManualNumPar1"/>
        <w:rPr>
          <w:noProof/>
        </w:rPr>
      </w:pPr>
      <w:r>
        <w:rPr>
          <w:noProof/>
        </w:rPr>
        <w:t>(1)</w:t>
      </w:r>
      <w:r>
        <w:rPr>
          <w:noProof/>
        </w:rPr>
        <w:tab/>
        <w:t>Participanții la un JOAC pot desfășura următoarele activități în cadrul spațiului comun de date al poliției:</w:t>
      </w:r>
    </w:p>
    <w:p>
      <w:pPr>
        <w:pStyle w:val="Point1"/>
        <w:rPr>
          <w:noProof/>
        </w:rPr>
      </w:pPr>
      <w:r>
        <w:rPr>
          <w:noProof/>
        </w:rPr>
        <w:t>(a)</w:t>
      </w:r>
      <w:r>
        <w:rPr>
          <w:noProof/>
        </w:rPr>
        <w:tab/>
        <w:t>prelucrează informațiile încărcate de entitățile care deschid JOAC sau de orice altă entitate participantă;</w:t>
      </w:r>
    </w:p>
    <w:p>
      <w:pPr>
        <w:pStyle w:val="Point1"/>
        <w:rPr>
          <w:noProof/>
        </w:rPr>
      </w:pPr>
      <w:r>
        <w:rPr>
          <w:noProof/>
        </w:rPr>
        <w:t>(b)</w:t>
      </w:r>
      <w:r>
        <w:rPr>
          <w:noProof/>
        </w:rPr>
        <w:tab/>
        <w:t>încarcă date noi care sunt considerate relevante pentru analiză în cadrul JOAC, în conformitate cu articolul 33;</w:t>
      </w:r>
    </w:p>
    <w:p>
      <w:pPr>
        <w:pStyle w:val="Point1"/>
        <w:rPr>
          <w:noProof/>
        </w:rPr>
      </w:pPr>
      <w:r>
        <w:rPr>
          <w:noProof/>
        </w:rPr>
        <w:t>(c)</w:t>
      </w:r>
      <w:r>
        <w:rPr>
          <w:noProof/>
        </w:rPr>
        <w:tab/>
        <w:t>comunică și fac schimb de informații în condiții de siguranță în cadrul JOAC cu alți participanți, prin chat, video sau cu alte instrumente relevante sprijinite de mediul analitic al Europol;</w:t>
      </w:r>
    </w:p>
    <w:p>
      <w:pPr>
        <w:pStyle w:val="Point1"/>
        <w:rPr>
          <w:noProof/>
        </w:rPr>
      </w:pPr>
      <w:r>
        <w:rPr>
          <w:noProof/>
        </w:rPr>
        <w:t>(d)</w:t>
      </w:r>
      <w:r>
        <w:rPr>
          <w:noProof/>
        </w:rPr>
        <w:tab/>
        <w:t>vizualizează sau editează în comun toate documentele sau rapoartele relevante pentru JOAC.</w:t>
      </w:r>
    </w:p>
    <w:p>
      <w:pPr>
        <w:pStyle w:val="ManualNumPar1"/>
        <w:rPr>
          <w:noProof/>
        </w:rPr>
      </w:pPr>
      <w:r>
        <w:rPr>
          <w:noProof/>
        </w:rPr>
        <w:t>(2)</w:t>
      </w:r>
      <w:r>
        <w:rPr>
          <w:noProof/>
        </w:rPr>
        <w:tab/>
        <w:t>Europol și statele membre participante se asigură că datele cu caracter personal încărcate într-un JOAC, atunci când sunt prelucrate în afara spațiului comun de date al poliției, sunt protejate prin măsuri tehnice și organizatorice în conformitate cu Regulamentul (UE) 2018/1725, cu prezentul regulament și cu Directiva (UE) 2016/680</w:t>
      </w:r>
      <w:r>
        <w:rPr>
          <w:noProof/>
          <w:sz w:val="20"/>
        </w:rPr>
        <w:t xml:space="preserve"> </w:t>
      </w:r>
      <w:r>
        <w:rPr>
          <w:noProof/>
        </w:rPr>
        <w:t>a Parlamentului European și a Consiliului</w:t>
      </w:r>
      <w:r>
        <w:rPr>
          <w:rStyle w:val="FootnoteReference"/>
          <w:noProof/>
        </w:rPr>
        <w:footnoteReference w:id="72"/>
      </w:r>
      <w:r>
        <w:rPr>
          <w:noProof/>
        </w:rPr>
        <w:t>.</w:t>
      </w:r>
    </w:p>
    <w:p>
      <w:pPr>
        <w:keepNext/>
        <w:spacing w:before="360"/>
        <w:jc w:val="center"/>
        <w:rPr>
          <w:i/>
          <w:noProof/>
        </w:rPr>
      </w:pPr>
      <w:r>
        <w:rPr>
          <w:i/>
          <w:noProof/>
        </w:rPr>
        <w:t>Articolul 46</w:t>
      </w:r>
    </w:p>
    <w:p>
      <w:pPr>
        <w:pStyle w:val="NormalCentered"/>
        <w:rPr>
          <w:b/>
          <w:bCs/>
          <w:noProof/>
        </w:rPr>
      </w:pPr>
      <w:r>
        <w:rPr>
          <w:b/>
          <w:noProof/>
        </w:rPr>
        <w:t>Aplicație de rețea pentru schimbul securizat de informații</w:t>
      </w:r>
    </w:p>
    <w:p>
      <w:pPr>
        <w:pStyle w:val="ManualNumPar1"/>
        <w:rPr>
          <w:noProof/>
        </w:rPr>
      </w:pPr>
      <w:r>
        <w:rPr>
          <w:noProof/>
        </w:rPr>
        <w:t>(1)</w:t>
      </w:r>
      <w:r>
        <w:rPr>
          <w:noProof/>
        </w:rPr>
        <w:tab/>
        <w:t>Aplicația SIENA este instituită cu scopul de a facilita schimbul de informații între statele membre, Europol, instituțiile, organele, oficiile și agențiile Uniunii, țările terțe și organizațiile internaționale.</w:t>
      </w:r>
    </w:p>
    <w:p>
      <w:pPr>
        <w:pStyle w:val="ManualNumPar1"/>
        <w:rPr>
          <w:noProof/>
        </w:rPr>
      </w:pPr>
      <w:r>
        <w:rPr>
          <w:noProof/>
        </w:rPr>
        <w:t>(2)</w:t>
      </w:r>
      <w:r>
        <w:rPr>
          <w:noProof/>
        </w:rPr>
        <w:tab/>
        <w:t>SIENA este compusă din următoarele elemente:</w:t>
      </w:r>
    </w:p>
    <w:p>
      <w:pPr>
        <w:pStyle w:val="Point1"/>
        <w:rPr>
          <w:noProof/>
        </w:rPr>
      </w:pPr>
      <w:r>
        <w:rPr>
          <w:noProof/>
        </w:rPr>
        <w:t>(a)</w:t>
      </w:r>
      <w:r>
        <w:rPr>
          <w:noProof/>
        </w:rPr>
        <w:tab/>
        <w:t>o infrastructură centrală pentru stocarea și prelucrarea datelor;</w:t>
      </w:r>
    </w:p>
    <w:p>
      <w:pPr>
        <w:pStyle w:val="Point1"/>
        <w:rPr>
          <w:noProof/>
        </w:rPr>
      </w:pPr>
      <w:r>
        <w:rPr>
          <w:noProof/>
        </w:rPr>
        <w:t>(b)</w:t>
      </w:r>
      <w:r>
        <w:rPr>
          <w:noProof/>
        </w:rPr>
        <w:tab/>
        <w:t>interfață (interfețe) web pentru schimbul de informații;</w:t>
      </w:r>
    </w:p>
    <w:p>
      <w:pPr>
        <w:pStyle w:val="Point1"/>
        <w:rPr>
          <w:noProof/>
        </w:rPr>
      </w:pPr>
      <w:r>
        <w:rPr>
          <w:noProof/>
        </w:rPr>
        <w:t>(c)</w:t>
      </w:r>
      <w:r>
        <w:rPr>
          <w:noProof/>
        </w:rPr>
        <w:tab/>
        <w:t>aplicație (aplicații) mobilă (mobile) pentru schimbul de informații;</w:t>
      </w:r>
    </w:p>
    <w:p>
      <w:pPr>
        <w:pStyle w:val="Point1"/>
        <w:rPr>
          <w:noProof/>
        </w:rPr>
      </w:pPr>
      <w:r>
        <w:rPr>
          <w:noProof/>
        </w:rPr>
        <w:t>(d)</w:t>
      </w:r>
      <w:r>
        <w:rPr>
          <w:noProof/>
        </w:rPr>
        <w:tab/>
        <w:t>interfață (interfețe) de programare specifică (specifice) pentru statele membre și, după caz, pentru instituțiile, organele, oficiile sau agențiile Uniunii care sprijină interoperabilitatea cu sistemele lor, inclusiv cu sistemele lor de gestionare a cazurilor;</w:t>
      </w:r>
    </w:p>
    <w:p>
      <w:pPr>
        <w:pStyle w:val="Point1"/>
        <w:rPr>
          <w:noProof/>
        </w:rPr>
      </w:pPr>
      <w:r>
        <w:rPr>
          <w:noProof/>
        </w:rPr>
        <w:t>(e)</w:t>
      </w:r>
      <w:r>
        <w:rPr>
          <w:noProof/>
        </w:rPr>
        <w:tab/>
        <w:t>o infrastructură de comunicații securizată între SIENA și statele membre și, după caz, instituțiile, organele, oficiile sau agențiile Uniunii, țările terțe și organizațiile internaționale care au dreptul de a utiliza SIENA.</w:t>
      </w:r>
    </w:p>
    <w:p>
      <w:pPr>
        <w:pStyle w:val="ManualNumPar1"/>
        <w:rPr>
          <w:noProof/>
        </w:rPr>
      </w:pPr>
      <w:r>
        <w:rPr>
          <w:noProof/>
        </w:rPr>
        <w:t>(3)</w:t>
      </w:r>
      <w:r>
        <w:rPr>
          <w:noProof/>
        </w:rPr>
        <w:tab/>
        <w:t>În conformitate cu articolul 13 din Directiva (UE) 2023/977, SIENA este canalul de comunicare securizat utilizat de punctele de contact unice și de autoritățile competente ale statelor membre pentru a trimite cereri de informații, pentru a furniza informații ca urmare a unor astfel de cereri sau pentru a furniza informații din proprie inițiativă, inclusiv, după caz, pentru a transmite Europol o copie a unor astfel de cereri sau informații. În acest scop, punctele de contact unice și autoritățile competente ale statelor membre sunt conectate la SIENA, inclusiv, după caz, prin dispozitive mobile.</w:t>
      </w:r>
    </w:p>
    <w:p>
      <w:pPr>
        <w:pStyle w:val="ManualNumPar1"/>
        <w:rPr>
          <w:noProof/>
        </w:rPr>
      </w:pPr>
      <w:r>
        <w:rPr>
          <w:noProof/>
        </w:rPr>
        <w:t>(4)</w:t>
      </w:r>
      <w:r>
        <w:rPr>
          <w:noProof/>
        </w:rPr>
        <w:tab/>
        <w:t>Atunci când fac schimb de informații între ele, SIENA prevede posibilitatea ca punctele de contact unice sau autoritățile competente ale statelor membre să indice că ar trebui deschis un JOAC în conformitate cu articolul 43.</w:t>
      </w:r>
    </w:p>
    <w:p>
      <w:pPr>
        <w:pStyle w:val="ManualNumPar1"/>
        <w:rPr>
          <w:noProof/>
        </w:rPr>
      </w:pPr>
      <w:r>
        <w:rPr>
          <w:noProof/>
        </w:rPr>
        <w:t>(5)</w:t>
      </w:r>
      <w:r>
        <w:rPr>
          <w:noProof/>
        </w:rPr>
        <w:tab/>
        <w:t>SIENA este canalul de comunicare implicit care trebuie utilizat de autoritățile competente ale statelor membre pentru a face schimb de informații cu Europol.</w:t>
      </w:r>
    </w:p>
    <w:p>
      <w:pPr>
        <w:pStyle w:val="ManualNumPar1"/>
        <w:rPr>
          <w:noProof/>
        </w:rPr>
      </w:pPr>
      <w:r>
        <w:rPr>
          <w:noProof/>
        </w:rPr>
        <w:t>(6)</w:t>
      </w:r>
      <w:r>
        <w:rPr>
          <w:noProof/>
        </w:rPr>
        <w:tab/>
        <w:t>Europol sau autoritățile competente ale statelor membre pot utiliza SIENA pentru a face schimb de informații cu țările terțe ale căror autorități au fost conectate la SIENA de către Europol, în temeiul unor acorduri de lucru sau al unor acorduri internaționale încheiate cu Uniunea.</w:t>
      </w:r>
    </w:p>
    <w:p>
      <w:pPr>
        <w:pStyle w:val="ManualNumPar1"/>
        <w:rPr>
          <w:noProof/>
        </w:rPr>
      </w:pPr>
      <w:r>
        <w:rPr>
          <w:noProof/>
        </w:rPr>
        <w:t>(7)</w:t>
      </w:r>
      <w:r>
        <w:rPr>
          <w:noProof/>
        </w:rPr>
        <w:tab/>
        <w:t>Autoritățile țărilor terțe menționate la alineatul (6) pot utiliza, de asemenea, SIENA pentru a face schimb de informații cu autoritățile altor țări terțe cu care a fost încheiat un acord de lucru sau un acord internațional.</w:t>
      </w:r>
    </w:p>
    <w:p>
      <w:pPr>
        <w:pStyle w:val="ManualNumPar1"/>
        <w:rPr>
          <w:noProof/>
        </w:rPr>
      </w:pPr>
      <w:r>
        <w:rPr>
          <w:noProof/>
        </w:rPr>
        <w:t>(8)</w:t>
      </w:r>
      <w:r>
        <w:rPr>
          <w:noProof/>
        </w:rPr>
        <w:tab/>
        <w:t>Europol asigură gestionarea operațională, securitatea, disponibilitatea și integritatea SIENA.</w:t>
      </w:r>
    </w:p>
    <w:p>
      <w:pPr>
        <w:pStyle w:val="ManualNumPar1"/>
        <w:rPr>
          <w:noProof/>
        </w:rPr>
      </w:pPr>
      <w:r>
        <w:rPr>
          <w:noProof/>
        </w:rPr>
        <w:t>(9)</w:t>
      </w:r>
      <w:r>
        <w:rPr>
          <w:noProof/>
        </w:rPr>
        <w:tab/>
        <w:t>Comisia adoptă acte de punere în aplicare prin care se stabilesc procedurile pentru definirea funcționalităților necesare ale infrastructurii securizate menționate la alineatul (2). Actele de punere în aplicare respective se adoptă în conformitate cu procedura de examinare menționată la articolul 138 alineatul (2).</w:t>
      </w:r>
    </w:p>
    <w:p>
      <w:pPr>
        <w:keepNext/>
        <w:spacing w:before="360"/>
        <w:jc w:val="center"/>
        <w:rPr>
          <w:i/>
          <w:noProof/>
        </w:rPr>
      </w:pPr>
      <w:r>
        <w:rPr>
          <w:i/>
          <w:noProof/>
        </w:rPr>
        <w:t>Articolul 47</w:t>
      </w:r>
    </w:p>
    <w:p>
      <w:pPr>
        <w:jc w:val="center"/>
        <w:rPr>
          <w:noProof/>
        </w:rPr>
      </w:pPr>
      <w:r>
        <w:rPr>
          <w:b/>
          <w:noProof/>
        </w:rPr>
        <w:t>Mecanismul de schimb de informații pentru cooperarea cu părțile private</w:t>
      </w:r>
    </w:p>
    <w:p>
      <w:pPr>
        <w:pStyle w:val="ManualNumPar1"/>
        <w:rPr>
          <w:noProof/>
        </w:rPr>
      </w:pPr>
      <w:r>
        <w:rPr>
          <w:noProof/>
        </w:rPr>
        <w:t>(1)</w:t>
      </w:r>
      <w:r>
        <w:rPr>
          <w:noProof/>
        </w:rPr>
        <w:tab/>
        <w:t>Mediul analitic al Europol include un mecanism de schimb de informații pentru a facilita cooperarea și schimbul de informații între părțile private, Europol și statele membre.</w:t>
      </w:r>
    </w:p>
    <w:p>
      <w:pPr>
        <w:pStyle w:val="ManualNumPar1"/>
        <w:rPr>
          <w:noProof/>
        </w:rPr>
      </w:pPr>
      <w:r>
        <w:rPr>
          <w:noProof/>
        </w:rPr>
        <w:t>(2)</w:t>
      </w:r>
      <w:r>
        <w:rPr>
          <w:noProof/>
        </w:rPr>
        <w:tab/>
        <w:t>Mecanismul de schimb de informații are, în special, următoarele funcții:</w:t>
      </w:r>
    </w:p>
    <w:p>
      <w:pPr>
        <w:pStyle w:val="Point1"/>
        <w:rPr>
          <w:noProof/>
        </w:rPr>
      </w:pPr>
      <w:r>
        <w:rPr>
          <w:noProof/>
        </w:rPr>
        <w:t>(a)</w:t>
      </w:r>
      <w:r>
        <w:rPr>
          <w:noProof/>
        </w:rPr>
        <w:tab/>
        <w:t>facilitează comunicarea dintre Europol, statele membre și părțile private care oferă servicii în Uniune, inclusiv prin facilitarea îndeplinirii obligațiilor de raportare sau de notificare prevăzute în Regulamentele (UE) 2021/784 și (UE) 2022/2065; </w:t>
      </w:r>
    </w:p>
    <w:p>
      <w:pPr>
        <w:pStyle w:val="Point1"/>
        <w:rPr>
          <w:noProof/>
        </w:rPr>
      </w:pPr>
      <w:r>
        <w:rPr>
          <w:noProof/>
        </w:rPr>
        <w:t>(b)</w:t>
      </w:r>
      <w:r>
        <w:rPr>
          <w:noProof/>
        </w:rPr>
        <w:tab/>
        <w:t>acționează ca platformă de răspuns în situații de criză online, în conformitate cu articolul 96, facilitând comunicarea dintre Europol, statele membre, părțile private și, după caz, țările terțe și permițând Europol să furnizeze părților private informațiile necesare pentru identificarea conținutului online, a serviciilor, a conturilor, a infrastructurilor sau a activităților digitale relevante.</w:t>
      </w:r>
    </w:p>
    <w:p>
      <w:pPr>
        <w:pStyle w:val="ManualNumPar1"/>
        <w:rPr>
          <w:noProof/>
        </w:rPr>
      </w:pPr>
      <w:r>
        <w:rPr>
          <w:noProof/>
        </w:rPr>
        <w:t>(3)</w:t>
      </w:r>
      <w:r>
        <w:rPr>
          <w:noProof/>
        </w:rPr>
        <w:tab/>
        <w:t>Mecanismul de schimb de informații este alcătuit cel puțin din:</w:t>
      </w:r>
    </w:p>
    <w:p>
      <w:pPr>
        <w:pStyle w:val="Point1"/>
        <w:rPr>
          <w:rFonts w:eastAsia="Calibri"/>
          <w:noProof/>
          <w:szCs w:val="24"/>
        </w:rPr>
      </w:pPr>
      <w:r>
        <w:rPr>
          <w:noProof/>
        </w:rPr>
        <w:t>(a)</w:t>
      </w:r>
      <w:r>
        <w:rPr>
          <w:noProof/>
        </w:rPr>
        <w:tab/>
        <w:t>o infrastructură centrală pentru stocarea și prelucrarea datelor;</w:t>
      </w:r>
    </w:p>
    <w:p>
      <w:pPr>
        <w:pStyle w:val="Point1"/>
        <w:rPr>
          <w:rFonts w:eastAsia="Calibri"/>
          <w:noProof/>
          <w:szCs w:val="24"/>
        </w:rPr>
      </w:pPr>
      <w:r>
        <w:rPr>
          <w:noProof/>
        </w:rPr>
        <w:t>(b)</w:t>
      </w:r>
      <w:r>
        <w:rPr>
          <w:noProof/>
        </w:rPr>
        <w:tab/>
        <w:t>interfața (interfețele) web;</w:t>
      </w:r>
    </w:p>
    <w:p>
      <w:pPr>
        <w:pStyle w:val="Point1"/>
        <w:rPr>
          <w:noProof/>
        </w:rPr>
      </w:pPr>
      <w:r>
        <w:rPr>
          <w:noProof/>
        </w:rPr>
        <w:t>(c)</w:t>
      </w:r>
      <w:r>
        <w:rPr>
          <w:noProof/>
        </w:rPr>
        <w:tab/>
        <w:t>interfața (interfețele) de programare specifică (specifice) pentru statele membre care sprijină interoperabilitatea cu sistemele lor naționale, inclusiv cu sistemele lor de gestionare a cazurilor;</w:t>
      </w:r>
    </w:p>
    <w:p>
      <w:pPr>
        <w:pStyle w:val="Point1"/>
        <w:rPr>
          <w:noProof/>
        </w:rPr>
      </w:pPr>
      <w:r>
        <w:rPr>
          <w:noProof/>
        </w:rPr>
        <w:t>(d)</w:t>
      </w:r>
      <w:r>
        <w:rPr>
          <w:noProof/>
        </w:rPr>
        <w:tab/>
        <w:t>o infrastructură de comunicații securizată între Europol, statele membre și părțile private.</w:t>
      </w:r>
    </w:p>
    <w:p>
      <w:pPr>
        <w:pStyle w:val="ManualNumPar1"/>
        <w:rPr>
          <w:noProof/>
        </w:rPr>
      </w:pPr>
      <w:r>
        <w:rPr>
          <w:noProof/>
        </w:rPr>
        <w:t>(4)</w:t>
      </w:r>
      <w:r>
        <w:rPr>
          <w:noProof/>
        </w:rPr>
        <w:tab/>
        <w:t>Europol stabilește procedura și condițiile de acordare sau retragere a accesului securizat al părților private la mecanismul de schimb de informații.</w:t>
      </w:r>
    </w:p>
    <w:p>
      <w:pPr>
        <w:keepNext/>
        <w:spacing w:before="360"/>
        <w:jc w:val="center"/>
        <w:rPr>
          <w:i/>
          <w:noProof/>
        </w:rPr>
      </w:pPr>
      <w:r>
        <w:rPr>
          <w:i/>
          <w:noProof/>
        </w:rPr>
        <w:t>Articolul 48</w:t>
      </w:r>
    </w:p>
    <w:p>
      <w:pPr>
        <w:jc w:val="center"/>
        <w:rPr>
          <w:noProof/>
        </w:rPr>
      </w:pPr>
      <w:r>
        <w:rPr>
          <w:b/>
          <w:noProof/>
        </w:rPr>
        <w:t>Sistemul european de inventariere a evidențelor poliției</w:t>
      </w:r>
    </w:p>
    <w:p>
      <w:pPr>
        <w:rPr>
          <w:noProof/>
        </w:rPr>
      </w:pPr>
      <w:r>
        <w:rPr>
          <w:noProof/>
        </w:rPr>
        <w:t xml:space="preserve">În ceea ce privește Sistemul european de inventariere a evidențelor poliției (EPRIS), Europol îndeplinește atribuțiile care i-au fost conferite prin </w:t>
      </w:r>
      <w:hyperlink r:id="rId18" w:tooltip="http://data.europa.eu/eli/reg/2024/982/oj">
        <w:r>
          <w:rPr>
            <w:noProof/>
          </w:rPr>
          <w:t>Regulamentul (UE) 2024/982</w:t>
        </w:r>
      </w:hyperlink>
      <w:r>
        <w:rPr>
          <w:noProof/>
        </w:rPr>
        <w:t>.</w:t>
      </w:r>
    </w:p>
    <w:p>
      <w:pPr>
        <w:keepNext/>
        <w:spacing w:before="360"/>
        <w:jc w:val="center"/>
        <w:rPr>
          <w:i/>
          <w:noProof/>
        </w:rPr>
      </w:pPr>
      <w:r>
        <w:rPr>
          <w:i/>
          <w:noProof/>
        </w:rPr>
        <w:t>Articolul 49</w:t>
      </w:r>
    </w:p>
    <w:p>
      <w:pPr>
        <w:keepNext/>
        <w:jc w:val="center"/>
        <w:rPr>
          <w:noProof/>
        </w:rPr>
      </w:pPr>
      <w:r>
        <w:rPr>
          <w:b/>
          <w:noProof/>
        </w:rPr>
        <w:t>Dezvoltarea altor servicii și instrumente</w:t>
      </w:r>
    </w:p>
    <w:p>
      <w:pPr>
        <w:rPr>
          <w:noProof/>
        </w:rPr>
      </w:pPr>
      <w:r>
        <w:rPr>
          <w:noProof/>
        </w:rPr>
        <w:t>Comisia poate adopta acte de punere în aplicare prin care se stabilesc funcționalități suplimentare ale serviciilor și instrumentelor existente sau funcționalitățile necesare ale serviciilor și instrumentelor suplimentare. Aceste funcționalități suplimentare sau servicii și instrumente suplimentare respectă normele aplicabile privind prelucrarea datelor cu caracter personal prevăzute în Regulamentul (UE) 2018/1725 și în prezentul regulament. Actele de punere în aplicare respective se adoptă în conformitate cu procedura de examinare menționată la articolul 138 alineatul (2) din prezentul regulament.</w:t>
      </w:r>
    </w:p>
    <w:p>
      <w:pPr>
        <w:rPr>
          <w:noProof/>
        </w:rPr>
      </w:pPr>
    </w:p>
    <w:p>
      <w:pPr>
        <w:pStyle w:val="SectionTitle"/>
        <w:rPr>
          <w:noProof/>
        </w:rPr>
      </w:pPr>
      <w:r>
        <w:rPr>
          <w:noProof/>
        </w:rPr>
        <w:t xml:space="preserve">Secțiunea 3 </w:t>
      </w:r>
      <w:r>
        <w:rPr>
          <w:noProof/>
        </w:rPr>
        <w:br/>
        <w:t>Componente tehnice și standardizare</w:t>
      </w:r>
    </w:p>
    <w:p>
      <w:pPr>
        <w:keepNext/>
        <w:spacing w:before="360"/>
        <w:jc w:val="center"/>
        <w:rPr>
          <w:i/>
          <w:noProof/>
        </w:rPr>
      </w:pPr>
      <w:r>
        <w:rPr>
          <w:i/>
          <w:noProof/>
        </w:rPr>
        <w:t>Articolul 50</w:t>
      </w:r>
    </w:p>
    <w:p>
      <w:pPr>
        <w:jc w:val="center"/>
        <w:rPr>
          <w:noProof/>
        </w:rPr>
      </w:pPr>
      <w:r>
        <w:rPr>
          <w:b/>
          <w:noProof/>
        </w:rPr>
        <w:t>Infrastructura de cloud a Europol</w:t>
      </w:r>
    </w:p>
    <w:p>
      <w:pPr>
        <w:pStyle w:val="ManualNumPar1"/>
        <w:rPr>
          <w:noProof/>
        </w:rPr>
      </w:pPr>
      <w:r>
        <w:rPr>
          <w:noProof/>
        </w:rPr>
        <w:t>(1)</w:t>
      </w:r>
      <w:r>
        <w:rPr>
          <w:noProof/>
        </w:rPr>
        <w:tab/>
        <w:t>Se instituie infrastructura de cloud a Europol. Infrastructura de cloud a Europol este o platformă securizată și scalabilă de servicii de cloud computing care permite Europol și autorităților competente ale statelor membre să acceseze instrumentele, mediile de colaborare și alte capacități operaționale și analitice ale Europol în conformitate cu prezentul regulament. Infrastructura de cloud a Europol poate fi utilizată și de alte instituții, organe, oficii sau agenții ale Uniunii și de țări terțe pentru a accesa instrumentele, mediile de colaborare și alte capacități operaționale și analitice ale Europol în conformitate cu prezentul regulament.</w:t>
      </w:r>
    </w:p>
    <w:p>
      <w:pPr>
        <w:pStyle w:val="ManualNumPar1"/>
        <w:rPr>
          <w:noProof/>
        </w:rPr>
      </w:pPr>
      <w:r>
        <w:rPr>
          <w:noProof/>
        </w:rPr>
        <w:t>(2)</w:t>
      </w:r>
      <w:r>
        <w:rPr>
          <w:noProof/>
        </w:rPr>
        <w:tab/>
        <w:t>Infrastructura de cloud a Europol sprijină realizarea scopurilor prevăzute în prezentul regulament în contextul anchetelor penale și al sprijinului operațional, inclusiv prin sprijinirea stocării, a prelucrării, a analizei și a schimbului de date, asigurând în același timp un control strict al accesului, compartimentarea datelor și respectarea deplină a dreptului Uniunii.</w:t>
      </w:r>
    </w:p>
    <w:p>
      <w:pPr>
        <w:pStyle w:val="ManualNumPar1"/>
        <w:rPr>
          <w:noProof/>
        </w:rPr>
      </w:pPr>
      <w:r>
        <w:rPr>
          <w:noProof/>
        </w:rPr>
        <w:t>(3)</w:t>
      </w:r>
      <w:r>
        <w:rPr>
          <w:noProof/>
        </w:rPr>
        <w:tab/>
        <w:t>Europol instituie, exploatează și întreține infrastructura de cloud a Europol. În cadrul procesului de instituire, exploatare și întreținere a infrastructurii de cloud a Europol, Europol utilizează, după caz și dacă este fezabil din punct de vedere tehnic, soluțiile tehnice, serviciile și componentele de infrastructură existente, dezvoltate sau exploatate de instituțiile, organele, oficiile și agențiile Uniunii, inclusiv de eu-LISA, cu scopul de a asigura eficiența, interoperabilitatea și utilizarea optimă a resurselor Uniunii.</w:t>
      </w:r>
    </w:p>
    <w:p>
      <w:pPr>
        <w:pStyle w:val="ManualNumPar1"/>
        <w:rPr>
          <w:noProof/>
        </w:rPr>
      </w:pPr>
      <w:r>
        <w:rPr>
          <w:noProof/>
        </w:rPr>
        <w:t>(4)</w:t>
      </w:r>
      <w:r>
        <w:rPr>
          <w:noProof/>
        </w:rPr>
        <w:tab/>
        <w:t>Europol se asigură că achizițiile publice de servicii de cloud computing respectă dreptul aplicabil al Uniunii, inclusiv cerințele privind cadrul UE pentru suveranitate în domeniul serviciilor cloud, securitatea datelor, protecția datelor, securitatea cibernetică și suveranitatea digitală.</w:t>
      </w:r>
    </w:p>
    <w:p>
      <w:pPr>
        <w:pStyle w:val="ManualNumPar1"/>
        <w:rPr>
          <w:noProof/>
        </w:rPr>
      </w:pPr>
      <w:r>
        <w:rPr>
          <w:noProof/>
        </w:rPr>
        <w:t>(5)</w:t>
      </w:r>
      <w:r>
        <w:rPr>
          <w:noProof/>
        </w:rPr>
        <w:tab/>
        <w:t>Sistemele și instrumentele Europol care prelucrează date operaționale se pun la dispoziția autorităților statelor membre prin intermediul infrastructurii de cloud a Europol.</w:t>
      </w:r>
    </w:p>
    <w:p>
      <w:pPr>
        <w:pStyle w:val="ManualNumPar1"/>
        <w:rPr>
          <w:noProof/>
        </w:rPr>
      </w:pPr>
      <w:r>
        <w:rPr>
          <w:noProof/>
        </w:rPr>
        <w:t>(6)</w:t>
      </w:r>
      <w:r>
        <w:rPr>
          <w:noProof/>
        </w:rPr>
        <w:tab/>
        <w:t>Europol acordă prioritate dezvoltării de noi sisteme și instrumente în cadrul infrastructurii de cloud a Europol.</w:t>
      </w:r>
    </w:p>
    <w:p>
      <w:pPr>
        <w:pStyle w:val="ManualNumPar1"/>
        <w:rPr>
          <w:noProof/>
        </w:rPr>
      </w:pPr>
      <w:r>
        <w:rPr>
          <w:noProof/>
        </w:rPr>
        <w:t>(7)</w:t>
      </w:r>
      <w:r>
        <w:rPr>
          <w:noProof/>
        </w:rPr>
        <w:tab/>
        <w:t>Accesul la infrastructura de cloud a Europol și utilizarea acesteia se limitează la utilizatorii autorizați din cadrul autorităților competente ale statelor membre, din țări terțe, după caz, și din cadrul Europol, în conformitate cu drepturile lor de acces prevăzute de prezentul regulament și sub rezerva unor mecanisme de autentificare adecvate, inclusiv a unor soluții de identitate digitală cu grad ridicat de asigurare, în conformitate cu articolul 51.</w:t>
      </w:r>
    </w:p>
    <w:p>
      <w:pPr>
        <w:pStyle w:val="ManualNumPar1"/>
        <w:rPr>
          <w:noProof/>
        </w:rPr>
      </w:pPr>
      <w:r>
        <w:rPr>
          <w:noProof/>
        </w:rPr>
        <w:t>(8)</w:t>
      </w:r>
      <w:r>
        <w:rPr>
          <w:noProof/>
        </w:rPr>
        <w:tab/>
        <w:t>Europol evaluează implicațiile tehnice, operaționale și financiare ale punerii la dispoziție a sistemelor și instrumentelor existente în infrastructura de cloud a Europol și prezintă Comisiei un raport motivat până la … [șase luni de la data de începere a aplicării prezentului regulament].</w:t>
      </w:r>
    </w:p>
    <w:p>
      <w:pPr>
        <w:pStyle w:val="ManualNumPar1"/>
        <w:rPr>
          <w:noProof/>
        </w:rPr>
      </w:pPr>
      <w:r>
        <w:rPr>
          <w:noProof/>
        </w:rPr>
        <w:t>(9)</w:t>
      </w:r>
      <w:r>
        <w:rPr>
          <w:noProof/>
        </w:rPr>
        <w:tab/>
        <w:t>Comisia adoptă acte de punere în aplicare prin care se definesc cerințele privind securitatea, interoperabilitatea, performanța și arhitectura infrastructurii de cloud a Europol. Pe baza raportului menționat la alineatul (8), actele de punere în aplicare respective indică, de asemenea, sistemele și instrumentele care vor fi migrate către infrastructura de cloud a Europol. Actele de punere în aplicare respective se adoptă în conformitate cu procedura de examinare menționată la articolul 138 alineatul (2).</w:t>
      </w:r>
    </w:p>
    <w:p>
      <w:pPr>
        <w:keepNext/>
        <w:spacing w:before="360"/>
        <w:jc w:val="center"/>
        <w:rPr>
          <w:i/>
          <w:noProof/>
        </w:rPr>
      </w:pPr>
      <w:r>
        <w:rPr>
          <w:i/>
          <w:noProof/>
        </w:rPr>
        <w:t>Articolul 51</w:t>
      </w:r>
    </w:p>
    <w:p>
      <w:pPr>
        <w:jc w:val="center"/>
        <w:rPr>
          <w:noProof/>
        </w:rPr>
      </w:pPr>
      <w:r>
        <w:rPr>
          <w:b/>
          <w:noProof/>
        </w:rPr>
        <w:t>Identitatea digitală europeană pentru serviciile de poliție</w:t>
      </w:r>
    </w:p>
    <w:p>
      <w:pPr>
        <w:pStyle w:val="ManualNumPar1"/>
        <w:rPr>
          <w:noProof/>
        </w:rPr>
      </w:pPr>
      <w:r>
        <w:rPr>
          <w:noProof/>
        </w:rPr>
        <w:t>(1)</w:t>
      </w:r>
      <w:r>
        <w:rPr>
          <w:noProof/>
        </w:rPr>
        <w:tab/>
        <w:t>Identitatea digitală europeană pentru serviciile de poliție constituie setul de norme privind mijloacele comune de identificare și de gestionare a accesului pentru ca fiecare reprezentant autorizat al autorităților competente ale statelor membre sau al instituțiilor, organelor, oficiilor și agențiilor Uniunii să acceseze, să utilizeze și să interacționeze în condiții de siguranță cu infrastructura de cloud a Europol și cu sistemele naționale conectate la infrastructura de cloud a Europol. Statele membre, Europol, instituțiile, organele, oficiile și agențiile Uniunii, precum și țările terțe se asigură că accesul la infrastructura de cloud a Europol și la sistemele naționale conectate la infrastructura de cloud a Europol este acordat reprezentanților acestora într-un mod securizat, armonizat și fiabil, prin intermediul unei identități digitale europene pentru serviciile de poliție.</w:t>
      </w:r>
    </w:p>
    <w:p>
      <w:pPr>
        <w:pStyle w:val="ManualNumPar1"/>
        <w:rPr>
          <w:noProof/>
        </w:rPr>
      </w:pPr>
      <w:r>
        <w:rPr>
          <w:noProof/>
        </w:rPr>
        <w:t>(2)</w:t>
      </w:r>
      <w:r>
        <w:rPr>
          <w:noProof/>
        </w:rPr>
        <w:tab/>
        <w:t>La instituirea identității digitale europene pentru serviciile de poliție, Europol și statele membre utilizează, atunci când este oportun și fezabil din punct de vedere tehnic, soluțiile și standardele existente ale Uniunii privind identitatea digitală, inclusiv cele instituite în temeiul Regulamentului (UE) nr. 910/2014 al Parlamentului European și al Consiliului</w:t>
      </w:r>
      <w:r>
        <w:rPr>
          <w:rStyle w:val="FootnoteReference"/>
          <w:noProof/>
        </w:rPr>
        <w:footnoteReference w:id="73"/>
      </w:r>
      <w:r>
        <w:rPr>
          <w:noProof/>
        </w:rPr>
        <w:t>, cu condiția ca acestea să îndeplinească cerințele operaționale, de securitate și de protecție a datelor prevăzute în prezentul regulament.</w:t>
      </w:r>
    </w:p>
    <w:p>
      <w:pPr>
        <w:pStyle w:val="ManualNumPar1"/>
        <w:rPr>
          <w:noProof/>
        </w:rPr>
      </w:pPr>
      <w:r>
        <w:rPr>
          <w:noProof/>
        </w:rPr>
        <w:t>(3)</w:t>
      </w:r>
      <w:r>
        <w:rPr>
          <w:noProof/>
        </w:rPr>
        <w:tab/>
        <w:t>Europol se asigură că orice operațiune efectuată în infrastructura de cloud a Europol este înregistrată și disponibilă în scopuri de supraveghere. </w:t>
      </w:r>
    </w:p>
    <w:p>
      <w:pPr>
        <w:pStyle w:val="ManualNumPar1"/>
        <w:rPr>
          <w:noProof/>
        </w:rPr>
      </w:pPr>
      <w:r>
        <w:rPr>
          <w:noProof/>
        </w:rPr>
        <w:t>(4)</w:t>
      </w:r>
      <w:r>
        <w:rPr>
          <w:noProof/>
        </w:rPr>
        <w:tab/>
        <w:t>Statele membre, Europol, instituțiile, organele, oficiile și agențiile Uniunii și țările terțe acordă drepturi de acces diferențiate la serviciile sau instrumentele găzduite în infrastructura de cloud a Europol, proporțional cu rolurile, responsabilitățile și autorizațiile de acces ale utilizatorilor în cauză, cu respectarea deplină a prezentului regulament.</w:t>
      </w:r>
    </w:p>
    <w:p>
      <w:pPr>
        <w:pStyle w:val="ManualNumPar1"/>
        <w:rPr>
          <w:noProof/>
        </w:rPr>
      </w:pPr>
      <w:r>
        <w:rPr>
          <w:noProof/>
        </w:rPr>
        <w:t>(5)</w:t>
      </w:r>
      <w:r>
        <w:rPr>
          <w:noProof/>
        </w:rPr>
        <w:tab/>
        <w:t>Comisia adoptă acte de punere în aplicare prin care se definesc procedurile de instituire a identității digitale europene pentru serviciile de poliție astfel cum se menționează la alineatul (1). Actele de punere în aplicare respective se adoptă în conformitate cu procedura de examinare menționată la articolul 138 alineatul (2).</w:t>
      </w:r>
    </w:p>
    <w:p>
      <w:pPr>
        <w:keepNext/>
        <w:spacing w:before="360"/>
        <w:jc w:val="center"/>
        <w:rPr>
          <w:i/>
          <w:noProof/>
        </w:rPr>
      </w:pPr>
      <w:r>
        <w:rPr>
          <w:i/>
          <w:noProof/>
        </w:rPr>
        <w:t>Articolul 52</w:t>
      </w:r>
    </w:p>
    <w:p>
      <w:pPr>
        <w:jc w:val="center"/>
        <w:rPr>
          <w:noProof/>
        </w:rPr>
      </w:pPr>
      <w:r>
        <w:rPr>
          <w:b/>
          <w:noProof/>
        </w:rPr>
        <w:t>Instrumente statistice și de raportare</w:t>
      </w:r>
    </w:p>
    <w:p>
      <w:pPr>
        <w:pStyle w:val="ManualNumPar1"/>
        <w:rPr>
          <w:noProof/>
        </w:rPr>
      </w:pPr>
      <w:r>
        <w:rPr>
          <w:noProof/>
        </w:rPr>
        <w:t>(1)</w:t>
      </w:r>
      <w:r>
        <w:rPr>
          <w:noProof/>
        </w:rPr>
        <w:tab/>
        <w:t>Europol elaborează, pune în aplicare și menține instrumente statistice și de raportare pentru evaluare, monitorizare, analiză și raportare.</w:t>
      </w:r>
      <w:r>
        <w:rPr>
          <w:noProof/>
          <w:color w:val="333333"/>
          <w:sz w:val="27"/>
          <w:shd w:val="clear" w:color="auto" w:fill="FFFFFF"/>
        </w:rPr>
        <w:t xml:space="preserve"> </w:t>
      </w:r>
      <w:r>
        <w:rPr>
          <w:noProof/>
        </w:rPr>
        <w:t>Instrumentele respective nu permit identificarea persoanelor fizice. Aceste instrumente permit entităților menționate la alineatul (2) litera (a) să obțină rapoarte și statistici adaptabile.</w:t>
      </w:r>
    </w:p>
    <w:p>
      <w:pPr>
        <w:pStyle w:val="ManualNumPar1"/>
        <w:rPr>
          <w:noProof/>
        </w:rPr>
      </w:pPr>
      <w:r>
        <w:rPr>
          <w:noProof/>
        </w:rPr>
        <w:t>(2)</w:t>
      </w:r>
      <w:r>
        <w:rPr>
          <w:noProof/>
        </w:rPr>
        <w:tab/>
        <w:t>Instrumentele statistice și de raportare privind utilizarea, performanța, eficacitatea operațională și interoperabilitatea serviciilor și a instrumentelor colectează, generează și furnizează informații statistice agregate, indicatori, jurnale tehnice, indicatori de utilizare și rapoarte analitice referitoare în special la:</w:t>
      </w:r>
    </w:p>
    <w:p>
      <w:pPr>
        <w:pStyle w:val="Point1"/>
        <w:rPr>
          <w:noProof/>
        </w:rPr>
      </w:pPr>
      <w:r>
        <w:rPr>
          <w:noProof/>
        </w:rPr>
        <w:t>(a)</w:t>
      </w:r>
      <w:r>
        <w:rPr>
          <w:noProof/>
        </w:rPr>
        <w:tab/>
        <w:t>utilizarea serviciilor și a instrumentelor Europol de către statele membre, Europol, instituțiile, organele, oficiile sau agențiile Uniunii, țările terțe și organizațiile internaționale în conformitate cu prezentul regulament;</w:t>
      </w:r>
    </w:p>
    <w:p>
      <w:pPr>
        <w:pStyle w:val="Point1"/>
        <w:rPr>
          <w:noProof/>
        </w:rPr>
      </w:pPr>
      <w:r>
        <w:rPr>
          <w:noProof/>
        </w:rPr>
        <w:t>(b)</w:t>
      </w:r>
      <w:r>
        <w:rPr>
          <w:noProof/>
        </w:rPr>
        <w:tab/>
        <w:t>schimbul, interogarea, încărcarea, verificarea încrucișată și prelucrarea datelor;</w:t>
      </w:r>
    </w:p>
    <w:p>
      <w:pPr>
        <w:pStyle w:val="Point1"/>
        <w:rPr>
          <w:noProof/>
        </w:rPr>
      </w:pPr>
      <w:r>
        <w:rPr>
          <w:noProof/>
        </w:rPr>
        <w:t>(c)</w:t>
      </w:r>
      <w:r>
        <w:rPr>
          <w:noProof/>
        </w:rPr>
        <w:tab/>
        <w:t>activități de schimb de informații;</w:t>
      </w:r>
    </w:p>
    <w:p>
      <w:pPr>
        <w:pStyle w:val="Point1"/>
        <w:rPr>
          <w:noProof/>
        </w:rPr>
      </w:pPr>
      <w:r>
        <w:rPr>
          <w:noProof/>
        </w:rPr>
        <w:t>(d)</w:t>
      </w:r>
      <w:r>
        <w:rPr>
          <w:noProof/>
        </w:rPr>
        <w:tab/>
        <w:t>performanța, disponibilitatea și securitatea infrastructurilor tehnice;</w:t>
      </w:r>
    </w:p>
    <w:p>
      <w:pPr>
        <w:pStyle w:val="Point1"/>
        <w:rPr>
          <w:noProof/>
        </w:rPr>
      </w:pPr>
      <w:r>
        <w:rPr>
          <w:noProof/>
        </w:rPr>
        <w:t>(e)</w:t>
      </w:r>
      <w:r>
        <w:rPr>
          <w:noProof/>
        </w:rPr>
        <w:tab/>
        <w:t>tendințele, modelele și nevoile operaționale relevante pentru punerea în aplicare a prezentului regulament.</w:t>
      </w:r>
    </w:p>
    <w:p>
      <w:pPr>
        <w:pStyle w:val="ManualNumPar1"/>
        <w:rPr>
          <w:noProof/>
        </w:rPr>
      </w:pPr>
      <w:r>
        <w:rPr>
          <w:noProof/>
        </w:rPr>
        <w:t>(3)</w:t>
      </w:r>
      <w:r>
        <w:rPr>
          <w:noProof/>
        </w:rPr>
        <w:tab/>
      </w:r>
      <w:bookmarkStart w:id="6" w:name="_Hlk232001818"/>
      <w:r>
        <w:rPr>
          <w:noProof/>
        </w:rPr>
        <w:t>Europol, statele membre și Comisia au acces la informațiile și rapoartele statistice generate în temeiul alineatului (2), exclusiv în scopul întocmirii de rapoarte și statistici. Accesul la registrul de date respectiv se acordă prin intermediul unui acces securizat prin TESTA, cu controlul accesului și prin profiluri de utilizator specifice, exclusiv în scopul întocmirii de rapoarte și statistici.</w:t>
      </w:r>
    </w:p>
    <w:bookmarkEnd w:id="6"/>
    <w:p>
      <w:pPr>
        <w:pStyle w:val="ManualNumPar1"/>
        <w:rPr>
          <w:noProof/>
        </w:rPr>
      </w:pPr>
      <w:r>
        <w:rPr>
          <w:noProof/>
        </w:rPr>
        <w:t>(4)</w:t>
      </w:r>
      <w:r>
        <w:rPr>
          <w:noProof/>
        </w:rPr>
        <w:tab/>
        <w:t>Instrumentele statistice și de raportare nu se utilizează pentru a lua decizii care afectează persoane exclusiv pe baza prelucrării automate și nici pentru a efectua analize operaționale privind persoane identificabile.</w:t>
      </w:r>
    </w:p>
    <w:p>
      <w:pPr>
        <w:pStyle w:val="ManualNumPar1"/>
        <w:rPr>
          <w:noProof/>
        </w:rPr>
      </w:pPr>
      <w:r>
        <w:rPr>
          <w:noProof/>
        </w:rPr>
        <w:t>(5)</w:t>
      </w:r>
      <w:r>
        <w:rPr>
          <w:noProof/>
        </w:rPr>
        <w:tab/>
        <w:t>Europol se asigură că generarea și schimbul de statistici în temeiul prezentului articol respectă dreptul Uniunii privind protecția datelor, securitatea cibernetică și confidențialitatea. După caz, informațiile statistice sunt anonimizate sau agregate.</w:t>
      </w:r>
    </w:p>
    <w:p>
      <w:pPr>
        <w:pStyle w:val="ManualNumPar1"/>
        <w:rPr>
          <w:noProof/>
        </w:rPr>
      </w:pPr>
      <w:r>
        <w:rPr>
          <w:noProof/>
        </w:rPr>
        <w:t>(6)</w:t>
      </w:r>
      <w:r>
        <w:rPr>
          <w:noProof/>
        </w:rPr>
        <w:tab/>
        <w:t>Comisia adoptă acte de punere în aplicare prin care se stabilesc norme detaliate privind funcționalitățile tehnice, drepturile de acces, categoriile de statistici, modalitățile de raportare și garanțiile privind protecția datelor aplicabile instrumentelor statistice și de raportare menționate la alineatul (2) de la prezentul articol. Actele de punere în aplicare respective se adoptă în conformitate cu procedura de examinare menționată la articolul 138 alineatul (2).</w:t>
      </w:r>
    </w:p>
    <w:p>
      <w:pPr>
        <w:keepNext/>
        <w:spacing w:before="360"/>
        <w:jc w:val="center"/>
        <w:rPr>
          <w:i/>
          <w:noProof/>
        </w:rPr>
      </w:pPr>
      <w:r>
        <w:rPr>
          <w:i/>
          <w:noProof/>
        </w:rPr>
        <w:t>Articolul 53</w:t>
      </w:r>
    </w:p>
    <w:p>
      <w:pPr>
        <w:keepNext/>
        <w:jc w:val="center"/>
        <w:rPr>
          <w:noProof/>
        </w:rPr>
      </w:pPr>
      <w:r>
        <w:rPr>
          <w:b/>
          <w:noProof/>
        </w:rPr>
        <w:t>Formatul universal pentru mesaje</w:t>
      </w:r>
    </w:p>
    <w:p>
      <w:pPr>
        <w:pStyle w:val="ManualNumPar1"/>
        <w:rPr>
          <w:noProof/>
        </w:rPr>
      </w:pPr>
      <w:r>
        <w:rPr>
          <w:noProof/>
        </w:rPr>
        <w:t>(1)</w:t>
      </w:r>
      <w:r>
        <w:rPr>
          <w:noProof/>
        </w:rPr>
        <w:tab/>
        <w:t>Europol sprijină dezvoltarea, punerea în aplicare și utilizarea operațională a standardului privind formatul universal pentru mesaje (UMF) instituit în temeiul articolului 38 din Regulamentul (UE) 2019/818 pentru schimbul de informații dintre statele membre, eu-LISA și alte organe, oficii și agenții ale Uniunii.</w:t>
      </w:r>
    </w:p>
    <w:p>
      <w:pPr>
        <w:pStyle w:val="ManualNumPar1"/>
        <w:rPr>
          <w:noProof/>
        </w:rPr>
      </w:pPr>
      <w:r>
        <w:rPr>
          <w:noProof/>
        </w:rPr>
        <w:t>(2)</w:t>
      </w:r>
      <w:r>
        <w:rPr>
          <w:noProof/>
        </w:rPr>
        <w:tab/>
        <w:t>Europol asigură funcționarea secretariatului pentru guvernanța UMF și facilitează și conduce discuțiile de natură tehnică și operațională cu statele membre, cu eu-LISA și cu alte agenții relevante ale Uniunii.</w:t>
      </w:r>
    </w:p>
    <w:p>
      <w:pPr>
        <w:pStyle w:val="ManualNumPar1"/>
        <w:rPr>
          <w:noProof/>
        </w:rPr>
      </w:pPr>
      <w:r>
        <w:rPr>
          <w:noProof/>
        </w:rPr>
        <w:t>(3)</w:t>
      </w:r>
      <w:r>
        <w:rPr>
          <w:noProof/>
        </w:rPr>
        <w:tab/>
        <w:t>În îndeplinirea atribuțiilor care îi revin în temeiul alineatului (2), Europol:</w:t>
      </w:r>
    </w:p>
    <w:p>
      <w:pPr>
        <w:pStyle w:val="Point1"/>
        <w:rPr>
          <w:noProof/>
        </w:rPr>
      </w:pPr>
      <w:r>
        <w:rPr>
          <w:noProof/>
        </w:rPr>
        <w:t>(a)</w:t>
      </w:r>
      <w:r>
        <w:rPr>
          <w:noProof/>
        </w:rPr>
        <w:tab/>
        <w:t>sprijină dezvoltarea și actualizarea în continuare a UMF, inclusiv a modelelor de date, a semanticii și a specificațiilor tehnice;</w:t>
      </w:r>
    </w:p>
    <w:p>
      <w:pPr>
        <w:pStyle w:val="Point1"/>
        <w:rPr>
          <w:noProof/>
        </w:rPr>
      </w:pPr>
      <w:r>
        <w:rPr>
          <w:noProof/>
        </w:rPr>
        <w:t>(b)</w:t>
      </w:r>
      <w:r>
        <w:rPr>
          <w:noProof/>
        </w:rPr>
        <w:tab/>
        <w:t>promovează utilizarea consecventă și interoperabilă a UMF în toate sistemele de informații și canalele de comunicare din spațiul de libertate, securitate și justiție;</w:t>
      </w:r>
    </w:p>
    <w:p>
      <w:pPr>
        <w:pStyle w:val="Point1"/>
        <w:rPr>
          <w:noProof/>
        </w:rPr>
      </w:pPr>
      <w:r>
        <w:rPr>
          <w:noProof/>
        </w:rPr>
        <w:t>(c)</w:t>
      </w:r>
      <w:r>
        <w:rPr>
          <w:noProof/>
        </w:rPr>
        <w:tab/>
        <w:t>oferă asistență statelor membre și organelor, oficiilor și agențiilor Uniunii în implementarea și aplicarea practică a UMF;</w:t>
      </w:r>
    </w:p>
    <w:p>
      <w:pPr>
        <w:pStyle w:val="Point1"/>
        <w:rPr>
          <w:noProof/>
        </w:rPr>
      </w:pPr>
      <w:r>
        <w:rPr>
          <w:noProof/>
        </w:rPr>
        <w:t>(d)</w:t>
      </w:r>
      <w:r>
        <w:rPr>
          <w:noProof/>
        </w:rPr>
        <w:tab/>
        <w:t>asigură coerența cu cerințele relevante ale sistemelor informatice la scară largă din spațiul de libertate, securitate și justiție pentru care eu-LISA este responsabilă de pregătire, dezvoltare sau gestionarea operațională, în conformitate cu dreptul Uniunii.</w:t>
      </w:r>
    </w:p>
    <w:p>
      <w:pPr>
        <w:keepNext/>
        <w:spacing w:before="360"/>
        <w:jc w:val="center"/>
        <w:rPr>
          <w:i/>
          <w:noProof/>
        </w:rPr>
      </w:pPr>
      <w:r>
        <w:rPr>
          <w:i/>
          <w:noProof/>
        </w:rPr>
        <w:t>Articolul 54</w:t>
      </w:r>
    </w:p>
    <w:p>
      <w:pPr>
        <w:jc w:val="center"/>
        <w:rPr>
          <w:noProof/>
        </w:rPr>
      </w:pPr>
      <w:r>
        <w:rPr>
          <w:b/>
          <w:noProof/>
        </w:rPr>
        <w:t>Aplicația UE pentru compararea profilurilor ADN</w:t>
      </w:r>
    </w:p>
    <w:p>
      <w:pPr>
        <w:pStyle w:val="ManualNumPar1"/>
        <w:rPr>
          <w:noProof/>
        </w:rPr>
      </w:pPr>
      <w:r>
        <w:rPr>
          <w:noProof/>
        </w:rPr>
        <w:t>(1)</w:t>
      </w:r>
      <w:r>
        <w:rPr>
          <w:noProof/>
        </w:rPr>
        <w:tab/>
        <w:t>Europol dezvoltă, implementează și menține o aplicație UE pentru compararea profilurilor ADN cu scopul de a permite compararea sigură și fiabilă a profilurilor ADN în sprijinul investigațiilor statelor membre privind infracțiunile.</w:t>
      </w:r>
    </w:p>
    <w:p>
      <w:pPr>
        <w:pStyle w:val="ManualNumPar1"/>
        <w:rPr>
          <w:noProof/>
        </w:rPr>
      </w:pPr>
      <w:r>
        <w:rPr>
          <w:noProof/>
        </w:rPr>
        <w:t>(2)</w:t>
      </w:r>
      <w:r>
        <w:rPr>
          <w:noProof/>
        </w:rPr>
        <w:tab/>
        <w:t>Aplicația UE pentru compararea profilurilor ADN oferă o capacitate tehnică ce permite compararea automatizată a profilurilor ADN în conformitate cu normele de corespondență stabilite științific. Aplicația reproduce funcționalitățile de bază ale sistemelor existente de comparare a profilurilor ADN utilizate de statele membre și sprijină adaptarea acestora la cerințele juridice și tehnice ale Uniunii, inclusiv la cele care decurg din Regulamentul (UE) 2024/982.</w:t>
      </w:r>
    </w:p>
    <w:p>
      <w:pPr>
        <w:pStyle w:val="ManualNumPar1"/>
        <w:rPr>
          <w:noProof/>
        </w:rPr>
      </w:pPr>
      <w:r>
        <w:rPr>
          <w:noProof/>
        </w:rPr>
        <w:t>(3)</w:t>
      </w:r>
      <w:r>
        <w:rPr>
          <w:noProof/>
        </w:rPr>
        <w:tab/>
        <w:t>Utilizarea aplicației UE pentru compararea profilurilor ADN nu afectează proprietatea sau controlul asupra datelor ADN.</w:t>
      </w:r>
    </w:p>
    <w:p>
      <w:pPr>
        <w:pStyle w:val="ManualNumPar1"/>
        <w:rPr>
          <w:noProof/>
        </w:rPr>
      </w:pPr>
      <w:r>
        <w:rPr>
          <w:noProof/>
        </w:rPr>
        <w:t>(4)</w:t>
      </w:r>
      <w:r>
        <w:rPr>
          <w:noProof/>
        </w:rPr>
        <w:tab/>
        <w:t>Aplicația UE pentru compararea profilurilor ADN este utilizată în mod voluntar de autoritățile competente ale statelor membre, de Europol și de orice alte organe, oficii sau agenții ale Uniunii. Europol acționează exclusiv în calitate de entitate de sprijin, precum și la nivel tehnic.</w:t>
      </w:r>
    </w:p>
    <w:p>
      <w:pPr>
        <w:pStyle w:val="ManualNumPar1"/>
        <w:rPr>
          <w:noProof/>
        </w:rPr>
      </w:pPr>
      <w:r>
        <w:rPr>
          <w:noProof/>
        </w:rPr>
        <w:t>(5)</w:t>
      </w:r>
      <w:r>
        <w:rPr>
          <w:noProof/>
        </w:rPr>
        <w:tab/>
        <w:t>Europol sprijină statele membre în tranziția de la sistemele existente de comparare a profilurilor ADN la aplicația UE pentru compararea profilurilor ADN, inclusiv prin furnizarea de orientări tehnice, instrumente și asistență pentru a asigura continuitatea operațiunilor.</w:t>
      </w:r>
    </w:p>
    <w:p>
      <w:pPr>
        <w:pStyle w:val="ManualNumPar1"/>
        <w:rPr>
          <w:noProof/>
        </w:rPr>
      </w:pPr>
      <w:r>
        <w:rPr>
          <w:noProof/>
        </w:rPr>
        <w:t>(6)</w:t>
      </w:r>
      <w:r>
        <w:rPr>
          <w:noProof/>
        </w:rPr>
        <w:tab/>
        <w:t>Europol se asigură că sunt instituite măsuri tehnice și organizatorice adecvate pentru a garanta un nivel ridicat de securitate, integritate și confidențialitate.</w:t>
      </w:r>
    </w:p>
    <w:p>
      <w:pPr>
        <w:rPr>
          <w:noProof/>
        </w:rPr>
      </w:pPr>
    </w:p>
    <w:p>
      <w:pPr>
        <w:keepNext/>
        <w:spacing w:before="360"/>
        <w:jc w:val="center"/>
        <w:rPr>
          <w:i/>
          <w:noProof/>
        </w:rPr>
      </w:pPr>
      <w:r>
        <w:rPr>
          <w:i/>
          <w:noProof/>
        </w:rPr>
        <w:t>Articolul 55</w:t>
      </w:r>
    </w:p>
    <w:p>
      <w:pPr>
        <w:jc w:val="center"/>
        <w:rPr>
          <w:noProof/>
        </w:rPr>
      </w:pPr>
      <w:r>
        <w:rPr>
          <w:b/>
          <w:noProof/>
        </w:rPr>
        <w:t>Grupul de coordonare pentru tehnologia informației și comunicațiilor și gestionarea informațiilor</w:t>
      </w:r>
    </w:p>
    <w:p>
      <w:pPr>
        <w:pStyle w:val="ManualNumPar1"/>
        <w:rPr>
          <w:noProof/>
        </w:rPr>
      </w:pPr>
      <w:r>
        <w:rPr>
          <w:noProof/>
        </w:rPr>
        <w:t>(1)</w:t>
      </w:r>
      <w:r>
        <w:rPr>
          <w:noProof/>
        </w:rPr>
        <w:tab/>
        <w:t>Se instituie un Grup de coordonare pentru tehnologia informației și comunicațiilor și gestionarea informațiilor (denumit în continuare „Grupul de coordonare TIC/GI”).</w:t>
      </w:r>
    </w:p>
    <w:p>
      <w:pPr>
        <w:pStyle w:val="ManualNumPar1"/>
        <w:rPr>
          <w:noProof/>
        </w:rPr>
      </w:pPr>
      <w:r>
        <w:rPr>
          <w:noProof/>
        </w:rPr>
        <w:t>(2)</w:t>
      </w:r>
      <w:r>
        <w:rPr>
          <w:noProof/>
        </w:rPr>
        <w:tab/>
        <w:t>Grupul de coordonare TIC/GI este alcătuit din câte un membru pentru fiecare stat membru, unul pentru Comisie, unul pentru Europol și unul pentru eu-LISA. Consiliul de administrație numește membrii Grupului de coordonare TIC/GI. Grupul de coordonare TIC/GI include președintele Grupului consultativ TIC/GI instituit în temeiul articolului 56.</w:t>
      </w:r>
    </w:p>
    <w:p>
      <w:pPr>
        <w:pStyle w:val="ManualNumPar1"/>
        <w:rPr>
          <w:noProof/>
        </w:rPr>
      </w:pPr>
      <w:r>
        <w:rPr>
          <w:noProof/>
        </w:rPr>
        <w:t>(3)</w:t>
      </w:r>
      <w:r>
        <w:rPr>
          <w:noProof/>
        </w:rPr>
        <w:tab/>
        <w:t>Consiliul de administrație adoptă regulamentul de procedură al Grupului de coordonare TIC/GI.</w:t>
      </w:r>
    </w:p>
    <w:p>
      <w:pPr>
        <w:pStyle w:val="ManualNumPar1"/>
        <w:rPr>
          <w:noProof/>
        </w:rPr>
      </w:pPr>
      <w:r>
        <w:rPr>
          <w:noProof/>
        </w:rPr>
        <w:t>(4)</w:t>
      </w:r>
      <w:r>
        <w:rPr>
          <w:noProof/>
        </w:rPr>
        <w:tab/>
        <w:t>Grupul de coordonare TIC/GI este prezidat de un reprezentant al unui stat membru numit de Consiliul de administrație.</w:t>
      </w:r>
    </w:p>
    <w:p>
      <w:pPr>
        <w:pStyle w:val="ManualNumPar1"/>
        <w:rPr>
          <w:noProof/>
        </w:rPr>
      </w:pPr>
      <w:r>
        <w:rPr>
          <w:noProof/>
        </w:rPr>
        <w:t>(5)</w:t>
      </w:r>
      <w:r>
        <w:rPr>
          <w:noProof/>
        </w:rPr>
        <w:tab/>
        <w:t>Grupul de coordonare TIC/GI sprijină Consiliul de administrație pentru deciziile referitoare la activitățile Europol legate de TIC și de gestionarea informațiilor, în special în ceea ce privește următoarele:</w:t>
      </w:r>
    </w:p>
    <w:p>
      <w:pPr>
        <w:pStyle w:val="Point1"/>
        <w:rPr>
          <w:noProof/>
        </w:rPr>
      </w:pPr>
      <w:r>
        <w:rPr>
          <w:noProof/>
        </w:rPr>
        <w:t>(a)</w:t>
      </w:r>
      <w:r>
        <w:rPr>
          <w:noProof/>
        </w:rPr>
        <w:tab/>
        <w:t>capacități analitice;</w:t>
      </w:r>
    </w:p>
    <w:p>
      <w:pPr>
        <w:pStyle w:val="Point1"/>
        <w:rPr>
          <w:noProof/>
        </w:rPr>
      </w:pPr>
      <w:r>
        <w:rPr>
          <w:noProof/>
        </w:rPr>
        <w:t>(b)</w:t>
      </w:r>
      <w:r>
        <w:rPr>
          <w:noProof/>
        </w:rPr>
        <w:tab/>
        <w:t>sisteme centrale;</w:t>
      </w:r>
    </w:p>
    <w:p>
      <w:pPr>
        <w:pStyle w:val="Point1"/>
        <w:rPr>
          <w:noProof/>
        </w:rPr>
      </w:pPr>
      <w:r>
        <w:rPr>
          <w:noProof/>
        </w:rPr>
        <w:t>(c)</w:t>
      </w:r>
      <w:r>
        <w:rPr>
          <w:noProof/>
        </w:rPr>
        <w:tab/>
        <w:t>instrumente de schimb de informații și de comunicare;</w:t>
      </w:r>
    </w:p>
    <w:p>
      <w:pPr>
        <w:pStyle w:val="Point1"/>
        <w:rPr>
          <w:noProof/>
        </w:rPr>
      </w:pPr>
      <w:r>
        <w:rPr>
          <w:noProof/>
        </w:rPr>
        <w:t>(d)</w:t>
      </w:r>
      <w:r>
        <w:rPr>
          <w:noProof/>
        </w:rPr>
        <w:tab/>
        <w:t>infrastructură tehnică și platforme;</w:t>
      </w:r>
    </w:p>
    <w:p>
      <w:pPr>
        <w:pStyle w:val="Point1"/>
        <w:rPr>
          <w:noProof/>
        </w:rPr>
      </w:pPr>
      <w:r>
        <w:rPr>
          <w:noProof/>
        </w:rPr>
        <w:t>(e)</w:t>
      </w:r>
      <w:r>
        <w:rPr>
          <w:noProof/>
        </w:rPr>
        <w:tab/>
        <w:t>securitate cibernetică;</w:t>
      </w:r>
    </w:p>
    <w:p>
      <w:pPr>
        <w:pStyle w:val="Point1"/>
        <w:rPr>
          <w:noProof/>
        </w:rPr>
      </w:pPr>
      <w:r>
        <w:rPr>
          <w:noProof/>
        </w:rPr>
        <w:t>(f)</w:t>
      </w:r>
      <w:r>
        <w:rPr>
          <w:noProof/>
        </w:rPr>
        <w:tab/>
        <w:t>interoperabilitatea cu sistemele de informații ale UE și cu sistemele și bazele de date naționale.</w:t>
      </w:r>
    </w:p>
    <w:p>
      <w:pPr>
        <w:pStyle w:val="ManualNumPar1"/>
        <w:rPr>
          <w:noProof/>
        </w:rPr>
      </w:pPr>
      <w:r>
        <w:rPr>
          <w:noProof/>
        </w:rPr>
        <w:t>(6)</w:t>
      </w:r>
      <w:r>
        <w:rPr>
          <w:noProof/>
        </w:rPr>
        <w:tab/>
        <w:t>Grupul de coordonare TIC/GI sprijină și monitorizează conducerea strategică, conceperea, dezvoltarea și implementarea serviciilor, a instrumentelor și a componentelor TIC și de gestionare a informațiilor ale Europol, inclusiv aspectele financiare legate de sistemele de informații și mecanismele de schimb de informații.</w:t>
      </w:r>
    </w:p>
    <w:p>
      <w:pPr>
        <w:pStyle w:val="ManualNumPar1"/>
        <w:rPr>
          <w:noProof/>
        </w:rPr>
      </w:pPr>
      <w:r>
        <w:rPr>
          <w:noProof/>
        </w:rPr>
        <w:t>(7)</w:t>
      </w:r>
      <w:r>
        <w:rPr>
          <w:noProof/>
        </w:rPr>
        <w:tab/>
        <w:t>În special, Grupul de coordonare TIC/GI:</w:t>
      </w:r>
    </w:p>
    <w:p>
      <w:pPr>
        <w:pStyle w:val="Point1"/>
        <w:rPr>
          <w:noProof/>
        </w:rPr>
      </w:pPr>
      <w:r>
        <w:rPr>
          <w:noProof/>
        </w:rPr>
        <w:t>(a)</w:t>
      </w:r>
      <w:r>
        <w:rPr>
          <w:noProof/>
        </w:rPr>
        <w:tab/>
        <w:t>contribuie la definirea programării strategice multianuale a activităților TIC și de gestionare a informațiilor ale Europol, inclusiv a obiectivelor, a rezultatelor preconizate în timp, a indicatorilor de performanță și a planificării multianuale a resurselor pentru fiecare activitate de gestionare a informațiilor și pentru fiecare serviciu, instrument și componentă TIC;</w:t>
      </w:r>
    </w:p>
    <w:p>
      <w:pPr>
        <w:pStyle w:val="Point1"/>
        <w:rPr>
          <w:noProof/>
        </w:rPr>
      </w:pPr>
      <w:r>
        <w:rPr>
          <w:noProof/>
        </w:rPr>
        <w:t>(b)</w:t>
      </w:r>
      <w:r>
        <w:rPr>
          <w:noProof/>
        </w:rPr>
        <w:tab/>
        <w:t>emite un aviz adresat Consiliului de administrație cu privire la programele anuale de activitate ale Europol în domeniul TIC și al gestionării informațiilor, în conformitate cu articolul 73;</w:t>
      </w:r>
    </w:p>
    <w:p>
      <w:pPr>
        <w:pStyle w:val="Point1"/>
        <w:rPr>
          <w:noProof/>
        </w:rPr>
      </w:pPr>
      <w:r>
        <w:rPr>
          <w:noProof/>
        </w:rPr>
        <w:t>(c)</w:t>
      </w:r>
      <w:r>
        <w:rPr>
          <w:noProof/>
        </w:rPr>
        <w:tab/>
        <w:t>emite un aviz adresat Consiliului de administrație cu privire la evaluările interne legate de activitățile TIC și de gestionare a informațiilor ale Europol;</w:t>
      </w:r>
    </w:p>
    <w:p>
      <w:pPr>
        <w:pStyle w:val="Point1"/>
        <w:rPr>
          <w:noProof/>
        </w:rPr>
      </w:pPr>
      <w:r>
        <w:rPr>
          <w:noProof/>
        </w:rPr>
        <w:t>(d)</w:t>
      </w:r>
      <w:r>
        <w:rPr>
          <w:noProof/>
        </w:rPr>
        <w:tab/>
        <w:t>asigură coerența cu nevoile operaționale ale statelor membre și cu obiectivele de interoperabilitate la nivelul Uniunii;</w:t>
      </w:r>
    </w:p>
    <w:p>
      <w:pPr>
        <w:pStyle w:val="Point1"/>
        <w:rPr>
          <w:noProof/>
        </w:rPr>
      </w:pPr>
      <w:r>
        <w:rPr>
          <w:noProof/>
        </w:rPr>
        <w:t>(e)</w:t>
      </w:r>
      <w:r>
        <w:rPr>
          <w:noProof/>
        </w:rPr>
        <w:tab/>
        <w:t>monitorizează punerea în aplicare a inițiativelor majore în materie de TIC și de gestionare a informațiilor;</w:t>
      </w:r>
    </w:p>
    <w:p>
      <w:pPr>
        <w:pStyle w:val="Point1"/>
        <w:rPr>
          <w:noProof/>
        </w:rPr>
      </w:pPr>
      <w:r>
        <w:rPr>
          <w:noProof/>
        </w:rPr>
        <w:t>(f)</w:t>
      </w:r>
      <w:r>
        <w:rPr>
          <w:noProof/>
        </w:rPr>
        <w:tab/>
        <w:t>emite avize și recomandări adresate directorului executiv și, după caz, Consiliului de administrație.</w:t>
      </w:r>
    </w:p>
    <w:p>
      <w:pPr>
        <w:pStyle w:val="ManualNumPar1"/>
        <w:rPr>
          <w:noProof/>
        </w:rPr>
      </w:pPr>
      <w:r>
        <w:rPr>
          <w:noProof/>
        </w:rPr>
        <w:t>(8)</w:t>
      </w:r>
      <w:r>
        <w:rPr>
          <w:noProof/>
        </w:rPr>
        <w:tab/>
        <w:t>Grupul de coordonare TIC/GI se reunește periodic. Acesta nu are putere de decizie și nu reprezintă Consiliul de administrație.</w:t>
      </w:r>
    </w:p>
    <w:p>
      <w:pPr>
        <w:pStyle w:val="ManualNumPar1"/>
        <w:rPr>
          <w:noProof/>
        </w:rPr>
      </w:pPr>
      <w:r>
        <w:rPr>
          <w:noProof/>
        </w:rPr>
        <w:t>(9)</w:t>
      </w:r>
      <w:r>
        <w:rPr>
          <w:noProof/>
        </w:rPr>
        <w:tab/>
        <w:t>Europol asigură un secretariat și sprijin administrativ pentru Grupul de coordonare TIC/GI.</w:t>
      </w:r>
    </w:p>
    <w:p>
      <w:pPr>
        <w:pStyle w:val="ManualNumPar1"/>
        <w:rPr>
          <w:noProof/>
        </w:rPr>
      </w:pPr>
      <w:r>
        <w:rPr>
          <w:noProof/>
        </w:rPr>
        <w:t>(10)</w:t>
      </w:r>
      <w:r>
        <w:rPr>
          <w:noProof/>
        </w:rPr>
        <w:tab/>
        <w:t>Grupul consultativ TIC/GI instituit în conformitate cu articolul 56 furnizează expertiză tehnică pentru a sprijini îndeplinirea sarcinilor Grupului de coordonare TIC/GI și raportează periodic acestuia.</w:t>
      </w:r>
    </w:p>
    <w:p>
      <w:pPr>
        <w:keepNext/>
        <w:spacing w:before="360"/>
        <w:jc w:val="center"/>
        <w:rPr>
          <w:i/>
          <w:noProof/>
        </w:rPr>
      </w:pPr>
      <w:r>
        <w:rPr>
          <w:i/>
          <w:noProof/>
        </w:rPr>
        <w:t>Articolul 56</w:t>
      </w:r>
    </w:p>
    <w:p>
      <w:pPr>
        <w:jc w:val="center"/>
        <w:rPr>
          <w:noProof/>
        </w:rPr>
      </w:pPr>
      <w:r>
        <w:rPr>
          <w:b/>
          <w:noProof/>
        </w:rPr>
        <w:t>Grupul consultativ pentru TIC și gestionarea informațiilor</w:t>
      </w:r>
    </w:p>
    <w:p>
      <w:pPr>
        <w:pStyle w:val="ManualNumPar1"/>
        <w:rPr>
          <w:noProof/>
        </w:rPr>
      </w:pPr>
      <w:r>
        <w:rPr>
          <w:noProof/>
        </w:rPr>
        <w:t>(1)</w:t>
      </w:r>
      <w:r>
        <w:rPr>
          <w:noProof/>
        </w:rPr>
        <w:tab/>
        <w:t>Se instituie un Grup consultativ pentru tehnologia informației și comunicațiilor și gestionarea informațiilor (denumit în continuare „Grupul consultativ TIC/GI”).</w:t>
      </w:r>
    </w:p>
    <w:p>
      <w:pPr>
        <w:pStyle w:val="ManualNumPar1"/>
        <w:rPr>
          <w:noProof/>
        </w:rPr>
      </w:pPr>
      <w:r>
        <w:rPr>
          <w:noProof/>
        </w:rPr>
        <w:t>(2)</w:t>
      </w:r>
      <w:r>
        <w:rPr>
          <w:noProof/>
        </w:rPr>
        <w:tab/>
        <w:t>Grupul consultativ TIC/GI este alcătuit din câte un expert desemnat de fiecare stat membru, de Comisie și de eu-LISA pentru un mandat de patru ani, care poate fi reînnoit.</w:t>
      </w:r>
    </w:p>
    <w:p>
      <w:pPr>
        <w:pStyle w:val="ManualNumPar1"/>
        <w:rPr>
          <w:noProof/>
        </w:rPr>
      </w:pPr>
      <w:r>
        <w:rPr>
          <w:noProof/>
        </w:rPr>
        <w:t>(3)</w:t>
      </w:r>
      <w:r>
        <w:rPr>
          <w:noProof/>
        </w:rPr>
        <w:tab/>
        <w:t>Pot fi invitați să participe, după caz, reprezentanți ai altor instituții, organe, oficii și agenții relevante ale Uniunii.</w:t>
      </w:r>
    </w:p>
    <w:p>
      <w:pPr>
        <w:pStyle w:val="ManualNumPar1"/>
        <w:rPr>
          <w:noProof/>
        </w:rPr>
      </w:pPr>
      <w:r>
        <w:rPr>
          <w:noProof/>
        </w:rPr>
        <w:t>(4)</w:t>
      </w:r>
      <w:r>
        <w:rPr>
          <w:noProof/>
        </w:rPr>
        <w:tab/>
        <w:t>Grupul consultativ TIC/GI este prezidat de Europol.</w:t>
      </w:r>
    </w:p>
    <w:p>
      <w:pPr>
        <w:pStyle w:val="ManualNumPar1"/>
        <w:rPr>
          <w:noProof/>
        </w:rPr>
      </w:pPr>
      <w:r>
        <w:rPr>
          <w:noProof/>
        </w:rPr>
        <w:t>(5)</w:t>
      </w:r>
      <w:r>
        <w:rPr>
          <w:noProof/>
        </w:rPr>
        <w:tab/>
        <w:t>Grupul consultativ TIC/GI oferă asistență Europol și Grupului de coordonare TIC/GI instituit în temeiul articolului 55 prin furnizarea de expertiză tehnică privind proiectarea, dezvoltarea, implementarea și exploatarea sistemelor de informații, precum și a infrastructurii de comunicații și a mecanismelor de schimb de informații aferente.</w:t>
      </w:r>
    </w:p>
    <w:p>
      <w:pPr>
        <w:pStyle w:val="ManualNumPar1"/>
        <w:rPr>
          <w:noProof/>
        </w:rPr>
      </w:pPr>
      <w:r>
        <w:rPr>
          <w:noProof/>
        </w:rPr>
        <w:t>(6)</w:t>
      </w:r>
      <w:r>
        <w:rPr>
          <w:noProof/>
        </w:rPr>
        <w:tab/>
        <w:t>În special, Grupul consultativ TIC/GI:</w:t>
      </w:r>
    </w:p>
    <w:p>
      <w:pPr>
        <w:pStyle w:val="Point1"/>
        <w:rPr>
          <w:noProof/>
        </w:rPr>
      </w:pPr>
      <w:r>
        <w:rPr>
          <w:noProof/>
        </w:rPr>
        <w:t>(a)</w:t>
      </w:r>
      <w:r>
        <w:rPr>
          <w:noProof/>
        </w:rPr>
        <w:tab/>
        <w:t>oferă consultanță tehnică privind arhitectura TIC, gestionarea datelor și interoperabilitatea;</w:t>
      </w:r>
    </w:p>
    <w:p>
      <w:pPr>
        <w:pStyle w:val="Point1"/>
        <w:rPr>
          <w:noProof/>
        </w:rPr>
      </w:pPr>
      <w:r>
        <w:rPr>
          <w:noProof/>
        </w:rPr>
        <w:t>(b)</w:t>
      </w:r>
      <w:r>
        <w:rPr>
          <w:noProof/>
        </w:rPr>
        <w:tab/>
        <w:t>sprijină elaborarea și punerea în aplicare a soluțiilor tehnice pentru schimbul de informații;</w:t>
      </w:r>
    </w:p>
    <w:p>
      <w:pPr>
        <w:pStyle w:val="Point1"/>
        <w:rPr>
          <w:noProof/>
        </w:rPr>
      </w:pPr>
      <w:r>
        <w:rPr>
          <w:noProof/>
        </w:rPr>
        <w:t>(c)</w:t>
      </w:r>
      <w:r>
        <w:rPr>
          <w:noProof/>
        </w:rPr>
        <w:tab/>
        <w:t>contribuie la identificarea și promovarea componentelor tehnice comune, a standardelor și a celor mai bune practici;</w:t>
      </w:r>
    </w:p>
    <w:p>
      <w:pPr>
        <w:pStyle w:val="Point1"/>
        <w:rPr>
          <w:noProof/>
        </w:rPr>
      </w:pPr>
      <w:r>
        <w:rPr>
          <w:noProof/>
        </w:rPr>
        <w:t>(d)</w:t>
      </w:r>
      <w:r>
        <w:rPr>
          <w:noProof/>
        </w:rPr>
        <w:tab/>
        <w:t>sprijină coordonarea dintre Europol, statele membre și Comisie în ceea ce privește aspectele tehnice și cele legate de punerea în aplicare;</w:t>
      </w:r>
    </w:p>
    <w:p>
      <w:pPr>
        <w:pStyle w:val="Point1"/>
        <w:rPr>
          <w:noProof/>
        </w:rPr>
      </w:pPr>
      <w:r>
        <w:rPr>
          <w:noProof/>
        </w:rPr>
        <w:t>(e)</w:t>
      </w:r>
      <w:r>
        <w:rPr>
          <w:noProof/>
        </w:rPr>
        <w:tab/>
        <w:t>urmărește și evaluează stadiul de elaborare și de punere în aplicare de către statele membre, după caz;</w:t>
      </w:r>
    </w:p>
    <w:p>
      <w:pPr>
        <w:pStyle w:val="Point1"/>
        <w:rPr>
          <w:noProof/>
        </w:rPr>
      </w:pPr>
      <w:r>
        <w:rPr>
          <w:noProof/>
        </w:rPr>
        <w:t>(f)</w:t>
      </w:r>
      <w:r>
        <w:rPr>
          <w:noProof/>
        </w:rPr>
        <w:tab/>
        <w:t>raportează periodic Grupului de coordonare pentru gestionarea informațiilor și îi furnizează informațiile tehnice necesare pentru îndeplinirea sarcinilor sale.</w:t>
      </w:r>
    </w:p>
    <w:p>
      <w:pPr>
        <w:pStyle w:val="ManualNumPar1"/>
        <w:rPr>
          <w:noProof/>
        </w:rPr>
      </w:pPr>
      <w:r>
        <w:rPr>
          <w:noProof/>
        </w:rPr>
        <w:t>(7)</w:t>
      </w:r>
      <w:r>
        <w:rPr>
          <w:noProof/>
        </w:rPr>
        <w:tab/>
        <w:t>Grupul consultativ TIC/GI se reunește periodic. Acesta nu are putere de decizie și nu reprezintă Grupul de coordonare sau Consiliul de administrație.</w:t>
      </w:r>
    </w:p>
    <w:p>
      <w:pPr>
        <w:pStyle w:val="ManualNumPar1"/>
        <w:rPr>
          <w:noProof/>
        </w:rPr>
      </w:pPr>
      <w:r>
        <w:rPr>
          <w:noProof/>
        </w:rPr>
        <w:t>(8)</w:t>
      </w:r>
      <w:r>
        <w:rPr>
          <w:noProof/>
        </w:rPr>
        <w:tab/>
        <w:t>Europol asigură un secretariat și sprijin administrativ pentru Grupul consultativ TIC/GI.</w:t>
      </w:r>
    </w:p>
    <w:p>
      <w:pPr>
        <w:pStyle w:val="ManualNumPar1"/>
        <w:rPr>
          <w:noProof/>
        </w:rPr>
      </w:pPr>
      <w:r>
        <w:rPr>
          <w:noProof/>
        </w:rPr>
        <w:t>(9)</w:t>
      </w:r>
      <w:r>
        <w:rPr>
          <w:noProof/>
        </w:rPr>
        <w:tab/>
        <w:t>Grupul consultativ TIC/GI își adoptă propriul regulament de procedură.</w:t>
      </w:r>
    </w:p>
    <w:p>
      <w:pPr>
        <w:pStyle w:val="ChapterTitle"/>
        <w:rPr>
          <w:noProof/>
        </w:rPr>
      </w:pPr>
      <w:r>
        <w:rPr>
          <w:noProof/>
        </w:rPr>
        <w:t xml:space="preserve">Capitolul IV </w:t>
      </w:r>
      <w:r>
        <w:rPr>
          <w:noProof/>
        </w:rPr>
        <w:br/>
        <w:t>Capacități tehnologice și inovare</w:t>
      </w:r>
    </w:p>
    <w:p>
      <w:pPr>
        <w:pStyle w:val="SectionTitle"/>
        <w:rPr>
          <w:noProof/>
        </w:rPr>
      </w:pPr>
      <w:r>
        <w:rPr>
          <w:noProof/>
        </w:rPr>
        <w:t xml:space="preserve">Secțiunea 1 </w:t>
      </w:r>
      <w:r>
        <w:rPr>
          <w:noProof/>
        </w:rPr>
        <w:br/>
        <w:t>Planificarea capacităților, cercetare, inovare și dezvoltare</w:t>
      </w:r>
    </w:p>
    <w:p>
      <w:pPr>
        <w:pStyle w:val="Titrearticle"/>
        <w:rPr>
          <w:noProof/>
        </w:rPr>
      </w:pPr>
      <w:r>
        <w:rPr>
          <w:noProof/>
        </w:rPr>
        <w:t>Articolul 57</w:t>
      </w:r>
    </w:p>
    <w:p>
      <w:pPr>
        <w:pStyle w:val="NormalCentered"/>
        <w:rPr>
          <w:b/>
          <w:bCs/>
          <w:noProof/>
        </w:rPr>
      </w:pPr>
      <w:r>
        <w:rPr>
          <w:b/>
          <w:noProof/>
        </w:rPr>
        <w:t>Cadrul de analiză prospectivă și de dezvoltare a capacităților comune</w:t>
      </w:r>
    </w:p>
    <w:p>
      <w:pPr>
        <w:pStyle w:val="ManualNumPar1"/>
        <w:rPr>
          <w:noProof/>
        </w:rPr>
      </w:pPr>
      <w:r>
        <w:rPr>
          <w:noProof/>
        </w:rPr>
        <w:t>(1)</w:t>
      </w:r>
      <w:r>
        <w:rPr>
          <w:noProof/>
        </w:rPr>
        <w:tab/>
        <w:t>Pe baza analizelor strategice, a evaluărilor amenințărilor, a rapoartelor privind tendințele și a informărilor situaționale menționate la articolul 7, Europol instituie un cadru de analiză prospectivă și de dezvoltare a capacităților comune („cadrul”).</w:t>
      </w:r>
    </w:p>
    <w:p>
      <w:pPr>
        <w:pStyle w:val="ManualNumPar1"/>
        <w:rPr>
          <w:noProof/>
        </w:rPr>
      </w:pPr>
      <w:r>
        <w:rPr>
          <w:noProof/>
        </w:rPr>
        <w:t>(2)</w:t>
      </w:r>
      <w:r>
        <w:rPr>
          <w:noProof/>
        </w:rPr>
        <w:tab/>
        <w:t xml:space="preserve">Cadrul sprijină identificarea nevoilor imediate, emergente și pe termen mai lung în materie de capacități la nivelul Uniunii pentru prevenirea și combaterea formelor de criminalitate care intră în sfera de competență a Europol. </w:t>
      </w:r>
    </w:p>
    <w:p>
      <w:pPr>
        <w:ind w:left="850"/>
        <w:rPr>
          <w:noProof/>
        </w:rPr>
      </w:pPr>
      <w:r>
        <w:rPr>
          <w:noProof/>
        </w:rPr>
        <w:t>Cadrul identifică:</w:t>
      </w:r>
    </w:p>
    <w:p>
      <w:pPr>
        <w:pStyle w:val="Point1"/>
        <w:rPr>
          <w:noProof/>
        </w:rPr>
      </w:pPr>
      <w:r>
        <w:rPr>
          <w:noProof/>
        </w:rPr>
        <w:t>(a)</w:t>
      </w:r>
      <w:r>
        <w:rPr>
          <w:noProof/>
        </w:rPr>
        <w:tab/>
        <w:t>lacunele, provocările și dependențele critice privind capacitățile comune;</w:t>
      </w:r>
    </w:p>
    <w:p>
      <w:pPr>
        <w:pStyle w:val="Point1"/>
        <w:rPr>
          <w:noProof/>
        </w:rPr>
      </w:pPr>
      <w:r>
        <w:rPr>
          <w:noProof/>
        </w:rPr>
        <w:t>(b)</w:t>
      </w:r>
      <w:r>
        <w:rPr>
          <w:noProof/>
        </w:rPr>
        <w:tab/>
        <w:t>principalele teme de cercetare și prioritățile activităților de cercetare, inovare și dezvoltare a capacităților la care participă sau ar putea participa Europol;</w:t>
      </w:r>
    </w:p>
    <w:p>
      <w:pPr>
        <w:pStyle w:val="Point1"/>
        <w:rPr>
          <w:noProof/>
        </w:rPr>
      </w:pPr>
      <w:r>
        <w:rPr>
          <w:noProof/>
        </w:rPr>
        <w:t>(c)</w:t>
      </w:r>
      <w:r>
        <w:rPr>
          <w:noProof/>
        </w:rPr>
        <w:tab/>
        <w:t>evoluțiile și tehnologiile emergente relevante pentru capacitățile prioritare identificate;</w:t>
      </w:r>
    </w:p>
    <w:p>
      <w:pPr>
        <w:pStyle w:val="Point1"/>
        <w:rPr>
          <w:noProof/>
        </w:rPr>
      </w:pPr>
      <w:r>
        <w:rPr>
          <w:noProof/>
        </w:rPr>
        <w:t>(d)</w:t>
      </w:r>
      <w:r>
        <w:rPr>
          <w:noProof/>
        </w:rPr>
        <w:tab/>
        <w:t>nevoile și oportunitățile de interoperabilitate, standardizare și dezvoltare a capacităților comune la nivelul Uniunii.</w:t>
      </w:r>
    </w:p>
    <w:p>
      <w:pPr>
        <w:pStyle w:val="ManualNumPar1"/>
        <w:rPr>
          <w:noProof/>
        </w:rPr>
      </w:pPr>
      <w:r>
        <w:rPr>
          <w:noProof/>
        </w:rPr>
        <w:t>(3)</w:t>
      </w:r>
      <w:r>
        <w:rPr>
          <w:noProof/>
        </w:rPr>
        <w:tab/>
        <w:t>Pe baza cadrului, Europol sprijină statele membre și Comisia, în special prin:</w:t>
      </w:r>
    </w:p>
    <w:p>
      <w:pPr>
        <w:pStyle w:val="Point1"/>
        <w:rPr>
          <w:noProof/>
        </w:rPr>
      </w:pPr>
      <w:r>
        <w:rPr>
          <w:noProof/>
        </w:rPr>
        <w:t>(a)</w:t>
      </w:r>
      <w:r>
        <w:rPr>
          <w:noProof/>
        </w:rPr>
        <w:tab/>
        <w:t>contribuția la activitățile de cercetare, inovare și dezvoltare a capacităților;</w:t>
      </w:r>
    </w:p>
    <w:p>
      <w:pPr>
        <w:pStyle w:val="Point1"/>
        <w:rPr>
          <w:noProof/>
        </w:rPr>
      </w:pPr>
      <w:r>
        <w:rPr>
          <w:noProof/>
        </w:rPr>
        <w:t>(b)</w:t>
      </w:r>
      <w:r>
        <w:rPr>
          <w:noProof/>
        </w:rPr>
        <w:tab/>
        <w:t>sprijinirea proceselor de interoperabilitate și standardizare, în cooperare cu ENISA, după caz, inclusiv elaborarea și promovarea unor standarde comune, a unor cerințe de interoperabilitate și a unor specificații operaționale și tehnice relevante pentru cooperarea în materie de aplicare a legii;</w:t>
      </w:r>
    </w:p>
    <w:p>
      <w:pPr>
        <w:pStyle w:val="Point1"/>
        <w:rPr>
          <w:noProof/>
        </w:rPr>
      </w:pPr>
      <w:r>
        <w:rPr>
          <w:noProof/>
        </w:rPr>
        <w:t>(c)</w:t>
      </w:r>
      <w:r>
        <w:rPr>
          <w:noProof/>
        </w:rPr>
        <w:tab/>
        <w:t>furnizarea, după caz, în cooperare cu instituțiile, organele, oficiile și agențiile Uniunii, de consultanță și de sprijin pentru dezvoltarea capacităților;</w:t>
      </w:r>
    </w:p>
    <w:p>
      <w:pPr>
        <w:pStyle w:val="Point1"/>
        <w:rPr>
          <w:noProof/>
        </w:rPr>
      </w:pPr>
      <w:r>
        <w:rPr>
          <w:noProof/>
        </w:rPr>
        <w:t>(d)</w:t>
      </w:r>
      <w:r>
        <w:rPr>
          <w:noProof/>
        </w:rPr>
        <w:tab/>
        <w:t xml:space="preserve">facilitarea punerii în comun, a partajării și a achizițiilor comune de capacități, inclusiv de resurse și echipamente tehnice, cunoștințe și expertiză între statele membre, inclusiv în cooperare cu instituțiile, organele, oficiile și agențiile relevante ale Uniunii și prin formarea de specialitate menționată la articolul 64. </w:t>
      </w:r>
    </w:p>
    <w:p>
      <w:pPr>
        <w:pStyle w:val="ManualNumPar1"/>
        <w:rPr>
          <w:noProof/>
        </w:rPr>
      </w:pPr>
      <w:r>
        <w:rPr>
          <w:noProof/>
        </w:rPr>
        <w:t>(4)</w:t>
      </w:r>
      <w:r>
        <w:rPr>
          <w:noProof/>
        </w:rPr>
        <w:tab/>
        <w:t>În scopul instituirii și actualizării cadrului menționat la alineatul (1), statele membre furnizează anual Europol informații cu privire la activitățile naționale de cercetare și inovare, inclusiv investițiile relevante, precum și cu privire la participarea acestora la proiecte de cercetare și inovare finanțate de Uniune și la proiecte de cercetare și inovare finanțate la nivel național, relevante pentru competența Europol.</w:t>
      </w:r>
    </w:p>
    <w:p>
      <w:pPr>
        <w:pStyle w:val="ManualNumPar1"/>
        <w:rPr>
          <w:noProof/>
        </w:rPr>
      </w:pPr>
      <w:r>
        <w:rPr>
          <w:noProof/>
        </w:rPr>
        <w:t>(5)</w:t>
      </w:r>
      <w:r>
        <w:rPr>
          <w:noProof/>
        </w:rPr>
        <w:tab/>
        <w:t>Cadrul face parte din programarea multianuală a Europol menționată la articolul 73 și se adoptă de Consiliul de administrație pe baza unei propuneri din partea Europol, după consultarea Comisiei.</w:t>
      </w:r>
    </w:p>
    <w:p>
      <w:pPr>
        <w:ind w:left="850"/>
        <w:rPr>
          <w:noProof/>
        </w:rPr>
      </w:pPr>
      <w:r>
        <w:rPr>
          <w:noProof/>
        </w:rPr>
        <w:t>Cadrul este revizuit periodic și, dacă este necesar, actualizat. Europol raportează, în programele anuale de activitate menționate la articolul 73, cu privire la punerea în aplicare a cadrului, inclusiv cu privire la măsurile luate ca urmare a nevoilor în materie de capacități identificate în cadrul acestuia.</w:t>
      </w:r>
    </w:p>
    <w:p>
      <w:pPr>
        <w:ind w:left="850"/>
        <w:rPr>
          <w:noProof/>
        </w:rPr>
      </w:pPr>
      <w:r>
        <w:rPr>
          <w:noProof/>
        </w:rPr>
        <w:t>Europol consultă Grupul consultativ pentru capacități și inovare instituit în temeiul articolului 65 în ceea ce privește elaborarea, precum și revizuirea și actualizarea periodică a cadrului.</w:t>
      </w:r>
    </w:p>
    <w:p>
      <w:pPr>
        <w:pStyle w:val="Titrearticle"/>
        <w:rPr>
          <w:noProof/>
        </w:rPr>
      </w:pPr>
      <w:r>
        <w:rPr>
          <w:noProof/>
        </w:rPr>
        <w:t>Articolul 58</w:t>
      </w:r>
    </w:p>
    <w:p>
      <w:pPr>
        <w:pStyle w:val="NormalCentered"/>
        <w:rPr>
          <w:b/>
          <w:bCs/>
          <w:noProof/>
        </w:rPr>
      </w:pPr>
      <w:r>
        <w:rPr>
          <w:b/>
          <w:noProof/>
        </w:rPr>
        <w:t>Rolul Europol în programele de finanțare ale Uniunii care sprijină cercetarea, inovarea și dezvoltarea capacităților</w:t>
      </w:r>
    </w:p>
    <w:p>
      <w:pPr>
        <w:pStyle w:val="ManualNumPar1"/>
        <w:rPr>
          <w:noProof/>
        </w:rPr>
      </w:pPr>
      <w:r>
        <w:rPr>
          <w:noProof/>
        </w:rPr>
        <w:t>(1)</w:t>
      </w:r>
      <w:r>
        <w:rPr>
          <w:noProof/>
        </w:rPr>
        <w:tab/>
        <w:t>Europol poate oferi asistență Comisiei în elaborarea programelor de finanțare ale Uniunii care sprijină cercetarea, inovarea și dezvoltarea capacităților relevante pentru competențele Europol.</w:t>
      </w:r>
    </w:p>
    <w:p>
      <w:pPr>
        <w:pStyle w:val="ManualNumPar1"/>
        <w:rPr>
          <w:noProof/>
        </w:rPr>
      </w:pPr>
      <w:r>
        <w:rPr>
          <w:noProof/>
        </w:rPr>
        <w:t>(2)</w:t>
      </w:r>
      <w:r>
        <w:rPr>
          <w:noProof/>
        </w:rPr>
        <w:tab/>
        <w:t>Europol poate participa la activități sprijinite în cadrul programelor de finanțare relevante ale Uniunii pentru dezvoltarea, adoptarea, implementarea, extinderea și integrarea soluțiilor inovatoare și a capacităților avansate, în cazul în care o astfel de participare este necesară pentru ca Europol să își îndeplinească atribuțiile.</w:t>
      </w:r>
    </w:p>
    <w:p>
      <w:pPr>
        <w:pStyle w:val="ManualNumPar1"/>
        <w:rPr>
          <w:noProof/>
        </w:rPr>
      </w:pPr>
      <w:r>
        <w:rPr>
          <w:noProof/>
        </w:rPr>
        <w:t>(3)</w:t>
      </w:r>
      <w:r>
        <w:rPr>
          <w:noProof/>
        </w:rPr>
        <w:tab/>
        <w:t>În conformitate cu normele aplicabile, Comisia și Europol iau toate măsurile necesare pentru a evita conflictele de interese și pentru a asigura o separare clară între rolurile Europol menționate la alineatele (1) și (2).</w:t>
      </w:r>
    </w:p>
    <w:p>
      <w:pPr>
        <w:pStyle w:val="Titrearticle"/>
        <w:rPr>
          <w:noProof/>
        </w:rPr>
      </w:pPr>
      <w:r>
        <w:rPr>
          <w:noProof/>
        </w:rPr>
        <w:t>Articolul 59</w:t>
      </w:r>
    </w:p>
    <w:p>
      <w:pPr>
        <w:pStyle w:val="NormalCentered"/>
        <w:rPr>
          <w:b/>
          <w:bCs/>
          <w:noProof/>
        </w:rPr>
      </w:pPr>
      <w:r>
        <w:rPr>
          <w:b/>
          <w:noProof/>
        </w:rPr>
        <w:t>Capacități avansate</w:t>
      </w:r>
    </w:p>
    <w:p>
      <w:pPr>
        <w:pStyle w:val="ManualNumPar1"/>
        <w:rPr>
          <w:noProof/>
        </w:rPr>
      </w:pPr>
      <w:r>
        <w:rPr>
          <w:noProof/>
        </w:rPr>
        <w:t>(1)</w:t>
      </w:r>
      <w:r>
        <w:rPr>
          <w:noProof/>
        </w:rPr>
        <w:tab/>
        <w:t>Europol dezvoltă, exploatează, găzduiește și furnizează capacități avansate, inclusiv sisteme, servicii, medii analitice, infrastructură, instrumente, componente tehnice și platforme necesare pentru îndeplinirea atribuțiilor sale.</w:t>
      </w:r>
    </w:p>
    <w:p>
      <w:pPr>
        <w:pStyle w:val="ManualNumPar1"/>
        <w:rPr>
          <w:noProof/>
        </w:rPr>
      </w:pPr>
      <w:r>
        <w:rPr>
          <w:noProof/>
        </w:rPr>
        <w:t>(2)</w:t>
      </w:r>
      <w:r>
        <w:rPr>
          <w:noProof/>
        </w:rPr>
        <w:tab/>
        <w:t>Europol poate întreprinde astfel de activități din proprie inițiativă sau la cererea a cel puțin trei state membre în temeiul alineatului (3).</w:t>
      </w:r>
    </w:p>
    <w:p>
      <w:pPr>
        <w:pStyle w:val="ManualNumPar1"/>
        <w:rPr>
          <w:noProof/>
        </w:rPr>
      </w:pPr>
      <w:r>
        <w:rPr>
          <w:noProof/>
        </w:rPr>
        <w:t>(3)</w:t>
      </w:r>
      <w:r>
        <w:rPr>
          <w:noProof/>
        </w:rPr>
        <w:tab/>
        <w:t xml:space="preserve">Înainte de a dezvolta o nouă capacitate avansată în temeiul alineatului (1), Europol evaluează: </w:t>
      </w:r>
    </w:p>
    <w:p>
      <w:pPr>
        <w:pStyle w:val="Point1"/>
        <w:rPr>
          <w:noProof/>
        </w:rPr>
      </w:pPr>
      <w:r>
        <w:rPr>
          <w:noProof/>
        </w:rPr>
        <w:t>(a)</w:t>
      </w:r>
      <w:r>
        <w:rPr>
          <w:noProof/>
        </w:rPr>
        <w:tab/>
        <w:t xml:space="preserve">dacă pe piață sunt deja disponibile capacități echivalente sau dacă acestea au fost dezvoltate sau achiziționate de instituțiile, organele, oficiile și agențiile Uniunii sau de statele membre; </w:t>
      </w:r>
    </w:p>
    <w:p>
      <w:pPr>
        <w:pStyle w:val="Point1"/>
        <w:rPr>
          <w:noProof/>
        </w:rPr>
      </w:pPr>
      <w:r>
        <w:rPr>
          <w:noProof/>
        </w:rPr>
        <w:t>(b)</w:t>
      </w:r>
      <w:r>
        <w:rPr>
          <w:noProof/>
        </w:rPr>
        <w:tab/>
        <w:t>dacă dependența de furnizori din afara Uniunii ar crea riscuri pentru reziliența tehnologică sau interesele de securitate ale Uniunii;</w:t>
      </w:r>
    </w:p>
    <w:p>
      <w:pPr>
        <w:pStyle w:val="Point1"/>
        <w:rPr>
          <w:noProof/>
        </w:rPr>
      </w:pPr>
      <w:r>
        <w:rPr>
          <w:noProof/>
        </w:rPr>
        <w:t>(c)</w:t>
      </w:r>
      <w:r>
        <w:rPr>
          <w:noProof/>
        </w:rPr>
        <w:tab/>
        <w:t>disponibilitatea resurselor, ținând seama de prioritățile în materie de dezvoltare a capacităților identificate în cadrul menționat la articolul 57.</w:t>
      </w:r>
    </w:p>
    <w:p>
      <w:pPr>
        <w:ind w:left="850"/>
        <w:rPr>
          <w:noProof/>
        </w:rPr>
      </w:pPr>
      <w:r>
        <w:rPr>
          <w:noProof/>
        </w:rPr>
        <w:t xml:space="preserve">În cazul în care ajunge la concluzia că sunt deja disponibile capacități avansate echivalente, Europol acordă prioritate, după caz, reutilizării, adaptării, interoperabilității, extinderii sau achiziționării acestor capacități. </w:t>
      </w:r>
    </w:p>
    <w:p>
      <w:pPr>
        <w:ind w:left="850"/>
        <w:rPr>
          <w:noProof/>
        </w:rPr>
      </w:pPr>
      <w:r>
        <w:rPr>
          <w:noProof/>
        </w:rPr>
        <w:t>În cazul în care ajunge la concluzia că dezvoltarea capacităților avansate solicitate de cel puțin trei state membre este necesară și fezabilă, Europol dezvoltă, exploatează și găzduiește astfel de capacități.</w:t>
      </w:r>
    </w:p>
    <w:p>
      <w:pPr>
        <w:pStyle w:val="ManualNumPar1"/>
        <w:rPr>
          <w:noProof/>
        </w:rPr>
      </w:pPr>
      <w:r>
        <w:rPr>
          <w:noProof/>
        </w:rPr>
        <w:t>(4)</w:t>
      </w:r>
      <w:r>
        <w:rPr>
          <w:noProof/>
        </w:rPr>
        <w:tab/>
        <w:t>Dezvoltarea, exploatarea, găzduirea sau furnizarea capacităților avansate menționate la alineatul (1) nu afectează responsabilitatea statelor membre solicitante de a-și respecta obligațiile care le revin în temeiul dreptului Uniunii și al dreptului intern, inclusiv obligațiile legate de protecția datelor și de securitatea cibernetică.</w:t>
      </w:r>
    </w:p>
    <w:p>
      <w:pPr>
        <w:pStyle w:val="ManualNumPar1"/>
        <w:rPr>
          <w:noProof/>
        </w:rPr>
      </w:pPr>
      <w:r>
        <w:rPr>
          <w:noProof/>
        </w:rPr>
        <w:t>(5)</w:t>
      </w:r>
      <w:r>
        <w:rPr>
          <w:noProof/>
        </w:rPr>
        <w:tab/>
        <w:t xml:space="preserve">Europol sprijină statele membre în dezvoltarea, implementarea, integrarea și asigurarea interoperabilității capacităților avansate comune, inclusiv prin punerea la dispoziție a infrastructurii, a serviciilor tehnice și a mediilor tehnologice securizate comune. </w:t>
      </w:r>
    </w:p>
    <w:p>
      <w:pPr>
        <w:pStyle w:val="ManualNumPar1"/>
        <w:rPr>
          <w:noProof/>
        </w:rPr>
      </w:pPr>
      <w:r>
        <w:rPr>
          <w:noProof/>
        </w:rPr>
        <w:t>(6)</w:t>
      </w:r>
      <w:r>
        <w:rPr>
          <w:noProof/>
        </w:rPr>
        <w:tab/>
        <w:t>Capacitățile avansate menționate la alineatul (1) și infrastructura, serviciile tehnice și mediile tehnologice securizate comune menționate la alineatul (4) sunt integrate, în cazul în care acest lucru este fezabil din punct de vedere tehnic, în spațiul comun de date al poliției menționat la articolul 42.</w:t>
      </w:r>
    </w:p>
    <w:p>
      <w:pPr>
        <w:pStyle w:val="ManualNumPar1"/>
        <w:rPr>
          <w:noProof/>
        </w:rPr>
      </w:pPr>
      <w:r>
        <w:rPr>
          <w:noProof/>
        </w:rPr>
        <w:t>(7)</w:t>
      </w:r>
      <w:r>
        <w:rPr>
          <w:noProof/>
        </w:rPr>
        <w:tab/>
        <w:t>În contextul unei investigații sau al unei activități operaționale sprijinite de Europol, Europol poate pune capacitățile avansate menționate la alineatul (1) la dispoziția unei țări terțe participante, în cazul în care o astfel de utilizare este necesară pentru desfășurarea eficace a investigației sau a activității respective.</w:t>
      </w:r>
    </w:p>
    <w:p>
      <w:pPr>
        <w:pStyle w:val="Titrearticle"/>
        <w:rPr>
          <w:noProof/>
        </w:rPr>
      </w:pPr>
      <w:r>
        <w:rPr>
          <w:noProof/>
        </w:rPr>
        <w:t>Articolul 60</w:t>
      </w:r>
    </w:p>
    <w:p>
      <w:pPr>
        <w:pStyle w:val="NormalCentered"/>
        <w:rPr>
          <w:b/>
          <w:bCs/>
          <w:noProof/>
        </w:rPr>
      </w:pPr>
      <w:r>
        <w:rPr>
          <w:b/>
          <w:noProof/>
        </w:rPr>
        <w:t>Cercetare și inovare</w:t>
      </w:r>
    </w:p>
    <w:p>
      <w:pPr>
        <w:rPr>
          <w:noProof/>
        </w:rPr>
      </w:pPr>
      <w:r>
        <w:rPr>
          <w:noProof/>
        </w:rPr>
        <w:t>Europol poate desfășura și participa la activități de cercetare și inovare, inclusiv la proiecte-pilot și acțiuni pregătitoare, atunci când acest lucru este necesar pentru îndeplinirea atribuțiilor care îi revin în temeiul prezentului regulament, în special pentru dezvoltarea de soluții inovatoare pentru capacități avansate destinate utilizării de către autoritățile competente ale statelor membre.</w:t>
      </w:r>
    </w:p>
    <w:p>
      <w:pPr>
        <w:pStyle w:val="Titrearticle"/>
        <w:rPr>
          <w:noProof/>
        </w:rPr>
      </w:pPr>
      <w:r>
        <w:rPr>
          <w:noProof/>
        </w:rPr>
        <w:t>Articolul 61</w:t>
      </w:r>
    </w:p>
    <w:p>
      <w:pPr>
        <w:pStyle w:val="NormalCentered"/>
        <w:rPr>
          <w:b/>
          <w:bCs/>
          <w:noProof/>
        </w:rPr>
      </w:pPr>
      <w:r>
        <w:rPr>
          <w:b/>
          <w:noProof/>
        </w:rPr>
        <w:t>Medii de testare și spații de testare în materie de reglementare</w:t>
      </w:r>
    </w:p>
    <w:p>
      <w:pPr>
        <w:pStyle w:val="ManualNumPar1"/>
        <w:rPr>
          <w:noProof/>
        </w:rPr>
      </w:pPr>
      <w:r>
        <w:rPr>
          <w:noProof/>
        </w:rPr>
        <w:t>(1)</w:t>
      </w:r>
      <w:r>
        <w:rPr>
          <w:noProof/>
        </w:rPr>
        <w:tab/>
        <w:t>Europol poate utiliza mediul de prelucrare separat, izolat și protejat menționat la articolul 102 alineatul (2) litera (c) punctul (i) pentru dezvoltarea, modificarea substanțială, testarea și validarea instrumentelor algoritmice, a sistemelor și modelelor de IA și a altor tehnologii avansate și, după caz, pentru antrenarea unor astfel de sisteme.</w:t>
      </w:r>
    </w:p>
    <w:p>
      <w:pPr>
        <w:pStyle w:val="ManualNumPar1"/>
        <w:rPr>
          <w:noProof/>
        </w:rPr>
      </w:pPr>
      <w:r>
        <w:rPr>
          <w:noProof/>
        </w:rPr>
        <w:t>(2)</w:t>
      </w:r>
      <w:r>
        <w:rPr>
          <w:noProof/>
        </w:rPr>
        <w:tab/>
        <w:t xml:space="preserve">În cazul în care sistemele de IA sau modelele de IA dezvoltate sau modificate substanțial în contextul activităților de cercetare și inovare ale Europol constituie sisteme de IA cu grad ridicat de risc în sensul Regulamentului (UE) 2024/1689, Europol se asigură că mediul menționat la alineatul (1) respectă, după caz, cerințele care reglementează spațiile de testare în materie de reglementare a IA prevăzute la articolul 57 din regulamentul respectiv. </w:t>
      </w:r>
    </w:p>
    <w:p>
      <w:pPr>
        <w:pStyle w:val="ManualNumPar1"/>
        <w:rPr>
          <w:noProof/>
        </w:rPr>
      </w:pPr>
      <w:r>
        <w:rPr>
          <w:noProof/>
        </w:rPr>
        <w:t>(3)</w:t>
      </w:r>
      <w:r>
        <w:rPr>
          <w:noProof/>
        </w:rPr>
        <w:tab/>
        <w:t>Europol poate pune mediul menționat la alineatul (1) la dispoziția părților private care participă la activități de cercetare și inovare desfășurate de Europol sau la care participă Europol, sub rezerva unor garanții adecvate din punct de vedere tehnic, organizațional, de securitate și de protecție a datelor.</w:t>
      </w:r>
    </w:p>
    <w:p>
      <w:pPr>
        <w:pStyle w:val="ManualNumPar1"/>
        <w:rPr>
          <w:noProof/>
        </w:rPr>
      </w:pPr>
      <w:r>
        <w:rPr>
          <w:noProof/>
        </w:rPr>
        <w:t>(4)</w:t>
      </w:r>
      <w:r>
        <w:rPr>
          <w:noProof/>
        </w:rPr>
        <w:tab/>
        <w:t xml:space="preserve">Europol poate participa, de asemenea, la spațiile de testare în materie de reglementare pentru sistemele și modelele de IA instituite în conformitate cu </w:t>
      </w:r>
      <w:hyperlink r:id="rId19" w:tooltip="http://data.europa.eu/eli/reg/2024/1689/art_57/oj">
        <w:r>
          <w:rPr>
            <w:noProof/>
            <w:color w:val="0000FF" w:themeColor="hyperlink"/>
            <w:u w:val="single"/>
          </w:rPr>
          <w:t>articolul 57 din Regulamentul (UE) 2024/1689</w:t>
        </w:r>
      </w:hyperlink>
      <w:r>
        <w:rPr>
          <w:noProof/>
        </w:rPr>
        <w:t>, inclusiv la spațiile de testare în materie de reglementare instituite de Autoritatea Europeană pentru Protecția Datelor.</w:t>
      </w:r>
    </w:p>
    <w:p>
      <w:pPr>
        <w:pStyle w:val="Titrearticle"/>
        <w:rPr>
          <w:noProof/>
        </w:rPr>
      </w:pPr>
      <w:r>
        <w:rPr>
          <w:noProof/>
        </w:rPr>
        <w:t>Articolul 62</w:t>
      </w:r>
    </w:p>
    <w:p>
      <w:pPr>
        <w:pStyle w:val="NormalCentered"/>
        <w:rPr>
          <w:noProof/>
        </w:rPr>
      </w:pPr>
      <w:r>
        <w:rPr>
          <w:b/>
          <w:noProof/>
        </w:rPr>
        <w:t>Implementarea timpurie, testarea operațională și validarea soluțiilor inovatoare</w:t>
      </w:r>
    </w:p>
    <w:p>
      <w:pPr>
        <w:pStyle w:val="ManualNumPar1"/>
        <w:rPr>
          <w:noProof/>
        </w:rPr>
      </w:pPr>
      <w:r>
        <w:rPr>
          <w:noProof/>
        </w:rPr>
        <w:t>(1)</w:t>
      </w:r>
      <w:r>
        <w:rPr>
          <w:noProof/>
        </w:rPr>
        <w:tab/>
        <w:t>Europol poate sprijini implementarea timpurie, testarea operațională și validarea soluțiilor inovatoare pentru capacități avansate, inclusiv a soluțiilor comerciale, ținând seama de cadrul menționat la articolul 57.</w:t>
      </w:r>
    </w:p>
    <w:p>
      <w:pPr>
        <w:pStyle w:val="ManualNumPar1"/>
        <w:rPr>
          <w:noProof/>
        </w:rPr>
      </w:pPr>
      <w:r>
        <w:rPr>
          <w:noProof/>
        </w:rPr>
        <w:t>(2)</w:t>
      </w:r>
      <w:r>
        <w:rPr>
          <w:noProof/>
        </w:rPr>
        <w:tab/>
        <w:t xml:space="preserve">În cazul în care participă la activități de cercetare și inovare în temeiul articolului 60, Europol evaluează potențiala utilizare operațională a soluțiilor inovatoare rezultate și, după caz, sprijină implementarea timpurie, testarea operațională și validarea acestora în vederea utilizării de către autoritățile competente ale statelor membre. </w:t>
      </w:r>
    </w:p>
    <w:p>
      <w:pPr>
        <w:ind w:left="850"/>
        <w:rPr>
          <w:noProof/>
        </w:rPr>
      </w:pPr>
      <w:r>
        <w:rPr>
          <w:noProof/>
        </w:rPr>
        <w:t>În cazul în care ajunge la concluzia că un astfel de sprijin este necesar și fezabil, ținând seama de resursele disponibile și de cadrul menționat la articolul 57, Europol acordă sprijinul respectiv în conformitate cu prezentul articol.</w:t>
      </w:r>
    </w:p>
    <w:p>
      <w:pPr>
        <w:pStyle w:val="Titrearticle"/>
        <w:rPr>
          <w:noProof/>
        </w:rPr>
      </w:pPr>
      <w:r>
        <w:rPr>
          <w:noProof/>
        </w:rPr>
        <w:t>Articolul 63</w:t>
      </w:r>
    </w:p>
    <w:p>
      <w:pPr>
        <w:pStyle w:val="NormalCentered"/>
        <w:rPr>
          <w:b/>
          <w:bCs/>
          <w:noProof/>
        </w:rPr>
      </w:pPr>
      <w:r>
        <w:rPr>
          <w:b/>
          <w:noProof/>
        </w:rPr>
        <w:t>Adoptarea, implementarea, extinderea și integrarea capacităților avansate</w:t>
      </w:r>
    </w:p>
    <w:p>
      <w:pPr>
        <w:pStyle w:val="ManualNumPar1"/>
        <w:rPr>
          <w:noProof/>
        </w:rPr>
      </w:pPr>
      <w:r>
        <w:rPr>
          <w:noProof/>
        </w:rPr>
        <w:t>(1)</w:t>
      </w:r>
      <w:r>
        <w:rPr>
          <w:noProof/>
        </w:rPr>
        <w:tab/>
        <w:t>Europol sprijină adoptarea, implementarea, extinderea și integrarea capacităților avansate, în special a celor care rezultă din activitățile de cercetare și inovare menționate la articolul 60, în activitățile operaționale și investigațiile autorităților competente ale statelor membre, în conformitate cu dreptul Uniunii și cu dreptul intern aplicabil.</w:t>
      </w:r>
    </w:p>
    <w:p>
      <w:pPr>
        <w:pStyle w:val="ManualNumPar1"/>
        <w:rPr>
          <w:noProof/>
        </w:rPr>
      </w:pPr>
      <w:r>
        <w:rPr>
          <w:noProof/>
        </w:rPr>
        <w:t>(2)</w:t>
      </w:r>
      <w:r>
        <w:rPr>
          <w:noProof/>
        </w:rPr>
        <w:tab/>
        <w:t>În sensul alineatului (1), Europol cooperează îndeaproape cu statele membre pentru a facilita utilizarea și integrarea eficace a capacităților avansate în mediile operaționale naționale, în special prin intermediul centrelor, al detașărilor Europol și al birourilor de sprijin Europol, după caz.</w:t>
      </w:r>
    </w:p>
    <w:p>
      <w:pPr>
        <w:pStyle w:val="Titrearticle"/>
        <w:rPr>
          <w:noProof/>
        </w:rPr>
      </w:pPr>
      <w:r>
        <w:rPr>
          <w:noProof/>
        </w:rPr>
        <w:t>Articolul 64</w:t>
      </w:r>
    </w:p>
    <w:p>
      <w:pPr>
        <w:pStyle w:val="NormalCentered"/>
        <w:rPr>
          <w:b/>
          <w:bCs/>
          <w:noProof/>
        </w:rPr>
      </w:pPr>
      <w:r>
        <w:rPr>
          <w:b/>
          <w:noProof/>
        </w:rPr>
        <w:t>Formarea de specialitate</w:t>
      </w:r>
    </w:p>
    <w:p>
      <w:pPr>
        <w:pStyle w:val="ManualNumPar1"/>
        <w:rPr>
          <w:noProof/>
          <w:szCs w:val="24"/>
        </w:rPr>
      </w:pPr>
      <w:r>
        <w:rPr>
          <w:noProof/>
        </w:rPr>
        <w:t>(1)</w:t>
      </w:r>
      <w:r>
        <w:rPr>
          <w:noProof/>
        </w:rPr>
        <w:tab/>
        <w:t>Europol sprijină statele membre în consolidarea expertizei specializate și în asigurarea implementării și utilizării eficace a capacităților avansate comune dezvoltate, găzduite, exploatate sau furnizate în temeiul prezentului regulament, inclusiv prin activități de formare de specialitate privind:</w:t>
      </w:r>
    </w:p>
    <w:p>
      <w:pPr>
        <w:pStyle w:val="Point1"/>
        <w:rPr>
          <w:noProof/>
          <w:szCs w:val="24"/>
        </w:rPr>
      </w:pPr>
      <w:r>
        <w:rPr>
          <w:noProof/>
        </w:rPr>
        <w:t>(a)</w:t>
      </w:r>
      <w:r>
        <w:rPr>
          <w:noProof/>
        </w:rPr>
        <w:tab/>
        <w:t>metode operaționale, analitice, tehnice și criminalistice avansate relevante pentru anchetele penale;</w:t>
      </w:r>
    </w:p>
    <w:p>
      <w:pPr>
        <w:pStyle w:val="Point1"/>
        <w:rPr>
          <w:noProof/>
          <w:szCs w:val="24"/>
        </w:rPr>
      </w:pPr>
      <w:r>
        <w:rPr>
          <w:noProof/>
        </w:rPr>
        <w:t>(b)</w:t>
      </w:r>
      <w:r>
        <w:rPr>
          <w:noProof/>
        </w:rPr>
        <w:tab/>
        <w:t>capacități legate de tehnologiile emergente, inclusiv inteligența artificială, investigațiile digitale, informațiile din surse deschise și decriptarea și prelucrarea datelor;</w:t>
      </w:r>
    </w:p>
    <w:p>
      <w:pPr>
        <w:pStyle w:val="Point1"/>
        <w:rPr>
          <w:noProof/>
          <w:szCs w:val="24"/>
        </w:rPr>
      </w:pPr>
      <w:r>
        <w:rPr>
          <w:noProof/>
        </w:rPr>
        <w:t>(c)</w:t>
      </w:r>
      <w:r>
        <w:rPr>
          <w:noProof/>
        </w:rPr>
        <w:tab/>
        <w:t>metodologii operaționale relevante pentru cooperarea transfrontalieră în materie de aplicare a legii, inclusiv metode de prevenire a criminalității și proceduri de investigare.</w:t>
      </w:r>
    </w:p>
    <w:p>
      <w:pPr>
        <w:pStyle w:val="ManualNumPar1"/>
        <w:rPr>
          <w:noProof/>
        </w:rPr>
      </w:pPr>
      <w:r>
        <w:rPr>
          <w:noProof/>
        </w:rPr>
        <w:t>(2)</w:t>
      </w:r>
      <w:r>
        <w:rPr>
          <w:noProof/>
        </w:rPr>
        <w:tab/>
        <w:t>Europol oferă, de asemenea, expertiză și formare de specialitate în cazul în care nevoile comune operaționale sau în materie de capacități identificate în temeiul cadrului necesită un sprijin coordonat la nivelul Uniunii.</w:t>
      </w:r>
    </w:p>
    <w:p>
      <w:pPr>
        <w:pStyle w:val="ManualNumPar1"/>
        <w:rPr>
          <w:noProof/>
        </w:rPr>
      </w:pPr>
      <w:r>
        <w:rPr>
          <w:noProof/>
        </w:rPr>
        <w:t>(3)</w:t>
      </w:r>
      <w:r>
        <w:rPr>
          <w:noProof/>
        </w:rPr>
        <w:tab/>
        <w:t>Europol desfășoară activitățile menționate la alineatele (1) și (2) în strânsă cooperare cu Agenția Uniunii Europene pentru Formare în Materie de Aplicare a Legii (CEPOL), inclusiv în ceea ce privește activitățile de formare de specialitate desfășurate prin intermediul centrelor de excelență coordonate de CEPOL.</w:t>
      </w:r>
    </w:p>
    <w:p>
      <w:pPr>
        <w:pStyle w:val="SectionTitle"/>
        <w:rPr>
          <w:noProof/>
        </w:rPr>
      </w:pPr>
      <w:r>
        <w:rPr>
          <w:noProof/>
        </w:rPr>
        <w:t xml:space="preserve">Secțiunea 2 </w:t>
      </w:r>
      <w:r>
        <w:rPr>
          <w:noProof/>
        </w:rPr>
        <w:br/>
        <w:t xml:space="preserve">Cooperarea și colaborarea în materie de capacități și inovare </w:t>
      </w:r>
    </w:p>
    <w:p>
      <w:pPr>
        <w:pStyle w:val="Titrearticle"/>
        <w:rPr>
          <w:noProof/>
        </w:rPr>
      </w:pPr>
      <w:r>
        <w:rPr>
          <w:noProof/>
        </w:rPr>
        <w:t>Articolul 65</w:t>
      </w:r>
    </w:p>
    <w:p>
      <w:pPr>
        <w:pStyle w:val="NormalCentered"/>
        <w:rPr>
          <w:b/>
          <w:bCs/>
          <w:noProof/>
        </w:rPr>
      </w:pPr>
      <w:r>
        <w:rPr>
          <w:b/>
          <w:noProof/>
        </w:rPr>
        <w:t>Serviciul pentru capacități și inovare</w:t>
      </w:r>
    </w:p>
    <w:p>
      <w:pPr>
        <w:pStyle w:val="ManualNumPar1"/>
        <w:rPr>
          <w:noProof/>
        </w:rPr>
      </w:pPr>
      <w:r>
        <w:rPr>
          <w:noProof/>
        </w:rPr>
        <w:t>(1)</w:t>
      </w:r>
      <w:r>
        <w:rPr>
          <w:noProof/>
        </w:rPr>
        <w:tab/>
        <w:t>Europol menține un serviciu pentru capacități și inovare, care să coordoneze activitățile Europol în domeniul previzionării, al cercetării, al inovării și al dezvoltării capacităților.</w:t>
      </w:r>
    </w:p>
    <w:p>
      <w:pPr>
        <w:pStyle w:val="ManualNumPar1"/>
        <w:rPr>
          <w:noProof/>
        </w:rPr>
      </w:pPr>
      <w:r>
        <w:rPr>
          <w:noProof/>
        </w:rPr>
        <w:t>(2)</w:t>
      </w:r>
      <w:r>
        <w:rPr>
          <w:noProof/>
        </w:rPr>
        <w:tab/>
        <w:t>Serviciul pentru capacități și inovare, în special:</w:t>
      </w:r>
    </w:p>
    <w:p>
      <w:pPr>
        <w:pStyle w:val="Point1"/>
        <w:rPr>
          <w:noProof/>
        </w:rPr>
      </w:pPr>
      <w:r>
        <w:rPr>
          <w:noProof/>
        </w:rPr>
        <w:t>(a)</w:t>
      </w:r>
      <w:r>
        <w:rPr>
          <w:noProof/>
        </w:rPr>
        <w:tab/>
        <w:t>coordonează elaborarea, punerea în aplicare, revizuirea și actualizarea cadrului menționat la articolul 57;</w:t>
      </w:r>
    </w:p>
    <w:p>
      <w:pPr>
        <w:pStyle w:val="Point1"/>
        <w:rPr>
          <w:noProof/>
        </w:rPr>
      </w:pPr>
      <w:r>
        <w:rPr>
          <w:noProof/>
        </w:rPr>
        <w:t>(b)</w:t>
      </w:r>
      <w:r>
        <w:rPr>
          <w:noProof/>
        </w:rPr>
        <w:tab/>
        <w:t>coordonează și desfășoară activitățile de cercetare, inovare și dezvoltare a capacităților realizate de Europol, inclusiv în cadrul centrelor, și coordonează dezvoltarea și evoluția serviciilor, instrumentelor și capacităților tehnice ale Europol instituite în temeiul prezentului regulament;</w:t>
      </w:r>
    </w:p>
    <w:p>
      <w:pPr>
        <w:pStyle w:val="Point1"/>
        <w:rPr>
          <w:noProof/>
        </w:rPr>
      </w:pPr>
      <w:r>
        <w:rPr>
          <w:noProof/>
        </w:rPr>
        <w:t>(c)</w:t>
      </w:r>
      <w:r>
        <w:rPr>
          <w:noProof/>
        </w:rPr>
        <w:tab/>
        <w:t>sprijină statele membre în dezvoltarea, testarea, validarea, adoptarea, implementarea, extinderea și integrarea capacităților avansate, inclusiv prin facilitarea interoperabilității, a standardizării și a utilizării lor consecvente în toate statele membre;</w:t>
      </w:r>
    </w:p>
    <w:p>
      <w:pPr>
        <w:pStyle w:val="Point1"/>
        <w:rPr>
          <w:noProof/>
        </w:rPr>
      </w:pPr>
      <w:r>
        <w:rPr>
          <w:noProof/>
        </w:rPr>
        <w:t>(d)</w:t>
      </w:r>
      <w:r>
        <w:rPr>
          <w:noProof/>
        </w:rPr>
        <w:tab/>
        <w:t>contribuie la cooperarea și coordonarea la nivelul Uniunii între statele membre, instituțiile, organele, oficiile și agențiile Uniunii și, după caz, alte părți interesate relevante în domeniile cercetării, inovării și dezvoltării capacităților relevante pentru competența Europol.</w:t>
      </w:r>
    </w:p>
    <w:p>
      <w:pPr>
        <w:pStyle w:val="Point1"/>
        <w:rPr>
          <w:noProof/>
        </w:rPr>
      </w:pPr>
      <w:r>
        <w:rPr>
          <w:noProof/>
        </w:rPr>
        <w:t>(e)</w:t>
      </w:r>
      <w:r>
        <w:rPr>
          <w:noProof/>
        </w:rPr>
        <w:tab/>
        <w:t>diseminează, în conformitate cu articolul 129, rezultatele activităților de cercetare, inovare și dezvoltare a capacităților desfășurate în temeiul prezentului regulament.</w:t>
      </w:r>
    </w:p>
    <w:p>
      <w:pPr>
        <w:pStyle w:val="Titrearticle"/>
        <w:rPr>
          <w:noProof/>
        </w:rPr>
      </w:pPr>
      <w:r>
        <w:rPr>
          <w:noProof/>
        </w:rPr>
        <w:t>Articolul 66</w:t>
      </w:r>
    </w:p>
    <w:p>
      <w:pPr>
        <w:pStyle w:val="NormalCentered"/>
        <w:keepNext/>
        <w:rPr>
          <w:noProof/>
        </w:rPr>
      </w:pPr>
      <w:r>
        <w:rPr>
          <w:b/>
          <w:noProof/>
        </w:rPr>
        <w:t>Acorduri de colaborare pentru inovare și dezvoltarea capacităților</w:t>
      </w:r>
    </w:p>
    <w:p>
      <w:pPr>
        <w:pStyle w:val="ManualNumPar1"/>
        <w:rPr>
          <w:noProof/>
        </w:rPr>
      </w:pPr>
      <w:r>
        <w:rPr>
          <w:noProof/>
        </w:rPr>
        <w:t>(1)</w:t>
      </w:r>
      <w:r>
        <w:rPr>
          <w:noProof/>
        </w:rPr>
        <w:tab/>
        <w:t>Europol poate stabili acorduri de colaborare, rețele de cooperare și alte inițiative de inovare cu instituțiile, organele, oficiile și agențiile Uniunii și cu autoritățile competente ale statelor membre și poate participa la acestea.</w:t>
      </w:r>
    </w:p>
    <w:p>
      <w:pPr>
        <w:ind w:left="850"/>
        <w:rPr>
          <w:noProof/>
        </w:rPr>
      </w:pPr>
      <w:r>
        <w:rPr>
          <w:noProof/>
        </w:rPr>
        <w:t>În scopul acordurilor de colaborare menționate la primul paragraf, Europol poate stabili și participa la parteneriate pentru inovare, achiziții înainte de comercializare și alte activități de inovare și de dezvoltare a capacităților cu părți private relevante, inclusiv organizații de cercetare, mediul academic, furnizori de tehnologie, industrie, întreprinderi mici și mijlocii, întreprinderi nou-înființate și actori din domeniul inovării, sub rezerva unor garanții adecvate în materie de protecție a datelor și de securitate și fără a aduce atingere dreptului aplicabil al Uniunii.</w:t>
      </w:r>
    </w:p>
    <w:p>
      <w:pPr>
        <w:pStyle w:val="ManualNumPar1"/>
        <w:rPr>
          <w:noProof/>
        </w:rPr>
      </w:pPr>
      <w:r>
        <w:rPr>
          <w:noProof/>
        </w:rPr>
        <w:t>(2)</w:t>
      </w:r>
      <w:r>
        <w:rPr>
          <w:noProof/>
        </w:rPr>
        <w:tab/>
        <w:t>Europol informează și consultă periodic Grupul consultativ pentru capacități și inovare instituit în temeiul articolului 67 cu privire la activitățile desfășurate în temeiul prezentului articol.</w:t>
      </w:r>
    </w:p>
    <w:p>
      <w:pPr>
        <w:pStyle w:val="Titrearticle"/>
        <w:rPr>
          <w:noProof/>
        </w:rPr>
      </w:pPr>
      <w:r>
        <w:rPr>
          <w:noProof/>
        </w:rPr>
        <w:t>Articolul 67</w:t>
      </w:r>
    </w:p>
    <w:p>
      <w:pPr>
        <w:jc w:val="center"/>
        <w:rPr>
          <w:noProof/>
        </w:rPr>
      </w:pPr>
      <w:r>
        <w:rPr>
          <w:b/>
          <w:noProof/>
        </w:rPr>
        <w:t>Grupul consultativ pentru capacități și inovare</w:t>
      </w:r>
    </w:p>
    <w:p>
      <w:pPr>
        <w:pStyle w:val="ManualNumPar1"/>
        <w:rPr>
          <w:noProof/>
        </w:rPr>
      </w:pPr>
      <w:r>
        <w:rPr>
          <w:noProof/>
        </w:rPr>
        <w:t>(1)</w:t>
      </w:r>
      <w:r>
        <w:rPr>
          <w:noProof/>
        </w:rPr>
        <w:tab/>
        <w:t>Se instituie un Grup consultativ pentru capacități și inovare (denumit în continuare „Grupul consultativ pentru inovare”).</w:t>
      </w:r>
    </w:p>
    <w:p>
      <w:pPr>
        <w:pStyle w:val="ManualNumPar1"/>
        <w:rPr>
          <w:noProof/>
        </w:rPr>
      </w:pPr>
      <w:r>
        <w:rPr>
          <w:noProof/>
        </w:rPr>
        <w:t>(2)</w:t>
      </w:r>
      <w:r>
        <w:rPr>
          <w:noProof/>
        </w:rPr>
        <w:tab/>
        <w:t xml:space="preserve">Grupul consultativ pentru inovare este alcătuit din câte un expert desemnat de fiecare stat membru și un expert desemnat de Comisie. </w:t>
      </w:r>
    </w:p>
    <w:p>
      <w:pPr>
        <w:ind w:left="850"/>
        <w:rPr>
          <w:noProof/>
        </w:rPr>
      </w:pPr>
      <w:r>
        <w:rPr>
          <w:noProof/>
        </w:rPr>
        <w:t>ENISA, ECCC, Frontex, eu-LISA și Eurojust pot numi fiecare câte un reprezentant în cadrul Grupului consultativ pentru inovare.</w:t>
      </w:r>
    </w:p>
    <w:p>
      <w:pPr>
        <w:pStyle w:val="ManualNumPar1"/>
        <w:rPr>
          <w:noProof/>
        </w:rPr>
      </w:pPr>
      <w:r>
        <w:rPr>
          <w:noProof/>
        </w:rPr>
        <w:t>(3)</w:t>
      </w:r>
      <w:r>
        <w:rPr>
          <w:noProof/>
        </w:rPr>
        <w:tab/>
        <w:t>Europol poate invita să participe, după caz, reprezentanți ai altor organe, agenții și oficii relevante ale Uniunii, precum și părți private.</w:t>
      </w:r>
    </w:p>
    <w:p>
      <w:pPr>
        <w:pStyle w:val="ManualNumPar1"/>
        <w:rPr>
          <w:noProof/>
        </w:rPr>
      </w:pPr>
      <w:r>
        <w:rPr>
          <w:noProof/>
        </w:rPr>
        <w:t>(4)</w:t>
      </w:r>
      <w:r>
        <w:rPr>
          <w:noProof/>
        </w:rPr>
        <w:tab/>
        <w:t>Grupul consultativ asistă Europol prin furnizarea de expertiză tehnică privind activitățile de cercetare, inovare și dezvoltare a capacităților, în special în ceea ce privește elaborarea, revizuirea și actualizarea periodică a cadrului menționat la articolul 57.</w:t>
      </w:r>
    </w:p>
    <w:p>
      <w:pPr>
        <w:ind w:left="850"/>
        <w:rPr>
          <w:noProof/>
        </w:rPr>
      </w:pPr>
      <w:r>
        <w:rPr>
          <w:noProof/>
        </w:rPr>
        <w:t>În acest scop, Grupul consultativ pentru inovare:</w:t>
      </w:r>
    </w:p>
    <w:p>
      <w:pPr>
        <w:pStyle w:val="Point1"/>
        <w:rPr>
          <w:noProof/>
        </w:rPr>
      </w:pPr>
      <w:r>
        <w:rPr>
          <w:noProof/>
        </w:rPr>
        <w:t>(a)</w:t>
      </w:r>
      <w:r>
        <w:rPr>
          <w:noProof/>
        </w:rPr>
        <w:tab/>
        <w:t>le permite participanților să facă schimb de informații cu privire la activitățile de dezvoltare a capacităților și de inovare, în curs și planificate, desfășurate la nivelul Uniunii și la nivel național, care ar putea avea o relevanță pentru cadru;</w:t>
      </w:r>
    </w:p>
    <w:p>
      <w:pPr>
        <w:pStyle w:val="Point1"/>
        <w:rPr>
          <w:noProof/>
        </w:rPr>
      </w:pPr>
      <w:r>
        <w:rPr>
          <w:noProof/>
        </w:rPr>
        <w:t>(b)</w:t>
      </w:r>
      <w:r>
        <w:rPr>
          <w:noProof/>
        </w:rPr>
        <w:tab/>
        <w:t>sprijină coerența, complementaritatea și coordonarea dintre activitățile de cercetare, inovare și dezvoltare a capacităților desfășurate în temeiul prezentului regulament și inițiativele conexe de la nivel național și de la nivelul Uniunii;</w:t>
      </w:r>
    </w:p>
    <w:p>
      <w:pPr>
        <w:pStyle w:val="Point1"/>
        <w:rPr>
          <w:noProof/>
        </w:rPr>
      </w:pPr>
      <w:r>
        <w:rPr>
          <w:noProof/>
        </w:rPr>
        <w:t>(c)</w:t>
      </w:r>
      <w:r>
        <w:rPr>
          <w:noProof/>
        </w:rPr>
        <w:tab/>
        <w:t>sprijină colaborarea structurată cu părțile private în vederea dezvoltării capacităților, a testării și a inovării relevante pentru competența Europol.</w:t>
      </w:r>
    </w:p>
    <w:p>
      <w:pPr>
        <w:pStyle w:val="ManualNumPar1"/>
        <w:rPr>
          <w:noProof/>
        </w:rPr>
      </w:pPr>
      <w:r>
        <w:rPr>
          <w:noProof/>
        </w:rPr>
        <w:t>(5)</w:t>
      </w:r>
      <w:r>
        <w:rPr>
          <w:noProof/>
        </w:rPr>
        <w:tab/>
        <w:t>Grupul consultativ pentru inovare se reunește periodic. Acesta nu are putere de decizie și nu reprezintă Consiliul de administrație.</w:t>
      </w:r>
    </w:p>
    <w:p>
      <w:pPr>
        <w:pStyle w:val="ManualNumPar1"/>
        <w:rPr>
          <w:noProof/>
        </w:rPr>
      </w:pPr>
      <w:r>
        <w:rPr>
          <w:noProof/>
        </w:rPr>
        <w:t>(6)</w:t>
      </w:r>
      <w:r>
        <w:rPr>
          <w:noProof/>
        </w:rPr>
        <w:tab/>
        <w:t>Europol asigură secretariatul și sprijin administrativ.</w:t>
      </w:r>
    </w:p>
    <w:p>
      <w:pPr>
        <w:pStyle w:val="ManualNumPar1"/>
        <w:rPr>
          <w:noProof/>
        </w:rPr>
      </w:pPr>
      <w:r>
        <w:rPr>
          <w:noProof/>
        </w:rPr>
        <w:t>(7)</w:t>
      </w:r>
      <w:r>
        <w:rPr>
          <w:noProof/>
        </w:rPr>
        <w:tab/>
        <w:t>Grupul consultativ pentru inovare își adoptă propriul regulament de procedură.</w:t>
      </w:r>
    </w:p>
    <w:p>
      <w:pPr>
        <w:pStyle w:val="ChapterTitle"/>
        <w:rPr>
          <w:noProof/>
        </w:rPr>
      </w:pPr>
      <w:r>
        <w:rPr>
          <w:noProof/>
        </w:rPr>
        <w:t xml:space="preserve">Capitolul V </w:t>
      </w:r>
      <w:r>
        <w:rPr>
          <w:noProof/>
        </w:rPr>
        <w:br/>
        <w:t>Organizarea Europol</w:t>
      </w:r>
    </w:p>
    <w:p>
      <w:pPr>
        <w:pStyle w:val="Titrearticle"/>
        <w:rPr>
          <w:noProof/>
        </w:rPr>
      </w:pPr>
      <w:r>
        <w:rPr>
          <w:noProof/>
        </w:rPr>
        <w:t>Articolul 68</w:t>
      </w:r>
    </w:p>
    <w:p>
      <w:pPr>
        <w:pStyle w:val="NormalCentered"/>
        <w:rPr>
          <w:noProof/>
        </w:rPr>
      </w:pPr>
      <w:r>
        <w:rPr>
          <w:b/>
          <w:noProof/>
        </w:rPr>
        <w:t>Structura administrativă și de gestionare a Europol</w:t>
      </w:r>
    </w:p>
    <w:p>
      <w:pPr>
        <w:pStyle w:val="ManualNumPar1"/>
        <w:rPr>
          <w:noProof/>
        </w:rPr>
      </w:pPr>
      <w:r>
        <w:rPr>
          <w:noProof/>
        </w:rPr>
        <w:t>(1)</w:t>
      </w:r>
      <w:r>
        <w:rPr>
          <w:noProof/>
        </w:rPr>
        <w:tab/>
        <w:t>Structura administrativă și de gestionare a Europol cuprinde:</w:t>
      </w:r>
    </w:p>
    <w:p>
      <w:pPr>
        <w:pStyle w:val="Point1"/>
        <w:rPr>
          <w:noProof/>
        </w:rPr>
      </w:pPr>
      <w:r>
        <w:rPr>
          <w:noProof/>
        </w:rPr>
        <w:t>(a)</w:t>
      </w:r>
      <w:r>
        <w:rPr>
          <w:noProof/>
        </w:rPr>
        <w:tab/>
        <w:t>un consiliu de administrație;</w:t>
      </w:r>
    </w:p>
    <w:p>
      <w:pPr>
        <w:pStyle w:val="Point1"/>
        <w:rPr>
          <w:noProof/>
        </w:rPr>
      </w:pPr>
      <w:r>
        <w:rPr>
          <w:noProof/>
        </w:rPr>
        <w:t>(b)</w:t>
      </w:r>
      <w:r>
        <w:rPr>
          <w:noProof/>
        </w:rPr>
        <w:tab/>
        <w:t>un comitet executiv;</w:t>
      </w:r>
    </w:p>
    <w:p>
      <w:pPr>
        <w:pStyle w:val="Point1"/>
        <w:rPr>
          <w:noProof/>
        </w:rPr>
      </w:pPr>
      <w:r>
        <w:rPr>
          <w:noProof/>
        </w:rPr>
        <w:t>(c)</w:t>
      </w:r>
      <w:r>
        <w:rPr>
          <w:noProof/>
        </w:rPr>
        <w:tab/>
        <w:t>un director executiv;</w:t>
      </w:r>
    </w:p>
    <w:p>
      <w:pPr>
        <w:pStyle w:val="Point1"/>
        <w:rPr>
          <w:noProof/>
        </w:rPr>
      </w:pPr>
      <w:r>
        <w:rPr>
          <w:noProof/>
        </w:rPr>
        <w:t>(d)</w:t>
      </w:r>
      <w:r>
        <w:rPr>
          <w:noProof/>
        </w:rPr>
        <w:tab/>
        <w:t>directori executivi adjuncți, în cazul în care sunt înființate astfel de funcții;</w:t>
      </w:r>
    </w:p>
    <w:p>
      <w:pPr>
        <w:pStyle w:val="Point1"/>
        <w:rPr>
          <w:noProof/>
        </w:rPr>
      </w:pPr>
      <w:r>
        <w:rPr>
          <w:noProof/>
        </w:rPr>
        <w:t>(e)</w:t>
      </w:r>
      <w:r>
        <w:rPr>
          <w:noProof/>
        </w:rPr>
        <w:tab/>
        <w:t>un grup de coordonare TIC/GI;</w:t>
      </w:r>
    </w:p>
    <w:p>
      <w:pPr>
        <w:pStyle w:val="Point1"/>
        <w:rPr>
          <w:noProof/>
        </w:rPr>
      </w:pPr>
      <w:r>
        <w:rPr>
          <w:noProof/>
        </w:rPr>
        <w:t>(f)</w:t>
      </w:r>
      <w:r>
        <w:rPr>
          <w:noProof/>
        </w:rPr>
        <w:tab/>
        <w:t>un grup consultativ TIC/GI;</w:t>
      </w:r>
    </w:p>
    <w:p>
      <w:pPr>
        <w:pStyle w:val="Point1"/>
        <w:rPr>
          <w:noProof/>
        </w:rPr>
      </w:pPr>
      <w:r>
        <w:rPr>
          <w:noProof/>
        </w:rPr>
        <w:t>(g)</w:t>
      </w:r>
      <w:r>
        <w:rPr>
          <w:noProof/>
        </w:rPr>
        <w:tab/>
        <w:t>un grup consultativ pentru inovare;</w:t>
      </w:r>
    </w:p>
    <w:p>
      <w:pPr>
        <w:pStyle w:val="Point1"/>
        <w:rPr>
          <w:noProof/>
        </w:rPr>
      </w:pPr>
      <w:r>
        <w:rPr>
          <w:noProof/>
        </w:rPr>
        <w:t>(h)</w:t>
      </w:r>
      <w:r>
        <w:rPr>
          <w:noProof/>
        </w:rPr>
        <w:tab/>
        <w:t>dacă este cazul, alte organisme consultative constituite de Consiliul de administrație în conformitate cu articolul 72;</w:t>
      </w:r>
    </w:p>
    <w:p>
      <w:pPr>
        <w:pStyle w:val="Point1"/>
        <w:rPr>
          <w:noProof/>
        </w:rPr>
      </w:pPr>
      <w:r>
        <w:rPr>
          <w:noProof/>
        </w:rPr>
        <w:t>(i)</w:t>
      </w:r>
      <w:r>
        <w:rPr>
          <w:noProof/>
        </w:rPr>
        <w:tab/>
        <w:t>centrele.</w:t>
      </w:r>
    </w:p>
    <w:p>
      <w:pPr>
        <w:pStyle w:val="ManualNumPar1"/>
        <w:rPr>
          <w:noProof/>
        </w:rPr>
      </w:pPr>
      <w:r>
        <w:rPr>
          <w:noProof/>
        </w:rPr>
        <w:t>(2)</w:t>
      </w:r>
      <w:r>
        <w:rPr>
          <w:noProof/>
        </w:rPr>
        <w:tab/>
        <w:t>Membrii structurii administrative și de conducere a Europol nu pot avea niciun fel de interese financiare sau de altă natură care le-ar putea afecta imparțialitatea. Ei acționează în interes public și își desfășoară activitățile în mod independent, imparțial și transparent. Ei prezintă declarații anuale de interese, în conformitate cu normele interne adoptate de Consiliul de administrație. Europol face publice anual respectivele declarații.</w:t>
      </w:r>
    </w:p>
    <w:p>
      <w:pPr>
        <w:pStyle w:val="SectionTitle"/>
        <w:rPr>
          <w:noProof/>
        </w:rPr>
      </w:pPr>
      <w:r>
        <w:rPr>
          <w:noProof/>
        </w:rPr>
        <w:t xml:space="preserve">Secțiunea 1 </w:t>
      </w:r>
      <w:r>
        <w:rPr>
          <w:noProof/>
        </w:rPr>
        <w:br/>
        <w:t>Consiliul de administrație</w:t>
      </w:r>
    </w:p>
    <w:p>
      <w:pPr>
        <w:pStyle w:val="Titrearticle"/>
        <w:rPr>
          <w:noProof/>
        </w:rPr>
      </w:pPr>
      <w:r>
        <w:rPr>
          <w:noProof/>
        </w:rPr>
        <w:t>Articolul 69</w:t>
      </w:r>
    </w:p>
    <w:p>
      <w:pPr>
        <w:pStyle w:val="NormalCentered"/>
        <w:rPr>
          <w:noProof/>
        </w:rPr>
      </w:pPr>
      <w:r>
        <w:rPr>
          <w:b/>
          <w:noProof/>
        </w:rPr>
        <w:t>Componența Consiliului de administrație</w:t>
      </w:r>
    </w:p>
    <w:p>
      <w:pPr>
        <w:pStyle w:val="ManualNumPar1"/>
        <w:rPr>
          <w:noProof/>
        </w:rPr>
      </w:pPr>
      <w:r>
        <w:rPr>
          <w:noProof/>
        </w:rPr>
        <w:t>(1)</w:t>
      </w:r>
      <w:r>
        <w:rPr>
          <w:noProof/>
        </w:rPr>
        <w:tab/>
        <w:t xml:space="preserve">Consiliul de administrație este format din câte un reprezentant al fiecărui stat membru și din doi reprezentanți ai Comisiei, toți având drept de vot. </w:t>
      </w:r>
    </w:p>
    <w:p>
      <w:pPr>
        <w:pStyle w:val="ManualNumPar1"/>
        <w:spacing w:before="0" w:after="160" w:line="259" w:lineRule="auto"/>
        <w:contextualSpacing/>
        <w:rPr>
          <w:noProof/>
        </w:rPr>
      </w:pPr>
      <w:r>
        <w:rPr>
          <w:noProof/>
        </w:rPr>
        <w:t>(2)</w:t>
      </w:r>
      <w:r>
        <w:rPr>
          <w:noProof/>
        </w:rPr>
        <w:tab/>
        <w:t>Consiliul de administrație include, de asemenea:</w:t>
      </w:r>
    </w:p>
    <w:p>
      <w:pPr>
        <w:pStyle w:val="Point1"/>
        <w:rPr>
          <w:noProof/>
          <w:szCs w:val="24"/>
        </w:rPr>
      </w:pPr>
      <w:r>
        <w:rPr>
          <w:noProof/>
        </w:rPr>
        <w:t>(a)</w:t>
      </w:r>
      <w:r>
        <w:rPr>
          <w:noProof/>
        </w:rPr>
        <w:tab/>
        <w:t>un membru desemnat de Parlamentul European, fără drept de vot;</w:t>
      </w:r>
    </w:p>
    <w:p>
      <w:pPr>
        <w:pStyle w:val="Point1"/>
        <w:rPr>
          <w:noProof/>
          <w:szCs w:val="24"/>
        </w:rPr>
      </w:pPr>
      <w:r>
        <w:rPr>
          <w:noProof/>
        </w:rPr>
        <w:t>(b)</w:t>
      </w:r>
      <w:r>
        <w:rPr>
          <w:noProof/>
        </w:rPr>
        <w:tab/>
        <w:t>un membru numit de fiecare dintre țările asociate la implementarea, aplicarea și dezvoltarea acquis-ului Schengen, în cazul în care acest lucru este prevăzut și în conformitate cu acordul internațional relevant menționat la articolul 93.</w:t>
      </w:r>
    </w:p>
    <w:p>
      <w:pPr>
        <w:pStyle w:val="ManualNumPar1"/>
        <w:rPr>
          <w:noProof/>
        </w:rPr>
      </w:pPr>
      <w:r>
        <w:rPr>
          <w:noProof/>
        </w:rPr>
        <w:t>(3)</w:t>
      </w:r>
      <w:r>
        <w:rPr>
          <w:noProof/>
        </w:rPr>
        <w:tab/>
        <w:t xml:space="preserve">Fiecare membru al Consiliului de administrație are un supleant. Supleantul reprezintă membrul atunci când acesta este absent. </w:t>
      </w:r>
    </w:p>
    <w:p>
      <w:pPr>
        <w:pStyle w:val="ManualNumPar1"/>
        <w:rPr>
          <w:noProof/>
        </w:rPr>
      </w:pPr>
      <w:r>
        <w:rPr>
          <w:noProof/>
        </w:rPr>
        <w:t>(4)</w:t>
      </w:r>
      <w:r>
        <w:rPr>
          <w:noProof/>
        </w:rPr>
        <w:tab/>
        <w:t>Membrii consiliului de administrație și supleanții acestora sunt numiți în funcție de cunoștințele lor privind cooperarea în materie de aplicare a legii care sunt relevante pentru competența Europol, ținând seama de competențele și expertiza lor managerială, administrativă și bugetară. Toate părțile reprezentate în Consiliul de administrație depun eforturi pentru a limita rata de înlocuire a reprezentanților lor, în scopul de a asigura continuitatea activității Consiliului de administrație. Toate părțile urmăresc realizarea unei reprezentări echilibrate a bărbaților și a femeilor în Consiliul de administrație.</w:t>
      </w:r>
    </w:p>
    <w:p>
      <w:pPr>
        <w:pStyle w:val="ManualNumPar1"/>
        <w:rPr>
          <w:noProof/>
        </w:rPr>
      </w:pPr>
      <w:r>
        <w:rPr>
          <w:noProof/>
        </w:rPr>
        <w:t>(5)</w:t>
      </w:r>
      <w:r>
        <w:rPr>
          <w:noProof/>
        </w:rPr>
        <w:tab/>
        <w:t>Durata mandatului membrilor titulari și al supleanților acestora este de patru ani. Mandatul poate fi prelungit.</w:t>
      </w:r>
    </w:p>
    <w:p>
      <w:pPr>
        <w:pStyle w:val="Titrearticle"/>
        <w:rPr>
          <w:noProof/>
        </w:rPr>
      </w:pPr>
      <w:r>
        <w:rPr>
          <w:noProof/>
        </w:rPr>
        <w:t>Articolul 70</w:t>
      </w:r>
    </w:p>
    <w:p>
      <w:pPr>
        <w:pStyle w:val="NormalCentered"/>
        <w:rPr>
          <w:noProof/>
        </w:rPr>
      </w:pPr>
      <w:r>
        <w:rPr>
          <w:b/>
          <w:noProof/>
        </w:rPr>
        <w:t>Președintele Consiliului de administrație</w:t>
      </w:r>
    </w:p>
    <w:p>
      <w:pPr>
        <w:pStyle w:val="ManualNumPar1"/>
        <w:rPr>
          <w:noProof/>
        </w:rPr>
      </w:pPr>
      <w:r>
        <w:rPr>
          <w:noProof/>
        </w:rPr>
        <w:t>(1)</w:t>
      </w:r>
      <w:r>
        <w:rPr>
          <w:noProof/>
        </w:rPr>
        <w:tab/>
        <w:t>Consiliul de administrație alege un președinte și un vicepreședinte din cadrul grupului de trei state membre care au pregătit în comun programul pe 18 luni al consiliului. Aceștia rămân în funcție pentru perioada de 18 luni care corespunde respectivului program al consiliului. Cu toate acestea, în cazul în care, pe durata mandatului președintelui sau a vicepreședintelui, încetează calitatea acestora de membri ai Consiliului de administrație, mandatul lor expiră automat la aceeași dată.</w:t>
      </w:r>
    </w:p>
    <w:p>
      <w:pPr>
        <w:pStyle w:val="ManualNumPar1"/>
        <w:rPr>
          <w:noProof/>
        </w:rPr>
      </w:pPr>
      <w:r>
        <w:rPr>
          <w:noProof/>
        </w:rPr>
        <w:t>(2)</w:t>
      </w:r>
      <w:r>
        <w:rPr>
          <w:noProof/>
        </w:rPr>
        <w:tab/>
        <w:t>Președintele și vicepreședintele sunt aleși cu o majoritate de două treimi din membrii cu drept de vot ai Consiliului de administrație.</w:t>
      </w:r>
    </w:p>
    <w:p>
      <w:pPr>
        <w:pStyle w:val="ManualNumPar1"/>
        <w:rPr>
          <w:rFonts w:eastAsia="Times New Roman"/>
          <w:noProof/>
        </w:rPr>
      </w:pPr>
      <w:r>
        <w:rPr>
          <w:noProof/>
        </w:rPr>
        <w:t>(3)</w:t>
      </w:r>
      <w:r>
        <w:rPr>
          <w:noProof/>
        </w:rPr>
        <w:tab/>
        <w:t>Vicepreședintele îl înlocuiește pe președinte din oficiu în cazul în care acesta se află în imposibilitatea de a-și îndeplini atribuțiile.</w:t>
      </w:r>
    </w:p>
    <w:p>
      <w:pPr>
        <w:pStyle w:val="Titrearticle"/>
        <w:rPr>
          <w:noProof/>
        </w:rPr>
      </w:pPr>
      <w:r>
        <w:rPr>
          <w:noProof/>
        </w:rPr>
        <w:t>Articolul 71</w:t>
      </w:r>
    </w:p>
    <w:p>
      <w:pPr>
        <w:pStyle w:val="NormalCentered"/>
        <w:rPr>
          <w:noProof/>
        </w:rPr>
      </w:pPr>
      <w:r>
        <w:rPr>
          <w:b/>
          <w:noProof/>
        </w:rPr>
        <w:t>Reuniunile Consiliului de administrație</w:t>
      </w:r>
    </w:p>
    <w:p>
      <w:pPr>
        <w:pStyle w:val="ManualNumPar1"/>
        <w:rPr>
          <w:noProof/>
        </w:rPr>
      </w:pPr>
      <w:r>
        <w:rPr>
          <w:noProof/>
        </w:rPr>
        <w:t>(1)</w:t>
      </w:r>
      <w:r>
        <w:rPr>
          <w:noProof/>
        </w:rPr>
        <w:tab/>
        <w:t>Președintele convoacă reuniunile Consiliului de administrație.</w:t>
      </w:r>
    </w:p>
    <w:p>
      <w:pPr>
        <w:pStyle w:val="Text1"/>
        <w:rPr>
          <w:noProof/>
        </w:rPr>
      </w:pPr>
      <w:r>
        <w:rPr>
          <w:noProof/>
        </w:rPr>
        <w:t>Reuniunile Consiliului de administrație au loc, în principiu, la sediul Europol.</w:t>
      </w:r>
    </w:p>
    <w:p>
      <w:pPr>
        <w:pStyle w:val="ManualNumPar1"/>
        <w:rPr>
          <w:noProof/>
        </w:rPr>
      </w:pPr>
      <w:r>
        <w:rPr>
          <w:noProof/>
        </w:rPr>
        <w:t>(2)</w:t>
      </w:r>
      <w:r>
        <w:rPr>
          <w:noProof/>
        </w:rPr>
        <w:tab/>
        <w:t>Directorul executiv ia parte la deliberări, fără a avea drept de vot.</w:t>
      </w:r>
    </w:p>
    <w:p>
      <w:pPr>
        <w:pStyle w:val="ManualNumPar1"/>
        <w:rPr>
          <w:noProof/>
        </w:rPr>
      </w:pPr>
      <w:r>
        <w:rPr>
          <w:noProof/>
        </w:rPr>
        <w:t>(3)</w:t>
      </w:r>
      <w:r>
        <w:rPr>
          <w:noProof/>
        </w:rPr>
        <w:tab/>
        <w:t>Consiliul de administrație se reunește în cel puțin două ședințe ordinare pe an. În plus, acesta se reunește la inițiativa președintelui, la solicitarea Comisiei sau la solicitarea a cel puțin o treime dintre membrii săi.</w:t>
      </w:r>
    </w:p>
    <w:p>
      <w:pPr>
        <w:pStyle w:val="ManualNumPar1"/>
        <w:rPr>
          <w:noProof/>
        </w:rPr>
      </w:pPr>
      <w:r>
        <w:rPr>
          <w:noProof/>
        </w:rPr>
        <w:t>(4)</w:t>
      </w:r>
      <w:r>
        <w:rPr>
          <w:noProof/>
        </w:rPr>
        <w:tab/>
        <w:t>Dacă este necesar, Consiliul de administrație poate organiza reuniuni comune cu consiliile de administrație ale Eurojust, Frontex și CEPOL.</w:t>
      </w:r>
    </w:p>
    <w:p>
      <w:pPr>
        <w:pStyle w:val="ManualNumPar1"/>
        <w:rPr>
          <w:noProof/>
        </w:rPr>
      </w:pPr>
      <w:r>
        <w:rPr>
          <w:noProof/>
        </w:rPr>
        <w:t>(5)</w:t>
      </w:r>
      <w:r>
        <w:rPr>
          <w:noProof/>
        </w:rPr>
        <w:tab/>
        <w:t>Consiliul de administrație poate invita să participe la ședințele sale, în calitate de observator, orice persoană a cărei opinie poate fi de interes.</w:t>
      </w:r>
    </w:p>
    <w:p>
      <w:pPr>
        <w:pStyle w:val="ManualNumPar1"/>
        <w:rPr>
          <w:noProof/>
        </w:rPr>
      </w:pPr>
      <w:r>
        <w:rPr>
          <w:noProof/>
        </w:rPr>
        <w:t>(6)</w:t>
      </w:r>
      <w:r>
        <w:rPr>
          <w:noProof/>
        </w:rPr>
        <w:tab/>
        <w:t xml:space="preserve">Doi reprezentanți ai JPSG sunt invitați să participe la două reuniuni ordinare ale Consiliului de administrație pe an, în calitate de observatori fără drept de vot, pentru a discuta următoarele chestiuni de interes politic: </w:t>
      </w:r>
    </w:p>
    <w:p>
      <w:pPr>
        <w:pStyle w:val="Point1"/>
        <w:rPr>
          <w:noProof/>
        </w:rPr>
      </w:pPr>
      <w:r>
        <w:rPr>
          <w:noProof/>
        </w:rPr>
        <w:t>(a)</w:t>
      </w:r>
      <w:r>
        <w:rPr>
          <w:noProof/>
        </w:rPr>
        <w:tab/>
        <w:t>raportul anual de activitate consolidat menționat la articolul 72 alineatul (2) litera (m) pentru anul precedent;</w:t>
      </w:r>
    </w:p>
    <w:p>
      <w:pPr>
        <w:pStyle w:val="Point1"/>
        <w:rPr>
          <w:noProof/>
        </w:rPr>
      </w:pPr>
      <w:r>
        <w:rPr>
          <w:noProof/>
        </w:rPr>
        <w:t>(b)</w:t>
      </w:r>
      <w:r>
        <w:rPr>
          <w:noProof/>
        </w:rPr>
        <w:tab/>
        <w:t>documentul unic de programare menționat la articolul 73 pentru anul următor și bugetul anual;</w:t>
      </w:r>
    </w:p>
    <w:p>
      <w:pPr>
        <w:pStyle w:val="Point1"/>
        <w:rPr>
          <w:noProof/>
        </w:rPr>
      </w:pPr>
      <w:r>
        <w:rPr>
          <w:noProof/>
        </w:rPr>
        <w:t>(c)</w:t>
      </w:r>
      <w:r>
        <w:rPr>
          <w:noProof/>
        </w:rPr>
        <w:tab/>
        <w:t>întrebările și răspunsurile scrise ale JPSG;</w:t>
      </w:r>
    </w:p>
    <w:p>
      <w:pPr>
        <w:pStyle w:val="Point1"/>
        <w:rPr>
          <w:noProof/>
        </w:rPr>
      </w:pPr>
      <w:r>
        <w:rPr>
          <w:noProof/>
        </w:rPr>
        <w:t>(d)</w:t>
      </w:r>
      <w:r>
        <w:rPr>
          <w:noProof/>
        </w:rPr>
        <w:tab/>
        <w:t>aspecte legate de relațiile externe și parteneriate.</w:t>
      </w:r>
    </w:p>
    <w:p>
      <w:pPr>
        <w:pStyle w:val="Text1"/>
        <w:rPr>
          <w:noProof/>
        </w:rPr>
      </w:pPr>
      <w:r>
        <w:rPr>
          <w:noProof/>
        </w:rPr>
        <w:t>Consiliul de administrație, împreună cu reprezentanții JPSG, poate stabili alte chestiuni de interes politic care urmează să fie discutate.</w:t>
      </w:r>
    </w:p>
    <w:p>
      <w:pPr>
        <w:pStyle w:val="ManualNumPar1"/>
        <w:rPr>
          <w:noProof/>
        </w:rPr>
      </w:pPr>
      <w:r>
        <w:rPr>
          <w:noProof/>
        </w:rPr>
        <w:t>(7)</w:t>
      </w:r>
      <w:r>
        <w:rPr>
          <w:noProof/>
        </w:rPr>
        <w:tab/>
        <w:t xml:space="preserve">Sub rezerva propriului regulament de procedură, membrii Consiliului de administrație și supleanții acestora pot să fie asistați în cursul reuniunilor de consilieri sau de experți. </w:t>
      </w:r>
    </w:p>
    <w:p>
      <w:pPr>
        <w:pStyle w:val="ManualNumPar1"/>
        <w:rPr>
          <w:noProof/>
        </w:rPr>
      </w:pPr>
      <w:r>
        <w:rPr>
          <w:noProof/>
        </w:rPr>
        <w:t>(8)</w:t>
      </w:r>
      <w:r>
        <w:rPr>
          <w:noProof/>
        </w:rPr>
        <w:tab/>
        <w:t>Europol asigură secretariatul Consiliului de administrație.</w:t>
      </w:r>
    </w:p>
    <w:p>
      <w:pPr>
        <w:pStyle w:val="Titrearticle"/>
        <w:rPr>
          <w:noProof/>
        </w:rPr>
      </w:pPr>
      <w:r>
        <w:rPr>
          <w:noProof/>
        </w:rPr>
        <w:t>Articolul 72</w:t>
      </w:r>
    </w:p>
    <w:p>
      <w:pPr>
        <w:pStyle w:val="NormalCentered"/>
        <w:rPr>
          <w:noProof/>
        </w:rPr>
      </w:pPr>
      <w:r>
        <w:rPr>
          <w:b/>
          <w:noProof/>
        </w:rPr>
        <w:t xml:space="preserve">Funcțiile Consiliului de administrație </w:t>
      </w:r>
    </w:p>
    <w:p>
      <w:pPr>
        <w:pStyle w:val="ManualNumPar1"/>
        <w:rPr>
          <w:noProof/>
        </w:rPr>
      </w:pPr>
      <w:r>
        <w:rPr>
          <w:noProof/>
        </w:rPr>
        <w:t>(1)</w:t>
      </w:r>
      <w:r>
        <w:rPr>
          <w:noProof/>
        </w:rPr>
        <w:tab/>
        <w:t>Consiliul de administrație este responsabil de luarea deciziilor strategice ale Europol și oferă orientările generale pentru activitățile Europol.</w:t>
      </w:r>
    </w:p>
    <w:p>
      <w:pPr>
        <w:pStyle w:val="ManualNumPar1"/>
        <w:rPr>
          <w:noProof/>
        </w:rPr>
      </w:pPr>
      <w:r>
        <w:rPr>
          <w:noProof/>
        </w:rPr>
        <w:t>(2)</w:t>
      </w:r>
      <w:r>
        <w:rPr>
          <w:noProof/>
        </w:rPr>
        <w:tab/>
        <w:t>Consiliul de administrație:</w:t>
      </w:r>
    </w:p>
    <w:p>
      <w:pPr>
        <w:pStyle w:val="Point1"/>
        <w:rPr>
          <w:noProof/>
        </w:rPr>
      </w:pPr>
      <w:r>
        <w:rPr>
          <w:noProof/>
        </w:rPr>
        <w:t>(a)</w:t>
      </w:r>
      <w:r>
        <w:rPr>
          <w:noProof/>
        </w:rPr>
        <w:tab/>
        <w:t>adoptă, cu majoritatea de două treimi a membrilor săi cu drept de vot, bugetul anual al Europol și exercită alte funcții în ceea ce privește bugetul Europol;</w:t>
      </w:r>
    </w:p>
    <w:p>
      <w:pPr>
        <w:pStyle w:val="Point1"/>
        <w:rPr>
          <w:noProof/>
        </w:rPr>
      </w:pPr>
      <w:r>
        <w:rPr>
          <w:noProof/>
        </w:rPr>
        <w:t>(b)</w:t>
      </w:r>
      <w:r>
        <w:rPr>
          <w:noProof/>
        </w:rPr>
        <w:tab/>
        <w:t>adoptă normele financiare aplicabile Europol;</w:t>
      </w:r>
    </w:p>
    <w:p>
      <w:pPr>
        <w:pStyle w:val="Point1"/>
        <w:rPr>
          <w:noProof/>
        </w:rPr>
      </w:pPr>
      <w:r>
        <w:rPr>
          <w:noProof/>
        </w:rPr>
        <w:t>(c)</w:t>
      </w:r>
      <w:r>
        <w:rPr>
          <w:noProof/>
        </w:rPr>
        <w:tab/>
        <w:t>adoptă și actualizează periodic planurile de comunicare și diseminare, bazate pe o analiză a necesităților;</w:t>
      </w:r>
    </w:p>
    <w:p>
      <w:pPr>
        <w:pStyle w:val="Point1"/>
        <w:rPr>
          <w:noProof/>
        </w:rPr>
      </w:pPr>
      <w:r>
        <w:rPr>
          <w:noProof/>
        </w:rPr>
        <w:t>(d)</w:t>
      </w:r>
      <w:r>
        <w:rPr>
          <w:noProof/>
        </w:rPr>
        <w:tab/>
        <w:t>adoptă regulamentul său de procedură, inclusiv dispoziții privind atribuțiile și funcționarea propriului secretariat;</w:t>
      </w:r>
    </w:p>
    <w:p>
      <w:pPr>
        <w:pStyle w:val="Point1"/>
        <w:rPr>
          <w:noProof/>
        </w:rPr>
      </w:pPr>
      <w:r>
        <w:rPr>
          <w:noProof/>
        </w:rPr>
        <w:t>(e)</w:t>
      </w:r>
      <w:r>
        <w:rPr>
          <w:noProof/>
        </w:rPr>
        <w:tab/>
        <w:t>exercită, în conformitate cu alineatul (5) și în ceea ce privește personalul Europol, competențele de autoritate împuternicită să facă numiri, conferite prin Statutul funcționarilor, și competențele de autoritate abilitată să încheie contracte de muncă, conferite prin Regimul aplicabil celorlalți agenți (denumite în continuare „competențe de autoritate împuternicită să facă numiri”);</w:t>
      </w:r>
    </w:p>
    <w:p>
      <w:pPr>
        <w:pStyle w:val="Point1"/>
        <w:rPr>
          <w:noProof/>
        </w:rPr>
      </w:pPr>
      <w:r>
        <w:rPr>
          <w:noProof/>
        </w:rPr>
        <w:t>(f)</w:t>
      </w:r>
      <w:r>
        <w:rPr>
          <w:noProof/>
        </w:rPr>
        <w:tab/>
        <w:t>adoptă normele de punere în aplicare a Statutului funcționarilor și a Regimului aplicabil celorlalți agenți, în conformitate cu articolul 110 alineatul (2) din Statutul funcționarilor;</w:t>
      </w:r>
    </w:p>
    <w:p>
      <w:pPr>
        <w:pStyle w:val="Point1"/>
        <w:rPr>
          <w:noProof/>
        </w:rPr>
      </w:pPr>
      <w:r>
        <w:rPr>
          <w:noProof/>
        </w:rPr>
        <w:t>(g)</w:t>
      </w:r>
      <w:r>
        <w:rPr>
          <w:noProof/>
        </w:rPr>
        <w:tab/>
        <w:t>numește, cu o majoritate de două treimi, directorul executiv și, după caz, directorii executivi adjuncți și, dacă este cazul, le prelungește mandatul sau îi demite din funcție;</w:t>
      </w:r>
    </w:p>
    <w:p>
      <w:pPr>
        <w:pStyle w:val="Point1"/>
        <w:rPr>
          <w:noProof/>
        </w:rPr>
      </w:pPr>
      <w:r>
        <w:rPr>
          <w:noProof/>
        </w:rPr>
        <w:t>(h)</w:t>
      </w:r>
      <w:r>
        <w:rPr>
          <w:noProof/>
        </w:rPr>
        <w:tab/>
        <w:t>stabilește structura organizatorică a Europol și adoptă politica de personal a Europol, având în vedere buna gestiune bugetară;</w:t>
      </w:r>
    </w:p>
    <w:p>
      <w:pPr>
        <w:pStyle w:val="Point1"/>
        <w:rPr>
          <w:noProof/>
        </w:rPr>
      </w:pPr>
      <w:r>
        <w:rPr>
          <w:noProof/>
        </w:rPr>
        <w:t>(i)</w:t>
      </w:r>
      <w:r>
        <w:rPr>
          <w:noProof/>
        </w:rPr>
        <w:tab/>
        <w:t>instituie, după caz, organisme consultative, stabilește mandatul, componența și normele de punere în aplicare ale acestora;</w:t>
      </w:r>
    </w:p>
    <w:p>
      <w:pPr>
        <w:pStyle w:val="Point1"/>
        <w:rPr>
          <w:noProof/>
        </w:rPr>
      </w:pPr>
      <w:r>
        <w:rPr>
          <w:noProof/>
        </w:rPr>
        <w:t>(j)</w:t>
      </w:r>
      <w:r>
        <w:rPr>
          <w:noProof/>
        </w:rPr>
        <w:tab/>
        <w:t>decide, la propunerea directorului executiv și sub rezerva aprobării prealabile de către Comisie, cu privire la instituirea unor funcții, capacități sau facilități operaționale, tehnice sau administrative în alte state membre decât statul membru gazdă, atunci când acest lucru este necesar pentru îndeplinirea atribuțiilor Europol;</w:t>
      </w:r>
    </w:p>
    <w:p>
      <w:pPr>
        <w:pStyle w:val="Point1"/>
        <w:rPr>
          <w:noProof/>
        </w:rPr>
      </w:pPr>
      <w:r>
        <w:rPr>
          <w:noProof/>
        </w:rPr>
        <w:t>(k)</w:t>
      </w:r>
      <w:r>
        <w:rPr>
          <w:noProof/>
        </w:rPr>
        <w:tab/>
        <w:t>autorizează încheierea acordurilor de lucru;</w:t>
      </w:r>
    </w:p>
    <w:p>
      <w:pPr>
        <w:pStyle w:val="Point1"/>
        <w:rPr>
          <w:noProof/>
        </w:rPr>
      </w:pPr>
      <w:r>
        <w:rPr>
          <w:noProof/>
        </w:rPr>
        <w:t>(l)</w:t>
      </w:r>
      <w:r>
        <w:rPr>
          <w:noProof/>
        </w:rPr>
        <w:tab/>
        <w:t>ținând seama de avizul Comisiei, adoptă documentul unic de programare al Europol cu o majoritate de două treimi din membrii cu drept de vot.</w:t>
      </w:r>
    </w:p>
    <w:p>
      <w:pPr>
        <w:pStyle w:val="Point1"/>
        <w:rPr>
          <w:noProof/>
        </w:rPr>
      </w:pPr>
      <w:r>
        <w:rPr>
          <w:noProof/>
        </w:rPr>
        <w:t>(m)</w:t>
      </w:r>
      <w:r>
        <w:rPr>
          <w:noProof/>
        </w:rPr>
        <w:tab/>
        <w:t>definește criteriile de evaluare a performanțelor Europol și adoptă, cu o majoritate de două treimi din membrii săi cu drept de vot, un raport anual de activitate consolidat privind activitățile Europol și îl transmite, până la data de 1 iulie a anului următor, Parlamentului European, Consiliului, Comisiei, Curții de Conturi și parlamentelor naționale. Raportul anual de activitate consolidat este făcut public. Comisia adoptă acte de punere în aplicare prin care se stabilesc indicatori de raportare pentru a asigura o abordare uniformă în ceea ce privește colectarea și prezentarea informațiilor de către Europol cu privire la infracțiunile care aduc atingere intereselor financiare ale Uniunii;</w:t>
      </w:r>
    </w:p>
    <w:p>
      <w:pPr>
        <w:pStyle w:val="Point1"/>
        <w:rPr>
          <w:noProof/>
        </w:rPr>
      </w:pPr>
      <w:r>
        <w:rPr>
          <w:noProof/>
        </w:rPr>
        <w:t>(n)</w:t>
      </w:r>
      <w:r>
        <w:rPr>
          <w:noProof/>
        </w:rPr>
        <w:tab/>
        <w:t>adoptă norme pentru prevenirea și gestionarea conflictelor de interese în ceea ce îi privește pe membrii săi, inclusiv în legătură cu declarația de interese a acestora;</w:t>
      </w:r>
    </w:p>
    <w:p>
      <w:pPr>
        <w:pStyle w:val="Point1"/>
        <w:rPr>
          <w:noProof/>
        </w:rPr>
      </w:pPr>
      <w:r>
        <w:rPr>
          <w:noProof/>
        </w:rPr>
        <w:t>(o)</w:t>
      </w:r>
      <w:r>
        <w:rPr>
          <w:noProof/>
        </w:rPr>
        <w:tab/>
        <w:t>adoptă măsuri adecvate pentru a sprijini recunoașterea competențelor și a experienței profesionale dobândite în cursul angajării în cadrul Europol sau al activităților desfășurate pentru agenție, inclusiv prin dezvoltarea unui cadru comun de competențe în cooperare cu CEPOL;</w:t>
      </w:r>
    </w:p>
    <w:p>
      <w:pPr>
        <w:pStyle w:val="Point1"/>
        <w:rPr>
          <w:noProof/>
        </w:rPr>
      </w:pPr>
      <w:r>
        <w:rPr>
          <w:noProof/>
        </w:rPr>
        <w:t>(p)</w:t>
      </w:r>
      <w:r>
        <w:rPr>
          <w:noProof/>
        </w:rPr>
        <w:tab/>
        <w:t>monitorizează prioritățile și obiectivele strategice ale Europol, astfel cum sunt reflectate în criteriile de evaluare menționate la litera (m), și asigură un răspuns adecvat la provocările operaționale, tehnologice și organizaționale care afectează îndeplinirea atribuțiilor Europol;</w:t>
      </w:r>
    </w:p>
    <w:p>
      <w:pPr>
        <w:pStyle w:val="Point1"/>
        <w:rPr>
          <w:noProof/>
        </w:rPr>
      </w:pPr>
      <w:r>
        <w:rPr>
          <w:noProof/>
        </w:rPr>
        <w:t>(q)</w:t>
      </w:r>
      <w:r>
        <w:rPr>
          <w:noProof/>
        </w:rPr>
        <w:tab/>
        <w:t>supraveghează activitatea directorului executiv, inclusiv punerea în aplicare a deciziilor Consiliului de administrație și exercitarea efectivă a competențelor conferite directorului executiv în temeiul prezentului regulament;</w:t>
      </w:r>
    </w:p>
    <w:p>
      <w:pPr>
        <w:pStyle w:val="Point1"/>
        <w:rPr>
          <w:noProof/>
        </w:rPr>
      </w:pPr>
      <w:r>
        <w:rPr>
          <w:noProof/>
        </w:rPr>
        <w:t>(r)</w:t>
      </w:r>
      <w:r>
        <w:rPr>
          <w:noProof/>
        </w:rPr>
        <w:tab/>
        <w:t>numește un responsabil cu protecția datelor care acționează independent din punct de vedere funcțional în îndeplinirea sarcinilor sale;</w:t>
      </w:r>
    </w:p>
    <w:p>
      <w:pPr>
        <w:pStyle w:val="Point1"/>
        <w:rPr>
          <w:noProof/>
        </w:rPr>
      </w:pPr>
      <w:r>
        <w:rPr>
          <w:noProof/>
        </w:rPr>
        <w:t>(s)</w:t>
      </w:r>
      <w:r>
        <w:rPr>
          <w:noProof/>
        </w:rPr>
        <w:tab/>
        <w:t>numește un contabil care acționează independent din punct de vedere funcțional în îndeplinirea atribuțiilor sale;</w:t>
      </w:r>
    </w:p>
    <w:p>
      <w:pPr>
        <w:pStyle w:val="Point1"/>
        <w:rPr>
          <w:noProof/>
        </w:rPr>
      </w:pPr>
      <w:r>
        <w:rPr>
          <w:noProof/>
        </w:rPr>
        <w:t>(t)</w:t>
      </w:r>
      <w:r>
        <w:rPr>
          <w:noProof/>
        </w:rPr>
        <w:tab/>
        <w:t>instituie și supraveghează o structură de audit intern independentă și se asigură că se dă curs în mod adecvat recomandărilor care decurg din evaluările rapoartelor de audit intern sau extern și din investigațiile efectuate de EPPO, de Oficiul European de Luptă Antifraudă (OLAF) și de AEPD;</w:t>
      </w:r>
    </w:p>
    <w:p>
      <w:pPr>
        <w:pStyle w:val="Point1"/>
        <w:rPr>
          <w:noProof/>
        </w:rPr>
      </w:pPr>
      <w:r>
        <w:rPr>
          <w:noProof/>
        </w:rPr>
        <w:t>(u)</w:t>
      </w:r>
      <w:r>
        <w:rPr>
          <w:noProof/>
        </w:rPr>
        <w:tab/>
        <w:t>adoptă orientări privind prelucrarea informațiilor de către Europol, în conformitate cu articolul 32 și după consultarea AEPD;</w:t>
      </w:r>
    </w:p>
    <w:p>
      <w:pPr>
        <w:pStyle w:val="Point1"/>
        <w:rPr>
          <w:noProof/>
        </w:rPr>
      </w:pPr>
      <w:r>
        <w:rPr>
          <w:noProof/>
        </w:rPr>
        <w:t>(v)</w:t>
      </w:r>
      <w:r>
        <w:rPr>
          <w:noProof/>
        </w:rPr>
        <w:tab/>
        <w:t>adoptă norme de punere în aplicare prin care se reglementează centrele în conformitate cu articolele 13-19 și evaluează periodic funcționarea acestora și le adaptează, dacă este necesar, în funcție de nevoile operaționale și de evoluția amenințărilor la adresa securității;</w:t>
      </w:r>
    </w:p>
    <w:p>
      <w:pPr>
        <w:pStyle w:val="Point1"/>
        <w:rPr>
          <w:noProof/>
        </w:rPr>
      </w:pPr>
      <w:r>
        <w:rPr>
          <w:noProof/>
        </w:rPr>
        <w:t>(w)</w:t>
      </w:r>
      <w:r>
        <w:rPr>
          <w:noProof/>
        </w:rPr>
        <w:tab/>
        <w:t>desemnează ofițerul pentru drepturile fundamentale, care acționează independent din punct de vedere funcțional în îndeplinirea atribuțiilor sale;</w:t>
      </w:r>
    </w:p>
    <w:p>
      <w:pPr>
        <w:pStyle w:val="Point1"/>
        <w:rPr>
          <w:noProof/>
        </w:rPr>
      </w:pPr>
      <w:r>
        <w:rPr>
          <w:noProof/>
        </w:rPr>
        <w:t>(x)</w:t>
      </w:r>
      <w:r>
        <w:rPr>
          <w:noProof/>
        </w:rPr>
        <w:tab/>
        <w:t>precizează criteriile pe baza cărora Europol poate emite propuneri pentru posibila introducere de semnalări privind existența unor informații în SIS.</w:t>
      </w:r>
    </w:p>
    <w:p>
      <w:pPr>
        <w:pStyle w:val="ManualNumPar1"/>
        <w:rPr>
          <w:noProof/>
        </w:rPr>
      </w:pPr>
      <w:r>
        <w:rPr>
          <w:noProof/>
        </w:rPr>
        <w:t>(3)</w:t>
      </w:r>
      <w:r>
        <w:rPr>
          <w:noProof/>
        </w:rPr>
        <w:tab/>
        <w:t>În cazul în care consideră că este necesar pentru îndeplinirea atribuțiilor Europol, Consiliul de administrație poate propune Consiliului să atragă atenția Comisiei asupra necesității unei decizii privind caracterul adecvat al nivelului de protecție astfel cum se menționează la articolul 94a din Regulamentul (UE) 2018/1725 sau a unei recomandări de decizie de autorizare a deschiderii de negocieri în vederea încheierii unui acord internațional astfel cum se menționează la articolul 94b alineatul (2) din Regulamentul (UE) 2018/1725.</w:t>
      </w:r>
    </w:p>
    <w:p>
      <w:pPr>
        <w:pStyle w:val="ManualNumPar1"/>
        <w:rPr>
          <w:noProof/>
        </w:rPr>
      </w:pPr>
      <w:r>
        <w:rPr>
          <w:noProof/>
        </w:rPr>
        <w:t>(4)</w:t>
      </w:r>
      <w:r>
        <w:rPr>
          <w:noProof/>
        </w:rPr>
        <w:tab/>
        <w:t>În cazul în care cel puțin o treime dintre membrii Consiliului de administrație identifică necesitatea ca Europol să ia măsuri într-un domeniu specific care intră în sfera sa de competență, Consiliul de administrație invită directorul executiv să propună măsuri adecvate.</w:t>
      </w:r>
    </w:p>
    <w:p>
      <w:pPr>
        <w:pStyle w:val="ManualNumPar1"/>
        <w:rPr>
          <w:noProof/>
        </w:rPr>
      </w:pPr>
      <w:r>
        <w:rPr>
          <w:noProof/>
        </w:rPr>
        <w:t>(5)</w:t>
      </w:r>
      <w:r>
        <w:rPr>
          <w:noProof/>
        </w:rPr>
        <w:tab/>
        <w:t>Consiliul de administrație adoptă, în conformitate cu dispozițiile articolului 110 alineatul (2) din Statutul funcționarilor, o decizie în baza articolului 2 alineatul (1) din Statutul funcționarilor și a articolului 6 din Regimul aplicabil celorlalți agenți, prin care competențele relevante de autoritate împuternicită să facă numiri sunt delegate directorului executiv și prin care sunt stabilite condițiile în care această delegare de competențe poate fi suspendată. Directorul executiv este autorizat să subdelege aceste competențe.</w:t>
      </w:r>
    </w:p>
    <w:p>
      <w:pPr>
        <w:pStyle w:val="ManualNumPar1"/>
        <w:rPr>
          <w:noProof/>
        </w:rPr>
      </w:pPr>
      <w:r>
        <w:rPr>
          <w:noProof/>
        </w:rPr>
        <w:t>(6)</w:t>
      </w:r>
      <w:r>
        <w:rPr>
          <w:noProof/>
        </w:rPr>
        <w:tab/>
        <w:t>În cazul în care împrejurări excepționale impun acest lucru, Consiliul de administrație poate, printr-o decizie, să suspende temporar delegarea competențelor de autoritate împuternicită să facă numiri către directorul executiv și orice subdelegare a acestor competențe și să le exercite el însuși sau să le delege unuia dintre membrii săi sau unui membru al personalului, altul decât directorul executiv.</w:t>
      </w:r>
    </w:p>
    <w:p>
      <w:pPr>
        <w:pStyle w:val="ManualNumPar1"/>
        <w:rPr>
          <w:noProof/>
        </w:rPr>
      </w:pPr>
      <w:r>
        <w:rPr>
          <w:noProof/>
        </w:rPr>
        <w:t>(7)</w:t>
      </w:r>
      <w:r>
        <w:rPr>
          <w:noProof/>
        </w:rPr>
        <w:tab/>
        <w:t xml:space="preserve">Consiliul de administrație poate delega anumite sarcini Comitetului executiv menționat la articolul 75, cu excepția celor care necesită o majoritate de două treimi din Consiliul de administrație, și adoptă normele interne care reglementează sarcinile, componența și funcționarea acestuia. </w:t>
      </w:r>
    </w:p>
    <w:p>
      <w:pPr>
        <w:pStyle w:val="Titrearticle"/>
        <w:rPr>
          <w:noProof/>
        </w:rPr>
      </w:pPr>
      <w:r>
        <w:rPr>
          <w:noProof/>
        </w:rPr>
        <w:t>Articolul 73</w:t>
      </w:r>
    </w:p>
    <w:p>
      <w:pPr>
        <w:pStyle w:val="NormalCentered"/>
        <w:rPr>
          <w:noProof/>
        </w:rPr>
      </w:pPr>
      <w:r>
        <w:rPr>
          <w:b/>
          <w:noProof/>
        </w:rPr>
        <w:t xml:space="preserve">Programul multianual și programul anual de activitate </w:t>
      </w:r>
    </w:p>
    <w:p>
      <w:pPr>
        <w:pStyle w:val="ManualNumPar1"/>
        <w:rPr>
          <w:noProof/>
        </w:rPr>
      </w:pPr>
      <w:r>
        <w:rPr>
          <w:noProof/>
        </w:rPr>
        <w:t>(1)</w:t>
      </w:r>
      <w:r>
        <w:rPr>
          <w:noProof/>
        </w:rPr>
        <w:tab/>
        <w:t>Până la sfârșitul fiecărui an, Consiliul de administrație adoptă un document unic de programare care conține programul multianual și programul anual de activitate ale Europol, pe baza unui proiect prezentat de directorul executiv, în conformitate cu avizul Comisiei și, în ceea ce privește programul multianual, după consultarea grupului mixt de control parlamentar specializat (JPSG), instituit în comun de Parlamentul European și parlamentele naționale.</w:t>
      </w:r>
    </w:p>
    <w:p>
      <w:pPr>
        <w:pStyle w:val="Text1"/>
        <w:rPr>
          <w:noProof/>
        </w:rPr>
      </w:pPr>
      <w:r>
        <w:rPr>
          <w:noProof/>
        </w:rPr>
        <w:t>În cazul în care Comisia emite un aviz negativ din motive legate de conformitatea cu dreptul Uniunii, coerența cu obiectivele de politică ale Uniunii sau buna gestiune financiară, Consiliul de administrație revizuiește proiectul de document unic de programare înainte de adoptarea acestuia, pentru a asigura conformitatea cu dreptul Uniunii, coerența cu obiectivele de politică ale Uniunii și buna gestiune financiară.</w:t>
      </w:r>
    </w:p>
    <w:p>
      <w:pPr>
        <w:pStyle w:val="Text1"/>
        <w:rPr>
          <w:noProof/>
        </w:rPr>
      </w:pPr>
      <w:r>
        <w:rPr>
          <w:noProof/>
        </w:rPr>
        <w:t>În cazul în care decide să nu ia în considerare oricare dintre aspectele prezentate de JPSG în conformitate cu articolul 71 alineatul (6) litera (c), Consiliul de administrație furnizează o justificare detaliată.</w:t>
      </w:r>
    </w:p>
    <w:p>
      <w:pPr>
        <w:pStyle w:val="Text1"/>
        <w:rPr>
          <w:noProof/>
        </w:rPr>
      </w:pPr>
      <w:r>
        <w:rPr>
          <w:noProof/>
        </w:rPr>
        <w:t>După ce documentul unic de programare a fost adoptat, Consiliul de administrație îl transmite Consiliului, Comisiei și JPSG.</w:t>
      </w:r>
    </w:p>
    <w:p>
      <w:pPr>
        <w:pStyle w:val="ManualNumPar1"/>
        <w:rPr>
          <w:noProof/>
        </w:rPr>
      </w:pPr>
      <w:r>
        <w:rPr>
          <w:noProof/>
        </w:rPr>
        <w:t>(2)</w:t>
      </w:r>
      <w:r>
        <w:rPr>
          <w:noProof/>
        </w:rPr>
        <w:tab/>
        <w:t>Programul multianual stabilește programarea strategică globală, inclusiv obiectivele, rezultatele preconizate și indicatorii de performanță. Acesta stabilește, de asemenea, planificarea resurselor, inclusiv bugetul multianual și schema de personal, ținând seama de necesitatea de a asigura o combinație adecvată de competențe și cunoștințe de specialitate necesare pentru îndeplinirea atribuțiilor Europol. Acesta include strategia privind relațiile cu țări terțe și organizații internaționale și activitățile de cercetare și inovare planificate ale Europol.</w:t>
      </w:r>
    </w:p>
    <w:p>
      <w:pPr>
        <w:pStyle w:val="Text1"/>
        <w:rPr>
          <w:noProof/>
        </w:rPr>
      </w:pPr>
      <w:r>
        <w:rPr>
          <w:noProof/>
        </w:rPr>
        <w:t>Programul multianual se pune în aplicare prin intermediul programelor anuale de activitate și, după caz, se actualizează pe baza rezultatelor evaluărilor externe și interne. Concluziile acestor evaluări se reflectă, dacă este cazul, și în programul anual de activitate pentru anul următor.</w:t>
      </w:r>
    </w:p>
    <w:p>
      <w:pPr>
        <w:pStyle w:val="ManualNumPar1"/>
        <w:rPr>
          <w:noProof/>
        </w:rPr>
      </w:pPr>
      <w:r>
        <w:rPr>
          <w:noProof/>
        </w:rPr>
        <w:t>(3)</w:t>
      </w:r>
      <w:r>
        <w:rPr>
          <w:noProof/>
        </w:rPr>
        <w:tab/>
        <w:t>Programul anual de activitate cuprinde obiectivele detaliate, rezultatele preconizate și indicatorii de performanță. Acesta include, de asemenea, o descriere a acțiunilor care trebuie să fie finanțate și informații care indică resursele financiare și umane alocate fiecărei acțiuni, în conformitate cu principiile întocmirii bugetului și ale gestionării pe activități. Programul anual de activitate este în concordanță cu programul multianual. Acesta indică în mod clar atribuțiile care au fost adăugate, modificate sau eliminate în comparație cu exercițiul financiar precedent.</w:t>
      </w:r>
    </w:p>
    <w:p>
      <w:pPr>
        <w:pStyle w:val="ManualNumPar1"/>
        <w:rPr>
          <w:noProof/>
        </w:rPr>
      </w:pPr>
      <w:r>
        <w:rPr>
          <w:noProof/>
        </w:rPr>
        <w:t>(4)</w:t>
      </w:r>
      <w:r>
        <w:rPr>
          <w:noProof/>
        </w:rPr>
        <w:tab/>
        <w:t>Atunci când, după adoptarea unui program anual de activitate, o nouă atribuție revine Europol, Consiliul de administrație modifică programul anual de activitate.</w:t>
      </w:r>
    </w:p>
    <w:p>
      <w:pPr>
        <w:pStyle w:val="ManualNumPar1"/>
        <w:rPr>
          <w:noProof/>
        </w:rPr>
      </w:pPr>
      <w:r>
        <w:rPr>
          <w:noProof/>
        </w:rPr>
        <w:t>(5)</w:t>
      </w:r>
      <w:r>
        <w:rPr>
          <w:noProof/>
        </w:rPr>
        <w:tab/>
        <w:t>Modificările substanțiale aduse programului anual de activitate, în special modificările care au ca rezultat realocarea resurselor bugetare mai mari de 2 % din bugetul anual, se adoptă prin aceeași procedură ca și cea aplicabilă pentru adoptarea programului anual de activitate inițial. Consiliul de administrație poate delega directorului executiv competența de a aduce modificări nesubstanțiale programului anual de activitate.</w:t>
      </w:r>
    </w:p>
    <w:p>
      <w:pPr>
        <w:pStyle w:val="Titrearticle"/>
        <w:rPr>
          <w:noProof/>
        </w:rPr>
      </w:pPr>
      <w:r>
        <w:rPr>
          <w:noProof/>
        </w:rPr>
        <w:t>Articolul 74</w:t>
      </w:r>
    </w:p>
    <w:p>
      <w:pPr>
        <w:pStyle w:val="NormalCentered"/>
        <w:rPr>
          <w:noProof/>
        </w:rPr>
      </w:pPr>
      <w:r>
        <w:rPr>
          <w:b/>
          <w:noProof/>
        </w:rPr>
        <w:t xml:space="preserve">Regulile de vot ale Consiliului de administrație </w:t>
      </w:r>
    </w:p>
    <w:p>
      <w:pPr>
        <w:pStyle w:val="ManualNumPar1"/>
        <w:rPr>
          <w:noProof/>
        </w:rPr>
      </w:pPr>
      <w:r>
        <w:rPr>
          <w:noProof/>
        </w:rPr>
        <w:t>(1)</w:t>
      </w:r>
      <w:r>
        <w:rPr>
          <w:noProof/>
        </w:rPr>
        <w:tab/>
        <w:t>Fără a aduce atingere articolului 70 alineatul (2), articolului 72 alineatul (2) literele (a), (g), (l) și (m), articolului 76 alineatul (7) și articolului 126 alineatul (2), Consiliul de administrație adoptă decizii cu majoritatea membrilor săi cu drept de vot.</w:t>
      </w:r>
    </w:p>
    <w:p>
      <w:pPr>
        <w:pStyle w:val="ManualNumPar1"/>
        <w:rPr>
          <w:noProof/>
        </w:rPr>
      </w:pPr>
      <w:r>
        <w:rPr>
          <w:noProof/>
        </w:rPr>
        <w:t>(2)</w:t>
      </w:r>
      <w:r>
        <w:rPr>
          <w:noProof/>
        </w:rPr>
        <w:tab/>
        <w:t>În cazul în care Comisia exprimă preocupări serioase cu privire la o propunere de decizie prezentată Consiliului de administrație cu privire la aspecte în legătură cu Regulamentul delegat (UE) 2019/715, cu Statutul funcționarilor și cu Regimul aplicabil celorlalți agenți, Consiliul de administrație amână adoptarea deciziei în cauză. În termen de 15 zile de la exprimarea de către Comisie a unor preocupări serioase cu privire la o propunere de decizie prezentată Consiliului de administrație, Consiliul de administrație reexaminează și adoptă respectiva decizie, cu eventuale modificări, în a doua lectură, fie cu o majoritate de două treimi dintre membrii săi cu drept de vot, care cuprinde și reprezentanții Comisiei, fie cu o majoritate de patru cincimi din reprezentanții statelor membre.</w:t>
      </w:r>
    </w:p>
    <w:p>
      <w:pPr>
        <w:pStyle w:val="ManualNumPar1"/>
        <w:rPr>
          <w:noProof/>
        </w:rPr>
      </w:pPr>
      <w:r>
        <w:rPr>
          <w:noProof/>
        </w:rPr>
        <w:t>(3)</w:t>
      </w:r>
      <w:r>
        <w:rPr>
          <w:noProof/>
        </w:rPr>
        <w:tab/>
        <w:t>Fiecare membru cu drept de vot dispune de un vot. În absența unui membru cu drept de vot, dreptul de vot al acestuia poate fi exercitat de către supleantul său.</w:t>
      </w:r>
    </w:p>
    <w:p>
      <w:pPr>
        <w:pStyle w:val="ManualNumPar1"/>
        <w:rPr>
          <w:noProof/>
        </w:rPr>
      </w:pPr>
      <w:r>
        <w:rPr>
          <w:noProof/>
        </w:rPr>
        <w:t>(4)</w:t>
      </w:r>
      <w:r>
        <w:rPr>
          <w:noProof/>
        </w:rPr>
        <w:tab/>
        <w:t xml:space="preserve">Președintele participă la vot. </w:t>
      </w:r>
    </w:p>
    <w:p>
      <w:pPr>
        <w:pStyle w:val="ManualNumPar1"/>
        <w:rPr>
          <w:noProof/>
        </w:rPr>
      </w:pPr>
      <w:r>
        <w:rPr>
          <w:noProof/>
        </w:rPr>
        <w:t>(5)</w:t>
      </w:r>
      <w:r>
        <w:rPr>
          <w:noProof/>
        </w:rPr>
        <w:tab/>
        <w:t>Directorul executiv nu participă la vot.</w:t>
      </w:r>
    </w:p>
    <w:p>
      <w:pPr>
        <w:pStyle w:val="ManualNumPar1"/>
        <w:rPr>
          <w:noProof/>
        </w:rPr>
      </w:pPr>
      <w:r>
        <w:rPr>
          <w:noProof/>
        </w:rPr>
        <w:t>(6)</w:t>
      </w:r>
      <w:r>
        <w:rPr>
          <w:noProof/>
        </w:rPr>
        <w:tab/>
        <w:t>Regulamentul de procedură al Consiliului de administrație stabilește în mod detaliat modalitățile de vot, în special condițiile în care un membru poate acționa în numele unui alt membru.</w:t>
      </w:r>
    </w:p>
    <w:p>
      <w:pPr>
        <w:pStyle w:val="SectionTitle"/>
        <w:spacing w:after="0"/>
        <w:rPr>
          <w:noProof/>
        </w:rPr>
      </w:pPr>
      <w:r>
        <w:rPr>
          <w:noProof/>
        </w:rPr>
        <w:t xml:space="preserve">Secțiunea 3 </w:t>
      </w:r>
      <w:r>
        <w:rPr>
          <w:noProof/>
        </w:rPr>
        <w:br/>
        <w:t>Comitetul executiv</w:t>
      </w:r>
    </w:p>
    <w:p>
      <w:pPr>
        <w:pStyle w:val="Titrearticle"/>
        <w:rPr>
          <w:noProof/>
        </w:rPr>
      </w:pPr>
      <w:r>
        <w:rPr>
          <w:noProof/>
        </w:rPr>
        <w:t>Articolul 75</w:t>
      </w:r>
    </w:p>
    <w:p>
      <w:pPr>
        <w:pStyle w:val="NormalCentered"/>
        <w:rPr>
          <w:noProof/>
        </w:rPr>
      </w:pPr>
      <w:r>
        <w:rPr>
          <w:b/>
          <w:noProof/>
        </w:rPr>
        <w:t>Comitetul executiv</w:t>
      </w:r>
    </w:p>
    <w:p>
      <w:pPr>
        <w:pStyle w:val="ManualNumPar1"/>
        <w:rPr>
          <w:noProof/>
        </w:rPr>
      </w:pPr>
      <w:r>
        <w:rPr>
          <w:noProof/>
        </w:rPr>
        <w:t>(1)</w:t>
      </w:r>
      <w:r>
        <w:rPr>
          <w:noProof/>
        </w:rPr>
        <w:tab/>
        <w:t>Consiliul de administrație este asistat de un comitet executiv.</w:t>
      </w:r>
    </w:p>
    <w:p>
      <w:pPr>
        <w:pStyle w:val="ManualNumPar1"/>
        <w:rPr>
          <w:noProof/>
        </w:rPr>
      </w:pPr>
      <w:r>
        <w:rPr>
          <w:noProof/>
        </w:rPr>
        <w:t>(2)</w:t>
      </w:r>
      <w:r>
        <w:rPr>
          <w:noProof/>
        </w:rPr>
        <w:tab/>
        <w:t>Comitetul executiv:</w:t>
      </w:r>
    </w:p>
    <w:p>
      <w:pPr>
        <w:pStyle w:val="Point1"/>
        <w:rPr>
          <w:noProof/>
        </w:rPr>
      </w:pPr>
      <w:r>
        <w:rPr>
          <w:noProof/>
        </w:rPr>
        <w:t>(a)</w:t>
      </w:r>
      <w:r>
        <w:rPr>
          <w:noProof/>
        </w:rPr>
        <w:tab/>
        <w:t>elaborează deciziile care urmează să fie adoptate de Consiliul de administrație și monitorizează punerea în aplicare a deciziilor adoptate de acesta, fără a afecta responsabilitățile directorului executiv;</w:t>
      </w:r>
    </w:p>
    <w:p>
      <w:pPr>
        <w:pStyle w:val="Point1"/>
        <w:rPr>
          <w:noProof/>
        </w:rPr>
      </w:pPr>
      <w:r>
        <w:rPr>
          <w:noProof/>
        </w:rPr>
        <w:t>(b)</w:t>
      </w:r>
      <w:r>
        <w:rPr>
          <w:noProof/>
        </w:rPr>
        <w:tab/>
        <w:t>revizuiește proiectul de buget anual, proiectul de raport anual de activitate consolidat și supraveghează elaborarea și punerea în aplicare a programării anuale și multianuale;</w:t>
      </w:r>
    </w:p>
    <w:p>
      <w:pPr>
        <w:pStyle w:val="Point1"/>
        <w:rPr>
          <w:noProof/>
        </w:rPr>
      </w:pPr>
      <w:r>
        <w:rPr>
          <w:noProof/>
        </w:rPr>
        <w:t>(c)</w:t>
      </w:r>
      <w:r>
        <w:rPr>
          <w:noProof/>
        </w:rPr>
        <w:tab/>
        <w:t>monitorizează execuția bugetului Europol și elaborează deciziile financiare și bugetare care urmează să fie adoptate de Consiliul de administrație;</w:t>
      </w:r>
    </w:p>
    <w:p>
      <w:pPr>
        <w:pStyle w:val="Point1"/>
        <w:rPr>
          <w:noProof/>
        </w:rPr>
      </w:pPr>
      <w:r>
        <w:rPr>
          <w:noProof/>
        </w:rPr>
        <w:t>(d)</w:t>
      </w:r>
      <w:r>
        <w:rPr>
          <w:noProof/>
        </w:rPr>
        <w:tab/>
        <w:t>adoptă o strategie internă antifraudă, proporțională cu riscurile de fraudă;</w:t>
      </w:r>
    </w:p>
    <w:p>
      <w:pPr>
        <w:pStyle w:val="Point1"/>
        <w:rPr>
          <w:noProof/>
        </w:rPr>
      </w:pPr>
      <w:r>
        <w:rPr>
          <w:noProof/>
        </w:rPr>
        <w:t>(e)</w:t>
      </w:r>
      <w:r>
        <w:rPr>
          <w:noProof/>
        </w:rPr>
        <w:tab/>
        <w:t>se asigură, împreună cu Consiliul de administrație, că se dă curs în mod adecvat constatărilor și recomandărilor rezultate din rapoartele de audit și evaluările interne sau externe, constatărilor investigațiilor efectuate de Oficiul European de Luptă Antifraudă (OLAF) și rezultatelor, inclusiv hotărârilor judecătorești, ale investigațiilor efectuate de EPPO, în conformitate cu dreptul aplicabil al Uniunii;</w:t>
      </w:r>
    </w:p>
    <w:p>
      <w:pPr>
        <w:pStyle w:val="Point1"/>
        <w:rPr>
          <w:noProof/>
        </w:rPr>
      </w:pPr>
      <w:r>
        <w:rPr>
          <w:noProof/>
        </w:rPr>
        <w:t>(f)</w:t>
      </w:r>
      <w:r>
        <w:rPr>
          <w:noProof/>
        </w:rPr>
        <w:tab/>
        <w:t>fără a aduce atingere responsabilităților directorului executiv, îi acordă acestuia asistență și consiliere în ceea ce privește punerea în aplicare a deciziilor Consiliului de administrație, pentru a consolida supravegherea gestionării administrative și bugetare.</w:t>
      </w:r>
    </w:p>
    <w:p>
      <w:pPr>
        <w:pStyle w:val="ManualNumPar1"/>
        <w:rPr>
          <w:noProof/>
        </w:rPr>
      </w:pPr>
      <w:r>
        <w:rPr>
          <w:noProof/>
        </w:rPr>
        <w:t>(3)</w:t>
      </w:r>
      <w:r>
        <w:rPr>
          <w:noProof/>
        </w:rPr>
        <w:tab/>
        <w:t>Atunci când este necesar din motive de urgență, Comitetul executiv poate adopta decizii provizorii în numele Consiliului de administrație, în special în chestiuni legate de gestionarea administrativă și bugetară, precum și de conducere, inclusiv suspendarea delegării competențelor de autoritate împuternicită să facă numiri. Aceste decizii sunt prezentate Consiliului de administrație spre confirmare în cadrul următoarei sale reuniuni.</w:t>
      </w:r>
    </w:p>
    <w:p>
      <w:pPr>
        <w:pStyle w:val="ManualNumPar1"/>
        <w:rPr>
          <w:noProof/>
        </w:rPr>
      </w:pPr>
      <w:r>
        <w:rPr>
          <w:noProof/>
        </w:rPr>
        <w:t>(4)</w:t>
      </w:r>
      <w:r>
        <w:rPr>
          <w:noProof/>
        </w:rPr>
        <w:tab/>
        <w:t>Comitetul executiv este format din președintele Consiliului de administrație, un reprezentant al Comisiei în cadrul Consiliului de administrație și trei alți membri numiți de Consiliul de administrație din rândul membrilor săi cu drept de vot. Președintele Consiliului de administrație este, de asemenea, președintele Comitetului executiv. Directorul executiv ia parte la reuniunile Comitetului executiv, dar nu are drept de vot.</w:t>
      </w:r>
    </w:p>
    <w:p>
      <w:pPr>
        <w:pStyle w:val="ManualNumPar1"/>
        <w:rPr>
          <w:noProof/>
        </w:rPr>
      </w:pPr>
      <w:r>
        <w:rPr>
          <w:noProof/>
        </w:rPr>
        <w:t>(5)</w:t>
      </w:r>
      <w:r>
        <w:rPr>
          <w:noProof/>
        </w:rPr>
        <w:tab/>
        <w:t>Durata mandatului membrilor Comitetului executiv este de patru ani. Mandatul membrilor Comitetului executiv se încheie atunci când încetează mandatul de membru al Consiliului de administrație.</w:t>
      </w:r>
    </w:p>
    <w:p>
      <w:pPr>
        <w:pStyle w:val="ManualNumPar1"/>
        <w:rPr>
          <w:noProof/>
        </w:rPr>
      </w:pPr>
      <w:r>
        <w:rPr>
          <w:noProof/>
        </w:rPr>
        <w:t>(6)</w:t>
      </w:r>
      <w:r>
        <w:rPr>
          <w:noProof/>
        </w:rPr>
        <w:tab/>
        <w:t>Comitetul executiv se reunește în cel puțin o ședință ordinară la fiecare trei luni. În plus, acesta se reunește la inițiativa președintelui său sau la cererea membrilor săi.</w:t>
      </w:r>
    </w:p>
    <w:p>
      <w:pPr>
        <w:pStyle w:val="ManualNumPar1"/>
        <w:rPr>
          <w:noProof/>
        </w:rPr>
      </w:pPr>
      <w:r>
        <w:rPr>
          <w:noProof/>
        </w:rPr>
        <w:t>(7)</w:t>
      </w:r>
      <w:r>
        <w:rPr>
          <w:noProof/>
        </w:rPr>
        <w:tab/>
        <w:t>Comitetul executiv poate invita, de asemenea, în calitate de observatori fără drept de vot, alți participanți pentru anumite puncte de pe ordinea de zi.</w:t>
      </w:r>
    </w:p>
    <w:p>
      <w:pPr>
        <w:pStyle w:val="SectionTitle"/>
        <w:spacing w:after="0"/>
        <w:rPr>
          <w:noProof/>
        </w:rPr>
      </w:pPr>
      <w:r>
        <w:rPr>
          <w:noProof/>
        </w:rPr>
        <w:t>Secțiunea 4</w:t>
      </w:r>
    </w:p>
    <w:p>
      <w:pPr>
        <w:pStyle w:val="SectionTitle"/>
        <w:spacing w:before="0"/>
        <w:rPr>
          <w:noProof/>
        </w:rPr>
      </w:pPr>
      <w:r>
        <w:rPr>
          <w:noProof/>
        </w:rPr>
        <w:t>Directorul executiv</w:t>
      </w:r>
    </w:p>
    <w:p>
      <w:pPr>
        <w:pStyle w:val="Titrearticle"/>
        <w:rPr>
          <w:noProof/>
        </w:rPr>
      </w:pPr>
      <w:r>
        <w:rPr>
          <w:noProof/>
        </w:rPr>
        <w:t>Articolul 76</w:t>
      </w:r>
    </w:p>
    <w:p>
      <w:pPr>
        <w:pStyle w:val="NormalCentered"/>
        <w:rPr>
          <w:noProof/>
        </w:rPr>
      </w:pPr>
      <w:r>
        <w:rPr>
          <w:b/>
          <w:noProof/>
        </w:rPr>
        <w:t>Numirea, revocarea și prelungirea mandatului</w:t>
      </w:r>
    </w:p>
    <w:p>
      <w:pPr>
        <w:pStyle w:val="ManualNumPar1"/>
        <w:rPr>
          <w:noProof/>
        </w:rPr>
      </w:pPr>
      <w:r>
        <w:rPr>
          <w:noProof/>
        </w:rPr>
        <w:t>(1)</w:t>
      </w:r>
      <w:r>
        <w:rPr>
          <w:noProof/>
        </w:rPr>
        <w:tab/>
        <w:t>Directorul executiv este angajat ca agent temporar al Europol în temeiul articolului 2 litera (a) din Regimul aplicabil celorlalți agenți.</w:t>
      </w:r>
    </w:p>
    <w:p>
      <w:pPr>
        <w:pStyle w:val="ManualNumPar1"/>
        <w:rPr>
          <w:noProof/>
        </w:rPr>
      </w:pPr>
      <w:r>
        <w:rPr>
          <w:noProof/>
        </w:rPr>
        <w:t>(2)</w:t>
      </w:r>
      <w:r>
        <w:rPr>
          <w:noProof/>
        </w:rPr>
        <w:tab/>
        <w:t>Directorul executiv este numit de Consiliul de administrație dintr-o listă de candidați propusă de Comisie. În scopul încheierii contractului directorului executiv, Europol este reprezentat de președintele Consiliului de administrație.</w:t>
      </w:r>
    </w:p>
    <w:p>
      <w:pPr>
        <w:pStyle w:val="ManualNumPar1"/>
        <w:rPr>
          <w:noProof/>
        </w:rPr>
      </w:pPr>
      <w:r>
        <w:rPr>
          <w:noProof/>
        </w:rPr>
        <w:t>(3)</w:t>
      </w:r>
      <w:r>
        <w:rPr>
          <w:noProof/>
        </w:rPr>
        <w:tab/>
        <w:t>Mandatul directorului executiv are o durată de cinci ani. În timp util înainte de sfârșitul acestei perioade, Comisia efectuează o evaluare care ia în considerare evaluarea performanțelor directorului executiv, precum și sarcinile și provocările viitoare ale Europol.</w:t>
      </w:r>
    </w:p>
    <w:p>
      <w:pPr>
        <w:pStyle w:val="ManualNumPar1"/>
        <w:rPr>
          <w:noProof/>
        </w:rPr>
      </w:pPr>
      <w:r>
        <w:rPr>
          <w:noProof/>
        </w:rPr>
        <w:t>(4)</w:t>
      </w:r>
      <w:r>
        <w:rPr>
          <w:noProof/>
        </w:rPr>
        <w:tab/>
        <w:t>La propunerea Comisiei, care ține cont de evaluarea menționată la alineatul (3), Consiliul de administrație poate prelungi mandatul directorului executiv o singură dată, cu cel mult cinci ani.</w:t>
      </w:r>
    </w:p>
    <w:p>
      <w:pPr>
        <w:pStyle w:val="ManualNumPar1"/>
        <w:rPr>
          <w:noProof/>
        </w:rPr>
      </w:pPr>
      <w:r>
        <w:rPr>
          <w:noProof/>
        </w:rPr>
        <w:t>(5)</w:t>
      </w:r>
      <w:r>
        <w:rPr>
          <w:noProof/>
        </w:rPr>
        <w:tab/>
        <w:t>Directorul executiv al cărui mandat a fost prelungit nu mai poate să participe la o altă procedură de selecție pentru același post la sfârșitul duratei totale a mandatului.</w:t>
      </w:r>
    </w:p>
    <w:p>
      <w:pPr>
        <w:pStyle w:val="ManualNumPar1"/>
        <w:rPr>
          <w:noProof/>
        </w:rPr>
      </w:pPr>
      <w:r>
        <w:rPr>
          <w:noProof/>
        </w:rPr>
        <w:t>(6)</w:t>
      </w:r>
      <w:r>
        <w:rPr>
          <w:noProof/>
        </w:rPr>
        <w:tab/>
        <w:t>Directorul executiv poate fi demis din funcție numai printr-o decizie a Consiliului de administrație, la propunerea Comisiei.</w:t>
      </w:r>
    </w:p>
    <w:p>
      <w:pPr>
        <w:pStyle w:val="ManualNumPar1"/>
        <w:rPr>
          <w:noProof/>
        </w:rPr>
      </w:pPr>
      <w:r>
        <w:rPr>
          <w:noProof/>
        </w:rPr>
        <w:t>(7)</w:t>
      </w:r>
      <w:r>
        <w:rPr>
          <w:noProof/>
        </w:rPr>
        <w:tab/>
        <w:t>Consiliul de administrație adoptă deciziile referitoare la numirea, la prelungirea mandatului sau la demiterea din funcție a directorului executiv și/sau a directorului (directorilor) executiv(i) adjunct (adjuncți) cu o majoritate de două treimi dintre membrii săi cu drept de vot.</w:t>
      </w:r>
    </w:p>
    <w:p>
      <w:pPr>
        <w:pStyle w:val="ManualNumPar1"/>
        <w:rPr>
          <w:noProof/>
        </w:rPr>
      </w:pPr>
      <w:r>
        <w:rPr>
          <w:noProof/>
        </w:rPr>
        <w:t>(8)</w:t>
      </w:r>
      <w:r>
        <w:rPr>
          <w:noProof/>
        </w:rPr>
        <w:tab/>
        <w:t>În cazul apariției unui post vacant, cu excepția cazului în care Consiliul de administrație decide care dintre directorii executivi adjuncți va prelua sarcinile și responsabilitățile directorului executiv până la numirea unui nou director executiv, un director executiv adjunct cu cel mai înalt grad va prelua acest rol.</w:t>
      </w:r>
    </w:p>
    <w:p>
      <w:pPr>
        <w:pStyle w:val="Titrearticle"/>
        <w:rPr>
          <w:noProof/>
        </w:rPr>
      </w:pPr>
      <w:r>
        <w:rPr>
          <w:noProof/>
        </w:rPr>
        <w:t>Articolul 77</w:t>
      </w:r>
    </w:p>
    <w:p>
      <w:pPr>
        <w:pStyle w:val="NormalCentered"/>
        <w:rPr>
          <w:noProof/>
        </w:rPr>
      </w:pPr>
      <w:r>
        <w:rPr>
          <w:b/>
          <w:noProof/>
        </w:rPr>
        <w:t>Sarcinile și responsabilitățile directorului executiv</w:t>
      </w:r>
    </w:p>
    <w:p>
      <w:pPr>
        <w:pStyle w:val="ManualNumPar1"/>
        <w:rPr>
          <w:noProof/>
        </w:rPr>
      </w:pPr>
      <w:r>
        <w:rPr>
          <w:noProof/>
        </w:rPr>
        <w:t>(1)</w:t>
      </w:r>
      <w:r>
        <w:rPr>
          <w:noProof/>
        </w:rPr>
        <w:tab/>
        <w:t>Directorul executiv este responsabil de gestionarea Europol. Directorul executiv răspunde în fața Consiliului de administrație.</w:t>
      </w:r>
    </w:p>
    <w:p>
      <w:pPr>
        <w:pStyle w:val="ManualNumPar1"/>
        <w:rPr>
          <w:noProof/>
        </w:rPr>
      </w:pPr>
      <w:r>
        <w:rPr>
          <w:noProof/>
        </w:rPr>
        <w:t>(2)</w:t>
      </w:r>
      <w:r>
        <w:rPr>
          <w:noProof/>
        </w:rPr>
        <w:tab/>
        <w:t xml:space="preserve">Directorul executiv raportează Parlamentului European, JPSG și Consiliului cu privire la performanțele și atribuțiile Europol atunci când este invitat să facă acest lucru. </w:t>
      </w:r>
    </w:p>
    <w:p>
      <w:pPr>
        <w:pStyle w:val="ManualNumPar1"/>
        <w:rPr>
          <w:noProof/>
        </w:rPr>
      </w:pPr>
      <w:r>
        <w:rPr>
          <w:noProof/>
        </w:rPr>
        <w:t>(3)</w:t>
      </w:r>
      <w:r>
        <w:rPr>
          <w:noProof/>
        </w:rPr>
        <w:tab/>
        <w:t>Directorul executiv este reprezentantul legal al Europol.</w:t>
      </w:r>
    </w:p>
    <w:p>
      <w:pPr>
        <w:pStyle w:val="ManualNumPar1"/>
        <w:rPr>
          <w:noProof/>
        </w:rPr>
      </w:pPr>
      <w:r>
        <w:rPr>
          <w:noProof/>
        </w:rPr>
        <w:t>(4)</w:t>
      </w:r>
      <w:r>
        <w:rPr>
          <w:noProof/>
        </w:rPr>
        <w:tab/>
        <w:t>Directorul executiv răspunde de punerea în aplicare a atribuțiilor ce revin Europol în temeiul prezentul regulament. În special, directorul executiv este responsabil pentru:</w:t>
      </w:r>
    </w:p>
    <w:p>
      <w:pPr>
        <w:pStyle w:val="Point1"/>
        <w:rPr>
          <w:noProof/>
        </w:rPr>
      </w:pPr>
      <w:r>
        <w:rPr>
          <w:noProof/>
        </w:rPr>
        <w:t>(a)</w:t>
      </w:r>
      <w:r>
        <w:rPr>
          <w:noProof/>
        </w:rPr>
        <w:tab/>
        <w:t>asigurarea administrării curente a Europol;</w:t>
      </w:r>
    </w:p>
    <w:p>
      <w:pPr>
        <w:pStyle w:val="Point1"/>
        <w:rPr>
          <w:noProof/>
        </w:rPr>
      </w:pPr>
      <w:r>
        <w:rPr>
          <w:noProof/>
        </w:rPr>
        <w:t>(b)</w:t>
      </w:r>
      <w:r>
        <w:rPr>
          <w:noProof/>
        </w:rPr>
        <w:tab/>
        <w:t>propunerea către Consiliul de administrație a instituirii unor funcții sau capacități operaționale, tehnice sau administrative găzduite în alte state membre decât statul membru gazdă, atunci când acest lucru este necesar pentru îndeplinirea atribuțiilor Europol;</w:t>
      </w:r>
    </w:p>
    <w:p>
      <w:pPr>
        <w:pStyle w:val="Point1"/>
        <w:rPr>
          <w:noProof/>
        </w:rPr>
      </w:pPr>
      <w:r>
        <w:rPr>
          <w:noProof/>
        </w:rPr>
        <w:t>(c)</w:t>
      </w:r>
      <w:r>
        <w:rPr>
          <w:noProof/>
        </w:rPr>
        <w:tab/>
        <w:t>identificarea priorităților operaționale, a lacunelor în materie de capacități și a amenințărilor emergente la adresa securității relevante pentru competența Europol și propunerea către Consiliul de administrație a luării de măsuri operaționale, tehnologice sau organizatorice adecvate;</w:t>
      </w:r>
    </w:p>
    <w:p>
      <w:pPr>
        <w:pStyle w:val="Point1"/>
        <w:rPr>
          <w:noProof/>
        </w:rPr>
      </w:pPr>
      <w:r>
        <w:rPr>
          <w:noProof/>
        </w:rPr>
        <w:t>(d)</w:t>
      </w:r>
      <w:r>
        <w:rPr>
          <w:noProof/>
        </w:rPr>
        <w:tab/>
        <w:t>asigurarea respectării normelor financiare ale Europol;</w:t>
      </w:r>
    </w:p>
    <w:p>
      <w:pPr>
        <w:pStyle w:val="Point1"/>
        <w:rPr>
          <w:noProof/>
        </w:rPr>
      </w:pPr>
      <w:r>
        <w:rPr>
          <w:noProof/>
        </w:rPr>
        <w:t>(e)</w:t>
      </w:r>
      <w:r>
        <w:rPr>
          <w:noProof/>
        </w:rPr>
        <w:tab/>
        <w:t>elaborarea proiectului de document unic de programare și prezentarea acestuia Consiliului de administrație, după consultarea Comisiei;</w:t>
      </w:r>
    </w:p>
    <w:p>
      <w:pPr>
        <w:pStyle w:val="Point1"/>
        <w:rPr>
          <w:noProof/>
        </w:rPr>
      </w:pPr>
      <w:r>
        <w:rPr>
          <w:noProof/>
        </w:rPr>
        <w:t>(f)</w:t>
      </w:r>
      <w:r>
        <w:rPr>
          <w:noProof/>
        </w:rPr>
        <w:tab/>
        <w:t>elaborarea raportului anual de activitate consolidat al Europol și prezentarea acestuia Consiliului de administrație în vederea evaluării și adoptării;</w:t>
      </w:r>
    </w:p>
    <w:p>
      <w:pPr>
        <w:pStyle w:val="Point1"/>
        <w:rPr>
          <w:noProof/>
        </w:rPr>
      </w:pPr>
      <w:r>
        <w:rPr>
          <w:noProof/>
        </w:rPr>
        <w:t>(g)</w:t>
      </w:r>
      <w:r>
        <w:rPr>
          <w:noProof/>
        </w:rPr>
        <w:tab/>
        <w:t>protejarea intereselor financiare ale Uniunii prin aplicarea de măsuri de prevenire a fraudei, a corupției și a oricăror alte activități ilegale, fără a aduce atingere competențelor de investigare ale OLAF și EPPO, prin efectuarea de controale eficace și, în cazul constatării unor nereguli, prin recuperarea sumelor plătite în mod necuvenit și, după caz, prin aplicarea unor sancțiuni administrative eficace, proporționale și disuasive și a unor sancțiuni financiare;</w:t>
      </w:r>
    </w:p>
    <w:p>
      <w:pPr>
        <w:pStyle w:val="Point1"/>
        <w:rPr>
          <w:noProof/>
        </w:rPr>
      </w:pPr>
      <w:r>
        <w:rPr>
          <w:noProof/>
        </w:rPr>
        <w:t>(h)</w:t>
      </w:r>
      <w:r>
        <w:rPr>
          <w:noProof/>
        </w:rPr>
        <w:tab/>
        <w:t>raportarea către EPPO a oricărui comportament infracțional în conformitate cu articolul 24 din Regulamentul (UE) 2017/1939 cu privire la care EPPO ar putea să își exercite competența și raportarea către OLAF în conformitate cu articolul 8 alineatul (1) din Regulamentul (UE, Euratom) 883/2013;</w:t>
      </w:r>
    </w:p>
    <w:p>
      <w:pPr>
        <w:pStyle w:val="Point1"/>
        <w:rPr>
          <w:noProof/>
        </w:rPr>
      </w:pPr>
      <w:r>
        <w:rPr>
          <w:noProof/>
        </w:rPr>
        <w:t>(i)</w:t>
      </w:r>
      <w:r>
        <w:rPr>
          <w:noProof/>
        </w:rPr>
        <w:tab/>
        <w:t>elaborarea unui plan de acțiune subsecvent concluziilor rapoartelor de audit și evaluărilor interne sau externe, precum și rapoartelor de investigație și recomandărilor în urma investigațiilor desfășurate de EPPO, OLAF și AEPD, raportarea periodică a progreselor înregistrate către Consiliul de administrație și informarea Comisiei, după caz și fără întârzieri nejustificate, cu privire la constatările semnificative și la măsurile luate ca răspuns;</w:t>
      </w:r>
    </w:p>
    <w:p>
      <w:pPr>
        <w:pStyle w:val="Point1"/>
        <w:rPr>
          <w:noProof/>
        </w:rPr>
      </w:pPr>
      <w:r>
        <w:rPr>
          <w:noProof/>
        </w:rPr>
        <w:t>(j)</w:t>
      </w:r>
      <w:r>
        <w:rPr>
          <w:noProof/>
        </w:rPr>
        <w:tab/>
        <w:t>elaborarea proiectului de norme financiare aplicabile agenției;</w:t>
      </w:r>
    </w:p>
    <w:p>
      <w:pPr>
        <w:pStyle w:val="Point1"/>
        <w:rPr>
          <w:noProof/>
        </w:rPr>
      </w:pPr>
      <w:r>
        <w:rPr>
          <w:noProof/>
        </w:rPr>
        <w:t>(k)</w:t>
      </w:r>
      <w:r>
        <w:rPr>
          <w:noProof/>
        </w:rPr>
        <w:tab/>
        <w:t>elaborarea proiectului de buget estimativ privind veniturile și cheltuielile agenției și execuția bugetului acesteia, în conformitate cu principiile bunei gestiuni financiare și întocmirii bugetului în funcție de performanțe;</w:t>
      </w:r>
    </w:p>
    <w:p>
      <w:pPr>
        <w:pStyle w:val="Point1"/>
        <w:rPr>
          <w:noProof/>
        </w:rPr>
      </w:pPr>
      <w:r>
        <w:rPr>
          <w:noProof/>
        </w:rPr>
        <w:t>(l)</w:t>
      </w:r>
      <w:r>
        <w:rPr>
          <w:noProof/>
        </w:rPr>
        <w:tab/>
        <w:t>pregătirea de proiecte corespunzătoare de norme de aplicare a Statutului funcționarilor și a Regimului aplicabil celorlalți agenți, în conformitate cu articolul 110 din Statutul funcționarilor;</w:t>
      </w:r>
    </w:p>
    <w:p>
      <w:pPr>
        <w:pStyle w:val="Point1"/>
        <w:rPr>
          <w:noProof/>
        </w:rPr>
      </w:pPr>
      <w:r>
        <w:rPr>
          <w:noProof/>
        </w:rPr>
        <w:t>(m)</w:t>
      </w:r>
      <w:r>
        <w:rPr>
          <w:noProof/>
        </w:rPr>
        <w:tab/>
        <w:t>elaborarea proiectului de norme interne pentru prevenirea și gestionarea conflictelor de interese privind membrii Consiliului de administrație și prezentarea acestuia Consiliului de administrație spre adoptare;</w:t>
      </w:r>
    </w:p>
    <w:p>
      <w:pPr>
        <w:pStyle w:val="Point1"/>
        <w:rPr>
          <w:noProof/>
        </w:rPr>
      </w:pPr>
      <w:r>
        <w:rPr>
          <w:noProof/>
        </w:rPr>
        <w:t>(n)</w:t>
      </w:r>
      <w:r>
        <w:rPr>
          <w:noProof/>
        </w:rPr>
        <w:tab/>
        <w:t>promovarea diversității și a echilibrului de gen în ceea ce privește recrutarea personalului agenției;</w:t>
      </w:r>
    </w:p>
    <w:p>
      <w:pPr>
        <w:pStyle w:val="Point1"/>
        <w:rPr>
          <w:noProof/>
        </w:rPr>
      </w:pPr>
      <w:r>
        <w:rPr>
          <w:noProof/>
        </w:rPr>
        <w:t>(o)</w:t>
      </w:r>
      <w:r>
        <w:rPr>
          <w:noProof/>
        </w:rPr>
        <w:tab/>
        <w:t>informarea periodică a Consiliului de administrație cu privire la cooperarea cu instituțiile, organele, misiunile și agențiile Uniunii, inclusiv cu privire la elaborarea și încheierea acordurilor de lucru și la considerațiile operaționale legate de acestea, și, după caz, prezentarea către Consiliul de administrație a unor propuneri de măsuri ulterioare;</w:t>
      </w:r>
    </w:p>
    <w:p>
      <w:pPr>
        <w:pStyle w:val="Point1"/>
        <w:rPr>
          <w:noProof/>
        </w:rPr>
      </w:pPr>
      <w:r>
        <w:rPr>
          <w:noProof/>
        </w:rPr>
        <w:t>(p)</w:t>
      </w:r>
      <w:r>
        <w:rPr>
          <w:noProof/>
        </w:rPr>
        <w:tab/>
        <w:t>informarea periodică a Consiliului de administrație cu privire la cooperarea cu țările terțe și cu organizațiile internaționale, inclusiv cu privire la elaborarea și încheierea acordurilor de lucru cu autoritățile țărilor terțe și cu organizațiile internaționale;</w:t>
      </w:r>
    </w:p>
    <w:p>
      <w:pPr>
        <w:pStyle w:val="Point1"/>
        <w:rPr>
          <w:noProof/>
        </w:rPr>
      </w:pPr>
      <w:r>
        <w:rPr>
          <w:noProof/>
        </w:rPr>
        <w:t>(q)</w:t>
      </w:r>
      <w:r>
        <w:rPr>
          <w:noProof/>
        </w:rPr>
        <w:tab/>
        <w:t>informarea periodică a Consiliului de administrație cu privire la aplicarea Regulamentului (UE) 2018/1725 în ceea ce privește transferul de date cu caracter personal și la considerațiile operaționale legate de acesta;</w:t>
      </w:r>
    </w:p>
    <w:p>
      <w:pPr>
        <w:pStyle w:val="Point1"/>
        <w:rPr>
          <w:noProof/>
        </w:rPr>
      </w:pPr>
      <w:r>
        <w:rPr>
          <w:noProof/>
        </w:rPr>
        <w:t>(r)</w:t>
      </w:r>
      <w:r>
        <w:rPr>
          <w:noProof/>
        </w:rPr>
        <w:tab/>
        <w:t>informarea periodică a Consiliului de administrație cu privire la acordurile de lucru încheiate cu părți private, inclusiv relevanța strategică a acestora, impactul operațional și orice risc asociat;</w:t>
      </w:r>
    </w:p>
    <w:p>
      <w:pPr>
        <w:pStyle w:val="Point1"/>
        <w:rPr>
          <w:noProof/>
        </w:rPr>
      </w:pPr>
      <w:r>
        <w:rPr>
          <w:noProof/>
        </w:rPr>
        <w:t>(s)</w:t>
      </w:r>
      <w:r>
        <w:rPr>
          <w:noProof/>
        </w:rPr>
        <w:tab/>
        <w:t>executarea altor atribuții care îi revin în temeiul prezentului regulament.</w:t>
      </w:r>
    </w:p>
    <w:p>
      <w:pPr>
        <w:pStyle w:val="Titrearticle"/>
        <w:rPr>
          <w:noProof/>
        </w:rPr>
      </w:pPr>
      <w:r>
        <w:rPr>
          <w:noProof/>
        </w:rPr>
        <w:t>Articolul 78</w:t>
      </w:r>
    </w:p>
    <w:p>
      <w:pPr>
        <w:pStyle w:val="NormalCentered"/>
        <w:rPr>
          <w:noProof/>
        </w:rPr>
      </w:pPr>
      <w:r>
        <w:rPr>
          <w:b/>
          <w:noProof/>
        </w:rPr>
        <w:t>Directorii executivi adjuncți</w:t>
      </w:r>
    </w:p>
    <w:p>
      <w:pPr>
        <w:pStyle w:val="ManualNumPar1"/>
        <w:rPr>
          <w:noProof/>
        </w:rPr>
      </w:pPr>
      <w:r>
        <w:rPr>
          <w:noProof/>
        </w:rPr>
        <w:t>(1)</w:t>
      </w:r>
      <w:r>
        <w:rPr>
          <w:noProof/>
        </w:rPr>
        <w:tab/>
        <w:t>Directorul executiv poate fi asistat de unul sau mai mulți directori executivi adjuncți. Atribuțiile acestora sunt definite de directorul executiv.</w:t>
      </w:r>
    </w:p>
    <w:p>
      <w:pPr>
        <w:pStyle w:val="ManualNumPar1"/>
        <w:rPr>
          <w:noProof/>
        </w:rPr>
      </w:pPr>
      <w:r>
        <w:rPr>
          <w:noProof/>
        </w:rPr>
        <w:t>(2)</w:t>
      </w:r>
      <w:r>
        <w:rPr>
          <w:noProof/>
        </w:rPr>
        <w:tab/>
        <w:t>Articolul 77 se aplică directorilor executivi adjuncți. Directorul executiv este consultat înainte de numirea, prelungirea mandatului sau demiterea din funcție a acestora.</w:t>
      </w:r>
    </w:p>
    <w:p>
      <w:pPr>
        <w:pStyle w:val="ChapterTitle"/>
        <w:rPr>
          <w:noProof/>
        </w:rPr>
      </w:pPr>
      <w:r>
        <w:rPr>
          <w:noProof/>
        </w:rPr>
        <w:t xml:space="preserve">Capitolul VI </w:t>
      </w:r>
      <w:r>
        <w:rPr>
          <w:noProof/>
        </w:rPr>
        <w:br/>
        <w:t>Relațiile cu entitățile Uniunii</w:t>
      </w:r>
    </w:p>
    <w:p>
      <w:pPr>
        <w:pStyle w:val="Titrearticle"/>
        <w:rPr>
          <w:noProof/>
        </w:rPr>
      </w:pPr>
      <w:r>
        <w:rPr>
          <w:noProof/>
        </w:rPr>
        <w:t>Articolul 79</w:t>
      </w:r>
    </w:p>
    <w:p>
      <w:pPr>
        <w:pStyle w:val="NormalCentered"/>
        <w:rPr>
          <w:noProof/>
        </w:rPr>
      </w:pPr>
      <w:r>
        <w:rPr>
          <w:b/>
          <w:noProof/>
        </w:rPr>
        <w:t>Dispoziții comune</w:t>
      </w:r>
    </w:p>
    <w:p>
      <w:pPr>
        <w:pStyle w:val="ManualNumPar1"/>
        <w:rPr>
          <w:noProof/>
        </w:rPr>
      </w:pPr>
      <w:r>
        <w:rPr>
          <w:noProof/>
        </w:rPr>
        <w:t>(1)</w:t>
      </w:r>
      <w:r>
        <w:rPr>
          <w:noProof/>
        </w:rPr>
        <w:tab/>
        <w:t xml:space="preserve">Europol poate stabili și menține relații de cooperare cu organele, oficiile și agențiile Uniunii în conformitate cu sarcinile atribuite Europol și respectivelor organe, oficii și agenții și urmărește să asigure sinergii în îndeplinirea sarcinilor acestora. Europol stabilește și menține o relație strânsă cu organele, oficiile și agențiile Uniunii în temeiul articolelor 81-90, care nu se limitează la domeniile menționate la articolele respective. </w:t>
      </w:r>
    </w:p>
    <w:p>
      <w:pPr>
        <w:pStyle w:val="Text1"/>
        <w:rPr>
          <w:noProof/>
        </w:rPr>
      </w:pPr>
      <w:r>
        <w:rPr>
          <w:noProof/>
        </w:rPr>
        <w:t>Europol poate, de asemenea, stabili și menține relații de cooperare cu instituțiile și misiunile Uniunii înființate în temeiul tratatelor, în conformitate cu sarcinile atribuite Europol și respectivelor instituții și misiuni.</w:t>
      </w:r>
    </w:p>
    <w:p>
      <w:pPr>
        <w:pStyle w:val="ManualNumPar1"/>
        <w:rPr>
          <w:noProof/>
        </w:rPr>
      </w:pPr>
      <w:r>
        <w:rPr>
          <w:noProof/>
        </w:rPr>
        <w:t>(2)</w:t>
      </w:r>
      <w:r>
        <w:rPr>
          <w:noProof/>
        </w:rPr>
        <w:tab/>
        <w:t>Cooperarea Europol cu organele, oficiile și agențiile Uniunii în temeiul prezentului capitol vizează în special consolidarea eficacității globale a răspunsului Uniunii la formele de criminalitate enumerate în anexa I, în special prin încercarea de a asigura complementaritatea și, atunci când este posibil, de a îmbunătăți coordonarea și a evita suprapunerea acțiunilor, inclusiv prin:</w:t>
      </w:r>
    </w:p>
    <w:p>
      <w:pPr>
        <w:pStyle w:val="Point1"/>
        <w:rPr>
          <w:noProof/>
        </w:rPr>
      </w:pPr>
      <w:r>
        <w:rPr>
          <w:noProof/>
        </w:rPr>
        <w:t>(a)</w:t>
      </w:r>
      <w:r>
        <w:rPr>
          <w:noProof/>
        </w:rPr>
        <w:tab/>
        <w:t>schimb de informații, în conformitate cu condițiile prevăzute în prezentul regulament;</w:t>
      </w:r>
    </w:p>
    <w:p>
      <w:pPr>
        <w:pStyle w:val="Point1"/>
        <w:ind w:left="1701" w:hanging="851"/>
        <w:rPr>
          <w:noProof/>
        </w:rPr>
      </w:pPr>
      <w:r>
        <w:rPr>
          <w:noProof/>
        </w:rPr>
        <w:t>(b)</w:t>
      </w:r>
      <w:r>
        <w:rPr>
          <w:noProof/>
        </w:rPr>
        <w:tab/>
        <w:t>activități operaționale;</w:t>
      </w:r>
    </w:p>
    <w:p>
      <w:pPr>
        <w:pStyle w:val="Point1"/>
        <w:ind w:left="1701" w:hanging="851"/>
        <w:rPr>
          <w:noProof/>
        </w:rPr>
      </w:pPr>
      <w:r>
        <w:rPr>
          <w:noProof/>
        </w:rPr>
        <w:t>(c)</w:t>
      </w:r>
      <w:r>
        <w:rPr>
          <w:noProof/>
        </w:rPr>
        <w:tab/>
        <w:t>activități strategice și analitice;</w:t>
      </w:r>
    </w:p>
    <w:p>
      <w:pPr>
        <w:pStyle w:val="Point1"/>
        <w:ind w:left="1701" w:hanging="851"/>
        <w:rPr>
          <w:noProof/>
        </w:rPr>
      </w:pPr>
      <w:r>
        <w:rPr>
          <w:noProof/>
        </w:rPr>
        <w:t>(d)</w:t>
      </w:r>
      <w:r>
        <w:rPr>
          <w:noProof/>
        </w:rPr>
        <w:tab/>
        <w:t>schimb de expertiză și cunoștințe de specialitate;</w:t>
      </w:r>
    </w:p>
    <w:p>
      <w:pPr>
        <w:pStyle w:val="Point1"/>
        <w:ind w:left="1701" w:hanging="851"/>
        <w:rPr>
          <w:noProof/>
        </w:rPr>
      </w:pPr>
      <w:r>
        <w:rPr>
          <w:noProof/>
        </w:rPr>
        <w:t>(e)</w:t>
      </w:r>
      <w:r>
        <w:rPr>
          <w:noProof/>
        </w:rPr>
        <w:tab/>
        <w:t>activități de formare;</w:t>
      </w:r>
    </w:p>
    <w:p>
      <w:pPr>
        <w:pStyle w:val="Point1"/>
        <w:rPr>
          <w:noProof/>
        </w:rPr>
      </w:pPr>
      <w:r>
        <w:rPr>
          <w:noProof/>
        </w:rPr>
        <w:t>(f)</w:t>
      </w:r>
      <w:r>
        <w:rPr>
          <w:noProof/>
        </w:rPr>
        <w:tab/>
        <w:t>dezvoltarea capacităților, inclusiv prin cercetare și inovare, precum și prin achiziții publice comune;</w:t>
      </w:r>
    </w:p>
    <w:p>
      <w:pPr>
        <w:pStyle w:val="Point1"/>
        <w:rPr>
          <w:noProof/>
        </w:rPr>
      </w:pPr>
      <w:r>
        <w:rPr>
          <w:noProof/>
        </w:rPr>
        <w:t>(g)</w:t>
      </w:r>
      <w:r>
        <w:rPr>
          <w:noProof/>
        </w:rPr>
        <w:tab/>
        <w:t>coordonarea activităților, după caz, în legătură cu țări terțe și organizații internaționale;</w:t>
      </w:r>
    </w:p>
    <w:p>
      <w:pPr>
        <w:pStyle w:val="Point1"/>
        <w:rPr>
          <w:noProof/>
        </w:rPr>
      </w:pPr>
      <w:r>
        <w:rPr>
          <w:noProof/>
        </w:rPr>
        <w:t>(h)</w:t>
      </w:r>
      <w:r>
        <w:rPr>
          <w:noProof/>
        </w:rPr>
        <w:tab/>
        <w:t>coordonarea activităților pentru punerea în aplicare a strategiilor și a priorităților de politică relevante ale Uniunii.</w:t>
      </w:r>
    </w:p>
    <w:p>
      <w:pPr>
        <w:pStyle w:val="ManualNumPar1"/>
        <w:rPr>
          <w:noProof/>
        </w:rPr>
      </w:pPr>
      <w:r>
        <w:rPr>
          <w:noProof/>
        </w:rPr>
        <w:t>(3)</w:t>
      </w:r>
      <w:r>
        <w:rPr>
          <w:noProof/>
        </w:rPr>
        <w:tab/>
        <w:t>Cooperarea menționată la alineatele (1) și (2) are loc în cadrul acordurilor de lucru încheiate cu entitățile menționate la alineatul (1). Astfel de acorduri de lucru nu permit schimbul de date cu caracter personal și nu au caracter obligatoriu pentru Uniune sau pentru statele membre ale acesteia.</w:t>
      </w:r>
    </w:p>
    <w:p>
      <w:pPr>
        <w:pStyle w:val="Text1"/>
        <w:rPr>
          <w:noProof/>
        </w:rPr>
      </w:pPr>
      <w:r>
        <w:rPr>
          <w:noProof/>
        </w:rPr>
        <w:t>Acordurile de lucru încheiate cu organele, oficiile și agențiile Uniunii instituite în cadrul TFUE sunt supuse aprobării prealabile a Comisiei, cu excepția acordului de lucru menționat la articolul 81. Aceste acorduri de lucru fac obiectul unei revizuiri periodice, în funcție de evoluția nevoilor operaționale, la inițiativa Europol și a instituției, organului, misiunii, oficiului sau agenției Uniunii în cauză sau, cu excepția acordului de lucru menționat la articolul 81, la cererea Comisiei.</w:t>
      </w:r>
    </w:p>
    <w:p>
      <w:pPr>
        <w:pStyle w:val="Text1"/>
        <w:rPr>
          <w:noProof/>
        </w:rPr>
      </w:pPr>
      <w:r>
        <w:rPr>
          <w:noProof/>
        </w:rPr>
        <w:t>Orice acord de lucru încheiat de Europol cu o instituție, un organ, o misiune, un oficiu sau o agenție a Uniunii înainte de intrarea în vigoare a prezentului regulament face obiectul unei revizuiri după data de începere a aplicării prezentului regulament.</w:t>
      </w:r>
    </w:p>
    <w:p>
      <w:pPr>
        <w:pStyle w:val="ManualNumPar1"/>
        <w:rPr>
          <w:noProof/>
        </w:rPr>
      </w:pPr>
      <w:r>
        <w:rPr>
          <w:noProof/>
        </w:rPr>
        <w:t>(4)</w:t>
      </w:r>
      <w:r>
        <w:rPr>
          <w:noProof/>
        </w:rPr>
        <w:tab/>
        <w:t>Directorul executiv informează Consiliul de administrație cu privire la toate relațiile de cooperare regulate pe care Europol intenționează să le stabilească și să le întrețină, în conformitate cu alineatele (1), (2) și (3), precum și cu privire la dezvoltarea acestor relații, odată stabilite.</w:t>
      </w:r>
    </w:p>
    <w:p>
      <w:pPr>
        <w:pStyle w:val="ManualNumPar1"/>
        <w:rPr>
          <w:noProof/>
        </w:rPr>
      </w:pPr>
      <w:r>
        <w:rPr>
          <w:noProof/>
        </w:rPr>
        <w:t>(5)</w:t>
      </w:r>
      <w:r>
        <w:rPr>
          <w:noProof/>
        </w:rPr>
        <w:tab/>
        <w:t xml:space="preserve">Sub rezerva oricărei restricții în temeiul articolului 33 alineatul (2) și a normelor aplicabile în temeiul articolului 129, Europol poate face în mod direct schimb de informații de orice tip, cu excepția datelor cu caracter personal, cu o instituție, un organ, o misiune, un oficiu sau o agenție a Uniunii, în măsura în care un astfel de schimb este relevant pentru îndeplinirea atribuțiilor Europol sau ale instituției, organului, misiunii, oficiului sau agenției respectiv(e) a(l) Uniunii. </w:t>
      </w:r>
    </w:p>
    <w:p>
      <w:pPr>
        <w:pStyle w:val="ManualNumPar1"/>
        <w:rPr>
          <w:noProof/>
        </w:rPr>
      </w:pPr>
      <w:r>
        <w:rPr>
          <w:noProof/>
        </w:rPr>
        <w:t>(6)</w:t>
      </w:r>
      <w:r>
        <w:rPr>
          <w:noProof/>
        </w:rPr>
        <w:tab/>
        <w:t>Sub rezerva oricărei restricții indicate în temeiul articolului 33 alineatul (2) sau (3) și a normelor aplicabile în temeiul articolului 129, Europol poate transmite date cu caracter personal entităților menționate la alineatul (1), în măsura în care o astfel de transmitere este necesară și proporțională pentru îndeplinirea legitimă a sarcinilor entității respective. Datele cu caracter personal transmise de Europol entităților menționate la alineatul (1) pot fi prelucrate în alt scop numai cu autorizarea Europol și în cazul în care acest lucru este compatibil cu scopul inițial pentru care datele au fost colectate și transmise de Europol. În cazul în care datele care urmează să fie transmise au fost furnizate de un stat membru sau de o instituție, un organ, un oficiu sau o agenție a(l) Uniunii și sunt îndeplinite condițiile prevăzute la articolul 81 alineatele (3) și (4), Europol face schimb de date cu caracter personal și de alte informații relevante cu EPPO, indiferent de orice restricție indicată în temeiul articolului 33 alineatul (2) sau (3).</w:t>
      </w:r>
    </w:p>
    <w:p>
      <w:pPr>
        <w:pStyle w:val="ManualNumPar1"/>
        <w:rPr>
          <w:noProof/>
        </w:rPr>
      </w:pPr>
      <w:r>
        <w:rPr>
          <w:noProof/>
        </w:rPr>
        <w:t>(7)</w:t>
      </w:r>
      <w:r>
        <w:rPr>
          <w:noProof/>
        </w:rPr>
        <w:tab/>
        <w:t>Europol poate primi și prelucra date cu caracter personal de la instituțiile, organele, misiunile, oficiile și agențiile Uniunii în măsura în care acest lucru este necesar și proporțional pentru îndeplinirea legitimă a atribuțiilor sale. Nu ar trebui prelucrată nicio informație care a fost obținută în mod clar cu încălcarea evidentă a drepturilor omului.</w:t>
      </w:r>
    </w:p>
    <w:p>
      <w:pPr>
        <w:pStyle w:val="ManualNumPar1"/>
        <w:rPr>
          <w:noProof/>
        </w:rPr>
      </w:pPr>
      <w:r>
        <w:rPr>
          <w:noProof/>
        </w:rPr>
        <w:t>(8)</w:t>
      </w:r>
      <w:r>
        <w:rPr>
          <w:noProof/>
        </w:rPr>
        <w:tab/>
        <w:t xml:space="preserve">În cazul în care o instituție, un organ, o misiune, un oficiu sau o agenție a Uniunii a primit date cu caracter personal de la Europol, transmiterile sau transferurile ulterioare ale acestor date sunt interzise, cu excepția cazului în care Europol și-a dat autorizarea prealabilă și explicită. </w:t>
      </w:r>
    </w:p>
    <w:p>
      <w:pPr>
        <w:pStyle w:val="ManualNumPar1"/>
        <w:rPr>
          <w:noProof/>
        </w:rPr>
      </w:pPr>
      <w:r>
        <w:rPr>
          <w:noProof/>
        </w:rPr>
        <w:t>(9)</w:t>
      </w:r>
      <w:r>
        <w:rPr>
          <w:noProof/>
        </w:rPr>
        <w:tab/>
        <w:t>Europol se asigură că sunt înregistrate în detaliu toate transmiterile sau transferurile datelor cu caracter personal și motivele acestor transmiteri sau transferuri, în conformitate cu prezentul regulament.</w:t>
      </w:r>
    </w:p>
    <w:p>
      <w:pPr>
        <w:pStyle w:val="Titrearticle"/>
        <w:rPr>
          <w:noProof/>
        </w:rPr>
      </w:pPr>
      <w:r>
        <w:rPr>
          <w:noProof/>
        </w:rPr>
        <w:t>Articolul 80</w:t>
      </w:r>
    </w:p>
    <w:p>
      <w:pPr>
        <w:pStyle w:val="NormalCentered"/>
        <w:ind w:left="851" w:hanging="851"/>
        <w:rPr>
          <w:noProof/>
        </w:rPr>
      </w:pPr>
      <w:r>
        <w:rPr>
          <w:b/>
          <w:noProof/>
        </w:rPr>
        <w:t>Dispoziții comune privind schimbul indirect de informații pe baza unui sistem de tip răspuns pozitiv/negativ („hit/no hit”)</w:t>
      </w:r>
    </w:p>
    <w:p>
      <w:pPr>
        <w:pStyle w:val="ManualNumPar1"/>
        <w:rPr>
          <w:rFonts w:eastAsia="Times New Roman"/>
          <w:noProof/>
          <w:szCs w:val="24"/>
        </w:rPr>
      </w:pPr>
      <w:r>
        <w:rPr>
          <w:noProof/>
        </w:rPr>
        <w:t>(1)</w:t>
      </w:r>
      <w:r>
        <w:rPr>
          <w:noProof/>
        </w:rPr>
        <w:tab/>
        <w:t xml:space="preserve">Europol ia toate măsurile corespunzătoare pentru a asigura accesul indirect al altor organe, oficii și agenții ale Uniunii, în cazul în care un astfel de acces este prevăzut în dreptul Uniunii, la informațiile deținute de Europol, în condiții de reciprocitate, prin intermediul unui sistem automatizat de tip răspuns pozitiv/răspuns negativ („hit/no hit”), care funcționează pe baza consultării unor registre care trebuie menținute la zi. </w:t>
      </w:r>
    </w:p>
    <w:p>
      <w:pPr>
        <w:pStyle w:val="ManualNumPar1"/>
        <w:rPr>
          <w:rFonts w:eastAsia="Times New Roman"/>
          <w:noProof/>
        </w:rPr>
      </w:pPr>
      <w:r>
        <w:rPr>
          <w:noProof/>
        </w:rPr>
        <w:t>(2)</w:t>
      </w:r>
      <w:r>
        <w:rPr>
          <w:noProof/>
        </w:rPr>
        <w:tab/>
        <w:t>Accesul indirect la informații în temeiul primului paragraf</w:t>
      </w:r>
      <w:r>
        <w:rPr>
          <w:noProof/>
          <w:color w:val="00B050"/>
        </w:rPr>
        <w:t xml:space="preserve"> </w:t>
      </w:r>
      <w:r>
        <w:rPr>
          <w:noProof/>
        </w:rPr>
        <w:t>nu aduce atingere restricțiilor indicate de statele membre, instituțiile, organele, misiunile, oficiile și agențiile Uniunii, țările terțe sau organizațiile internaționale care au furnizat informațiile respective, în conformitate cu articolul 33 alineatul (2).</w:t>
      </w:r>
    </w:p>
    <w:p>
      <w:pPr>
        <w:pStyle w:val="ManualNumPar1"/>
        <w:rPr>
          <w:rFonts w:eastAsia="Times New Roman"/>
          <w:noProof/>
          <w:szCs w:val="24"/>
        </w:rPr>
      </w:pPr>
      <w:r>
        <w:rPr>
          <w:noProof/>
        </w:rPr>
        <w:t>(3)</w:t>
      </w:r>
      <w:r>
        <w:rPr>
          <w:noProof/>
        </w:rPr>
        <w:tab/>
        <w:t>În cazul unui răspuns pozitiv, Europol inițiază procedura prin care informațiile care au generat răspunsul pozitiv urmează să fie transmise organului, oficiului sau agenției Uniunii care efectuează căutarea, astfel cum se menționează la alineatul (1), în conformitate cu restricțiile stabilite de furnizorul informațiilor în temeiul prezentului regulament. În cazul unui răspuns pozitiv cu informații care fac obiectul restricțiilor indicate în temeiul articolului 33 alineatul (2), sistemul automatizat de tip răspuns pozitiv/răspuns negativ menționat la alineatul (1) nu notifică organul, oficiul sau agenția Uniunii care efectuează căutarea cu privire la respectivul răspuns pozitiv. În acest caz, Europol contactează rapid furnizorul informațiilor pentru a verifica dacă informațiile care au generat răspunsul pozitiv pot fi partajate cu organul, oficiul sau agenția Uniunii care efectuează căutarea. În cazul în care furnizorul informațiilor ridică restricțiile respective, Europol transmite informațiile care au generat răspunsul pozitiv către organul, oficiul sau agenția Uniunii care efectuează căutarea. În cazul în care furnizorul informațiilor menține restricțiile respective, Europol respectă restricțiile respective și nu transmite informațiile care au generat răspunsul pozitiv către organul, oficiul sau agenția Uniunii care efectuează căutarea.</w:t>
      </w:r>
    </w:p>
    <w:p>
      <w:pPr>
        <w:pStyle w:val="ManualNumPar1"/>
        <w:rPr>
          <w:rFonts w:eastAsia="Times New Roman"/>
          <w:noProof/>
          <w:szCs w:val="24"/>
        </w:rPr>
      </w:pPr>
      <w:r>
        <w:rPr>
          <w:noProof/>
        </w:rPr>
        <w:t>(4)</w:t>
      </w:r>
      <w:r>
        <w:rPr>
          <w:noProof/>
        </w:rPr>
        <w:tab/>
        <w:t>Căutările de informații în conformitate cu alineatele (1) și (2) se efectuează doar în scopul de a identifica dacă informațiile disponibile la un alt organ, un alt oficiu sau o altă agenție a(l) Uniunii prezintă concordanțe cu informațiile prelucrate de Europol în sensul articolului 32 alineatul (2) literele (a), (b) și (c).</w:t>
      </w:r>
    </w:p>
    <w:p>
      <w:pPr>
        <w:pStyle w:val="ManualNumPar1"/>
        <w:rPr>
          <w:rFonts w:eastAsia="Times New Roman"/>
          <w:noProof/>
        </w:rPr>
      </w:pPr>
      <w:r>
        <w:rPr>
          <w:noProof/>
        </w:rPr>
        <w:t>(5)</w:t>
      </w:r>
      <w:r>
        <w:rPr>
          <w:noProof/>
        </w:rPr>
        <w:tab/>
        <w:t>Menținând caracterul automatizat al sistemului de tip răspuns pozitiv/răspuns negativ, Europol permite efectuarea de căutări în conformitate cu alineatele (1) și (2) numai de către persoanele desemnate de alte organe, oficii sau agenții ale Uniunii ca fiind autorizate să efectueze astfel de căutări.</w:t>
      </w:r>
    </w:p>
    <w:p>
      <w:pPr>
        <w:pStyle w:val="ManualNumPar1"/>
        <w:rPr>
          <w:rFonts w:eastAsia="Times New Roman"/>
          <w:noProof/>
        </w:rPr>
      </w:pPr>
      <w:r>
        <w:rPr>
          <w:noProof/>
        </w:rPr>
        <w:t>(6)</w:t>
      </w:r>
      <w:r>
        <w:rPr>
          <w:noProof/>
        </w:rPr>
        <w:tab/>
        <w:t xml:space="preserve">În condițiile de reciprocitate menționate la primul paragraf, Europol are acces indirect, în limitele competenței sale, pe baza unui sistem automatizat de tip răspuns pozitiv/răspuns negativ („hit/no hit”), la informațiile furnizate organelor, oficiilor și agențiilor Uniunii, sub rezerva condițiilor prevăzute în dreptul Uniunii. </w:t>
      </w:r>
    </w:p>
    <w:p>
      <w:pPr>
        <w:pStyle w:val="ManualNumPar1"/>
        <w:rPr>
          <w:rFonts w:eastAsia="Times New Roman"/>
          <w:noProof/>
        </w:rPr>
      </w:pPr>
      <w:r>
        <w:rPr>
          <w:noProof/>
        </w:rPr>
        <w:t>(7)</w:t>
      </w:r>
      <w:r>
        <w:rPr>
          <w:noProof/>
        </w:rPr>
        <w:tab/>
        <w:t>Acest acces nu aduce atingere restricțiilor indicate de statul membru, instituția, organul, oficiul sau agenția Uniunii, țara terță sau organizația internațională care a furnizat informațiile respective.</w:t>
      </w:r>
    </w:p>
    <w:p>
      <w:pPr>
        <w:pStyle w:val="ManualNumPar1"/>
        <w:rPr>
          <w:rFonts w:eastAsia="Times New Roman"/>
          <w:noProof/>
          <w:szCs w:val="24"/>
        </w:rPr>
      </w:pPr>
      <w:r>
        <w:rPr>
          <w:noProof/>
        </w:rPr>
        <w:t>(8)</w:t>
      </w:r>
      <w:r>
        <w:rPr>
          <w:noProof/>
        </w:rPr>
        <w:tab/>
        <w:t>Europol și alte organe, oficii și agenții ale Uniunii se informează reciproc dacă, în urma obținerii unui răspuns pozitiv în conformitate cu alineatele (1) și (3), există indicii conform cărora datele ar putea fi incorecte sau în conflict cu alte date.</w:t>
      </w:r>
    </w:p>
    <w:p>
      <w:pPr>
        <w:pStyle w:val="ManualNumPar1"/>
        <w:rPr>
          <w:rFonts w:eastAsia="Times New Roman"/>
          <w:noProof/>
        </w:rPr>
      </w:pPr>
      <w:r>
        <w:rPr>
          <w:noProof/>
        </w:rPr>
        <w:t>(9)</w:t>
      </w:r>
      <w:r>
        <w:rPr>
          <w:noProof/>
        </w:rPr>
        <w:tab/>
        <w:t>În cazul în care este necesar pentru implementarea sistemului de tip răspuns pozitiv/răspuns negativ menționat la alineatele (1)-(8), procedura tehnică, inclusiv seturile de date care ar trebui incluse în registre, precum și cerințele de performanță și disponibilitate se stabilesc prin intermediul unor acte de punere în aplicare adoptate în conformitate cu articolul 138.</w:t>
      </w:r>
    </w:p>
    <w:p>
      <w:pPr>
        <w:pStyle w:val="Titrearticle"/>
        <w:rPr>
          <w:noProof/>
        </w:rPr>
      </w:pPr>
      <w:r>
        <w:rPr>
          <w:noProof/>
        </w:rPr>
        <w:t>Articolul 81</w:t>
      </w:r>
    </w:p>
    <w:p>
      <w:pPr>
        <w:pStyle w:val="NormalCentered"/>
        <w:rPr>
          <w:noProof/>
        </w:rPr>
      </w:pPr>
      <w:r>
        <w:rPr>
          <w:b/>
          <w:noProof/>
        </w:rPr>
        <w:t>Relațiile cu EPPO</w:t>
      </w:r>
    </w:p>
    <w:p>
      <w:pPr>
        <w:pStyle w:val="ManualNumPar1"/>
        <w:rPr>
          <w:noProof/>
        </w:rPr>
      </w:pPr>
      <w:r>
        <w:rPr>
          <w:noProof/>
        </w:rPr>
        <w:t>(1)</w:t>
      </w:r>
      <w:r>
        <w:rPr>
          <w:noProof/>
        </w:rPr>
        <w:tab/>
        <w:t>Europol stabilește și menține o relație strânsă cu EPPO pe baza unui acord de lucru care prevede modalitățile de cooperare a acestora. Acordul de lucru face obiectul unei revizuiri periodice.</w:t>
      </w:r>
    </w:p>
    <w:p>
      <w:pPr>
        <w:pStyle w:val="ManualNumPar1"/>
        <w:ind w:left="851" w:hanging="851"/>
        <w:rPr>
          <w:noProof/>
        </w:rPr>
      </w:pPr>
      <w:r>
        <w:rPr>
          <w:noProof/>
        </w:rPr>
        <w:t>(2)</w:t>
      </w:r>
      <w:r>
        <w:rPr>
          <w:noProof/>
        </w:rPr>
        <w:tab/>
        <w:t>La cererea EPPO în conformitate cu articolul 102 din Regulamentul (UE) 2017/1939, Europol sprijină investigațiile EPPO, și anume prin furnizarea informațiilor de orice tip deținute de Europol și legate de infracțiuni care intră în sfera de competență a EPPO și prin furnizarea sprijinului operațional solicitat pentru îndeplinirea atribuțiilor EPPO.</w:t>
      </w:r>
    </w:p>
    <w:p>
      <w:pPr>
        <w:pStyle w:val="ManualNumPar1"/>
        <w:ind w:left="851" w:hanging="851"/>
        <w:rPr>
          <w:noProof/>
        </w:rPr>
      </w:pPr>
      <w:r>
        <w:rPr>
          <w:noProof/>
        </w:rPr>
        <w:t>(3)</w:t>
      </w:r>
      <w:r>
        <w:rPr>
          <w:noProof/>
        </w:rPr>
        <w:tab/>
        <w:t xml:space="preserve">În scopul de a furniza EPPO informațiile și sprijinul menționate la primul paragraf, Europol se asigură că sunt instituite măsurile organizatorice necesare, inclusiv alocarea de resurse umane dedicate. </w:t>
      </w:r>
    </w:p>
    <w:p>
      <w:pPr>
        <w:pStyle w:val="ManualNumPar1"/>
        <w:ind w:left="851" w:hanging="851"/>
        <w:rPr>
          <w:noProof/>
        </w:rPr>
      </w:pPr>
      <w:r>
        <w:rPr>
          <w:noProof/>
        </w:rPr>
        <w:t>(4)</w:t>
      </w:r>
      <w:r>
        <w:rPr>
          <w:noProof/>
        </w:rPr>
        <w:tab/>
        <w:t>Pentru a se asigura că Europol furnizează EPPO informațiile necesare în temeiul alineatului (2) de la prezentul articol, Europol permite EPPO să aibă acces indirect, pe baza unui sistem automatizat de tip răspuns pozitiv/răspuns negativ („hit/no hit”), la datele referitoare la infracțiuni care intră în sfera de competență a EPPO, deținute în scopurile menționate la articolul 32 alineatul (2) literele (a), (b) și (c). În cazul unui răspuns pozitiv, respectivul sistem de tip răspuns pozitiv/răspuns negativ („hit/no hit”) notifică Europol și furnizorul informațiilor menționat la articolul 33 alineatul (1).</w:t>
      </w:r>
    </w:p>
    <w:p>
      <w:pPr>
        <w:pStyle w:val="ManualNumPar1"/>
        <w:ind w:left="851" w:hanging="851"/>
        <w:rPr>
          <w:noProof/>
        </w:rPr>
      </w:pPr>
      <w:r>
        <w:rPr>
          <w:noProof/>
        </w:rPr>
        <w:t>(5)</w:t>
      </w:r>
      <w:r>
        <w:rPr>
          <w:noProof/>
        </w:rPr>
        <w:tab/>
        <w:t>În temeiul articolului 43 alineatul (2) din Regulamentul (UE) 2017/1939, în cazul unui răspuns pozitiv, Europol transmite EPPO informațiile care au generat răspunsul pozitiv, în măsura în care acestea se referă la infracțiuni care intră în sfera de competență a EPPO, și notifică furnizorul informațiilor.</w:t>
      </w:r>
    </w:p>
    <w:p>
      <w:pPr>
        <w:pStyle w:val="ManualNumPar1"/>
        <w:ind w:left="851" w:hanging="851"/>
        <w:rPr>
          <w:noProof/>
        </w:rPr>
      </w:pPr>
      <w:r>
        <w:rPr>
          <w:noProof/>
        </w:rPr>
        <w:t>(6)</w:t>
      </w:r>
      <w:r>
        <w:rPr>
          <w:noProof/>
        </w:rPr>
        <w:tab/>
        <w:t>În conformitate cu articolul 24 alineatul (1) din Regulamentul (UE) 2017/1939, Europol raportează către EPPO, fără întârzieri nejustificate, orice comportament infracțional cu privire la care EPPO ar putea să își exercite competența în conformitate cu Regulamentul (UE) 2017/1939.</w:t>
      </w:r>
    </w:p>
    <w:p>
      <w:pPr>
        <w:pStyle w:val="ManualNumPar1"/>
        <w:ind w:left="851" w:hanging="851"/>
        <w:rPr>
          <w:noProof/>
        </w:rPr>
      </w:pPr>
      <w:r>
        <w:rPr>
          <w:noProof/>
        </w:rPr>
        <w:t>(7)</w:t>
      </w:r>
      <w:r>
        <w:rPr>
          <w:noProof/>
        </w:rPr>
        <w:tab/>
        <w:t xml:space="preserve">Atunci când Europol raportează EPPO în temeiul primului paragraf, Europol notifică fără întârziere acest lucru autorităților competente ale statelor membre în cauză. </w:t>
      </w:r>
    </w:p>
    <w:p>
      <w:pPr>
        <w:pStyle w:val="ManualNumPar1"/>
        <w:ind w:left="851" w:hanging="851"/>
        <w:rPr>
          <w:noProof/>
        </w:rPr>
      </w:pPr>
      <w:r>
        <w:rPr>
          <w:noProof/>
        </w:rPr>
        <w:t>(8)</w:t>
      </w:r>
      <w:r>
        <w:rPr>
          <w:noProof/>
        </w:rPr>
        <w:tab/>
        <w:t xml:space="preserve">Europol poate efectua analize operaționale comune cu EPPO. </w:t>
      </w:r>
    </w:p>
    <w:p>
      <w:pPr>
        <w:pStyle w:val="ManualNumPar1"/>
        <w:ind w:left="851" w:hanging="851"/>
        <w:rPr>
          <w:noProof/>
        </w:rPr>
      </w:pPr>
      <w:r>
        <w:rPr>
          <w:noProof/>
        </w:rPr>
        <w:t>(9)</w:t>
      </w:r>
      <w:r>
        <w:rPr>
          <w:noProof/>
        </w:rPr>
        <w:tab/>
        <w:t>Atunci când primește informații de la EPPO cu privire la forme de criminalitate care nu intră în sfera de competență a EPPO, ci în sfera de competență a Europol, Europol prelucrează și analizează aceste informații și, după caz, le transmite autorităților competente ale statelor membre în conformitate cu prezentul regulament.</w:t>
      </w:r>
    </w:p>
    <w:p>
      <w:pPr>
        <w:pStyle w:val="Titrearticle"/>
        <w:rPr>
          <w:noProof/>
        </w:rPr>
      </w:pPr>
      <w:r>
        <w:rPr>
          <w:noProof/>
        </w:rPr>
        <w:t>Articolul 82</w:t>
      </w:r>
    </w:p>
    <w:p>
      <w:pPr>
        <w:pStyle w:val="NormalCentered"/>
        <w:rPr>
          <w:b/>
          <w:noProof/>
        </w:rPr>
      </w:pPr>
      <w:r>
        <w:rPr>
          <w:b/>
          <w:noProof/>
        </w:rPr>
        <w:t>Relațiile cu Eurojust</w:t>
      </w:r>
    </w:p>
    <w:p>
      <w:pPr>
        <w:pStyle w:val="ManualNumPar1"/>
        <w:rPr>
          <w:noProof/>
        </w:rPr>
      </w:pPr>
      <w:r>
        <w:rPr>
          <w:noProof/>
        </w:rPr>
        <w:t>(1)</w:t>
      </w:r>
      <w:r>
        <w:rPr>
          <w:noProof/>
        </w:rPr>
        <w:tab/>
        <w:t>În cazul în care, în cursul activităților Europol, inclusiv în orice etapă a unui grup de acțiune operațional, Europol sau un stat membru identifică necesitatea luării unor măsuri judiciare ulterioare eficace în cadrul mandatului Eurojust, Europol notifică acest lucru Eurojust și oricărui stat membru în cauză, fără întârzieri nejustificate. Europol inițiază procedura de partajare a informațiilor relevante, în conformitate cu decizia statului membru care furnizează informațiile. Într-un astfel de caz, Eurojust se consultă cu Europol.</w:t>
      </w:r>
    </w:p>
    <w:p>
      <w:pPr>
        <w:pStyle w:val="ManualNumPar1"/>
        <w:rPr>
          <w:rFonts w:eastAsia="Times New Roman"/>
          <w:noProof/>
          <w:szCs w:val="24"/>
        </w:rPr>
      </w:pPr>
      <w:r>
        <w:rPr>
          <w:noProof/>
        </w:rPr>
        <w:t>(2)</w:t>
      </w:r>
      <w:r>
        <w:rPr>
          <w:noProof/>
        </w:rPr>
        <w:tab/>
        <w:t>Europol și Eurojust pot conveni asupra instituirii unor platforme operaționale comune și a altor forme de cooperare structurată pentru a sprijini autoritățile competente ale statelor membre în domenii specifice ale criminalității care intră în sfera lor de competență. Aceasta poate include o analiză operațională comună.</w:t>
      </w:r>
    </w:p>
    <w:p>
      <w:pPr>
        <w:pStyle w:val="ManualNumPar1"/>
        <w:rPr>
          <w:rFonts w:eastAsia="Times New Roman"/>
          <w:noProof/>
          <w:szCs w:val="24"/>
        </w:rPr>
      </w:pPr>
      <w:r>
        <w:rPr>
          <w:noProof/>
        </w:rPr>
        <w:t>(3)</w:t>
      </w:r>
      <w:r>
        <w:rPr>
          <w:noProof/>
        </w:rPr>
        <w:tab/>
        <w:t>Europol cooperează cu Eurojust, în limitele mandatelor acestora, pentru a sprijini autoritățile competente ale statelor membre în contextul investigațiilor digitale și al accesului la date și, în special, acționează ca centru de cunoștințe pentru consiliere, asistență și asigurarea consolidării capacităților în ceea ce privește accesul transfrontalier la probele electronice.</w:t>
      </w:r>
    </w:p>
    <w:p>
      <w:pPr>
        <w:pStyle w:val="ManualNumPar1"/>
        <w:rPr>
          <w:rFonts w:eastAsia="Times New Roman"/>
          <w:noProof/>
          <w:szCs w:val="24"/>
        </w:rPr>
      </w:pPr>
      <w:r>
        <w:rPr>
          <w:noProof/>
        </w:rPr>
        <w:t>(4)</w:t>
      </w:r>
      <w:r>
        <w:rPr>
          <w:noProof/>
        </w:rPr>
        <w:tab/>
        <w:t>Europol sprijină Eurojust, în limitele mandatelor acestora, în ceea ce privește crimele internaționale cele mai grave.</w:t>
      </w:r>
    </w:p>
    <w:p>
      <w:pPr>
        <w:pStyle w:val="Titrearticle"/>
        <w:rPr>
          <w:noProof/>
        </w:rPr>
      </w:pPr>
      <w:r>
        <w:rPr>
          <w:noProof/>
        </w:rPr>
        <w:t>Articolul 83</w:t>
      </w:r>
    </w:p>
    <w:p>
      <w:pPr>
        <w:pStyle w:val="NormalCentered"/>
        <w:rPr>
          <w:noProof/>
        </w:rPr>
      </w:pPr>
      <w:r>
        <w:rPr>
          <w:b/>
          <w:noProof/>
        </w:rPr>
        <w:t>Relațiile cu OLAF</w:t>
      </w:r>
    </w:p>
    <w:p>
      <w:pPr>
        <w:rPr>
          <w:noProof/>
        </w:rPr>
      </w:pPr>
      <w:r>
        <w:rPr>
          <w:noProof/>
        </w:rPr>
        <w:t>În cazul în care, în timpul activităților de prelucrare a informațiilor efectuate de Europol în legătură cu o investigație specifică sau în procesul de recuperare a activelor, Europol sau un stat membru constată necesitatea coordonării, cooperării sau acordării de sprijin în conformitate cu mandatul OLAF, Europol notifică OLAF în acest scop și inițiază procedura de schimb de informații relevante, în conformitate cu decizia statului membru care furnizează informațiile. Într-un astfel de caz, OLAF se consultă cu Europol.</w:t>
      </w:r>
    </w:p>
    <w:p>
      <w:pPr>
        <w:pStyle w:val="Titrearticle"/>
        <w:rPr>
          <w:noProof/>
        </w:rPr>
      </w:pPr>
      <w:r>
        <w:rPr>
          <w:noProof/>
        </w:rPr>
        <w:t>Articolul 84</w:t>
      </w:r>
    </w:p>
    <w:p>
      <w:pPr>
        <w:pStyle w:val="NormalCentered"/>
        <w:rPr>
          <w:noProof/>
        </w:rPr>
      </w:pPr>
      <w:r>
        <w:rPr>
          <w:b/>
          <w:noProof/>
        </w:rPr>
        <w:t>Relațiile cu Autoritatea pentru Combaterea Spălării Banilor și a Finanțării Terorismului (ACSB)</w:t>
      </w:r>
    </w:p>
    <w:p>
      <w:pPr>
        <w:pStyle w:val="ManualNumPar1"/>
        <w:rPr>
          <w:noProof/>
        </w:rPr>
      </w:pPr>
      <w:r>
        <w:rPr>
          <w:noProof/>
        </w:rPr>
        <w:t>(1)</w:t>
      </w:r>
      <w:r>
        <w:rPr>
          <w:noProof/>
        </w:rPr>
        <w:tab/>
        <w:t>Relația Europol cu ACSB vizează în special sprijinirea unităților de informații financiare (FIU) în contextul unei analize comune efectuate în temeiul articolului 32 din Directiva (UE) 2024/1640 a Parlamentului European și a Consiliului</w:t>
      </w:r>
      <w:r>
        <w:rPr>
          <w:rStyle w:val="FootnoteReference"/>
          <w:noProof/>
        </w:rPr>
        <w:footnoteReference w:id="74"/>
      </w:r>
      <w:r>
        <w:rPr>
          <w:noProof/>
        </w:rPr>
        <w:t xml:space="preserve"> și al articolului 40 din Regulamentul (UE) 2024/1620.</w:t>
      </w:r>
    </w:p>
    <w:p>
      <w:pPr>
        <w:pStyle w:val="ManualNumPar1"/>
        <w:rPr>
          <w:noProof/>
        </w:rPr>
      </w:pPr>
      <w:r>
        <w:rPr>
          <w:noProof/>
        </w:rPr>
        <w:t>(2)</w:t>
      </w:r>
      <w:r>
        <w:rPr>
          <w:noProof/>
        </w:rPr>
        <w:tab/>
        <w:t>În sensul articolului 41 alineatul (4) din Regulamentul (UE) 2024/1620, Europol primește, prelucrează și analizează rezultatele analizelor comune și orice informație suplimentară în conformitate cu prezentul regulament.</w:t>
      </w:r>
    </w:p>
    <w:p>
      <w:pPr>
        <w:pStyle w:val="Titrearticle"/>
        <w:rPr>
          <w:noProof/>
        </w:rPr>
      </w:pPr>
      <w:r>
        <w:rPr>
          <w:noProof/>
        </w:rPr>
        <w:t>Articolul 85</w:t>
      </w:r>
    </w:p>
    <w:p>
      <w:pPr>
        <w:pStyle w:val="NormalCentered"/>
        <w:rPr>
          <w:noProof/>
        </w:rPr>
      </w:pPr>
      <w:r>
        <w:rPr>
          <w:b/>
          <w:noProof/>
        </w:rPr>
        <w:t>Relațiile cu Agenția Europeană pentru Poliția de Frontieră și Garda de Coastă (Frontex)</w:t>
      </w:r>
    </w:p>
    <w:p>
      <w:pPr>
        <w:rPr>
          <w:noProof/>
        </w:rPr>
      </w:pPr>
      <w:r>
        <w:rPr>
          <w:noProof/>
        </w:rPr>
        <w:t>Europol cooperează cu Frontex, în special în ceea ce privește:</w:t>
      </w:r>
    </w:p>
    <w:p>
      <w:pPr>
        <w:pStyle w:val="Point1"/>
        <w:rPr>
          <w:noProof/>
        </w:rPr>
      </w:pPr>
      <w:r>
        <w:rPr>
          <w:noProof/>
        </w:rPr>
        <w:t>(a)</w:t>
      </w:r>
      <w:r>
        <w:rPr>
          <w:noProof/>
        </w:rPr>
        <w:tab/>
        <w:t>identificarea deplasărilor transfrontaliere cu grad ridicat de risc și a activităților infracționale conexe, inclusiv prin analizarea informațiilor privind călătoriile conținute în sistemele informatice la scară largă ale Uniunii și, în acest scop, Europol compară aceste date cu informațiile pe care le deține în conformitate cu prezentul regulament și furnizează Frontex indicatori de risc relevanți;</w:t>
      </w:r>
    </w:p>
    <w:p>
      <w:pPr>
        <w:pStyle w:val="Point1"/>
        <w:rPr>
          <w:noProof/>
        </w:rPr>
      </w:pPr>
      <w:r>
        <w:rPr>
          <w:noProof/>
        </w:rPr>
        <w:t>(b)</w:t>
      </w:r>
      <w:r>
        <w:rPr>
          <w:noProof/>
        </w:rPr>
        <w:tab/>
        <w:t>punerea în aplicare a activităților desfășurate în temeiul Regulamentului (UE) 2024/1356 și în cadrul Regulamentului (UE) 2019/1896 și, în acest scop, Europol poate, la cererea statului membru în cauză, să detașeze personal pentru a sprijini verificările efectuate în sistemele informatice la scară largă relevante ale Uniunii, în conformitate cu articolul 22 din prezentul regulament, inclusiv în contextul activităților desfășurate în temeiul Regulamentului (UE) 2019/1896, precum și al evenimentelor internaționale majore.</w:t>
      </w:r>
    </w:p>
    <w:p>
      <w:pPr>
        <w:pStyle w:val="Titrearticle"/>
        <w:rPr>
          <w:noProof/>
        </w:rPr>
      </w:pPr>
      <w:r>
        <w:rPr>
          <w:noProof/>
        </w:rPr>
        <w:t>Articolul 86</w:t>
      </w:r>
    </w:p>
    <w:p>
      <w:pPr>
        <w:pStyle w:val="NormalCentered"/>
        <w:rPr>
          <w:noProof/>
        </w:rPr>
      </w:pPr>
      <w:r>
        <w:rPr>
          <w:b/>
          <w:noProof/>
        </w:rPr>
        <w:t>Relațiile cu eu-LISA</w:t>
      </w:r>
    </w:p>
    <w:p>
      <w:pPr>
        <w:pStyle w:val="ManualNumPar1"/>
        <w:rPr>
          <w:noProof/>
        </w:rPr>
      </w:pPr>
      <w:r>
        <w:rPr>
          <w:noProof/>
        </w:rPr>
        <w:t>(1)</w:t>
      </w:r>
      <w:r>
        <w:rPr>
          <w:noProof/>
        </w:rPr>
        <w:tab/>
        <w:t>Europol cooperează cu eu-LISA în domenii de interes comun legate de dezvoltarea, implementarea și exploatarea sistemelor de informații și a infrastructurii de comunicații aferente.</w:t>
      </w:r>
    </w:p>
    <w:p>
      <w:pPr>
        <w:pStyle w:val="ManualNumPar1"/>
        <w:rPr>
          <w:noProof/>
        </w:rPr>
      </w:pPr>
      <w:r>
        <w:rPr>
          <w:noProof/>
        </w:rPr>
        <w:t>(2)</w:t>
      </w:r>
      <w:r>
        <w:rPr>
          <w:noProof/>
        </w:rPr>
        <w:tab/>
        <w:t xml:space="preserve">Cooperarea dintre Europol și eu-LISA menționată la alineatul (1) include, după caz și în conformitate cu mandatele acestora, dar nu se limitează la: </w:t>
      </w:r>
    </w:p>
    <w:p>
      <w:pPr>
        <w:pStyle w:val="Point1"/>
        <w:rPr>
          <w:noProof/>
        </w:rPr>
      </w:pPr>
      <w:r>
        <w:rPr>
          <w:noProof/>
        </w:rPr>
        <w:t>(a)</w:t>
      </w:r>
      <w:r>
        <w:rPr>
          <w:noProof/>
        </w:rPr>
        <w:tab/>
        <w:t>participarea la proceduri de achiziții publice sau utilizarea acestora, inclusiv acțiuni de achiziții publice comune, contracte-cadru sau alte instrumente de achiziții publice pentru achiziționarea de lucrări, bunuri sau servicii;</w:t>
      </w:r>
    </w:p>
    <w:p>
      <w:pPr>
        <w:pStyle w:val="Point1"/>
        <w:rPr>
          <w:noProof/>
        </w:rPr>
      </w:pPr>
      <w:r>
        <w:rPr>
          <w:noProof/>
        </w:rPr>
        <w:t>(b)</w:t>
      </w:r>
      <w:r>
        <w:rPr>
          <w:noProof/>
        </w:rPr>
        <w:tab/>
        <w:t>partajarea, reutilizarea sau adaptarea componentelor tehnice, a instrumentelor, a serviciilor sau a elementelor constitutive dezvoltate sau exploatate de oricare dintre agenții;</w:t>
      </w:r>
    </w:p>
    <w:p>
      <w:pPr>
        <w:pStyle w:val="Point1"/>
        <w:rPr>
          <w:noProof/>
        </w:rPr>
      </w:pPr>
      <w:r>
        <w:rPr>
          <w:noProof/>
        </w:rPr>
        <w:t>(c)</w:t>
      </w:r>
      <w:r>
        <w:rPr>
          <w:noProof/>
        </w:rPr>
        <w:tab/>
        <w:t>furnizarea de sprijin tehnic, cunoștințe de specialitate sau servicii, inclusiv în domeniul dezvoltării, testării, întreținerii și securității sistemelor;</w:t>
      </w:r>
    </w:p>
    <w:p>
      <w:pPr>
        <w:pStyle w:val="Point1"/>
        <w:rPr>
          <w:noProof/>
        </w:rPr>
      </w:pPr>
      <w:r>
        <w:rPr>
          <w:noProof/>
        </w:rPr>
        <w:t>(d)</w:t>
      </w:r>
      <w:r>
        <w:rPr>
          <w:noProof/>
        </w:rPr>
        <w:tab/>
        <w:t>înființarea de echipe comune de proiect și schimbul de personal, cunoștințe de specialitate și alte resurse necesare pentru implementarea proiectelor comune și a activităților tehnice.</w:t>
      </w:r>
    </w:p>
    <w:p>
      <w:pPr>
        <w:pStyle w:val="ManualNumPar1"/>
        <w:rPr>
          <w:noProof/>
        </w:rPr>
      </w:pPr>
      <w:r>
        <w:rPr>
          <w:noProof/>
        </w:rPr>
        <w:t>(3)</w:t>
      </w:r>
      <w:r>
        <w:rPr>
          <w:noProof/>
        </w:rPr>
        <w:tab/>
        <w:t>Pentru dezvoltarea și întreținerea serviciilor, a instrumentelor și a aplicațiilor create, găzduite sau gestionate de Europol, Europol solicită eu-LISA să furnizeze certificate de infrastructură cu cheie publică de la autoritatea de certificare a eu-LISA către Europol și, după caz, către autoritățile competente ale statelor membre.</w:t>
      </w:r>
    </w:p>
    <w:p>
      <w:pPr>
        <w:pStyle w:val="ManualNumPar1"/>
        <w:rPr>
          <w:noProof/>
        </w:rPr>
      </w:pPr>
      <w:r>
        <w:rPr>
          <w:noProof/>
        </w:rPr>
        <w:t>(4)</w:t>
      </w:r>
      <w:r>
        <w:rPr>
          <w:noProof/>
        </w:rPr>
        <w:tab/>
        <w:t>Cooperarea în temeiul alineatelor (1), (2) și (3) are loc în cadrul unor acorduri de lucru care stabilesc modalitățile practice, inclusiv aspectele financiare, acordurile de guvernanță, acordurile privind schimburile de personal și misiunile temporare, precum și constituirea și funcționarea echipelor comune de proiect.</w:t>
      </w:r>
    </w:p>
    <w:p>
      <w:pPr>
        <w:pStyle w:val="ManualNumPar1"/>
        <w:rPr>
          <w:noProof/>
        </w:rPr>
      </w:pPr>
      <w:r>
        <w:rPr>
          <w:noProof/>
        </w:rPr>
        <w:t>(5)</w:t>
      </w:r>
      <w:r>
        <w:rPr>
          <w:noProof/>
        </w:rPr>
        <w:tab/>
        <w:t>Alineatele (1)-(4) nu aduc atingere responsabilităților Europol în ceea ce privește dezvoltarea și exploatarea propriilor sisteme de informații.</w:t>
      </w:r>
    </w:p>
    <w:p>
      <w:pPr>
        <w:pStyle w:val="Titrearticle"/>
        <w:rPr>
          <w:noProof/>
        </w:rPr>
      </w:pPr>
      <w:r>
        <w:rPr>
          <w:noProof/>
        </w:rPr>
        <w:t>Articolul 87</w:t>
      </w:r>
    </w:p>
    <w:p>
      <w:pPr>
        <w:pStyle w:val="NormalCentered"/>
        <w:rPr>
          <w:noProof/>
        </w:rPr>
      </w:pPr>
      <w:r>
        <w:rPr>
          <w:b/>
          <w:noProof/>
        </w:rPr>
        <w:t>Relațiile cu Agenția Uniunii Europene privind Drogurile</w:t>
      </w:r>
    </w:p>
    <w:p>
      <w:pPr>
        <w:rPr>
          <w:noProof/>
        </w:rPr>
      </w:pPr>
      <w:r>
        <w:rPr>
          <w:noProof/>
        </w:rPr>
        <w:t>Cooperarea Europol cu Agenția Uniunii Europene privind Drogurile, instituită prin Regulamentul (UE) 2023/1322 al Parlamentului European și al Consiliului</w:t>
      </w:r>
      <w:r>
        <w:rPr>
          <w:rStyle w:val="FootnoteReference"/>
          <w:noProof/>
        </w:rPr>
        <w:footnoteReference w:id="75"/>
      </w:r>
      <w:r>
        <w:rPr>
          <w:noProof/>
        </w:rPr>
        <w:t>, vizează în special colectarea de date și monitorizarea tendințelor în ceea ce privește oferta de droguri, inclusiv producția și traficul ilicite și alte infracțiuni conexe, în ceea ce privește utilizarea noilor tehnologii și în ceea ce privește noile substanțe psihoactive.</w:t>
      </w:r>
    </w:p>
    <w:p>
      <w:pPr>
        <w:pStyle w:val="Titrearticle"/>
        <w:rPr>
          <w:noProof/>
        </w:rPr>
      </w:pPr>
      <w:r>
        <w:rPr>
          <w:noProof/>
        </w:rPr>
        <w:t>Articolul 88</w:t>
      </w:r>
    </w:p>
    <w:p>
      <w:pPr>
        <w:pStyle w:val="NormalCentered"/>
        <w:rPr>
          <w:noProof/>
        </w:rPr>
      </w:pPr>
      <w:r>
        <w:rPr>
          <w:b/>
          <w:noProof/>
        </w:rPr>
        <w:t>Relațiile cu Agenția pentru Drepturi Fundamentale a Uniunii Europene (FRA)</w:t>
      </w:r>
    </w:p>
    <w:p>
      <w:pPr>
        <w:rPr>
          <w:noProof/>
        </w:rPr>
      </w:pPr>
      <w:r>
        <w:rPr>
          <w:noProof/>
        </w:rPr>
        <w:t>Cooperarea Europol cu FRA sprijină Europol în asigurarea respectării depline a drepturilor și libertăților fundamentale consacrate în Cartă în îndeplinirea diferitelor sale atribuții. Acest lucru include, în special, domenii de activitate ale Europol care pot avea un impact deosebit asupra drepturilor persoanelor, inclusiv ale persoanelor vulnerabile, cum ar fi copiii.</w:t>
      </w:r>
    </w:p>
    <w:p>
      <w:pPr>
        <w:pStyle w:val="Titrearticle"/>
        <w:rPr>
          <w:noProof/>
        </w:rPr>
      </w:pPr>
      <w:r>
        <w:rPr>
          <w:noProof/>
        </w:rPr>
        <w:t>Articolul 89</w:t>
      </w:r>
    </w:p>
    <w:p>
      <w:pPr>
        <w:pStyle w:val="NormalCentered"/>
        <w:rPr>
          <w:noProof/>
        </w:rPr>
      </w:pPr>
      <w:r>
        <w:rPr>
          <w:b/>
          <w:noProof/>
        </w:rPr>
        <w:t>Relațiile cu Autoritatea vamală a Uniunii Europene</w:t>
      </w:r>
    </w:p>
    <w:p>
      <w:pPr>
        <w:rPr>
          <w:noProof/>
        </w:rPr>
      </w:pPr>
      <w:r>
        <w:rPr>
          <w:noProof/>
        </w:rPr>
        <w:t>Cooperarea Europol cu Autoritatea vamală a Uniunii Europene, instituită prin Regulamentul […], urmărește să permită schimbul reciproc de date și informații relevante pentru prevenirea și combaterea criminalității grave și a terorismului, în special prin acordarea posibilității ca Europol să obțină, la cerere, date, inclusiv date cu caracter personal și date sensibile din punct de vedere comercial, disponibile în cadrul Platformei de date vamale a UE, în conformitate cu Regulamentul […].</w:t>
      </w:r>
    </w:p>
    <w:p>
      <w:pPr>
        <w:spacing w:before="360"/>
        <w:jc w:val="center"/>
        <w:rPr>
          <w:noProof/>
        </w:rPr>
      </w:pPr>
      <w:r>
        <w:rPr>
          <w:noProof/>
        </w:rPr>
        <w:t>Articolul 90</w:t>
      </w:r>
    </w:p>
    <w:p>
      <w:pPr>
        <w:jc w:val="center"/>
        <w:rPr>
          <w:noProof/>
        </w:rPr>
      </w:pPr>
      <w:r>
        <w:rPr>
          <w:b/>
          <w:noProof/>
        </w:rPr>
        <w:t>Relațiile cu ENISA</w:t>
      </w:r>
    </w:p>
    <w:p>
      <w:pPr>
        <w:rPr>
          <w:noProof/>
        </w:rPr>
      </w:pPr>
      <w:r>
        <w:rPr>
          <w:noProof/>
        </w:rPr>
        <w:t xml:space="preserve">Cooperarea Europol cu ENISA vizează în special: </w:t>
      </w:r>
    </w:p>
    <w:p>
      <w:pPr>
        <w:pStyle w:val="Point1"/>
        <w:rPr>
          <w:noProof/>
        </w:rPr>
      </w:pPr>
      <w:r>
        <w:rPr>
          <w:noProof/>
        </w:rPr>
        <w:t>(a)</w:t>
      </w:r>
      <w:r>
        <w:rPr>
          <w:noProof/>
        </w:rPr>
        <w:tab/>
        <w:t>îmbunătățirea conștientizării comune a situației cu privire la peisajul amenințărilor și incidentelor cibernetice, în special în ceea ce privește informațiile privind amenințările cibernetice și</w:t>
      </w:r>
    </w:p>
    <w:p>
      <w:pPr>
        <w:pStyle w:val="Point1"/>
        <w:rPr>
          <w:noProof/>
        </w:rPr>
      </w:pPr>
      <w:r>
        <w:rPr>
          <w:noProof/>
        </w:rPr>
        <w:t>(b)</w:t>
      </w:r>
      <w:r>
        <w:rPr>
          <w:noProof/>
        </w:rPr>
        <w:tab/>
        <w:t>îmbunătățirea pregătirii în materie de securitate cibernetică, a răspunsului la incidentele de tip ransomware și a redresării în urma acestora.</w:t>
      </w:r>
    </w:p>
    <w:p>
      <w:pPr>
        <w:pStyle w:val="ChapterTitle"/>
        <w:rPr>
          <w:noProof/>
        </w:rPr>
      </w:pPr>
      <w:r>
        <w:rPr>
          <w:noProof/>
        </w:rPr>
        <w:t xml:space="preserve">Capitolul VII </w:t>
      </w:r>
      <w:r>
        <w:rPr>
          <w:noProof/>
        </w:rPr>
        <w:br/>
        <w:t>Relațiile cu partenerii</w:t>
      </w:r>
    </w:p>
    <w:p>
      <w:pPr>
        <w:pStyle w:val="SectionTitle"/>
        <w:rPr>
          <w:noProof/>
        </w:rPr>
      </w:pPr>
      <w:r>
        <w:rPr>
          <w:noProof/>
        </w:rPr>
        <w:t xml:space="preserve">Secțiunea 1 </w:t>
      </w:r>
      <w:r>
        <w:rPr>
          <w:noProof/>
        </w:rPr>
        <w:br/>
        <w:t>Dispoziții comune</w:t>
      </w:r>
    </w:p>
    <w:p>
      <w:pPr>
        <w:pStyle w:val="Titrearticle"/>
        <w:rPr>
          <w:noProof/>
        </w:rPr>
      </w:pPr>
      <w:r>
        <w:rPr>
          <w:noProof/>
        </w:rPr>
        <w:t>Articolul 91</w:t>
      </w:r>
    </w:p>
    <w:p>
      <w:pPr>
        <w:pStyle w:val="NormalCentered"/>
        <w:rPr>
          <w:noProof/>
        </w:rPr>
      </w:pPr>
      <w:r>
        <w:rPr>
          <w:b/>
          <w:noProof/>
        </w:rPr>
        <w:t>Dispoziții comune</w:t>
      </w:r>
    </w:p>
    <w:p>
      <w:pPr>
        <w:pStyle w:val="ManualNumPar1"/>
        <w:rPr>
          <w:noProof/>
        </w:rPr>
      </w:pPr>
      <w:r>
        <w:rPr>
          <w:noProof/>
        </w:rPr>
        <w:t>(1)</w:t>
      </w:r>
      <w:r>
        <w:rPr>
          <w:noProof/>
        </w:rPr>
        <w:tab/>
        <w:t>Atunci când este necesar pentru îndeplinirea atribuțiilor sale, Europol poate să stabilească și să mențină relații de cooperare cu autoritățile țărilor terțe, organizații internaționale și părți private.</w:t>
      </w:r>
    </w:p>
    <w:p>
      <w:pPr>
        <w:pStyle w:val="ManualNumPar1"/>
        <w:rPr>
          <w:noProof/>
        </w:rPr>
      </w:pPr>
      <w:r>
        <w:rPr>
          <w:noProof/>
        </w:rPr>
        <w:t>(2)</w:t>
      </w:r>
      <w:r>
        <w:rPr>
          <w:noProof/>
        </w:rPr>
        <w:tab/>
        <w:t>Sub rezerva restricțiilor prevăzute la articolul 33 alineatul (2) și fără a aduce atingere articolului 129, Europol poate face în mod direct schimb de informații de orice tip, cu excepția datelor cu caracter personal, cu entitățile menționate la alineatul (1) din prezentul articol, în măsura în care un astfel de schimb este relevant pentru îndeplinirea atribuțiilor Europol.</w:t>
      </w:r>
    </w:p>
    <w:p>
      <w:pPr>
        <w:pStyle w:val="ManualNumPar1"/>
        <w:rPr>
          <w:noProof/>
        </w:rPr>
      </w:pPr>
      <w:r>
        <w:rPr>
          <w:noProof/>
        </w:rPr>
        <w:t>(3)</w:t>
      </w:r>
      <w:r>
        <w:rPr>
          <w:noProof/>
        </w:rPr>
        <w:tab/>
        <w:t>Directorul executiv informează Consiliul de administrație cu privire la orice relații de cooperare regulate pe care Europol intenționează să le stabilească și să le întrețină, în conformitate cu alineatele (1) și (2), precum și cu privire la dezvoltarea acestor relații, odată stabilite.</w:t>
      </w:r>
    </w:p>
    <w:p>
      <w:pPr>
        <w:pStyle w:val="ManualNumPar1"/>
        <w:rPr>
          <w:noProof/>
        </w:rPr>
      </w:pPr>
      <w:r>
        <w:rPr>
          <w:noProof/>
        </w:rPr>
        <w:t>(4)</w:t>
      </w:r>
      <w:r>
        <w:rPr>
          <w:noProof/>
        </w:rPr>
        <w:tab/>
        <w:t>În scopurile prevăzute la alineatele (1) și (2), Europol poate încheia cu entitățile menționate la alineatul (1) acorduri de lucru, care sunt supuse aprobării prealabile a Comisiei. Astfel de acorduri de lucru nu permit schimbul de date cu caracter personal, nu creează obligații juridice în temeiul dreptului internațional sau al dreptului Uniunii și nu exprimă poziții obligatorii pentru Uniune sau pentru statele sale membre.</w:t>
      </w:r>
    </w:p>
    <w:p>
      <w:pPr>
        <w:pStyle w:val="ManualNumPar1"/>
        <w:rPr>
          <w:noProof/>
        </w:rPr>
      </w:pPr>
      <w:r>
        <w:rPr>
          <w:noProof/>
        </w:rPr>
        <w:t>(5)</w:t>
      </w:r>
      <w:r>
        <w:rPr>
          <w:noProof/>
        </w:rPr>
        <w:tab/>
        <w:t>Europol poate primi și prelucra date cu caracter personal care provin de la entitățile menționate la alineatul (1) în măsura în care acest lucru este necesar și proporțional pentru îndeplinirea legitimă a atribuțiilor sale și în conformitate cu Regulamentul (UE) 2018/1725 și cu prezentul regulament.</w:t>
      </w:r>
    </w:p>
    <w:p>
      <w:pPr>
        <w:pStyle w:val="ManualNumPar1"/>
        <w:rPr>
          <w:noProof/>
        </w:rPr>
      </w:pPr>
      <w:r>
        <w:rPr>
          <w:noProof/>
        </w:rPr>
        <w:t>(6)</w:t>
      </w:r>
      <w:r>
        <w:rPr>
          <w:noProof/>
        </w:rPr>
        <w:tab/>
        <w:t>În cazul în care țările terțe, organizațiile internaționale sau părțile private au primit date cu caracter personal de la Europol, transmiterile sau transferurile ulterioare ale acestor date sunt interzise, cu excepția cazului în care Europol și-a dat autorizarea prealabilă și explicită.</w:t>
      </w:r>
    </w:p>
    <w:p>
      <w:pPr>
        <w:pStyle w:val="ManualNumPar1"/>
        <w:rPr>
          <w:noProof/>
        </w:rPr>
      </w:pPr>
      <w:r>
        <w:rPr>
          <w:noProof/>
        </w:rPr>
        <w:t>(7)</w:t>
      </w:r>
      <w:r>
        <w:rPr>
          <w:noProof/>
        </w:rPr>
        <w:tab/>
        <w:t>Europol se asigură că sunt înregistrate în detaliu toate transmiterile sau transferurile datelor cu caracter personal și motivele acestor transmiteri sau transferuri, în conformitate cu prezentul regulament.</w:t>
      </w:r>
    </w:p>
    <w:p>
      <w:pPr>
        <w:pStyle w:val="ManualNumPar1"/>
        <w:rPr>
          <w:noProof/>
        </w:rPr>
      </w:pPr>
      <w:r>
        <w:rPr>
          <w:noProof/>
        </w:rPr>
        <w:t>(8)</w:t>
      </w:r>
      <w:r>
        <w:rPr>
          <w:noProof/>
        </w:rPr>
        <w:tab/>
        <w:t>Europol nu ar trebui să prelucreze nicio informație care a fost obținută în mod clar cu încălcarea evidentă a drepturilor omului.</w:t>
      </w:r>
    </w:p>
    <w:p>
      <w:pPr>
        <w:pStyle w:val="SectionTitle"/>
        <w:rPr>
          <w:noProof/>
        </w:rPr>
      </w:pPr>
      <w:r>
        <w:rPr>
          <w:noProof/>
        </w:rPr>
        <w:t xml:space="preserve">Secțiunea 2 </w:t>
      </w:r>
      <w:r>
        <w:rPr>
          <w:noProof/>
        </w:rPr>
        <w:br/>
        <w:t>Cooperarea cu țări terțe și cu organizații internaționale</w:t>
      </w:r>
    </w:p>
    <w:p>
      <w:pPr>
        <w:pStyle w:val="Titrearticle"/>
        <w:rPr>
          <w:noProof/>
        </w:rPr>
      </w:pPr>
      <w:r>
        <w:rPr>
          <w:noProof/>
        </w:rPr>
        <w:t>Articolul 92</w:t>
      </w:r>
    </w:p>
    <w:p>
      <w:pPr>
        <w:pStyle w:val="NormalCentered"/>
        <w:rPr>
          <w:noProof/>
        </w:rPr>
      </w:pPr>
      <w:r>
        <w:rPr>
          <w:b/>
          <w:noProof/>
        </w:rPr>
        <w:t>Priorități pentru angajamentul extern</w:t>
      </w:r>
    </w:p>
    <w:p>
      <w:pPr>
        <w:rPr>
          <w:noProof/>
        </w:rPr>
      </w:pPr>
      <w:r>
        <w:rPr>
          <w:noProof/>
        </w:rPr>
        <w:t>Europol se asigură că cooperarea sa cu țările terțe și cu organizațiile internaționale este în concordanță cu politicile și prioritățile externe ale Uniunii și se desfășoară, după caz, în coordonare cu delegațiile Uniunii. În acest scop, Europol, în limitele mandatului său, adoptă o strategie externă în cadrul programului multianual și al programului anual de activitate menționate la articolul 73, sub rezerva aprobării prealabile de către Comisie.</w:t>
      </w:r>
    </w:p>
    <w:p>
      <w:pPr>
        <w:pStyle w:val="Titrearticle"/>
        <w:rPr>
          <w:noProof/>
        </w:rPr>
      </w:pPr>
      <w:r>
        <w:rPr>
          <w:noProof/>
        </w:rPr>
        <w:t>Articolul 93</w:t>
      </w:r>
    </w:p>
    <w:p>
      <w:pPr>
        <w:pStyle w:val="NormalCentered"/>
        <w:rPr>
          <w:noProof/>
        </w:rPr>
      </w:pPr>
      <w:r>
        <w:rPr>
          <w:b/>
          <w:noProof/>
        </w:rPr>
        <w:t>Cooperarea cu țările asociate spațiului Schengen</w:t>
      </w:r>
    </w:p>
    <w:p>
      <w:pPr>
        <w:pStyle w:val="ManualNumPar1"/>
        <w:rPr>
          <w:noProof/>
        </w:rPr>
      </w:pPr>
      <w:r>
        <w:rPr>
          <w:noProof/>
        </w:rPr>
        <w:t>(1)</w:t>
      </w:r>
      <w:r>
        <w:rPr>
          <w:noProof/>
        </w:rPr>
        <w:tab/>
        <w:t xml:space="preserve">Europol menține o cooperare strânsă cu țările asociate la implementarea, aplicarea și dezvoltarea acquis-ului Schengen (denumite în continuare „țări asociate spațiului Schengen”). </w:t>
      </w:r>
    </w:p>
    <w:p>
      <w:pPr>
        <w:pStyle w:val="ManualNumPar1"/>
        <w:rPr>
          <w:noProof/>
        </w:rPr>
      </w:pPr>
      <w:r>
        <w:rPr>
          <w:noProof/>
        </w:rPr>
        <w:t>(2)</w:t>
      </w:r>
      <w:r>
        <w:rPr>
          <w:noProof/>
        </w:rPr>
        <w:tab/>
        <w:t>Domeniul de aplicare, modalitățile, drepturile și obligațiile legate de cooperarea menționată la alineatul (1) pot fi stabilite printr-un acord internațional specific care urmează să fie încheiat între Uniune și țara asociată spațiului Schengen în cauză.</w:t>
      </w:r>
    </w:p>
    <w:p>
      <w:pPr>
        <w:pStyle w:val="ManualNumPar1"/>
        <w:rPr>
          <w:noProof/>
        </w:rPr>
      </w:pPr>
      <w:r>
        <w:rPr>
          <w:noProof/>
        </w:rPr>
        <w:t>(3)</w:t>
      </w:r>
      <w:r>
        <w:rPr>
          <w:noProof/>
        </w:rPr>
        <w:tab/>
        <w:t>Acordul internațional menționat la alineatul (2) poate prevedea:</w:t>
      </w:r>
    </w:p>
    <w:p>
      <w:pPr>
        <w:pStyle w:val="Point1"/>
        <w:rPr>
          <w:noProof/>
        </w:rPr>
      </w:pPr>
      <w:r>
        <w:rPr>
          <w:noProof/>
        </w:rPr>
        <w:t>(a)</w:t>
      </w:r>
      <w:r>
        <w:rPr>
          <w:noProof/>
        </w:rPr>
        <w:tab/>
        <w:t>accesul la serviciul de verificare încrucișată al Europol și la mediul analitic al Europol și capacitatea de a efectua interogări în cadrul acestora, în conformitate cu articolele 39 și 41;</w:t>
      </w:r>
    </w:p>
    <w:p>
      <w:pPr>
        <w:pStyle w:val="Point1"/>
        <w:rPr>
          <w:noProof/>
        </w:rPr>
      </w:pPr>
      <w:r>
        <w:rPr>
          <w:noProof/>
        </w:rPr>
        <w:t>(b)</w:t>
      </w:r>
      <w:r>
        <w:rPr>
          <w:noProof/>
        </w:rPr>
        <w:tab/>
        <w:t>statutul de observator în Consiliul de administrație și în Grupul de coordonare pentru TIC/gestionarea informațiilor, care nu conferă drepturi de vot în conformitate cu articolul 69;</w:t>
      </w:r>
    </w:p>
    <w:p>
      <w:pPr>
        <w:pStyle w:val="Point1"/>
        <w:rPr>
          <w:noProof/>
        </w:rPr>
      </w:pPr>
      <w:r>
        <w:rPr>
          <w:noProof/>
        </w:rPr>
        <w:t>(c)</w:t>
      </w:r>
      <w:r>
        <w:rPr>
          <w:noProof/>
        </w:rPr>
        <w:tab/>
        <w:t>detașarea ofițerilor de legătură, în aceleași condiții ca cele aplicabile ofițerilor de legătură din statele membre în temeiul articolului 27.</w:t>
      </w:r>
    </w:p>
    <w:p>
      <w:pPr>
        <w:pStyle w:val="ManualNumPar1"/>
        <w:rPr>
          <w:noProof/>
        </w:rPr>
      </w:pPr>
      <w:r>
        <w:rPr>
          <w:noProof/>
        </w:rPr>
        <w:t>(4)</w:t>
      </w:r>
      <w:r>
        <w:rPr>
          <w:noProof/>
        </w:rPr>
        <w:tab/>
        <w:t xml:space="preserve">Orice acord internațional care prevede forma de cooperare menționată la alineatul (3) poate prevedea, de asemenea: </w:t>
      </w:r>
    </w:p>
    <w:p>
      <w:pPr>
        <w:pStyle w:val="Point1"/>
        <w:rPr>
          <w:noProof/>
        </w:rPr>
      </w:pPr>
      <w:r>
        <w:rPr>
          <w:noProof/>
        </w:rPr>
        <w:t>(a)</w:t>
      </w:r>
      <w:r>
        <w:rPr>
          <w:noProof/>
        </w:rPr>
        <w:tab/>
        <w:t>furnizarea de informații de către țara asociată spațiului Schengen în cauză către Europol în condiții corespunzătoare celor prevăzute la articolul 29 alineatele (1), (2) și (5) și obligația Europol de a ține seama de informațiile furnizate de țara asociată spațiului Schengen în cauză, astfel cum se prevede la articolul 29 alineatul (6);</w:t>
      </w:r>
    </w:p>
    <w:p>
      <w:pPr>
        <w:pStyle w:val="Point1"/>
        <w:rPr>
          <w:noProof/>
        </w:rPr>
      </w:pPr>
      <w:r>
        <w:rPr>
          <w:noProof/>
        </w:rPr>
        <w:t>(b)</w:t>
      </w:r>
      <w:r>
        <w:rPr>
          <w:noProof/>
        </w:rPr>
        <w:tab/>
        <w:t>o contribuție financiară corespunzătoare care trebuie plătită Europol de către țara asociată spațiului Schengen în cauză.</w:t>
      </w:r>
    </w:p>
    <w:p>
      <w:pPr>
        <w:pStyle w:val="Titrearticle"/>
        <w:rPr>
          <w:noProof/>
        </w:rPr>
      </w:pPr>
      <w:r>
        <w:rPr>
          <w:noProof/>
        </w:rPr>
        <w:t>Articolul 94</w:t>
      </w:r>
    </w:p>
    <w:p>
      <w:pPr>
        <w:pStyle w:val="NormalCentered"/>
        <w:rPr>
          <w:noProof/>
        </w:rPr>
      </w:pPr>
      <w:r>
        <w:rPr>
          <w:b/>
          <w:noProof/>
        </w:rPr>
        <w:t>Transferul de date cu caracter personal către țări terțe și organizații internaționale</w:t>
      </w:r>
    </w:p>
    <w:p>
      <w:pPr>
        <w:pStyle w:val="Norml"/>
        <w:numPr>
          <w:ilvl w:val="0"/>
          <w:numId w:val="19"/>
        </w:numPr>
        <w:rPr>
          <w:noProof/>
        </w:rPr>
      </w:pPr>
      <w:r>
        <w:rPr>
          <w:noProof/>
        </w:rPr>
        <w:t>Europol poate transfera date cu caracter personal către țări terțe și organizații internaționale fără a aduce atingere articolului 129.</w:t>
      </w:r>
    </w:p>
    <w:p>
      <w:pPr>
        <w:pStyle w:val="ManualNumPar1"/>
        <w:rPr>
          <w:noProof/>
        </w:rPr>
      </w:pPr>
      <w:r>
        <w:rPr>
          <w:noProof/>
        </w:rPr>
        <w:t>(5)</w:t>
      </w:r>
      <w:r>
        <w:rPr>
          <w:noProof/>
        </w:rPr>
        <w:tab/>
        <w:t>Directorul executiv are competența de a autoriza transferul de date cu caracter personal în conformitate cu articolele 94b, 94c și 94d din Regulamentul (UE) 2018/1725.</w:t>
      </w:r>
    </w:p>
    <w:p>
      <w:pPr>
        <w:pStyle w:val="Text1"/>
        <w:rPr>
          <w:noProof/>
        </w:rPr>
      </w:pPr>
      <w:r>
        <w:rPr>
          <w:noProof/>
        </w:rPr>
        <w:t>Consiliul de administrație poate autoriza, în urma unei autorizări din partea AEPD, pentru o perioadă de maximum un an, care poate fi reînnoită, o serie de transferuri în cazul în care sunt îndeplinite condițiile prevăzute la articolul 94c din Regulamentul (UE) 2018/25.</w:t>
      </w:r>
    </w:p>
    <w:p>
      <w:pPr>
        <w:pStyle w:val="ManualNumPar1"/>
        <w:rPr>
          <w:noProof/>
        </w:rPr>
      </w:pPr>
      <w:r>
        <w:rPr>
          <w:noProof/>
        </w:rPr>
        <w:t>(6)</w:t>
      </w:r>
      <w:r>
        <w:rPr>
          <w:noProof/>
        </w:rPr>
        <w:tab/>
        <w:t>În sensul alineatului (2), directorul executiv ia o decizie, fără întârzieri nejustificate, pe baza tuturor informațiilor relevante, inclusiv, după caz, pe baza contribuțiilor din partea responsabilului cu protecția datelor și a centrelor operaționale relevante. Ca regulă generală, astfel de transferuri sunt autorizate atunci când sunt îndeplinite condițiile aplicabile și se efectuează prin intermediul SIENA. În cazul în care țara terță sau organizația internațională în cauză nu are acces la SIENA, transferurile se efectuează prin intermediul canalelor INTERPOL.</w:t>
      </w:r>
    </w:p>
    <w:p>
      <w:pPr>
        <w:pStyle w:val="ManualNumPar1"/>
        <w:rPr>
          <w:noProof/>
        </w:rPr>
      </w:pPr>
      <w:r>
        <w:rPr>
          <w:noProof/>
        </w:rPr>
        <w:t>(7)</w:t>
      </w:r>
      <w:r>
        <w:rPr>
          <w:noProof/>
        </w:rPr>
        <w:tab/>
        <w:t xml:space="preserve">Directorul executiv informează cât mai curând posibil Consiliul de administrație cu privire la cazurile în care s-au aplicat articolele 94b, 94c și 94d din Regulamentul (UE) 2018/1725. </w:t>
      </w:r>
    </w:p>
    <w:p>
      <w:pPr>
        <w:pStyle w:val="Titrearticle"/>
        <w:rPr>
          <w:noProof/>
        </w:rPr>
      </w:pPr>
      <w:r>
        <w:rPr>
          <w:noProof/>
        </w:rPr>
        <w:t>Articolul 95</w:t>
      </w:r>
    </w:p>
    <w:p>
      <w:pPr>
        <w:pStyle w:val="NormalCentered"/>
        <w:rPr>
          <w:noProof/>
        </w:rPr>
      </w:pPr>
      <w:r>
        <w:rPr>
          <w:b/>
          <w:noProof/>
        </w:rPr>
        <w:t>Relațiile cu statele membre sau cu țările terțe în contextul participării acestora la Centrul de Analiză și Operațiuni Maritime – Stupefiante</w:t>
      </w:r>
    </w:p>
    <w:p>
      <w:pPr>
        <w:pStyle w:val="ManualNumPar1"/>
        <w:rPr>
          <w:noProof/>
        </w:rPr>
      </w:pPr>
      <w:r>
        <w:rPr>
          <w:noProof/>
        </w:rPr>
        <w:t>(1)</w:t>
      </w:r>
      <w:r>
        <w:rPr>
          <w:noProof/>
        </w:rPr>
        <w:tab/>
        <w:t>În măsura în care este necesar pentru îndeplinirea atribuțiilor sale, Europol stabilește și menține cooperarea cu statele membre și cu țările terțe care participă la Centrul de Analiză și Operațiuni Maritime – Stupefiante (MAOC-N) prin intermediul unui acord de lucru.</w:t>
      </w:r>
    </w:p>
    <w:p>
      <w:pPr>
        <w:pStyle w:val="ManualNumPar1"/>
        <w:rPr>
          <w:noProof/>
        </w:rPr>
      </w:pPr>
      <w:r>
        <w:rPr>
          <w:noProof/>
        </w:rPr>
        <w:t>(2)</w:t>
      </w:r>
      <w:r>
        <w:rPr>
          <w:noProof/>
        </w:rPr>
        <w:tab/>
        <w:t>Europol poate face schimb de informații cu țările terțe care participă la MAOC-N, sub rezerva respectării principiilor și normelor generale privind transferurile de date operaționale cu caracter personal către țări terțe prevăzute în Regulamentul (UE) 2018/1725.</w:t>
      </w:r>
    </w:p>
    <w:p>
      <w:pPr>
        <w:pStyle w:val="ManualNumPar1"/>
        <w:rPr>
          <w:noProof/>
        </w:rPr>
      </w:pPr>
      <w:r>
        <w:rPr>
          <w:noProof/>
        </w:rPr>
        <w:t>(3)</w:t>
      </w:r>
      <w:r>
        <w:rPr>
          <w:noProof/>
        </w:rPr>
        <w:tab/>
        <w:t>Statele membre care participă la MAOC-N își conectează ofițerii de legătură detașați în cadrul MAOC-N la SIENA pentru a transmite informații relevante către Europol.</w:t>
      </w:r>
    </w:p>
    <w:p>
      <w:pPr>
        <w:pStyle w:val="ManualNumPar1"/>
        <w:rPr>
          <w:noProof/>
        </w:rPr>
      </w:pPr>
      <w:r>
        <w:rPr>
          <w:noProof/>
        </w:rPr>
        <w:t>(4)</w:t>
      </w:r>
      <w:r>
        <w:rPr>
          <w:noProof/>
        </w:rPr>
        <w:tab/>
        <w:t>Europol oferă sprijin analitic MAOC-N în scopul anchetelor penale desfășurate împotriva rețelelor infracționale cu grad ridicat de risc care practică traficul de droguri pe mare.</w:t>
      </w:r>
    </w:p>
    <w:p>
      <w:pPr>
        <w:pStyle w:val="SectionTitle"/>
        <w:rPr>
          <w:noProof/>
        </w:rPr>
      </w:pPr>
      <w:r>
        <w:rPr>
          <w:noProof/>
        </w:rPr>
        <w:t xml:space="preserve">Secțiunea 3 </w:t>
      </w:r>
      <w:r>
        <w:rPr>
          <w:noProof/>
        </w:rPr>
        <w:br/>
        <w:t>Cooperarea cu părți private și persoane fizice</w:t>
      </w:r>
    </w:p>
    <w:p>
      <w:pPr>
        <w:pStyle w:val="Titrearticle"/>
        <w:rPr>
          <w:noProof/>
        </w:rPr>
      </w:pPr>
      <w:r>
        <w:rPr>
          <w:noProof/>
        </w:rPr>
        <w:t>Articolul 96</w:t>
      </w:r>
    </w:p>
    <w:p>
      <w:pPr>
        <w:pStyle w:val="NormalCentered"/>
        <w:rPr>
          <w:noProof/>
        </w:rPr>
      </w:pPr>
      <w:r>
        <w:rPr>
          <w:b/>
          <w:noProof/>
        </w:rPr>
        <w:t>Schimburi de date cu caracter personal cu părți private</w:t>
      </w:r>
    </w:p>
    <w:p>
      <w:pPr>
        <w:pStyle w:val="ManualNumPar1"/>
        <w:rPr>
          <w:noProof/>
        </w:rPr>
      </w:pPr>
      <w:r>
        <w:rPr>
          <w:noProof/>
        </w:rPr>
        <w:t>(1)</w:t>
      </w:r>
      <w:r>
        <w:rPr>
          <w:noProof/>
        </w:rPr>
        <w:tab/>
        <w:t>În măsura în care acest lucru este necesar pentru îndeplinirea atribuțiilor sale, Europol poate prelucra date cu caracter personal care sunt obținute de la părți private.</w:t>
      </w:r>
    </w:p>
    <w:p>
      <w:pPr>
        <w:pStyle w:val="ManualNumPar1"/>
        <w:rPr>
          <w:noProof/>
        </w:rPr>
      </w:pPr>
      <w:r>
        <w:rPr>
          <w:noProof/>
        </w:rPr>
        <w:t>(2)</w:t>
      </w:r>
      <w:r>
        <w:rPr>
          <w:noProof/>
        </w:rPr>
        <w:tab/>
        <w:t>Europol poate primi direct de la o parte privată date cu caracter personal despre care partea privată respectivă declară că are permisiunea legală să le transmită în conformitate cu dreptul aplicabil.</w:t>
      </w:r>
    </w:p>
    <w:p>
      <w:pPr>
        <w:pStyle w:val="ManualNumPar1"/>
        <w:rPr>
          <w:noProof/>
        </w:rPr>
      </w:pPr>
      <w:r>
        <w:rPr>
          <w:noProof/>
        </w:rPr>
        <w:t>(3)</w:t>
      </w:r>
      <w:r>
        <w:rPr>
          <w:noProof/>
        </w:rPr>
        <w:tab/>
        <w:t>În scopul informării autorităților competente ale statelor membre cu privire la orice infracțiune care le privește și care se referă la datele cu caracter personal primite de la o parte privată și pentru a le permite să ia măsurile necesare, Europol transmite datele cu caracter personal și toate rezultatele relevante ale prelucrării datelor respective unităților naționale Europol în cauză.</w:t>
      </w:r>
    </w:p>
    <w:p>
      <w:pPr>
        <w:pStyle w:val="ManualNumPar1"/>
        <w:rPr>
          <w:noProof/>
        </w:rPr>
      </w:pPr>
      <w:r>
        <w:rPr>
          <w:noProof/>
        </w:rPr>
        <w:t>(4)</w:t>
      </w:r>
      <w:r>
        <w:rPr>
          <w:noProof/>
        </w:rPr>
        <w:tab/>
        <w:t>Orice cooperare a Europol cu părți private nu se suprapune și nu interferează cu activitățile FIU ale statelor membre și nu se referă la informațiile care sunt transmise către FIU în conformitate cu Directiva (UE) 2015/849.</w:t>
      </w:r>
    </w:p>
    <w:p>
      <w:pPr>
        <w:pStyle w:val="ManualNumPar1"/>
        <w:rPr>
          <w:noProof/>
        </w:rPr>
      </w:pPr>
      <w:r>
        <w:rPr>
          <w:noProof/>
        </w:rPr>
        <w:t>(5)</w:t>
      </w:r>
      <w:r>
        <w:rPr>
          <w:noProof/>
        </w:rPr>
        <w:tab/>
        <w:t>Europol transmite sau transferă date cu caracter personal către părți private numai atunci când acest lucru este strict necesar și proporțional, de stabilit de la caz la caz, și în special atunci când este în interesul persoanei vizate sau este necesar pentru a preveni săvârșirea iminentă a unei infracțiuni, inclusiv a terorismului.</w:t>
      </w:r>
    </w:p>
    <w:p>
      <w:pPr>
        <w:pStyle w:val="Text1"/>
        <w:rPr>
          <w:noProof/>
        </w:rPr>
      </w:pPr>
      <w:r>
        <w:rPr>
          <w:noProof/>
        </w:rPr>
        <w:t>O astfel de transmitere sau un astfel de transfer are loc numai atunci când drepturile și libertățile persoanei vizate nu prevalează asupra interesului public care impune transmiterea sau transferul.</w:t>
      </w:r>
    </w:p>
    <w:p>
      <w:pPr>
        <w:pStyle w:val="Text1"/>
        <w:rPr>
          <w:noProof/>
        </w:rPr>
      </w:pPr>
      <w:r>
        <w:rPr>
          <w:noProof/>
        </w:rPr>
        <w:t>Transmiterea sau transferul menționat(ă) la primul paragraf de la prezentul alineat face obiectul eventualelor restricții indicate în temeiul articolului 33 alineatul (2) sau (3) și nu aduce atingere articolului 129.</w:t>
      </w:r>
    </w:p>
    <w:p>
      <w:pPr>
        <w:pStyle w:val="ManualNumPar1"/>
        <w:rPr>
          <w:noProof/>
        </w:rPr>
      </w:pPr>
      <w:r>
        <w:rPr>
          <w:noProof/>
        </w:rPr>
        <w:t>(6)</w:t>
      </w:r>
      <w:r>
        <w:rPr>
          <w:noProof/>
        </w:rPr>
        <w:tab/>
        <w:t>În cazul în care partea privată nu este stabilită în Uniune sau într-o țară terță, astfel cum se menționează la articolul 94a din Regulamentul (UE) 2018/1875, transferul este autorizat de directorul executiv numai în următoarele cazuri:</w:t>
      </w:r>
    </w:p>
    <w:p>
      <w:pPr>
        <w:pStyle w:val="Point1"/>
        <w:rPr>
          <w:noProof/>
        </w:rPr>
      </w:pPr>
      <w:r>
        <w:rPr>
          <w:noProof/>
        </w:rPr>
        <w:t>(a)</w:t>
      </w:r>
      <w:r>
        <w:rPr>
          <w:noProof/>
        </w:rPr>
        <w:tab/>
        <w:t>transferul este necesar pentru a proteja interesele vitale ale persoanei vizate în cauză sau ale unei alte persoane;</w:t>
      </w:r>
    </w:p>
    <w:p>
      <w:pPr>
        <w:pStyle w:val="Point1"/>
        <w:rPr>
          <w:noProof/>
        </w:rPr>
      </w:pPr>
      <w:r>
        <w:rPr>
          <w:noProof/>
        </w:rPr>
        <w:t>(b)</w:t>
      </w:r>
      <w:r>
        <w:rPr>
          <w:noProof/>
        </w:rPr>
        <w:tab/>
        <w:t>transferul este necesar pentru a proteja interesele legitime ale persoanei vizate în cauză;</w:t>
      </w:r>
    </w:p>
    <w:p>
      <w:pPr>
        <w:pStyle w:val="Point1"/>
        <w:rPr>
          <w:noProof/>
        </w:rPr>
      </w:pPr>
      <w:r>
        <w:rPr>
          <w:noProof/>
        </w:rPr>
        <w:t>(c)</w:t>
      </w:r>
      <w:r>
        <w:rPr>
          <w:noProof/>
        </w:rPr>
        <w:tab/>
        <w:t>transferul este esențial pentru prevenirea unei amenințări imediate și grave la adresa siguranței publice a unui stat membru sau a unei țări terțe;</w:t>
      </w:r>
    </w:p>
    <w:p>
      <w:pPr>
        <w:pStyle w:val="Point1"/>
        <w:rPr>
          <w:noProof/>
        </w:rPr>
      </w:pPr>
      <w:r>
        <w:rPr>
          <w:noProof/>
        </w:rPr>
        <w:t>(d)</w:t>
      </w:r>
      <w:r>
        <w:rPr>
          <w:noProof/>
        </w:rPr>
        <w:tab/>
        <w:t xml:space="preserve">transferul este necesar, în cazuri individuale, în scopul prevenirii, al investigării, al identificării sau al urmăririi penale a unei infracțiuni specifice care intră în sfera de competență a Europol; </w:t>
      </w:r>
    </w:p>
    <w:p>
      <w:pPr>
        <w:pStyle w:val="Point1"/>
        <w:rPr>
          <w:noProof/>
        </w:rPr>
      </w:pPr>
      <w:r>
        <w:rPr>
          <w:noProof/>
        </w:rPr>
        <w:t>(e)</w:t>
      </w:r>
      <w:r>
        <w:rPr>
          <w:noProof/>
        </w:rPr>
        <w:tab/>
        <w:t>transferul este necesar, în cazuri individuale, pentru constatarea, exercitarea sau apărarea unui drept în instanță legat de prevenirea, investigarea, identificarea sau urmărirea penală a unei infracțiuni specifice care intră în sfera de competență a Europol.</w:t>
      </w:r>
    </w:p>
    <w:p>
      <w:pPr>
        <w:pStyle w:val="Text1"/>
        <w:rPr>
          <w:noProof/>
        </w:rPr>
      </w:pPr>
      <w:r>
        <w:rPr>
          <w:noProof/>
        </w:rPr>
        <w:t>Datele cu caracter personal nu sunt transferate dacă directorul executiv stabilește că drepturile și libertățile fundamentale ale persoanei vizate în cauză prevalează asupra interesului public care necesită transferul menționat la primul paragraf literele (d) și (e).</w:t>
      </w:r>
    </w:p>
    <w:p>
      <w:pPr>
        <w:pStyle w:val="ManualNumPar1"/>
        <w:rPr>
          <w:noProof/>
        </w:rPr>
      </w:pPr>
      <w:r>
        <w:rPr>
          <w:noProof/>
        </w:rPr>
        <w:t>(7)</w:t>
      </w:r>
      <w:r>
        <w:rPr>
          <w:noProof/>
        </w:rPr>
        <w:tab/>
        <w:t>Transmiterile sau transferurile de date cu caracter personal în temeiul alineatelor (5) și (6) nu sunt sistematice, masive sau structurale.</w:t>
      </w:r>
    </w:p>
    <w:p>
      <w:pPr>
        <w:pStyle w:val="ManualNumPar1"/>
        <w:rPr>
          <w:noProof/>
        </w:rPr>
      </w:pPr>
      <w:r>
        <w:rPr>
          <w:noProof/>
        </w:rPr>
        <w:t>(8)</w:t>
      </w:r>
      <w:r>
        <w:rPr>
          <w:noProof/>
        </w:rPr>
        <w:tab/>
        <w:t>Europol poate să solicite statelor membre, prin intermediul unităților lor naționale Europol, să transmită către Europol, în conformitate cu dreptul lor intern, date cu caracter personal de la părți private care sunt stabilite sau au un reprezentant legal pe teritoriul lor. Astfel de cereri se motivează și trebuie să fie cât mai precise cu putință. Astfel de date cu caracter personal au un caracter cât mai puțin sensibil și se limitează strict la ceea ce este necesar și proporțional pentru a permite Europol să își îndeplinească atribuțiile.</w:t>
      </w:r>
    </w:p>
    <w:p>
      <w:pPr>
        <w:pStyle w:val="ManualNumPar1"/>
        <w:rPr>
          <w:noProof/>
        </w:rPr>
      </w:pPr>
      <w:r>
        <w:rPr>
          <w:noProof/>
        </w:rPr>
        <w:t>(9)</w:t>
      </w:r>
      <w:r>
        <w:rPr>
          <w:noProof/>
        </w:rPr>
        <w:tab/>
        <w:t>Mecanismul Europol menționat la articolul 47 poate fi utilizat pentru schimburi de informații între autoritățile competente ale statelor membre și părți private, în conformitate cu dreptul Uniunii și cu dreptul intern. Aceste schimburi pot acoperi și infracțiuni care nu intră în sfera de competență a Europol.</w:t>
      </w:r>
    </w:p>
    <w:p>
      <w:pPr>
        <w:pStyle w:val="Text1"/>
        <w:rPr>
          <w:noProof/>
        </w:rPr>
      </w:pPr>
      <w:r>
        <w:rPr>
          <w:noProof/>
        </w:rPr>
        <w:t>În cazul în care statele membre utilizează mecanismul Europol pentru schimbul de informații privind infracțiunile care intră în sfera de competență a Europol, acestea furnizează Europol o copie a acestor informații.</w:t>
      </w:r>
    </w:p>
    <w:p>
      <w:pPr>
        <w:pStyle w:val="Text1"/>
        <w:rPr>
          <w:noProof/>
        </w:rPr>
      </w:pPr>
      <w:r>
        <w:rPr>
          <w:noProof/>
        </w:rPr>
        <w:t>În cazul în care statele membre utilizează mecanismul Europol pentru schimbul de date cu caracter personal privind infracțiuni care nu intră în sfera de competență a Europol, Europol nu are acces la datele respective și este considerată persoană împuternicită de operator în conformitate cu articolul 87 din Regulamentul (UE) 2018/1725.</w:t>
      </w:r>
    </w:p>
    <w:p>
      <w:pPr>
        <w:pStyle w:val="Text1"/>
        <w:rPr>
          <w:noProof/>
        </w:rPr>
      </w:pPr>
      <w:r>
        <w:rPr>
          <w:noProof/>
        </w:rPr>
        <w:t>Europol evaluează riscurile de securitate pe care le prezintă permisiunea utilizării infrastructurii sale de către părți private și, dacă este necesar, pune în aplicare măsuri adecvate de prevenire și atenuare.</w:t>
      </w:r>
    </w:p>
    <w:p>
      <w:pPr>
        <w:pStyle w:val="ManualNumPar1"/>
        <w:rPr>
          <w:noProof/>
        </w:rPr>
      </w:pPr>
      <w:r>
        <w:rPr>
          <w:noProof/>
        </w:rPr>
        <w:t>(10)</w:t>
      </w:r>
      <w:r>
        <w:rPr>
          <w:noProof/>
        </w:rPr>
        <w:tab/>
        <w:t>Europol se asigură că toate transmiterile sau transferurile datelor cu caracter personal și motivele acestor transmiteri sau transferuri sunt înregistrate în detaliu în conformitate cu prezentul regulament și comunicate la cerere AEPD în conformitate cu Regulamentul (UE) 2018/1725.</w:t>
      </w:r>
    </w:p>
    <w:p>
      <w:pPr>
        <w:pStyle w:val="ManualNumPar1"/>
        <w:rPr>
          <w:noProof/>
        </w:rPr>
      </w:pPr>
      <w:r>
        <w:rPr>
          <w:noProof/>
        </w:rPr>
        <w:t>(11)</w:t>
      </w:r>
      <w:r>
        <w:rPr>
          <w:noProof/>
        </w:rPr>
        <w:tab/>
        <w:t>În cazul în care datele cu caracter personal primite sau care urmează să fie transmise sau transferate aduc atingere intereselor unui stat membru, Europol informează imediat unitatea națională Europol a statului membru în cauză.</w:t>
      </w:r>
    </w:p>
    <w:p>
      <w:pPr>
        <w:pStyle w:val="ManualNumPar1"/>
        <w:rPr>
          <w:noProof/>
        </w:rPr>
      </w:pPr>
      <w:r>
        <w:rPr>
          <w:noProof/>
        </w:rPr>
        <w:t>(12)</w:t>
      </w:r>
      <w:r>
        <w:rPr>
          <w:noProof/>
        </w:rPr>
        <w:tab/>
        <w:t>Până la 31 martie, Consiliul de administrație adoptă un raport anual privind datele cu caracter personal schimbate cu părți private în temeiul prezentului articol, pe baza criteriilor de evaluare cantitative și calitative stabilite de Consiliul de administrație.</w:t>
      </w:r>
    </w:p>
    <w:p>
      <w:pPr>
        <w:pStyle w:val="ManualNumPar1"/>
        <w:rPr>
          <w:noProof/>
        </w:rPr>
      </w:pPr>
      <w:r>
        <w:rPr>
          <w:noProof/>
        </w:rPr>
        <w:t>(13)</w:t>
      </w:r>
      <w:r>
        <w:rPr>
          <w:noProof/>
        </w:rPr>
        <w:tab/>
        <w:t>Raportul anual ține seama de obligațiile de discreție și confidențialitate, iar exemplele sunt anonimizate în ceea ce privește datele cu caracter personal.</w:t>
      </w:r>
    </w:p>
    <w:p>
      <w:pPr>
        <w:pStyle w:val="Text1"/>
        <w:rPr>
          <w:noProof/>
        </w:rPr>
      </w:pPr>
      <w:r>
        <w:rPr>
          <w:noProof/>
        </w:rPr>
        <w:t>Respectivul raport anual este transmis Parlamentului European, Consiliului, Comisiei și parlamentelor naționale.</w:t>
      </w:r>
    </w:p>
    <w:p>
      <w:pPr>
        <w:pStyle w:val="Titrearticle"/>
        <w:rPr>
          <w:noProof/>
        </w:rPr>
      </w:pPr>
      <w:r>
        <w:rPr>
          <w:noProof/>
        </w:rPr>
        <w:t>Articolul 97</w:t>
      </w:r>
    </w:p>
    <w:p>
      <w:pPr>
        <w:pStyle w:val="NormalCentered"/>
        <w:keepNext/>
        <w:rPr>
          <w:noProof/>
        </w:rPr>
      </w:pPr>
      <w:r>
        <w:rPr>
          <w:b/>
          <w:noProof/>
        </w:rPr>
        <w:t>Informații care provin de la persoane fizice</w:t>
      </w:r>
    </w:p>
    <w:p>
      <w:pPr>
        <w:pStyle w:val="ManualNumPar1"/>
        <w:rPr>
          <w:noProof/>
        </w:rPr>
      </w:pPr>
      <w:r>
        <w:rPr>
          <w:noProof/>
        </w:rPr>
        <w:t>(1)</w:t>
      </w:r>
      <w:r>
        <w:rPr>
          <w:noProof/>
        </w:rPr>
        <w:tab/>
        <w:t>În măsura în care este necesar pentru îndeplinirea atribuțiilor care îi revin, Europol poate primi și prelucra informații care provin de la persoane fizice.</w:t>
      </w:r>
    </w:p>
    <w:p>
      <w:pPr>
        <w:pStyle w:val="ManualNumPar1"/>
        <w:rPr>
          <w:noProof/>
        </w:rPr>
      </w:pPr>
      <w:r>
        <w:rPr>
          <w:noProof/>
        </w:rPr>
        <w:t>(2)</w:t>
      </w:r>
      <w:r>
        <w:rPr>
          <w:noProof/>
        </w:rPr>
        <w:tab/>
        <w:t>Datele cu caracter personal care provin de la persoane fizice se prelucrează de Europol doar cu condiția ca acestea să fie primite în unul dintre următoarele moduri:</w:t>
      </w:r>
    </w:p>
    <w:p>
      <w:pPr>
        <w:pStyle w:val="Point1"/>
        <w:rPr>
          <w:noProof/>
        </w:rPr>
      </w:pPr>
      <w:r>
        <w:rPr>
          <w:noProof/>
        </w:rPr>
        <w:t>(a)</w:t>
      </w:r>
      <w:r>
        <w:rPr>
          <w:noProof/>
        </w:rPr>
        <w:tab/>
        <w:t>o unitate națională Europol, în conformitate cu dreptul intern;</w:t>
      </w:r>
    </w:p>
    <w:p>
      <w:pPr>
        <w:pStyle w:val="Point1"/>
        <w:rPr>
          <w:noProof/>
        </w:rPr>
      </w:pPr>
      <w:r>
        <w:rPr>
          <w:noProof/>
        </w:rPr>
        <w:t>(b)</w:t>
      </w:r>
      <w:r>
        <w:rPr>
          <w:noProof/>
        </w:rPr>
        <w:tab/>
        <w:t>punctul de contact al unei țări terțe sau al unei organizații internaționale către care pot fi transferate date cu caracter personal în temeiul articolului 94b alineatul (2) litera (c) din Regulamentul (UE) 2018/1725;</w:t>
      </w:r>
    </w:p>
    <w:p>
      <w:pPr>
        <w:pStyle w:val="Point1"/>
        <w:rPr>
          <w:noProof/>
        </w:rPr>
      </w:pPr>
      <w:r>
        <w:rPr>
          <w:noProof/>
        </w:rPr>
        <w:t>(c)</w:t>
      </w:r>
      <w:r>
        <w:rPr>
          <w:noProof/>
        </w:rPr>
        <w:tab/>
        <w:t>o autoritate a unei țări terțe sau o organizație internațională căreia îi pot fi transferate date cu caracter personal în temeiul articolului 94a, al articolului 94b alineatul (1) sau al articolului 94b alineatul (2) litera (a) din Regulamentul (UE) 2018/1725.</w:t>
      </w:r>
    </w:p>
    <w:p>
      <w:pPr>
        <w:pStyle w:val="ManualNumPar1"/>
        <w:rPr>
          <w:noProof/>
        </w:rPr>
      </w:pPr>
      <w:r>
        <w:rPr>
          <w:noProof/>
        </w:rPr>
        <w:t>(3)</w:t>
      </w:r>
      <w:r>
        <w:rPr>
          <w:noProof/>
        </w:rPr>
        <w:tab/>
        <w:t>În cazul în care Europol primește informații, inclusiv date cu caracter personal, de la o persoană fizică cu reședința într-o țară terță în legătură cu care nu sunt îndeplinite condițiile pentru realizarea unui transfer în temeiul articolului 94a sau 94b din Regulamentul (UE) 2018/1725, Europol transmite informațiile respective doar unui stat membru sau unei astfel de țări terțe.</w:t>
      </w:r>
    </w:p>
    <w:p>
      <w:pPr>
        <w:pStyle w:val="ManualNumPar1"/>
        <w:rPr>
          <w:noProof/>
        </w:rPr>
      </w:pPr>
      <w:r>
        <w:rPr>
          <w:noProof/>
        </w:rPr>
        <w:t>(4)</w:t>
      </w:r>
      <w:r>
        <w:rPr>
          <w:noProof/>
        </w:rPr>
        <w:tab/>
        <w:t>În cazul în care datele cu caracter personal primite aduc atingere intereselor unui stat membru, Europol informează imediat unitatea națională Europol a statului membru în cauză.</w:t>
      </w:r>
    </w:p>
    <w:p>
      <w:pPr>
        <w:pStyle w:val="ManualNumPar1"/>
        <w:rPr>
          <w:noProof/>
        </w:rPr>
      </w:pPr>
      <w:r>
        <w:rPr>
          <w:noProof/>
        </w:rPr>
        <w:t>(5)</w:t>
      </w:r>
      <w:r>
        <w:rPr>
          <w:noProof/>
        </w:rPr>
        <w:tab/>
        <w:t>Europol nu contactează persoane fizice pentru extragerea de informații.</w:t>
      </w:r>
    </w:p>
    <w:p>
      <w:pPr>
        <w:pStyle w:val="ManualNumPar1"/>
        <w:rPr>
          <w:noProof/>
        </w:rPr>
      </w:pPr>
      <w:r>
        <w:rPr>
          <w:noProof/>
        </w:rPr>
        <w:t>(6)</w:t>
      </w:r>
      <w:r>
        <w:rPr>
          <w:noProof/>
        </w:rPr>
        <w:tab/>
        <w:t>Fără a aduce atingere articolelor 104 și 105, Europol nu poate furniza date cu caracter personal persoanelor fizice.</w:t>
      </w:r>
    </w:p>
    <w:p>
      <w:pPr>
        <w:pStyle w:val="ChapterTitle"/>
        <w:rPr>
          <w:noProof/>
        </w:rPr>
      </w:pPr>
      <w:r>
        <w:rPr>
          <w:noProof/>
        </w:rPr>
        <w:t xml:space="preserve">Capitolul VIII </w:t>
      </w:r>
      <w:r>
        <w:rPr>
          <w:noProof/>
        </w:rPr>
        <w:br/>
        <w:t>Protecția datelor</w:t>
      </w:r>
    </w:p>
    <w:p>
      <w:pPr>
        <w:pStyle w:val="Titrearticle"/>
        <w:rPr>
          <w:noProof/>
        </w:rPr>
      </w:pPr>
      <w:r>
        <w:rPr>
          <w:noProof/>
        </w:rPr>
        <w:t>Articolul 98</w:t>
      </w:r>
    </w:p>
    <w:p>
      <w:pPr>
        <w:pStyle w:val="NormalCentered"/>
        <w:rPr>
          <w:noProof/>
        </w:rPr>
      </w:pPr>
      <w:r>
        <w:rPr>
          <w:b/>
          <w:noProof/>
        </w:rPr>
        <w:t>Prelucrarea datelor cu caracter personal de către Europol</w:t>
      </w:r>
    </w:p>
    <w:p>
      <w:pPr>
        <w:pStyle w:val="ManualNumPar1"/>
        <w:rPr>
          <w:noProof/>
        </w:rPr>
      </w:pPr>
      <w:r>
        <w:rPr>
          <w:noProof/>
        </w:rPr>
        <w:t>(1)</w:t>
      </w:r>
      <w:r>
        <w:rPr>
          <w:noProof/>
        </w:rPr>
        <w:tab/>
        <w:t xml:space="preserve">Cu excepția cazului în care se prevede altfel în prezentul regulament, </w:t>
      </w:r>
      <w:hyperlink r:id="rId20" w:tooltip="http://data.europa.eu/eli/reg/2018/1725/oj">
        <w:r>
          <w:rPr>
            <w:rStyle w:val="Hyperlink"/>
            <w:noProof/>
          </w:rPr>
          <w:t>Regulamentul (UE) 2018/1725</w:t>
        </w:r>
      </w:hyperlink>
      <w:r>
        <w:rPr>
          <w:noProof/>
        </w:rPr>
        <w:t xml:space="preserve"> se aplică prelucrării datelor cu caracter personal de către Europol.</w:t>
      </w:r>
    </w:p>
    <w:p>
      <w:pPr>
        <w:pStyle w:val="ManualNumPar1"/>
        <w:rPr>
          <w:noProof/>
        </w:rPr>
      </w:pPr>
      <w:r>
        <w:rPr>
          <w:noProof/>
        </w:rPr>
        <w:t>(2)</w:t>
      </w:r>
      <w:r>
        <w:rPr>
          <w:noProof/>
        </w:rPr>
        <w:tab/>
        <w:t xml:space="preserve">Trimiterile la „date cu caracter personal” din prezentul regulament se interpretează ca trimiteri la „date operaționale cu caracter personal”, astfel cum sunt definite la </w:t>
      </w:r>
      <w:hyperlink r:id="rId21">
        <w:r>
          <w:rPr>
            <w:rStyle w:val="Hyperlink"/>
            <w:noProof/>
          </w:rPr>
          <w:t>articolul 3 punctul 2 din Regulamentul (UE) 2018/1725</w:t>
        </w:r>
      </w:hyperlink>
      <w:r>
        <w:rPr>
          <w:noProof/>
        </w:rPr>
        <w:t>, cu excepția cazului în care se prevede altfel în prezentul regulament.</w:t>
      </w:r>
    </w:p>
    <w:p>
      <w:pPr>
        <w:pStyle w:val="ManualNumPar1"/>
        <w:rPr>
          <w:noProof/>
        </w:rPr>
      </w:pPr>
      <w:r>
        <w:rPr>
          <w:noProof/>
        </w:rPr>
        <w:t>(3)</w:t>
      </w:r>
      <w:r>
        <w:rPr>
          <w:noProof/>
        </w:rPr>
        <w:tab/>
        <w:t>Consiliul de administrație adoptă norme pentru a stabili termenele pentru stocarea datelor administrative cu caracter personal.</w:t>
      </w:r>
    </w:p>
    <w:p>
      <w:pPr>
        <w:pStyle w:val="Titrearticle"/>
        <w:rPr>
          <w:noProof/>
        </w:rPr>
      </w:pPr>
      <w:r>
        <w:rPr>
          <w:noProof/>
        </w:rPr>
        <w:t>Articolul 99</w:t>
      </w:r>
    </w:p>
    <w:p>
      <w:pPr>
        <w:pStyle w:val="NormalCentered"/>
        <w:keepNext/>
        <w:rPr>
          <w:noProof/>
        </w:rPr>
      </w:pPr>
      <w:r>
        <w:rPr>
          <w:b/>
          <w:noProof/>
        </w:rPr>
        <w:t>Evaluarea fiabilității sursei și acurateței informațiilor</w:t>
      </w:r>
    </w:p>
    <w:p>
      <w:pPr>
        <w:pStyle w:val="ManualNumPar1"/>
        <w:rPr>
          <w:noProof/>
        </w:rPr>
      </w:pPr>
      <w:r>
        <w:rPr>
          <w:noProof/>
        </w:rPr>
        <w:t>(1)</w:t>
      </w:r>
      <w:r>
        <w:rPr>
          <w:noProof/>
        </w:rPr>
        <w:tab/>
        <w:t>Fiabilitatea sursei informațiilor care provin de la un stat membru este evaluată în măsura posibilului de către statul membru care furnizează informațiile, utilizându-se următoarele coduri de evaluare a sursei:</w:t>
      </w:r>
    </w:p>
    <w:p>
      <w:pPr>
        <w:pStyle w:val="Point1"/>
        <w:rPr>
          <w:noProof/>
        </w:rPr>
      </w:pPr>
      <w:r>
        <w:rPr>
          <w:noProof/>
        </w:rPr>
        <w:t>(a)</w:t>
      </w:r>
      <w:r>
        <w:rPr>
          <w:noProof/>
        </w:rPr>
        <w:tab/>
        <w:t>(A): atunci când nu există îndoieli cu privire la autenticitatea, credibilitatea și competența sursei sau atunci când informațiile sunt furnizate de o sursă care s-a dovedit fiabilă în toate cazurile;</w:t>
      </w:r>
    </w:p>
    <w:p>
      <w:pPr>
        <w:pStyle w:val="Point1"/>
        <w:rPr>
          <w:noProof/>
        </w:rPr>
      </w:pPr>
      <w:r>
        <w:rPr>
          <w:noProof/>
        </w:rPr>
        <w:t>(b)</w:t>
      </w:r>
      <w:r>
        <w:rPr>
          <w:noProof/>
        </w:rPr>
        <w:tab/>
        <w:t>(B): atunci când informațiile sunt furnizate de o sursă care s-a dovedit fiabilă în majoritatea cazurilor;</w:t>
      </w:r>
    </w:p>
    <w:p>
      <w:pPr>
        <w:pStyle w:val="Point1"/>
        <w:rPr>
          <w:noProof/>
        </w:rPr>
      </w:pPr>
      <w:r>
        <w:rPr>
          <w:noProof/>
        </w:rPr>
        <w:t>(c)</w:t>
      </w:r>
      <w:r>
        <w:rPr>
          <w:noProof/>
        </w:rPr>
        <w:tab/>
        <w:t>(C): atunci când informațiile sunt furnizate de o sursă care s-a dovedit nefiabilă în majoritatea cazurilor;</w:t>
      </w:r>
    </w:p>
    <w:p>
      <w:pPr>
        <w:pStyle w:val="Point1"/>
        <w:rPr>
          <w:noProof/>
        </w:rPr>
      </w:pPr>
      <w:r>
        <w:rPr>
          <w:noProof/>
        </w:rPr>
        <w:t>(d)</w:t>
      </w:r>
      <w:r>
        <w:rPr>
          <w:noProof/>
        </w:rPr>
        <w:tab/>
        <w:t>(X): atunci când fiabilitatea sursei nu poate fi evaluată.</w:t>
      </w:r>
    </w:p>
    <w:p>
      <w:pPr>
        <w:pStyle w:val="ManualNumPar1"/>
        <w:rPr>
          <w:noProof/>
        </w:rPr>
      </w:pPr>
      <w:r>
        <w:rPr>
          <w:noProof/>
        </w:rPr>
        <w:t>(2)</w:t>
      </w:r>
      <w:r>
        <w:rPr>
          <w:noProof/>
        </w:rPr>
        <w:tab/>
        <w:t>Acuratețea informațiilor care provin de la un stat membru se evaluează în măsura posibilului de către statul membru care furnizează informațiile, utilizându-se următoarele coduri de evaluare a informațiilor:</w:t>
      </w:r>
    </w:p>
    <w:p>
      <w:pPr>
        <w:pStyle w:val="Point1"/>
        <w:rPr>
          <w:noProof/>
        </w:rPr>
      </w:pPr>
      <w:r>
        <w:rPr>
          <w:noProof/>
        </w:rPr>
        <w:t>(a)</w:t>
      </w:r>
      <w:r>
        <w:rPr>
          <w:noProof/>
        </w:rPr>
        <w:tab/>
        <w:t>(1): informații a căror acuratețe nu este pusă la îndoială;</w:t>
      </w:r>
    </w:p>
    <w:p>
      <w:pPr>
        <w:pStyle w:val="Point1"/>
        <w:rPr>
          <w:noProof/>
        </w:rPr>
      </w:pPr>
      <w:r>
        <w:rPr>
          <w:noProof/>
        </w:rPr>
        <w:t>(b)</w:t>
      </w:r>
      <w:r>
        <w:rPr>
          <w:noProof/>
        </w:rPr>
        <w:tab/>
        <w:t>(2): informații cunoscute personal de sursă, dar care nu sunt cunoscute personal de funcționarul care le transmite;</w:t>
      </w:r>
    </w:p>
    <w:p>
      <w:pPr>
        <w:pStyle w:val="Point1"/>
        <w:rPr>
          <w:noProof/>
        </w:rPr>
      </w:pPr>
      <w:r>
        <w:rPr>
          <w:noProof/>
        </w:rPr>
        <w:t>(c)</w:t>
      </w:r>
      <w:r>
        <w:rPr>
          <w:noProof/>
        </w:rPr>
        <w:tab/>
        <w:t>(3): informații pe care sursa nu le cunoaște personal, dar care sunt coroborate cu alte informații deja înregistrate;</w:t>
      </w:r>
    </w:p>
    <w:p>
      <w:pPr>
        <w:pStyle w:val="Point1"/>
        <w:rPr>
          <w:noProof/>
        </w:rPr>
      </w:pPr>
      <w:r>
        <w:rPr>
          <w:noProof/>
        </w:rPr>
        <w:t>(d)</w:t>
      </w:r>
      <w:r>
        <w:rPr>
          <w:noProof/>
        </w:rPr>
        <w:tab/>
        <w:t>(4): informații care nu sunt cunoscute personal de sursă și care nu pot fi coroborate.</w:t>
      </w:r>
    </w:p>
    <w:p>
      <w:pPr>
        <w:pStyle w:val="ManualNumPar1"/>
        <w:rPr>
          <w:noProof/>
        </w:rPr>
      </w:pPr>
      <w:r>
        <w:rPr>
          <w:noProof/>
        </w:rPr>
        <w:t>(3)</w:t>
      </w:r>
      <w:r>
        <w:rPr>
          <w:noProof/>
        </w:rPr>
        <w:tab/>
        <w:t>În cazul în care Europol, pe baza informațiilor pe care le deține deja, ajunge la concluzia că este necesar ca evaluarea prevăzută la alineatul (1) sau (2) să fie corectată, acesta informează statul membru în cauză și acționează pentru a se ajunge la un acord cu privire la modificarea evaluării. Europol nu modifică evaluarea fără un astfel de acord.</w:t>
      </w:r>
    </w:p>
    <w:p>
      <w:pPr>
        <w:pStyle w:val="ManualNumPar1"/>
        <w:rPr>
          <w:noProof/>
        </w:rPr>
      </w:pPr>
      <w:r>
        <w:rPr>
          <w:noProof/>
        </w:rPr>
        <w:t>(4)</w:t>
      </w:r>
      <w:r>
        <w:rPr>
          <w:noProof/>
        </w:rPr>
        <w:tab/>
        <w:t>În cazul în care Europol primește din partea unui stat membru informații care nu au făcut obiectul unei evaluări efectuate în conformitate cu alineatul (1) sau (2), acesta încearcă să evalueze fiabilitatea sursei sau acuratețea informațiilor pe baza informațiilor pe care le deține deja. Evaluarea datelor și a informațiilor specifice se efectuează în acord cu statul membru care le-a furnizat. De asemenea, un stat membru poate ajunge la un acord general cu Europol referitor la evaluarea anumitor tipuri de date și a anumitor surse. În cazul în care nu s-a ajuns la un acord într-un caz specific sau dacă nu există un acord general, Europol evaluează informațiile sau datele și le atribuie codurile de evaluare (X) și (4) menționate la alineatele (1) și, respectiv, (2).</w:t>
      </w:r>
    </w:p>
    <w:p>
      <w:pPr>
        <w:pStyle w:val="ManualNumPar1"/>
        <w:rPr>
          <w:noProof/>
        </w:rPr>
      </w:pPr>
      <w:r>
        <w:rPr>
          <w:noProof/>
        </w:rPr>
        <w:t>(5)</w:t>
      </w:r>
      <w:r>
        <w:rPr>
          <w:noProof/>
        </w:rPr>
        <w:tab/>
        <w:t xml:space="preserve">Alineatele (1)-(4) se aplică </w:t>
      </w:r>
      <w:r>
        <w:rPr>
          <w:i/>
          <w:noProof/>
        </w:rPr>
        <w:t>mutatis mutandis</w:t>
      </w:r>
      <w:r>
        <w:rPr>
          <w:noProof/>
        </w:rPr>
        <w:t xml:space="preserve"> în cazul în care Europol primește date sau informații de la o instituție, un organ, o misiune, un oficiu sau o agenție a(l) Uniunii, de la o țară terță, de la o organizație internațională sau de la o parte privată.</w:t>
      </w:r>
    </w:p>
    <w:p>
      <w:pPr>
        <w:pStyle w:val="ManualNumPar1"/>
        <w:rPr>
          <w:noProof/>
        </w:rPr>
      </w:pPr>
      <w:r>
        <w:rPr>
          <w:noProof/>
        </w:rPr>
        <w:t>(6)</w:t>
      </w:r>
      <w:r>
        <w:rPr>
          <w:noProof/>
        </w:rPr>
        <w:tab/>
        <w:t>Informațiile din surse aflate la dispoziția publicului sunt evaluate de Europol, utilizându-se codurile de evaluare menționate la alineatele (1) și (2).</w:t>
      </w:r>
    </w:p>
    <w:p>
      <w:pPr>
        <w:pStyle w:val="ManualNumPar1"/>
        <w:rPr>
          <w:noProof/>
        </w:rPr>
      </w:pPr>
      <w:r>
        <w:rPr>
          <w:noProof/>
        </w:rPr>
        <w:t>(7)</w:t>
      </w:r>
      <w:r>
        <w:rPr>
          <w:noProof/>
        </w:rPr>
        <w:tab/>
        <w:t>În cazul în care informațiile reprezintă rezultatul unei analize efectuate în cadrul îndeplinirii atribuțiilor care îi revin, Europol evaluează aceste informații în conformitate cu prezentul articol și de comun acord cu statele membre care participă la analiză.</w:t>
      </w:r>
    </w:p>
    <w:p>
      <w:pPr>
        <w:pStyle w:val="Titrearticle"/>
        <w:rPr>
          <w:noProof/>
        </w:rPr>
      </w:pPr>
      <w:r>
        <w:rPr>
          <w:noProof/>
        </w:rPr>
        <w:t>Articolul 100</w:t>
      </w:r>
    </w:p>
    <w:p>
      <w:pPr>
        <w:pStyle w:val="NormalCentered"/>
        <w:rPr>
          <w:noProof/>
        </w:rPr>
      </w:pPr>
      <w:r>
        <w:rPr>
          <w:b/>
          <w:noProof/>
        </w:rPr>
        <w:t>Prelucrarea datelor cu caracter personal ale diferitelor categorii de persoane vizate și ale categoriilor speciale de date cu caracter personal</w:t>
      </w:r>
    </w:p>
    <w:p>
      <w:pPr>
        <w:pStyle w:val="ManualNumPar1"/>
        <w:rPr>
          <w:noProof/>
        </w:rPr>
      </w:pPr>
      <w:r>
        <w:rPr>
          <w:noProof/>
        </w:rPr>
        <w:t>(1)</w:t>
      </w:r>
      <w:r>
        <w:rPr>
          <w:noProof/>
        </w:rPr>
        <w:tab/>
        <w:t>Este permisă prelucrarea datelor cu caracter personal care vizează victimele unei infracțiuni, martorii sau alte persoane care pot furniza informații privind infracțiunile în cazul în care acest lucru este strict necesar și proporțional pentru prevenirea sau combaterea criminalității care intră în sfera de competență a Europol.</w:t>
      </w:r>
    </w:p>
    <w:p>
      <w:pPr>
        <w:pStyle w:val="ManualNumPar1"/>
        <w:rPr>
          <w:noProof/>
        </w:rPr>
      </w:pPr>
      <w:r>
        <w:rPr>
          <w:noProof/>
        </w:rPr>
        <w:t>(2)</w:t>
      </w:r>
      <w:r>
        <w:rPr>
          <w:noProof/>
        </w:rPr>
        <w:tab/>
        <w:t xml:space="preserve">Este permisă prelucrarea datelor cu caracter personal, efectuată prin mijloace automatizate sau de alt tip, care dezvăluie originea rasială sau etnică, opiniile politice, convingerile religioase sau filosofice sau apartenența sindicală, și prelucrarea datelor genetice, a datelor biometrice </w:t>
      </w:r>
      <w:bookmarkStart w:id="7" w:name="_Hlk231914373"/>
      <w:r>
        <w:rPr>
          <w:noProof/>
        </w:rPr>
        <w:t>în scopul identificării unice a unei persoane fizice</w:t>
      </w:r>
      <w:bookmarkEnd w:id="7"/>
      <w:r>
        <w:rPr>
          <w:noProof/>
        </w:rPr>
        <w:t xml:space="preserve"> sau a datelor privind sănătatea sau viața sexuală sau orientarea sexuală a persoanelor fizice, numai în cazul în care acest lucru este strict necesar și proporțional în scopul proiectelor de cercetare și inovare în temeiul articolului 102 și în scopuri operaționale, în sfera de competență a Europol, și numai pentru prevenirea sau combaterea criminalității care intră în sfera de competență a Europol. O astfel de prelucrare face, de asemenea, obiectul unor garanții adecvate prevăzute în prezentul regulament cu privire la drepturile și libertățile persoanei vizate și, cu excepția datelor biometrice prelucrate în scopul identificării unice a unei persoane fizice, este permisă numai în cazul în care respectivele date completează alte date cu caracter personal prelucrate de Europol. Este interzisă selectarea unui anumit grup de persoane doar pe baza acestor date cu caracter personal.</w:t>
      </w:r>
    </w:p>
    <w:p>
      <w:pPr>
        <w:pStyle w:val="ManualNumPar1"/>
        <w:rPr>
          <w:noProof/>
        </w:rPr>
      </w:pPr>
      <w:r>
        <w:rPr>
          <w:noProof/>
        </w:rPr>
        <w:t>(3)</w:t>
      </w:r>
      <w:r>
        <w:rPr>
          <w:noProof/>
        </w:rPr>
        <w:tab/>
        <w:t>Responsabilul cu protecția datelor este informat fără întârzieri nejustificate în cazul prelucrării de date cu caracter personal în temeiul prezentului articol.</w:t>
      </w:r>
    </w:p>
    <w:p>
      <w:pPr>
        <w:pStyle w:val="ManualNumPar1"/>
        <w:rPr>
          <w:noProof/>
        </w:rPr>
      </w:pPr>
      <w:r>
        <w:rPr>
          <w:noProof/>
        </w:rPr>
        <w:t>(4)</w:t>
      </w:r>
      <w:r>
        <w:rPr>
          <w:noProof/>
        </w:rPr>
        <w:tab/>
        <w:t>Numai Europol are acces direct la datele cu caracter personal menționate la alineatele (1) și (2). Directorul executiv autorizează în mod corespunzător un număr limitat de funcționari ai Europol să aibă un astfel de acces numai în cazul în care acest lucru este necesar pentru îndeplinirea sarcinilor lor.</w:t>
      </w:r>
    </w:p>
    <w:p>
      <w:pPr>
        <w:pStyle w:val="ManualNumPar1"/>
        <w:rPr>
          <w:noProof/>
        </w:rPr>
      </w:pPr>
      <w:r>
        <w:rPr>
          <w:noProof/>
        </w:rPr>
        <w:t>(5)</w:t>
      </w:r>
      <w:r>
        <w:rPr>
          <w:noProof/>
        </w:rPr>
        <w:tab/>
        <w:t>În pofida primului paragraf, atunci când este necesar să se acorde personalului autorităților competente ale statelor membre sau al organelor și agențiilor Uniunii acces direct la date cu caracter personal pentru îndeplinirea sarcinilor lor și în conformitate cu prezentul regulament sau pentru proiecte de cercetare și inovare în conformitate cu articolul 102 alineatul (2) litera (c), directorul executiv autorizează în mod corespunzător un număr limitat de astfel de funcționari să aibă acces la datele respective.</w:t>
      </w:r>
    </w:p>
    <w:p>
      <w:pPr>
        <w:pStyle w:val="ManualNumPar1"/>
        <w:rPr>
          <w:noProof/>
        </w:rPr>
      </w:pPr>
      <w:r>
        <w:rPr>
          <w:noProof/>
        </w:rPr>
        <w:t>(6)</w:t>
      </w:r>
      <w:r>
        <w:rPr>
          <w:noProof/>
        </w:rPr>
        <w:tab/>
        <w:t>Datele cu caracter personal menționate la alineatele (1) și (2) nu se transmit statelor membre sau instituțiilor, organelor, misiunilor, oficiilor și agențiilor Uniunii și nu se transferă țărilor terțe, organizațiilor internaționale sau părților private, cu excepția cazului în care o astfel de transmitere sau un astfel de transfer este necesar(ă) în temeiul prezentului regulament sau al dreptului Uniunii sau este strict necesar(ă) și proporțional(ă) în cazuri individuale referitoare la infracțiuni care intră în sfera de competență a Europol și în conformitate cu capitolele VI și VII.</w:t>
      </w:r>
    </w:p>
    <w:p>
      <w:pPr>
        <w:pStyle w:val="ManualNumPar1"/>
        <w:rPr>
          <w:noProof/>
        </w:rPr>
      </w:pPr>
      <w:r>
        <w:rPr>
          <w:noProof/>
        </w:rPr>
        <w:t>(7)</w:t>
      </w:r>
      <w:r>
        <w:rPr>
          <w:noProof/>
        </w:rPr>
        <w:tab/>
        <w:t>În fiecare an, Europol înaintează AEPD o prezentare statistică generală privind toate datele cu caracter personal menționate la alineatul (2) pe care le-a prelucrat.</w:t>
      </w:r>
    </w:p>
    <w:p>
      <w:pPr>
        <w:pStyle w:val="Titrearticle"/>
        <w:rPr>
          <w:noProof/>
        </w:rPr>
      </w:pPr>
      <w:r>
        <w:rPr>
          <w:noProof/>
        </w:rPr>
        <w:t>Articolul 101</w:t>
      </w:r>
    </w:p>
    <w:p>
      <w:pPr>
        <w:pStyle w:val="NormalCentered"/>
        <w:rPr>
          <w:noProof/>
        </w:rPr>
      </w:pPr>
      <w:r>
        <w:rPr>
          <w:b/>
          <w:noProof/>
        </w:rPr>
        <w:t>Termene pentru stocarea și ștergerea datelor cu caracter personal</w:t>
      </w:r>
    </w:p>
    <w:p>
      <w:pPr>
        <w:pStyle w:val="ManualNumPar1"/>
        <w:rPr>
          <w:noProof/>
        </w:rPr>
      </w:pPr>
      <w:r>
        <w:rPr>
          <w:noProof/>
        </w:rPr>
        <w:t>1.</w:t>
      </w:r>
      <w:r>
        <w:rPr>
          <w:noProof/>
        </w:rPr>
        <w:tab/>
        <w:t>Europol stochează datele cu caracter personal pe care le prelucrează numai atât timp cât este necesar și proporțional pentru scopurile în care sunt prelucrate datele.</w:t>
      </w:r>
    </w:p>
    <w:p>
      <w:pPr>
        <w:pStyle w:val="ManualNumPar1"/>
        <w:rPr>
          <w:noProof/>
        </w:rPr>
      </w:pPr>
      <w:r>
        <w:rPr>
          <w:noProof/>
        </w:rPr>
        <w:t>2.</w:t>
      </w:r>
      <w:r>
        <w:rPr>
          <w:noProof/>
        </w:rPr>
        <w:tab/>
        <w:t>Necesitatea de a stoca în continuare datele este analizată în toate situațiile de Europol în termen de cel mult trei ani după începerea prelucrării inițiale a datelor cu caracter personal. Europol poate decide stocarea în continuare a datelor cu caracter personal până la următoarea analiză, care va avea loc după o nouă perioadă de trei ani, în cazul în care stocarea în continuare a datelor mai este necesară pentru îndeplinirea atribuțiilor care îi revin. Motivele stocării în continuare trebuie justificate și înregistrate. În cazul în care nu se ia nicio decizie cu privire la stocarea în continuare a datelor cu caracter personal, acestea sunt șterse în mod automat după trei ani.</w:t>
      </w:r>
    </w:p>
    <w:p>
      <w:pPr>
        <w:pStyle w:val="ManualNumPar1"/>
        <w:rPr>
          <w:noProof/>
        </w:rPr>
      </w:pPr>
      <w:r>
        <w:rPr>
          <w:noProof/>
        </w:rPr>
        <w:t>3.</w:t>
      </w:r>
      <w:r>
        <w:rPr>
          <w:noProof/>
        </w:rPr>
        <w:tab/>
        <w:t>În cazul în care datele cu caracter personal menționate la articolul 100 alineatele (1) și (2) sunt stocate pentru o perioadă mai mare de cinci ani, AEPD este informată în acest sens.</w:t>
      </w:r>
    </w:p>
    <w:p>
      <w:pPr>
        <w:pStyle w:val="ManualNumPar1"/>
        <w:rPr>
          <w:noProof/>
        </w:rPr>
      </w:pPr>
      <w:r>
        <w:rPr>
          <w:noProof/>
        </w:rPr>
        <w:t>4.</w:t>
      </w:r>
      <w:r>
        <w:rPr>
          <w:noProof/>
        </w:rPr>
        <w:tab/>
        <w:t>În cazul în care un stat membru, o instituție, un organ, o misiune, un oficiu sau o agenție a Uniunii, o țară terță sau o organizație internațională a indicat, la momentul transmiterii sau al transferului, orice restricție în ceea ce privește ștergerea sau distrugerea înainte de termen a datelor cu caracter personal, în conformitate cu articolul 33 alineatul (2), Europol șterge datele cu caracter personal în conformitate cu restricțiile respective. În cazul în care stocarea în continuare a datelor este considerată necesară, pe baza informațiilor care sunt mai exhaustive decât cele deținute de furnizorul de date, pentru îndeplinirea atribuțiilor Europol, aceasta solicită furnizorului de date autorizarea de a stoca în continuare datele și prezintă o motivare în acest sens.</w:t>
      </w:r>
    </w:p>
    <w:p>
      <w:pPr>
        <w:pStyle w:val="ManualNumPar1"/>
        <w:rPr>
          <w:noProof/>
        </w:rPr>
      </w:pPr>
      <w:r>
        <w:rPr>
          <w:noProof/>
        </w:rPr>
        <w:t>5.</w:t>
      </w:r>
      <w:r>
        <w:rPr>
          <w:noProof/>
        </w:rPr>
        <w:tab/>
        <w:t>Un stat membru, o instituție, un organ, o misiune, un oficiu sau o agenție a Uniunii, o țară terță sau o organizație internațională care șterge din fișierele proprii datele cu caracter personal furnizate Europol informează Europol în consecință. Europol șterge datele respective, cu excepția cazului în care stocarea lor în continuare este considerată necesară, pe baza informațiilor care sunt mai exhaustive decât cele deținute de furnizorul de date, pentru îndeplinirea atribuțiilor care îi revin. Europol informează furnizorul de date cu privire la stocarea în continuare a datelor respective și prezintă o motivare în acest sens.</w:t>
      </w:r>
    </w:p>
    <w:p>
      <w:pPr>
        <w:pStyle w:val="ManualNumPar1"/>
        <w:rPr>
          <w:noProof/>
        </w:rPr>
      </w:pPr>
      <w:r>
        <w:rPr>
          <w:noProof/>
        </w:rPr>
        <w:t>6.</w:t>
      </w:r>
      <w:r>
        <w:rPr>
          <w:noProof/>
        </w:rPr>
        <w:tab/>
        <w:t>Datele cu caracter personal nu se șterg în următoarele cazuri:</w:t>
      </w:r>
    </w:p>
    <w:p>
      <w:pPr>
        <w:pStyle w:val="Point1"/>
        <w:rPr>
          <w:noProof/>
        </w:rPr>
      </w:pPr>
      <w:r>
        <w:rPr>
          <w:noProof/>
        </w:rPr>
        <w:t>(a)</w:t>
      </w:r>
      <w:r>
        <w:rPr>
          <w:noProof/>
        </w:rPr>
        <w:tab/>
        <w:t>această ștergere ar dăuna intereselor persoanei vizate care necesită protecție, caz în care datele sunt utilizate numai cu consimțământul scris explicit al persoanei vizate;</w:t>
      </w:r>
    </w:p>
    <w:p>
      <w:pPr>
        <w:pStyle w:val="Point1"/>
        <w:rPr>
          <w:noProof/>
        </w:rPr>
      </w:pPr>
      <w:r>
        <w:rPr>
          <w:noProof/>
        </w:rPr>
        <w:t>(b)</w:t>
      </w:r>
      <w:r>
        <w:rPr>
          <w:noProof/>
        </w:rPr>
        <w:tab/>
        <w:t>acuratețea datelor cu caracter personal este contestată de persoana vizată, pentru o perioadă de timp care permite statelor membre sau Europol, după caz, să verifice acuratețea datelor;</w:t>
      </w:r>
    </w:p>
    <w:p>
      <w:pPr>
        <w:pStyle w:val="Point1"/>
        <w:rPr>
          <w:noProof/>
        </w:rPr>
      </w:pPr>
      <w:r>
        <w:rPr>
          <w:noProof/>
        </w:rPr>
        <w:t>(c)</w:t>
      </w:r>
      <w:r>
        <w:rPr>
          <w:noProof/>
        </w:rPr>
        <w:tab/>
        <w:t xml:space="preserve">datele trebuie să fie păstrate ca mijloace de probă sau pentru constatarea, exercitarea ori apărarea unui drept în justiție; </w:t>
      </w:r>
    </w:p>
    <w:p>
      <w:pPr>
        <w:pStyle w:val="Point1"/>
        <w:rPr>
          <w:noProof/>
        </w:rPr>
      </w:pPr>
      <w:r>
        <w:rPr>
          <w:noProof/>
        </w:rPr>
        <w:t>(d)</w:t>
      </w:r>
      <w:r>
        <w:rPr>
          <w:noProof/>
        </w:rPr>
        <w:tab/>
        <w:t>persoana vizată se opune ștergerii și solicită în schimb restricționarea utilizării acestora.</w:t>
      </w:r>
    </w:p>
    <w:p>
      <w:pPr>
        <w:pStyle w:val="Titrearticle"/>
        <w:rPr>
          <w:noProof/>
        </w:rPr>
      </w:pPr>
      <w:r>
        <w:rPr>
          <w:noProof/>
        </w:rPr>
        <w:t>Articolul 102</w:t>
      </w:r>
    </w:p>
    <w:p>
      <w:pPr>
        <w:pStyle w:val="NormalCentered"/>
        <w:rPr>
          <w:noProof/>
        </w:rPr>
      </w:pPr>
      <w:r>
        <w:rPr>
          <w:b/>
          <w:noProof/>
        </w:rPr>
        <w:t>Prelucrarea datelor cu caracter personal în scopuri de cercetare și inovare</w:t>
      </w:r>
    </w:p>
    <w:p>
      <w:pPr>
        <w:pStyle w:val="ManualNumPar1"/>
        <w:rPr>
          <w:noProof/>
        </w:rPr>
      </w:pPr>
      <w:r>
        <w:rPr>
          <w:noProof/>
        </w:rPr>
        <w:t>(1)</w:t>
      </w:r>
      <w:r>
        <w:rPr>
          <w:noProof/>
        </w:rPr>
        <w:tab/>
        <w:t>Europol poate prelucra date cu caracter personal în scopul proiectelor de cercetare și inovare relevante, cu condiția ca prelucrarea respectivelor date cu caracter personal să fie necesară și justificată în mod corespunzător pentru atingerea obiectivelor proiectului în cauză.</w:t>
      </w:r>
    </w:p>
    <w:p>
      <w:pPr>
        <w:pStyle w:val="Text1"/>
        <w:rPr>
          <w:noProof/>
        </w:rPr>
      </w:pPr>
      <w:r>
        <w:rPr>
          <w:noProof/>
        </w:rPr>
        <w:t>În ceea ce privește categoriile speciale de date cu caracter personal, o astfel de prelucrare se efectuează numai atunci când este strict necesară și face obiectul unor garanții adecvate, care pot include pseudonimizarea.</w:t>
      </w:r>
    </w:p>
    <w:p>
      <w:pPr>
        <w:pStyle w:val="Text1"/>
        <w:rPr>
          <w:noProof/>
        </w:rPr>
      </w:pPr>
      <w:r>
        <w:rPr>
          <w:noProof/>
        </w:rPr>
        <w:t>Prelucrarea datelor cu caracter personal de către Europol în contextul proiectelor de cercetare și inovare este ghidată de principiile transparenței, explicabilității, echității și responsabilității.</w:t>
      </w:r>
    </w:p>
    <w:p>
      <w:pPr>
        <w:pStyle w:val="ManualNumPar1"/>
        <w:rPr>
          <w:noProof/>
        </w:rPr>
      </w:pPr>
      <w:r>
        <w:rPr>
          <w:noProof/>
        </w:rPr>
        <w:t>(2)</w:t>
      </w:r>
      <w:r>
        <w:rPr>
          <w:noProof/>
        </w:rPr>
        <w:tab/>
        <w:t>Fără a aduce atingere alineatului (1), pentru prelucrarea datelor cu caracter personal efectuată în contextul proiectelor de cercetare și inovare ale Europol se aplică următoarele garanții:</w:t>
      </w:r>
    </w:p>
    <w:p>
      <w:pPr>
        <w:pStyle w:val="Point1"/>
        <w:rPr>
          <w:noProof/>
        </w:rPr>
      </w:pPr>
      <w:r>
        <w:rPr>
          <w:noProof/>
        </w:rPr>
        <w:t>(a)</w:t>
      </w:r>
      <w:r>
        <w:rPr>
          <w:noProof/>
        </w:rPr>
        <w:tab/>
        <w:t>orice proiect de cercetare și inovare necesită autorizarea prealabilă de la directorul executiv, pe baza:</w:t>
      </w:r>
    </w:p>
    <w:p>
      <w:pPr>
        <w:pStyle w:val="LegalNumPar3"/>
        <w:spacing w:line="240" w:lineRule="auto"/>
        <w:ind w:left="1429" w:hanging="476"/>
        <w:rPr>
          <w:noProof/>
        </w:rPr>
      </w:pPr>
      <w:r>
        <w:rPr>
          <w:noProof/>
        </w:rPr>
        <w:t>unei descrieri a obiectivelor proiectului și a unei explicații a modului în care proiectul sprijină Europol sau autoritățile competente ale statelor membre în îndeplinirea sarcinilor lor;</w:t>
      </w:r>
    </w:p>
    <w:p>
      <w:pPr>
        <w:pStyle w:val="LegalNumPar3"/>
        <w:spacing w:line="240" w:lineRule="auto"/>
        <w:ind w:left="1429" w:hanging="476"/>
        <w:rPr>
          <w:noProof/>
        </w:rPr>
      </w:pPr>
      <w:r>
        <w:rPr>
          <w:noProof/>
        </w:rPr>
        <w:t>unei descrieri a activității de prelucrare preconizate, care stabilește obiectivele, amploarea și durata prelucrării și necesitatea și proporționalitatea prelucrării datelor cu caracter personal;</w:t>
      </w:r>
    </w:p>
    <w:p>
      <w:pPr>
        <w:pStyle w:val="LegalNumPar3"/>
        <w:spacing w:line="240" w:lineRule="auto"/>
        <w:ind w:left="1429" w:hanging="476"/>
        <w:rPr>
          <w:noProof/>
        </w:rPr>
      </w:pPr>
      <w:r>
        <w:rPr>
          <w:noProof/>
        </w:rPr>
        <w:t>unei descrieri a categoriilor de date cu caracter personal care urmează să fie prelucrate;</w:t>
      </w:r>
    </w:p>
    <w:p>
      <w:pPr>
        <w:pStyle w:val="LegalNumPar3"/>
        <w:spacing w:line="240" w:lineRule="auto"/>
        <w:ind w:left="1429" w:hanging="476"/>
        <w:rPr>
          <w:noProof/>
        </w:rPr>
      </w:pPr>
      <w:r>
        <w:rPr>
          <w:noProof/>
        </w:rPr>
        <w:t>unei evaluări a respectării articolului 71 din Regulamentul (UE) 2018/1725 în ceea ce privește termenele de stocare și condițiile de acces la datele cu caracter personal;</w:t>
      </w:r>
    </w:p>
    <w:p>
      <w:pPr>
        <w:pStyle w:val="Point1"/>
        <w:rPr>
          <w:noProof/>
        </w:rPr>
      </w:pPr>
      <w:r>
        <w:rPr>
          <w:noProof/>
        </w:rPr>
        <w:t>(b)</w:t>
      </w:r>
      <w:r>
        <w:rPr>
          <w:noProof/>
        </w:rPr>
        <w:tab/>
        <w:t>Consiliul de administrație este informat cu privire la lansarea proiectului, în conformitate cu orientările menționate la articolul 32 alineatul (11);</w:t>
      </w:r>
    </w:p>
    <w:p>
      <w:pPr>
        <w:pStyle w:val="Point1"/>
        <w:rPr>
          <w:noProof/>
        </w:rPr>
      </w:pPr>
      <w:r>
        <w:rPr>
          <w:noProof/>
        </w:rPr>
        <w:t>(c)</w:t>
      </w:r>
      <w:r>
        <w:rPr>
          <w:noProof/>
        </w:rPr>
        <w:tab/>
        <w:t>toate datele cu caracter personal care urmează să fie prelucrate în contextul proiectului:</w:t>
      </w:r>
    </w:p>
    <w:p>
      <w:pPr>
        <w:pStyle w:val="LegalNumPar3"/>
        <w:numPr>
          <w:ilvl w:val="2"/>
          <w:numId w:val="20"/>
        </w:numPr>
        <w:spacing w:line="240" w:lineRule="auto"/>
        <w:rPr>
          <w:noProof/>
        </w:rPr>
      </w:pPr>
      <w:r>
        <w:rPr>
          <w:noProof/>
        </w:rPr>
        <w:t>sunt copiate temporar într-un mediu separat, izolat și protejat de prelucrare a datelor, care poate, după caz, să sprijine procesele iterative de dezvoltare, testare și validare, din cadrul Europol exclusiv în scopul derulării respectivului proiect;</w:t>
      </w:r>
    </w:p>
    <w:p>
      <w:pPr>
        <w:pStyle w:val="LegalNumPar3"/>
        <w:spacing w:line="240" w:lineRule="auto"/>
        <w:ind w:left="1429" w:hanging="476"/>
        <w:rPr>
          <w:noProof/>
        </w:rPr>
      </w:pPr>
      <w:r>
        <w:rPr>
          <w:noProof/>
        </w:rPr>
        <w:t>sunt accesate în conformitate cu articolul 100 alineatul (4) de personalul autorizat special al Europol și, sub rezerva măsurilor tehnice de securitate, de personalul autorizat special al autorităților competente ale statelor membre și ale agențiilor Uniunii;</w:t>
      </w:r>
    </w:p>
    <w:p>
      <w:pPr>
        <w:pStyle w:val="LegalNumPar3"/>
        <w:spacing w:line="240" w:lineRule="auto"/>
        <w:ind w:left="1429" w:hanging="476"/>
        <w:rPr>
          <w:noProof/>
        </w:rPr>
      </w:pPr>
      <w:r>
        <w:rPr>
          <w:noProof/>
        </w:rPr>
        <w:t>nu sunt transmise sau transferate;</w:t>
      </w:r>
    </w:p>
    <w:p>
      <w:pPr>
        <w:pStyle w:val="LegalNumPar3"/>
        <w:spacing w:line="240" w:lineRule="auto"/>
        <w:ind w:left="1429" w:hanging="476"/>
        <w:rPr>
          <w:noProof/>
        </w:rPr>
      </w:pPr>
      <w:r>
        <w:rPr>
          <w:noProof/>
        </w:rPr>
        <w:t>nu conduc la măsuri sau la decizii care afectează persoanele vizate ca rezultat al prelucrării acestora;</w:t>
      </w:r>
    </w:p>
    <w:p>
      <w:pPr>
        <w:pStyle w:val="LegalNumPar3"/>
        <w:spacing w:line="240" w:lineRule="auto"/>
        <w:ind w:left="1429" w:hanging="476"/>
        <w:rPr>
          <w:noProof/>
        </w:rPr>
      </w:pPr>
      <w:r>
        <w:rPr>
          <w:noProof/>
        </w:rPr>
        <w:t>se șterg după încheierea proiectului sau după expirarea termenului pentru stocarea datelor cu caracter personal în conformitate cu articolul 91;</w:t>
      </w:r>
    </w:p>
    <w:p>
      <w:pPr>
        <w:pStyle w:val="LegalNumPar3"/>
        <w:spacing w:line="240" w:lineRule="auto"/>
        <w:ind w:left="1429" w:hanging="476"/>
        <w:rPr>
          <w:noProof/>
        </w:rPr>
      </w:pPr>
      <w:r>
        <w:rPr>
          <w:noProof/>
        </w:rPr>
        <w:t>sub rezerva unor garanții adecvate și în cazuri justificate în mod corespunzător, sunt reutilizate în cadrul Europol pentru proiecte ulterioare de cercetare și inovare care urmăresc obiective compatibile, în special pentru îmbunătățirea, testarea sau validarea algoritmilor, a modelelor de IA și a sistemelor de IA;</w:t>
      </w:r>
    </w:p>
    <w:p>
      <w:pPr>
        <w:pStyle w:val="Point1"/>
        <w:rPr>
          <w:noProof/>
        </w:rPr>
      </w:pPr>
      <w:r>
        <w:rPr>
          <w:noProof/>
        </w:rPr>
        <w:t>(d)</w:t>
      </w:r>
      <w:r>
        <w:rPr>
          <w:noProof/>
        </w:rPr>
        <w:tab/>
        <w:t>înregistrările operațiunilor de prelucrare a datelor cu caracter personal în contextul proiectului se păstrează timp de doi ani după încheierea proiectului, exclusiv în scopul verificării exactității rezultatului prelucrării datelor și numai atât timp cât este necesar pentru efectuarea acestei verificări.</w:t>
      </w:r>
    </w:p>
    <w:p>
      <w:pPr>
        <w:pStyle w:val="ManualNumPar1"/>
        <w:rPr>
          <w:noProof/>
        </w:rPr>
      </w:pPr>
      <w:r>
        <w:rPr>
          <w:noProof/>
        </w:rPr>
        <w:t>(3)</w:t>
      </w:r>
      <w:r>
        <w:rPr>
          <w:noProof/>
        </w:rPr>
        <w:tab/>
        <w:t>În cazul în care consideră că un nou tip de proiect de cercetare și inovare prezintă un risc semnificativ pentru drepturile și libertățile persoanelor vizate, Europol efectuează, în plus față de cerințele prevăzute la alineatul (2) litera (a) de la prezentul articol, și o evaluare a impactului asupra protecției datelor în conformitate cu articolul 89 din Regulamentul (UE) 2018/1725. În astfel de cazuri, AEPD este informată înainte de lansarea proiectului.</w:t>
      </w:r>
    </w:p>
    <w:p>
      <w:pPr>
        <w:pStyle w:val="ManualNumPar1"/>
        <w:rPr>
          <w:noProof/>
        </w:rPr>
      </w:pPr>
      <w:r>
        <w:rPr>
          <w:noProof/>
        </w:rPr>
        <w:t>(4)</w:t>
      </w:r>
      <w:r>
        <w:rPr>
          <w:noProof/>
        </w:rPr>
        <w:tab/>
        <w:t>Alineatele (2) și (3) nu se aplică ajustării, modificării sau implementării capacităților existente, inclusiv într-un context operațional definit, cu condiția ca astfel de activități să nu modifice în mod substanțial natura, domeniul de aplicare sau scopul prelucrării într-un mod care ar determina creșterea riscului pentru drepturile și libertățile persoanelor vizate.</w:t>
      </w:r>
    </w:p>
    <w:p>
      <w:pPr>
        <w:pStyle w:val="ManualNumPar1"/>
        <w:rPr>
          <w:noProof/>
        </w:rPr>
      </w:pPr>
      <w:r>
        <w:rPr>
          <w:noProof/>
        </w:rPr>
        <w:t>(5)</w:t>
      </w:r>
      <w:r>
        <w:rPr>
          <w:noProof/>
        </w:rPr>
        <w:tab/>
        <w:t>Consiliul de administrație stabilește într-un document cu caracter obligatoriu cadrul general pentru proiectele de cercetare și inovare. Un astfel de document se actualizează, după caz, și se pune la dispoziția AEPD în scopul îndeplinirii rolului său de supraveghere.</w:t>
      </w:r>
    </w:p>
    <w:p>
      <w:pPr>
        <w:pStyle w:val="ManualNumPar1"/>
        <w:rPr>
          <w:noProof/>
        </w:rPr>
      </w:pPr>
      <w:r>
        <w:rPr>
          <w:noProof/>
        </w:rPr>
        <w:t>(6)</w:t>
      </w:r>
      <w:r>
        <w:rPr>
          <w:noProof/>
        </w:rPr>
        <w:tab/>
        <w:t>Europol păstrează un document conținând o descriere detaliată a procesului și a motivelor care stau la baza antrenării, a testării și a validării algoritmilor pentru a asigura transparența procesului și a algoritmilor, inclusiv conformitatea lor cu garanțiile prevăzute la prezentul articol și pentru a permite verificarea exactității rezultatelor pe baza utilizării unor astfel de algoritmi. La cerere, Europol pune respectivul document la dispoziția părților interesate, inclusiv a statelor membre și a JPSG.</w:t>
      </w:r>
    </w:p>
    <w:p>
      <w:pPr>
        <w:pStyle w:val="ManualNumPar1"/>
        <w:rPr>
          <w:noProof/>
        </w:rPr>
      </w:pPr>
      <w:r>
        <w:rPr>
          <w:noProof/>
        </w:rPr>
        <w:t>(7)</w:t>
      </w:r>
      <w:r>
        <w:rPr>
          <w:noProof/>
        </w:rPr>
        <w:tab/>
        <w:t>În cazul în care datele cu caracter personal care urmează să fie prelucrate pentru un proiect de cercetare și inovare au fost furnizate de un stat membru, de un organism al Uniunii, de o țară terță sau de o organizație internațională, Europol solicită acordul respectivului furnizor de date în conformitate cu articolul 33 alineatul (2), cu excepția cazului în care furnizorul de date și-a acordat autorizația prealabilă pentru o astfel de prelucrare în scopul proiectelor de cercetare și inovare, fie în termeni generali, fie sub rezerva unor condiții specifice.</w:t>
      </w:r>
    </w:p>
    <w:p>
      <w:pPr>
        <w:pStyle w:val="ManualNumPar1"/>
        <w:rPr>
          <w:noProof/>
        </w:rPr>
      </w:pPr>
      <w:r>
        <w:rPr>
          <w:noProof/>
        </w:rPr>
        <w:t>(8)</w:t>
      </w:r>
      <w:r>
        <w:rPr>
          <w:noProof/>
        </w:rPr>
        <w:tab/>
        <w:t>Europol nu prelucrează date pentru proiecte de cercetare și inovare fără acordul furnizorului de date. Acordul respectiv poate fi retras în orice moment.</w:t>
      </w:r>
    </w:p>
    <w:p>
      <w:pPr>
        <w:pStyle w:val="Titrearticle"/>
        <w:rPr>
          <w:noProof/>
        </w:rPr>
      </w:pPr>
      <w:r>
        <w:rPr>
          <w:noProof/>
        </w:rPr>
        <w:t>Articolul 103</w:t>
      </w:r>
    </w:p>
    <w:p>
      <w:pPr>
        <w:pStyle w:val="NormalCentered"/>
        <w:keepNext/>
        <w:rPr>
          <w:noProof/>
        </w:rPr>
      </w:pPr>
      <w:r>
        <w:rPr>
          <w:b/>
          <w:noProof/>
        </w:rPr>
        <w:t>Notificarea autorităților vizate în cazul încălcării securității datelor cu caracter personal</w:t>
      </w:r>
    </w:p>
    <w:p>
      <w:pPr>
        <w:pStyle w:val="ManualNumPar1"/>
        <w:rPr>
          <w:noProof/>
        </w:rPr>
      </w:pPr>
      <w:r>
        <w:rPr>
          <w:noProof/>
        </w:rPr>
        <w:t>(1)</w:t>
      </w:r>
      <w:r>
        <w:rPr>
          <w:noProof/>
        </w:rPr>
        <w:tab/>
        <w:t>Fără a aduce atingere articolului 92 din Regulamentul (UE) 2018/1725, în cazul în care are loc o încălcare a securității datelor cu caracter personal, Europol notifică respectiva încălcare autorităților competente ale statelor membre în cauză, fără întârzieri nejustificate, precum și furnizorului de date în cauză, cu excepția cazului în care este puțin probabil ca încălcarea securității datelor cu caracter personal să genereze un risc la adresa drepturilor și libertăților persoanelor fizice.</w:t>
      </w:r>
    </w:p>
    <w:p>
      <w:pPr>
        <w:pStyle w:val="ManualNumPar1"/>
        <w:rPr>
          <w:noProof/>
        </w:rPr>
      </w:pPr>
      <w:r>
        <w:rPr>
          <w:noProof/>
        </w:rPr>
        <w:t>(2)</w:t>
      </w:r>
      <w:r>
        <w:rPr>
          <w:noProof/>
        </w:rPr>
        <w:tab/>
        <w:t>Notificarea menționată la alineatul (1) trebuie, cel puțin:</w:t>
      </w:r>
    </w:p>
    <w:p>
      <w:pPr>
        <w:pStyle w:val="Point1"/>
        <w:rPr>
          <w:noProof/>
        </w:rPr>
      </w:pPr>
      <w:r>
        <w:rPr>
          <w:noProof/>
        </w:rPr>
        <w:t>(a)</w:t>
      </w:r>
      <w:r>
        <w:rPr>
          <w:noProof/>
        </w:rPr>
        <w:tab/>
        <w:t>să descrie caracterul încălcării securității datelor cu caracter personal, inclusiv, acolo unde este posibil și adecvat, categoriile și numărul persoanelor vizate în cauză, precum și categoriile și numărul de înregistrări de date în cauză;</w:t>
      </w:r>
    </w:p>
    <w:p>
      <w:pPr>
        <w:pStyle w:val="Point1"/>
        <w:rPr>
          <w:noProof/>
        </w:rPr>
      </w:pPr>
      <w:r>
        <w:rPr>
          <w:noProof/>
        </w:rPr>
        <w:t>(b)</w:t>
      </w:r>
      <w:r>
        <w:rPr>
          <w:noProof/>
        </w:rPr>
        <w:tab/>
        <w:t>să descrie consecințele probabile ale încălcării securității datelor cu caracter personal;</w:t>
      </w:r>
    </w:p>
    <w:p>
      <w:pPr>
        <w:pStyle w:val="Point1"/>
        <w:rPr>
          <w:noProof/>
        </w:rPr>
      </w:pPr>
      <w:r>
        <w:rPr>
          <w:noProof/>
        </w:rPr>
        <w:t>(c)</w:t>
      </w:r>
      <w:r>
        <w:rPr>
          <w:noProof/>
        </w:rPr>
        <w:tab/>
        <w:t>să descrie măsurile propuse sau întreprinse de Europol pentru a remedia problema încălcării securității datelor cu caracter personal;</w:t>
      </w:r>
    </w:p>
    <w:p>
      <w:pPr>
        <w:pStyle w:val="Point1"/>
        <w:rPr>
          <w:noProof/>
        </w:rPr>
      </w:pPr>
      <w:r>
        <w:rPr>
          <w:noProof/>
        </w:rPr>
        <w:t>(d)</w:t>
      </w:r>
      <w:r>
        <w:rPr>
          <w:noProof/>
        </w:rPr>
        <w:tab/>
        <w:t>dacă este cazul, să recomande măsuri de atenuare a eventualelor efecte negative ale încălcării securității datelor cu caracter personal.</w:t>
      </w:r>
    </w:p>
    <w:p>
      <w:pPr>
        <w:pStyle w:val="Titrearticle"/>
        <w:rPr>
          <w:noProof/>
        </w:rPr>
      </w:pPr>
      <w:r>
        <w:rPr>
          <w:noProof/>
        </w:rPr>
        <w:t>Articolul 104</w:t>
      </w:r>
    </w:p>
    <w:p>
      <w:pPr>
        <w:pStyle w:val="NormalCentered"/>
        <w:rPr>
          <w:noProof/>
        </w:rPr>
      </w:pPr>
      <w:r>
        <w:rPr>
          <w:b/>
          <w:noProof/>
        </w:rPr>
        <w:t>Informarea persoanei vizate cu privire la încălcarea securității datelor cu caracter personal</w:t>
      </w:r>
    </w:p>
    <w:p>
      <w:pPr>
        <w:rPr>
          <w:noProof/>
        </w:rPr>
      </w:pPr>
      <w:r>
        <w:rPr>
          <w:noProof/>
        </w:rPr>
        <w:t>Fără a aduce atingere articolului 93 din Regulamentul (UE) 2018/1725, în cazul în care Europol nu dispune de datele de contact ale persoanei vizate în cauză, Europol solicită furnizorului de date să îi comunice persoanei vizate în cauză încălcarea securității datelor cu caracter personal și să informeze Europol cu privire la decizia luată. Statele membre care furnizează datele comunică persoanei vizate în cauză încălcarea securității datelor cu caracter personal, în conformitate cu dreptul intern.</w:t>
      </w:r>
    </w:p>
    <w:p>
      <w:pPr>
        <w:pStyle w:val="Titrearticle"/>
        <w:rPr>
          <w:noProof/>
        </w:rPr>
      </w:pPr>
      <w:r>
        <w:rPr>
          <w:noProof/>
        </w:rPr>
        <w:t>Articolul 105</w:t>
      </w:r>
    </w:p>
    <w:p>
      <w:pPr>
        <w:pStyle w:val="NormalCentered"/>
        <w:rPr>
          <w:noProof/>
        </w:rPr>
      </w:pPr>
      <w:r>
        <w:rPr>
          <w:b/>
          <w:noProof/>
        </w:rPr>
        <w:t>Dreptul de acces al persoanei vizate</w:t>
      </w:r>
    </w:p>
    <w:p>
      <w:pPr>
        <w:pStyle w:val="ManualNumPar1"/>
        <w:rPr>
          <w:noProof/>
        </w:rPr>
      </w:pPr>
      <w:r>
        <w:rPr>
          <w:noProof/>
        </w:rPr>
        <w:t>(1)</w:t>
      </w:r>
      <w:r>
        <w:rPr>
          <w:noProof/>
        </w:rPr>
        <w:tab/>
        <w:t>Orice persoană vizată care dorește să își exercite dreptul de acces, prevăzut la articolul 80 din Regulamentul (UE) 2018/1725, la datele cu caracter personal care o privesc poate să depună o cerere în acest sens la autoritatea desemnată în acest scop în statul membru în care alege să efectueze acest demers sau la Europol. Autoritatea respectivă transmite cererea către Europol fără întârzieri nejustificate, în termen de o lună de la primire.</w:t>
      </w:r>
    </w:p>
    <w:p>
      <w:pPr>
        <w:pStyle w:val="ManualNumPar1"/>
        <w:rPr>
          <w:noProof/>
        </w:rPr>
      </w:pPr>
      <w:r>
        <w:rPr>
          <w:noProof/>
        </w:rPr>
        <w:t>(2)</w:t>
      </w:r>
      <w:r>
        <w:rPr>
          <w:noProof/>
        </w:rPr>
        <w:tab/>
        <w:t>Europol confirmă primirea cererii menționate la alineatul (1). Europol răspunde cererii respective fără întârzieri nejustificate și, în orice caz, în termen de patru luni de la primirea acesteia de către Europol, fără a aduce atingere articolului 81 din Regulamentul (UE) 2018/1725.</w:t>
      </w:r>
    </w:p>
    <w:p>
      <w:pPr>
        <w:pStyle w:val="ManualNumPar1"/>
        <w:rPr>
          <w:noProof/>
        </w:rPr>
      </w:pPr>
      <w:r>
        <w:rPr>
          <w:noProof/>
        </w:rPr>
        <w:t>(3)</w:t>
      </w:r>
      <w:r>
        <w:rPr>
          <w:noProof/>
        </w:rPr>
        <w:tab/>
        <w:t>Europol consultă autoritățile competente ale statelor membre și furnizorul de date în cauză cu privire la decizia care urmează să fie adoptată. O decizie privind accesul la date cu caracter personal este condiționată de strânsa cooperare între Europol și statele membre și furnizorul de date pe care accesul persoanei vizate la datele respective îl privește în mod direct. Statele membre și furnizorul datelor în cauză cooperează îndeaproape cu Europol și răspund fără întârzieri nejustificate consultării efectuate de Europol. În cazul în care au obiecții cu privire la răspunsul propus de Europol, statele membre sau furnizorul de date notifică Europol motivele obiecțiilor lor. Europol ține cont în cea mai mare măsură de orice astfel de obiecție. Europol notifică ulterior decizia sa autorităților competente ale statelor membre în cauză, precum și furnizorului de date.</w:t>
      </w:r>
    </w:p>
    <w:p>
      <w:pPr>
        <w:pStyle w:val="Titrearticle"/>
        <w:rPr>
          <w:noProof/>
        </w:rPr>
      </w:pPr>
      <w:r>
        <w:rPr>
          <w:noProof/>
        </w:rPr>
        <w:t>Articolul 106</w:t>
      </w:r>
    </w:p>
    <w:p>
      <w:pPr>
        <w:pStyle w:val="NormalCentered"/>
        <w:rPr>
          <w:noProof/>
        </w:rPr>
      </w:pPr>
      <w:r>
        <w:rPr>
          <w:b/>
          <w:noProof/>
        </w:rPr>
        <w:t>Dreptul la rectificare, ștergere și restricționare</w:t>
      </w:r>
    </w:p>
    <w:p>
      <w:pPr>
        <w:pStyle w:val="ManualNumPar1"/>
        <w:rPr>
          <w:noProof/>
        </w:rPr>
      </w:pPr>
      <w:r>
        <w:rPr>
          <w:noProof/>
        </w:rPr>
        <w:t>(1)</w:t>
      </w:r>
      <w:r>
        <w:rPr>
          <w:noProof/>
        </w:rPr>
        <w:tab/>
        <w:t>Orice persoană vizată care dorește să își exercite dreptul la rectificarea sau ștergerea datelor cu caracter personal sau la restricționarea prelucrării datelor cu caracter personal care o privesc, menționate la articolul 82 din Regulamentul (UE) 2018/1725, poate să depună o cerere în acest sens, prin intermediul autorității desemnate în acest scop în statul membru în care alege să efectueze acest demers sau la Europol. În situația în care cererea este înaintată autorității respective, aceasta transmite cererea către Europol, în termen de o lună de la primire.</w:t>
      </w:r>
    </w:p>
    <w:p>
      <w:pPr>
        <w:pStyle w:val="ManualNumPar1"/>
        <w:rPr>
          <w:noProof/>
        </w:rPr>
      </w:pPr>
      <w:r>
        <w:rPr>
          <w:noProof/>
        </w:rPr>
        <w:t>(2)</w:t>
      </w:r>
      <w:r>
        <w:rPr>
          <w:noProof/>
        </w:rPr>
        <w:tab/>
        <w:t>Fără a aduce atingere articolului 82 alineatul (3) din Regulamentul (UE) 2018/1725, Europol restricționează prelucrarea datelor cu caracter personal, în loc să șteargă datele cu caracter personal, în cazul în care există motive întemeiate să se considere că ștergerea lor ar putea afecta interesele legitime ale persoanei vizate.</w:t>
      </w:r>
    </w:p>
    <w:p>
      <w:pPr>
        <w:pStyle w:val="ManualNumPar1"/>
        <w:rPr>
          <w:noProof/>
        </w:rPr>
      </w:pPr>
      <w:r>
        <w:rPr>
          <w:noProof/>
        </w:rPr>
        <w:t>(3)</w:t>
      </w:r>
      <w:r>
        <w:rPr>
          <w:noProof/>
        </w:rPr>
        <w:tab/>
        <w:t>Datele restricționate se prelucrează numai în scopul protejării drepturilor persoanei vizate, în cazul în care acest lucru este necesar pentru protejarea intereselor vitale ale persoanei vizate sau ale unei alte persoane ori în scopurile prevăzute la articolul 82 alineatul (3) din Regulamentul (UE) 2018/1725.</w:t>
      </w:r>
    </w:p>
    <w:p>
      <w:pPr>
        <w:pStyle w:val="ManualNumPar1"/>
        <w:rPr>
          <w:noProof/>
        </w:rPr>
      </w:pPr>
      <w:r>
        <w:rPr>
          <w:noProof/>
        </w:rPr>
        <w:t>(4)</w:t>
      </w:r>
      <w:r>
        <w:rPr>
          <w:noProof/>
        </w:rPr>
        <w:tab/>
        <w:t>În cazul în care datele cu caracter personal menționate la alineatele (1) și (2) deținute de Europol i-au fost furnizate acesteia de țări terțe, organizații internaționale sau instituții, organe, misiuni, oficii sau agenții ale Uniunii, i-au fost furnizate direct de către părți private, au fost obținute de Europol din surse aflate la dispoziția publicului sau rezultă din analizele sale proprii, Europol rectifică sau șterge astfel de date sau restricționează prelucrarea acestora și informează, după caz, furnizorii de date.</w:t>
      </w:r>
    </w:p>
    <w:p>
      <w:pPr>
        <w:pStyle w:val="ManualNumPar1"/>
        <w:rPr>
          <w:noProof/>
        </w:rPr>
      </w:pPr>
      <w:r>
        <w:rPr>
          <w:noProof/>
        </w:rPr>
        <w:t>(5)</w:t>
      </w:r>
      <w:r>
        <w:rPr>
          <w:noProof/>
        </w:rPr>
        <w:tab/>
        <w:t>În cazul în care Europol deține date cu caracter personal menționate la alineatele (1) și (2) care i-au fost furnizate de statele membre, statele membre în cauză rectifică sau șterg astfel de date sau restricționează prelucrarea acestora în cooperare cu Europol, conform competențelor care le revin.</w:t>
      </w:r>
    </w:p>
    <w:p>
      <w:pPr>
        <w:pStyle w:val="ManualNumPar1"/>
        <w:rPr>
          <w:noProof/>
        </w:rPr>
      </w:pPr>
      <w:r>
        <w:rPr>
          <w:noProof/>
        </w:rPr>
        <w:t>(6)</w:t>
      </w:r>
      <w:r>
        <w:rPr>
          <w:noProof/>
        </w:rPr>
        <w:tab/>
        <w:t>Europol rectifică sau șterge datele în colaborare cu furnizorul datelor în cauză în toate cazurile următoare:</w:t>
      </w:r>
    </w:p>
    <w:p>
      <w:pPr>
        <w:pStyle w:val="Point1"/>
        <w:rPr>
          <w:noProof/>
        </w:rPr>
      </w:pPr>
      <w:r>
        <w:rPr>
          <w:noProof/>
        </w:rPr>
        <w:t>(a)</w:t>
      </w:r>
      <w:r>
        <w:rPr>
          <w:noProof/>
        </w:rPr>
        <w:tab/>
        <w:t>date cu caracter personal incorecte au fost transmise sau transferate prin alte mijloace adecvate;</w:t>
      </w:r>
    </w:p>
    <w:p>
      <w:pPr>
        <w:pStyle w:val="Point1"/>
        <w:rPr>
          <w:noProof/>
        </w:rPr>
      </w:pPr>
      <w:r>
        <w:rPr>
          <w:noProof/>
        </w:rPr>
        <w:t>(b)</w:t>
      </w:r>
      <w:r>
        <w:rPr>
          <w:noProof/>
        </w:rPr>
        <w:tab/>
        <w:t>erorile conținute de datele furnizate de statele membre sunt cauzate de o transmitere defectuoasă sau un transfer defectuos sau de o transmitere sau un transfer care încalcă prezentul regulament;</w:t>
      </w:r>
    </w:p>
    <w:p>
      <w:pPr>
        <w:pStyle w:val="Point1"/>
        <w:rPr>
          <w:noProof/>
        </w:rPr>
      </w:pPr>
      <w:r>
        <w:rPr>
          <w:noProof/>
        </w:rPr>
        <w:t>(c)</w:t>
      </w:r>
      <w:r>
        <w:rPr>
          <w:noProof/>
        </w:rPr>
        <w:tab/>
        <w:t>erorile conținute de date rezultă din date introduse, preluate sau stocate în mod incorect sau cu încălcarea prezentului regulament de către Europol.</w:t>
      </w:r>
    </w:p>
    <w:p>
      <w:pPr>
        <w:pStyle w:val="ManualNumPar1"/>
        <w:rPr>
          <w:noProof/>
        </w:rPr>
      </w:pPr>
      <w:r>
        <w:rPr>
          <w:noProof/>
        </w:rPr>
        <w:t>(7)</w:t>
      </w:r>
      <w:r>
        <w:rPr>
          <w:noProof/>
        </w:rPr>
        <w:tab/>
        <w:t>În cazurile menționate la alineatele (3), (4) și (5), toți destinatarii datelor respective sunt notificați imediat. În conformitate cu normele care li se aplică, destinatarii rectifică, șterg sau restricționează apoi aceste date în sistemele lor.</w:t>
      </w:r>
    </w:p>
    <w:p>
      <w:pPr>
        <w:pStyle w:val="Titrearticle"/>
        <w:rPr>
          <w:noProof/>
        </w:rPr>
      </w:pPr>
      <w:r>
        <w:rPr>
          <w:noProof/>
        </w:rPr>
        <w:t>Articolul 107</w:t>
      </w:r>
    </w:p>
    <w:p>
      <w:pPr>
        <w:pStyle w:val="NormalCentered"/>
        <w:rPr>
          <w:noProof/>
        </w:rPr>
      </w:pPr>
      <w:r>
        <w:rPr>
          <w:b/>
          <w:noProof/>
        </w:rPr>
        <w:t>Responsabilitatea în domeniul protecției datelor</w:t>
      </w:r>
    </w:p>
    <w:p>
      <w:pPr>
        <w:pStyle w:val="ManualNumPar1"/>
        <w:rPr>
          <w:noProof/>
        </w:rPr>
      </w:pPr>
      <w:r>
        <w:rPr>
          <w:noProof/>
        </w:rPr>
        <w:t>(1)</w:t>
      </w:r>
      <w:r>
        <w:rPr>
          <w:noProof/>
        </w:rPr>
        <w:tab/>
        <w:t>Europol prelucrează datele cu caracter personal astfel încât să se asigure că se poate stabili sursa acestora, astfel cum se menționează la articolul 28.</w:t>
      </w:r>
    </w:p>
    <w:p>
      <w:pPr>
        <w:pStyle w:val="ManualNumPar1"/>
        <w:rPr>
          <w:noProof/>
        </w:rPr>
      </w:pPr>
      <w:r>
        <w:rPr>
          <w:noProof/>
        </w:rPr>
        <w:t>(2)</w:t>
      </w:r>
      <w:r>
        <w:rPr>
          <w:noProof/>
        </w:rPr>
        <w:tab/>
        <w:t>Responsabilitatea pentru acuratețea datelor cu caracter personal, astfel cum se prevede la articolul 71 alineatul (1) litera (d) din Regulamentul (UE) 2018/1725, aparține:</w:t>
      </w:r>
    </w:p>
    <w:p>
      <w:pPr>
        <w:pStyle w:val="Point1"/>
        <w:rPr>
          <w:noProof/>
        </w:rPr>
      </w:pPr>
      <w:r>
        <w:rPr>
          <w:noProof/>
        </w:rPr>
        <w:t>(a)</w:t>
      </w:r>
      <w:r>
        <w:rPr>
          <w:noProof/>
        </w:rPr>
        <w:tab/>
        <w:t>statului membru sau organismului Uniunii care le-au furnizat către Europol;</w:t>
      </w:r>
    </w:p>
    <w:p>
      <w:pPr>
        <w:pStyle w:val="Point1"/>
        <w:rPr>
          <w:noProof/>
        </w:rPr>
      </w:pPr>
      <w:r>
        <w:rPr>
          <w:noProof/>
        </w:rPr>
        <w:t>(b)</w:t>
      </w:r>
      <w:r>
        <w:rPr>
          <w:noProof/>
        </w:rPr>
        <w:tab/>
        <w:t>Europol, în cazul datelor cu caracter personal furnizate de țări terțe sau organizații internaționale sau direct furnizate de părți private, în cazul datelor cu caracter personal extrase de Europol din surse aflate la dispoziția publicului sau care rezultă din analizele proprii ale Europol și pentru datele cu caracter personal stocate de Europol în conformitate cu articolul 101 alineatul (5).</w:t>
      </w:r>
    </w:p>
    <w:p>
      <w:pPr>
        <w:pStyle w:val="ManualNumPar1"/>
        <w:rPr>
          <w:noProof/>
        </w:rPr>
      </w:pPr>
      <w:r>
        <w:rPr>
          <w:noProof/>
        </w:rPr>
        <w:t>(3)</w:t>
      </w:r>
      <w:r>
        <w:rPr>
          <w:noProof/>
        </w:rPr>
        <w:tab/>
        <w:t>În cazul în care constată că date cu caracter personal furnizate în temeiul articolului 28 alineatul (1) literele (a) și (b) sunt incorecte sau au fost stocate ilegal, Europol informează furnizorul datelor respective în consecință.</w:t>
      </w:r>
    </w:p>
    <w:p>
      <w:pPr>
        <w:pStyle w:val="ManualNumPar1"/>
        <w:rPr>
          <w:noProof/>
        </w:rPr>
      </w:pPr>
      <w:r>
        <w:rPr>
          <w:noProof/>
        </w:rPr>
        <w:t>(4)</w:t>
      </w:r>
      <w:r>
        <w:rPr>
          <w:noProof/>
        </w:rPr>
        <w:tab/>
        <w:t>Responsabilitatea pentru legalitatea transmiterii sau a transferului de date aparține:</w:t>
      </w:r>
    </w:p>
    <w:p>
      <w:pPr>
        <w:pStyle w:val="Point1"/>
        <w:rPr>
          <w:noProof/>
        </w:rPr>
      </w:pPr>
      <w:r>
        <w:rPr>
          <w:noProof/>
        </w:rPr>
        <w:t>(a)</w:t>
      </w:r>
      <w:r>
        <w:rPr>
          <w:noProof/>
        </w:rPr>
        <w:tab/>
        <w:t>statului membru care a furnizat datele cu caracter personal Europol;</w:t>
      </w:r>
    </w:p>
    <w:p>
      <w:pPr>
        <w:pStyle w:val="Point1"/>
        <w:rPr>
          <w:noProof/>
        </w:rPr>
      </w:pPr>
      <w:r>
        <w:rPr>
          <w:noProof/>
        </w:rPr>
        <w:t>(b)</w:t>
      </w:r>
      <w:r>
        <w:rPr>
          <w:noProof/>
        </w:rPr>
        <w:tab/>
        <w:t>Europol, în cazul datelor cu caracter personal furnizate de Europol către statele membre, țări terțe sau organizații internaționale.</w:t>
      </w:r>
    </w:p>
    <w:p>
      <w:pPr>
        <w:pStyle w:val="ManualNumPar1"/>
        <w:rPr>
          <w:noProof/>
        </w:rPr>
      </w:pPr>
      <w:r>
        <w:rPr>
          <w:noProof/>
        </w:rPr>
        <w:t>(5)</w:t>
      </w:r>
      <w:r>
        <w:rPr>
          <w:noProof/>
        </w:rPr>
        <w:tab/>
        <w:t>În cazul unei transmiteri între Europol și o instituție, un organ, o misiune, un oficiu sau o agenție a Uniunii, responsabilitatea pentru legalitatea transmiterii îi aparține Europol.</w:t>
      </w:r>
    </w:p>
    <w:p>
      <w:pPr>
        <w:pStyle w:val="Text1"/>
        <w:rPr>
          <w:noProof/>
        </w:rPr>
      </w:pPr>
      <w:r>
        <w:rPr>
          <w:noProof/>
        </w:rPr>
        <w:t>Fără a aduce atingere primului paragraf, în cazul în care datele sunt transmise de Europol la cererea destinatarului, atât Europol, cât și destinatarul sunt responsabili pentru legalitatea unei astfel de transmiteri.</w:t>
      </w:r>
    </w:p>
    <w:p>
      <w:pPr>
        <w:pStyle w:val="ManualNumPar1"/>
        <w:rPr>
          <w:noProof/>
        </w:rPr>
      </w:pPr>
      <w:r>
        <w:rPr>
          <w:noProof/>
        </w:rPr>
        <w:t>(6)</w:t>
      </w:r>
      <w:r>
        <w:rPr>
          <w:noProof/>
        </w:rPr>
        <w:tab/>
        <w:t>Europol este responsabilă pentru toate operațiunile de prelucrare a datelor pe care le efectuează, cu excepția schimbului bilateral de date cu utilizarea infrastructurii Europol între state membre, instituții, organe, misiuni, oficii și agenții ale Uniunii, țări terțe, organizații internaționale și părți private la care Europol nu are acces. Aceste schimburi bilaterale au loc pe răspunderea entităților în cauză și în conformitate cu dreptul aplicabil. Securitatea unor astfel de schimburi se asigură în conformitate cu articolul 91 din Regulamentul (UE) 2018/1725.</w:t>
      </w:r>
    </w:p>
    <w:p>
      <w:pPr>
        <w:pStyle w:val="Titrearticle"/>
        <w:rPr>
          <w:noProof/>
        </w:rPr>
      </w:pPr>
      <w:r>
        <w:rPr>
          <w:noProof/>
        </w:rPr>
        <w:t>Articolul 108</w:t>
      </w:r>
    </w:p>
    <w:p>
      <w:pPr>
        <w:pStyle w:val="NormalCentered"/>
        <w:rPr>
          <w:noProof/>
        </w:rPr>
      </w:pPr>
      <w:r>
        <w:rPr>
          <w:b/>
          <w:noProof/>
        </w:rPr>
        <w:t>Consultarea prealabilă</w:t>
      </w:r>
    </w:p>
    <w:p>
      <w:pPr>
        <w:pStyle w:val="ManualNumPar1"/>
        <w:rPr>
          <w:noProof/>
        </w:rPr>
      </w:pPr>
      <w:r>
        <w:rPr>
          <w:noProof/>
        </w:rPr>
        <w:t>(1)</w:t>
      </w:r>
      <w:r>
        <w:rPr>
          <w:noProof/>
        </w:rPr>
        <w:tab/>
        <w:t xml:space="preserve">Europol poate iniția operațiuni de prelucrare care fac obiectul unei consultări prealabile a AEPD în temeiul articolului 90 alineatul (1) din </w:t>
      </w:r>
      <w:hyperlink r:id="rId22" w:tooltip="http://data.europa.eu/eli/reg/2018/1725/oj">
        <w:r>
          <w:rPr>
            <w:rStyle w:val="Hyperlink"/>
            <w:noProof/>
          </w:rPr>
          <w:t>Regulamentul (UE) 2018/1725</w:t>
        </w:r>
      </w:hyperlink>
      <w:r>
        <w:rPr>
          <w:noProof/>
        </w:rPr>
        <w:t>, cu excepția cazului în care AEPD a furnizat recomandări scrise în temeiul articolului 90 alineatul (4) din regulamentul menționat, în termen de opt săptămâni, care începe la data transmiterii cererii inițiale de consultare și nu se suspendă sau prelungește.</w:t>
      </w:r>
    </w:p>
    <w:p>
      <w:pPr>
        <w:pStyle w:val="ManualNumPar1"/>
        <w:rPr>
          <w:noProof/>
        </w:rPr>
      </w:pPr>
      <w:r>
        <w:rPr>
          <w:noProof/>
        </w:rPr>
        <w:t>(2)</w:t>
      </w:r>
      <w:r>
        <w:rPr>
          <w:noProof/>
        </w:rPr>
        <w:tab/>
        <w:t>În cazul în care operațiunile de prelucrare menționate la alineatul (1) de la prezentul articol au o importanță considerabilă pentru îndeplinirea atribuțiilor Europol și sunt deosebit de urgente și necesare pentru a preveni și a combate o amenințare imediată privind o infracțiune care intră în sfera de competență a Europol sau pentru a proteja interesele vitale ale persoanei vizate sau ale unei alte persoane, Europol poate iniția, în mod excepțional, prelucrarea.</w:t>
      </w:r>
    </w:p>
    <w:p>
      <w:pPr>
        <w:pStyle w:val="Text1"/>
        <w:rPr>
          <w:noProof/>
        </w:rPr>
      </w:pPr>
      <w:r>
        <w:rPr>
          <w:noProof/>
        </w:rPr>
        <w:t>În acest caz, Europol informează AEPD înainte de începerea operațiunilor de prelucrare și îi furnizează o descriere motivată a scopului preconizat al prelucrării, categoriile de date în cauză și o evaluare inițială a riscurilor pentru persoanele vizate. Europol îi transmite AEPD informațiile suplimentare necesare în scopul consultării prealabile a AEPD în termen de patru săptămâni de la începerea operațiunilor de prelucrare.</w:t>
      </w:r>
    </w:p>
    <w:p>
      <w:pPr>
        <w:pStyle w:val="Text1"/>
        <w:rPr>
          <w:noProof/>
        </w:rPr>
      </w:pPr>
      <w:r>
        <w:rPr>
          <w:noProof/>
        </w:rPr>
        <w:t xml:space="preserve">Recomandările scrise ale AEPD în temeiul articolului 90 alineatul (4) din </w:t>
      </w:r>
      <w:hyperlink r:id="rId23" w:tooltip="http://data.europa.eu/eli/reg/2018/1725/oj">
        <w:r>
          <w:rPr>
            <w:rStyle w:val="Hyperlink"/>
            <w:noProof/>
          </w:rPr>
          <w:t>Regulamentul (UE) 2018/1725</w:t>
        </w:r>
      </w:hyperlink>
      <w:r>
        <w:rPr>
          <w:noProof/>
        </w:rPr>
        <w:t xml:space="preserve"> se iau în considerare retroactiv, iar modul în care se efectuează prelucrarea se ajustează în consecință.</w:t>
      </w:r>
    </w:p>
    <w:p>
      <w:pPr>
        <w:pStyle w:val="Text1"/>
        <w:rPr>
          <w:noProof/>
        </w:rPr>
      </w:pPr>
      <w:r>
        <w:rPr>
          <w:noProof/>
        </w:rPr>
        <w:t>Responsabilul cu protecția datelor este implicat în evaluarea urgenței unor astfel de operațiuni de prelucrare și supraveghează prelucrarea în cauză.</w:t>
      </w:r>
    </w:p>
    <w:p>
      <w:pPr>
        <w:pStyle w:val="Titrearticle"/>
        <w:rPr>
          <w:noProof/>
        </w:rPr>
      </w:pPr>
      <w:r>
        <w:rPr>
          <w:noProof/>
        </w:rPr>
        <w:t>Articolul 109</w:t>
      </w:r>
    </w:p>
    <w:p>
      <w:pPr>
        <w:pStyle w:val="NormalCentered"/>
        <w:rPr>
          <w:noProof/>
        </w:rPr>
      </w:pPr>
      <w:r>
        <w:rPr>
          <w:b/>
          <w:noProof/>
        </w:rPr>
        <w:t>Responsabilul cu protecția datelor</w:t>
      </w:r>
    </w:p>
    <w:p>
      <w:pPr>
        <w:pStyle w:val="ManualNumPar1"/>
        <w:rPr>
          <w:noProof/>
        </w:rPr>
      </w:pPr>
      <w:r>
        <w:rPr>
          <w:noProof/>
        </w:rPr>
        <w:t>(1)</w:t>
      </w:r>
      <w:r>
        <w:rPr>
          <w:noProof/>
        </w:rPr>
        <w:tab/>
        <w:t>Consiliul de administrație numește un membru al personalului Europol în calitatea de responsabil cu protecția datelor, care este desemnat numai pentru respectiva poziție.</w:t>
      </w:r>
    </w:p>
    <w:p>
      <w:pPr>
        <w:pStyle w:val="ManualNumPar1"/>
        <w:rPr>
          <w:noProof/>
        </w:rPr>
      </w:pPr>
      <w:r>
        <w:rPr>
          <w:noProof/>
        </w:rPr>
        <w:t>(2)</w:t>
      </w:r>
      <w:r>
        <w:rPr>
          <w:noProof/>
        </w:rPr>
        <w:tab/>
        <w:t>Pentru a sprijini responsabilul cu protecția datelor în îndeplinirea atribuțiilor sale, un membru al personalului Europol poate fi desemnat în calitatea de responsabil adjunct cu protecția datelor.</w:t>
      </w:r>
    </w:p>
    <w:p>
      <w:pPr>
        <w:pStyle w:val="ManualNumPar1"/>
        <w:rPr>
          <w:noProof/>
        </w:rPr>
      </w:pPr>
      <w:r>
        <w:rPr>
          <w:noProof/>
        </w:rPr>
        <w:t>(3)</w:t>
      </w:r>
      <w:r>
        <w:rPr>
          <w:noProof/>
        </w:rPr>
        <w:tab/>
        <w:t>Responsabilul cu protecția datelor raportează direct Consiliului de administrație.</w:t>
      </w:r>
    </w:p>
    <w:p>
      <w:pPr>
        <w:pStyle w:val="ManualNumPar1"/>
        <w:rPr>
          <w:noProof/>
        </w:rPr>
      </w:pPr>
      <w:r>
        <w:rPr>
          <w:noProof/>
        </w:rPr>
        <w:t>(4)</w:t>
      </w:r>
      <w:r>
        <w:rPr>
          <w:noProof/>
        </w:rPr>
        <w:tab/>
        <w:t>Consiliul de administrație adoptă norme de punere în aplicare cu privire la responsabilul pentru protecția datelor. Respectivele norme de punere în aplicare se referă, în special, la procedura de selecție pentru funcția de responsabil cu protecția datelor și la demiterea, atribuțiile, îndatoririle și competențele sale, precum și la garanțiile de independență a acestuia.</w:t>
      </w:r>
    </w:p>
    <w:p>
      <w:pPr>
        <w:pStyle w:val="ManualNumPar1"/>
        <w:rPr>
          <w:noProof/>
        </w:rPr>
      </w:pPr>
      <w:r>
        <w:rPr>
          <w:noProof/>
        </w:rPr>
        <w:t>(5)</w:t>
      </w:r>
      <w:r>
        <w:rPr>
          <w:noProof/>
        </w:rPr>
        <w:tab/>
        <w:t>Responsabilul cu protecția datelor este desemnat pentru un mandat de patru ani, care poate fi reînnoit.</w:t>
      </w:r>
    </w:p>
    <w:p>
      <w:pPr>
        <w:pStyle w:val="ManualNumPar1"/>
        <w:rPr>
          <w:noProof/>
        </w:rPr>
      </w:pPr>
      <w:r>
        <w:rPr>
          <w:noProof/>
        </w:rPr>
        <w:t>(6)</w:t>
      </w:r>
      <w:r>
        <w:rPr>
          <w:noProof/>
        </w:rPr>
        <w:tab/>
        <w:t xml:space="preserve">Dispozițiile aplicabile responsabilului cu protecția datelor se aplică </w:t>
      </w:r>
      <w:r>
        <w:rPr>
          <w:i/>
          <w:noProof/>
        </w:rPr>
        <w:t>mutatis mutandis</w:t>
      </w:r>
      <w:r>
        <w:rPr>
          <w:noProof/>
        </w:rPr>
        <w:t xml:space="preserve"> responsabilului adjunct cu protecția datelor.</w:t>
      </w:r>
    </w:p>
    <w:p>
      <w:pPr>
        <w:pStyle w:val="ManualNumPar1"/>
        <w:rPr>
          <w:noProof/>
        </w:rPr>
      </w:pPr>
      <w:r>
        <w:rPr>
          <w:noProof/>
        </w:rPr>
        <w:t>(7)</w:t>
      </w:r>
      <w:r>
        <w:rPr>
          <w:noProof/>
        </w:rPr>
        <w:tab/>
        <w:t>În cazul în care responsabilul cu protecția datelor consideră că dispozițiile prezentului regulament sau ale Regulamentului (UE) 2018/1725 privind prelucrarea datelor cu caracter personal nu au fost respectate, acesta îl informează pe directorul executiv, solicitându-i să soluționeze neconformitatea într-un anumit termen. În cazul în care directorul executiv nu soluționează neconformitatea prelucrării în termenul stabilit, responsabilul cu protecția datelor informează Consiliul de administrație. Consiliul de administrație răspunde într-un anumit termen, convenit cu responsabilul cu protecția datelor. În cazul în care Consiliul de administrație nu soluționează neconformitatea în termenul stabilit, responsabilul cu protecția datelor sesizează AEPD.</w:t>
      </w:r>
    </w:p>
    <w:p>
      <w:pPr>
        <w:pStyle w:val="Titrearticle"/>
        <w:rPr>
          <w:noProof/>
        </w:rPr>
      </w:pPr>
      <w:r>
        <w:rPr>
          <w:noProof/>
        </w:rPr>
        <w:t>Articolul 110</w:t>
      </w:r>
    </w:p>
    <w:p>
      <w:pPr>
        <w:pStyle w:val="NormalCentered"/>
        <w:rPr>
          <w:noProof/>
        </w:rPr>
      </w:pPr>
      <w:r>
        <w:rPr>
          <w:b/>
          <w:noProof/>
        </w:rPr>
        <w:t>Ofițerul pentru drepturile fundamentale</w:t>
      </w:r>
    </w:p>
    <w:p>
      <w:pPr>
        <w:pStyle w:val="ManualNumPar1"/>
        <w:rPr>
          <w:noProof/>
        </w:rPr>
      </w:pPr>
      <w:r>
        <w:rPr>
          <w:noProof/>
        </w:rPr>
        <w:t>(1)</w:t>
      </w:r>
      <w:r>
        <w:rPr>
          <w:noProof/>
        </w:rPr>
        <w:tab/>
        <w:t>La propunerea directorului executiv, Consiliul de administrație desemnează un ofițer pentru drepturile fundamentale. Ofițerul pentru drepturile fundamentale poate fi un membru al personalului Europol care a beneficiat de formare specială în domeniul dreptului și practicilor în materie de drepturi fundamentale.</w:t>
      </w:r>
    </w:p>
    <w:p>
      <w:pPr>
        <w:pStyle w:val="ManualNumPar1"/>
        <w:rPr>
          <w:noProof/>
        </w:rPr>
      </w:pPr>
      <w:r>
        <w:rPr>
          <w:noProof/>
        </w:rPr>
        <w:t>(2)</w:t>
      </w:r>
      <w:r>
        <w:rPr>
          <w:noProof/>
        </w:rPr>
        <w:tab/>
        <w:t>Ofițerul pentru drepturile fundamentale îndeplinește următoarele atribuții:</w:t>
      </w:r>
    </w:p>
    <w:p>
      <w:pPr>
        <w:pStyle w:val="Point1"/>
        <w:rPr>
          <w:noProof/>
        </w:rPr>
      </w:pPr>
      <w:r>
        <w:rPr>
          <w:noProof/>
        </w:rPr>
        <w:t>(a)</w:t>
      </w:r>
      <w:r>
        <w:rPr>
          <w:noProof/>
        </w:rPr>
        <w:tab/>
        <w:t>oferă consiliere Europol, atunci când consideră că este necesar sau atunci când i se solicită acest lucru, cu privire la orice activitate a Europol, fără a împiedica sau întârzia respectivele activități;</w:t>
      </w:r>
    </w:p>
    <w:p>
      <w:pPr>
        <w:pStyle w:val="Point1"/>
        <w:rPr>
          <w:noProof/>
        </w:rPr>
      </w:pPr>
      <w:r>
        <w:rPr>
          <w:noProof/>
        </w:rPr>
        <w:t>(b)</w:t>
      </w:r>
      <w:r>
        <w:rPr>
          <w:noProof/>
        </w:rPr>
        <w:tab/>
        <w:t>monitorizează respectarea de către Europol a drepturilor fundamentale;</w:t>
      </w:r>
    </w:p>
    <w:p>
      <w:pPr>
        <w:pStyle w:val="Point1"/>
        <w:rPr>
          <w:noProof/>
        </w:rPr>
      </w:pPr>
      <w:r>
        <w:rPr>
          <w:noProof/>
        </w:rPr>
        <w:t>(c)</w:t>
      </w:r>
      <w:r>
        <w:rPr>
          <w:noProof/>
        </w:rPr>
        <w:tab/>
        <w:t>furnizează avize fără caracter obligatoriu cu privire la acordurile de lucru;</w:t>
      </w:r>
    </w:p>
    <w:p>
      <w:pPr>
        <w:pStyle w:val="Point1"/>
        <w:rPr>
          <w:noProof/>
        </w:rPr>
      </w:pPr>
      <w:r>
        <w:rPr>
          <w:noProof/>
        </w:rPr>
        <w:t>(d)</w:t>
      </w:r>
      <w:r>
        <w:rPr>
          <w:noProof/>
        </w:rPr>
        <w:tab/>
        <w:t>îl informează pe directorul executiv cu privire la posibilele încălcări ale drepturilor fundamentale în cursul activităților desfășurate de Europol;</w:t>
      </w:r>
    </w:p>
    <w:p>
      <w:pPr>
        <w:pStyle w:val="Point1"/>
        <w:rPr>
          <w:noProof/>
        </w:rPr>
      </w:pPr>
      <w:r>
        <w:rPr>
          <w:noProof/>
        </w:rPr>
        <w:t>(e)</w:t>
      </w:r>
      <w:r>
        <w:rPr>
          <w:noProof/>
        </w:rPr>
        <w:tab/>
        <w:t>promovează respectarea de către Europol a drepturilor fundamentale în desfășurarea atribuțiilor și a activităților sale;</w:t>
      </w:r>
    </w:p>
    <w:p>
      <w:pPr>
        <w:pStyle w:val="Point1"/>
        <w:rPr>
          <w:noProof/>
        </w:rPr>
      </w:pPr>
      <w:r>
        <w:rPr>
          <w:noProof/>
        </w:rPr>
        <w:t>(f)</w:t>
      </w:r>
      <w:r>
        <w:rPr>
          <w:noProof/>
        </w:rPr>
        <w:tab/>
        <w:t>orice alte atribuții, dacă sunt prevăzute de prezentul regulament.</w:t>
      </w:r>
    </w:p>
    <w:p>
      <w:pPr>
        <w:pStyle w:val="ManualNumPar1"/>
        <w:rPr>
          <w:noProof/>
        </w:rPr>
      </w:pPr>
      <w:r>
        <w:rPr>
          <w:noProof/>
        </w:rPr>
        <w:t>(3)</w:t>
      </w:r>
      <w:r>
        <w:rPr>
          <w:noProof/>
        </w:rPr>
        <w:tab/>
        <w:t>Ofițerul pentru drepturile fundamentale raportează direct directorului executiv și pregătește rapoarte anuale privind activitățile sale, inclusiv privind măsura în care activitățile Europol respectă drepturile fundamentale. Respectivele rapoarte se pun la dispoziția Consiliului de administrație.</w:t>
      </w:r>
    </w:p>
    <w:p>
      <w:pPr>
        <w:pStyle w:val="Titrearticle"/>
        <w:rPr>
          <w:noProof/>
        </w:rPr>
      </w:pPr>
      <w:r>
        <w:rPr>
          <w:noProof/>
        </w:rPr>
        <w:t>Articolul 111</w:t>
      </w:r>
    </w:p>
    <w:p>
      <w:pPr>
        <w:pStyle w:val="NormalCentered"/>
        <w:rPr>
          <w:noProof/>
        </w:rPr>
      </w:pPr>
      <w:r>
        <w:rPr>
          <w:b/>
          <w:noProof/>
        </w:rPr>
        <w:t>Formarea în materie de drepturi fundamentale</w:t>
      </w:r>
    </w:p>
    <w:p>
      <w:pPr>
        <w:rPr>
          <w:noProof/>
        </w:rPr>
      </w:pPr>
      <w:r>
        <w:rPr>
          <w:noProof/>
        </w:rPr>
        <w:t>Personalul Europol beneficiază de formare obligatorie în domeniul protecției drepturilor și libertăților fundamentale. Toți membrii personalului Europol implicați în sarcini operaționale care implică prelucrarea datelor cu caracter personal ar trebui să beneficieze de formare specifică privind prelucrarea datelor cu caracter personal. Această formare este elaborată în cooperare cu Agenția pentru Drepturi Fundamentale a Uniunii Europene și CEPOL.</w:t>
      </w:r>
    </w:p>
    <w:p>
      <w:pPr>
        <w:pStyle w:val="Titrearticle"/>
        <w:rPr>
          <w:noProof/>
        </w:rPr>
      </w:pPr>
      <w:r>
        <w:rPr>
          <w:noProof/>
        </w:rPr>
        <w:t>Articolul 112</w:t>
      </w:r>
    </w:p>
    <w:p>
      <w:pPr>
        <w:pStyle w:val="NormalCentered"/>
        <w:rPr>
          <w:noProof/>
        </w:rPr>
      </w:pPr>
      <w:r>
        <w:rPr>
          <w:b/>
          <w:noProof/>
        </w:rPr>
        <w:t>Controlul exercitat de autoritatea națională de supraveghere</w:t>
      </w:r>
    </w:p>
    <w:p>
      <w:pPr>
        <w:pStyle w:val="ManualNumPar1"/>
        <w:rPr>
          <w:noProof/>
        </w:rPr>
      </w:pPr>
      <w:r>
        <w:rPr>
          <w:noProof/>
        </w:rPr>
        <w:t>(1)</w:t>
      </w:r>
      <w:r>
        <w:rPr>
          <w:noProof/>
        </w:rPr>
        <w:tab/>
        <w:t>În scopul exercitării funcției lor de control, autoritățile naționale de supraveghere menționate la articolul 41 din Directiva (UE) 2016/680 au acces, la sediul unității naționale Europol sau la sediul ofițerilor de legătură, la datele transmise de statele lor membre către Europol, în conformitate cu procedurile naționale relevante, precum și la înregistrările menționate la articolul [...] din Regulamentul (UE) 2018/1725.</w:t>
      </w:r>
    </w:p>
    <w:p>
      <w:pPr>
        <w:pStyle w:val="ManualNumPar1"/>
        <w:rPr>
          <w:noProof/>
        </w:rPr>
      </w:pPr>
      <w:r>
        <w:rPr>
          <w:noProof/>
        </w:rPr>
        <w:t>(2)</w:t>
      </w:r>
      <w:r>
        <w:rPr>
          <w:noProof/>
        </w:rPr>
        <w:tab/>
        <w:t>Autoritățile naționale de supraveghere au acces la birourile și la documentele ofițerilor lor de legătură ai statului membru respectiv la Europol.</w:t>
      </w:r>
    </w:p>
    <w:p>
      <w:pPr>
        <w:pStyle w:val="ManualNumPar1"/>
        <w:rPr>
          <w:noProof/>
        </w:rPr>
      </w:pPr>
      <w:r>
        <w:rPr>
          <w:noProof/>
        </w:rPr>
        <w:t>(3)</w:t>
      </w:r>
      <w:r>
        <w:rPr>
          <w:noProof/>
        </w:rPr>
        <w:tab/>
        <w:t>Autoritățile naționale de supraveghere controlează, în conformitate cu procedurile naționale relevante, activitățile unităților naționale Europol și ale ofițerilor de legătură, în măsura în care activitățile respective sunt relevante pentru protecția datelor cu caracter personal. De asemenea, acestea informează AEPD cu privire la orice măsură pe care o iau referitor la Europol.</w:t>
      </w:r>
    </w:p>
    <w:p>
      <w:pPr>
        <w:pStyle w:val="ManualNumPar1"/>
        <w:rPr>
          <w:noProof/>
        </w:rPr>
      </w:pPr>
      <w:r>
        <w:rPr>
          <w:noProof/>
        </w:rPr>
        <w:t>(4)</w:t>
      </w:r>
      <w:r>
        <w:rPr>
          <w:noProof/>
        </w:rPr>
        <w:tab/>
        <w:t>Orice persoană are dreptul de a solicita autorității naționale de supraveghere să verifice legalitatea oricărei transmiteri sau oricărui transfer și oricărei comunicări către Europol, sub orice formă, de date care o privesc și a accesului statului membru în cauză la datele respective. Acest drept se exercită în conformitate cu dreptul intern al statului membru în care a fost depusă cererea.</w:t>
      </w:r>
    </w:p>
    <w:p>
      <w:pPr>
        <w:pStyle w:val="Titrearticle"/>
        <w:rPr>
          <w:noProof/>
        </w:rPr>
      </w:pPr>
      <w:r>
        <w:rPr>
          <w:noProof/>
        </w:rPr>
        <w:t>Articolul 113</w:t>
      </w:r>
    </w:p>
    <w:p>
      <w:pPr>
        <w:pStyle w:val="NormalCentered"/>
        <w:rPr>
          <w:noProof/>
        </w:rPr>
      </w:pPr>
      <w:r>
        <w:rPr>
          <w:b/>
          <w:noProof/>
        </w:rPr>
        <w:t>Cooperarea dintre AEPD și autoritățile naționale de supraveghere</w:t>
      </w:r>
    </w:p>
    <w:p>
      <w:pPr>
        <w:pStyle w:val="ManualNumPar1"/>
        <w:rPr>
          <w:noProof/>
        </w:rPr>
      </w:pPr>
      <w:r>
        <w:rPr>
          <w:noProof/>
        </w:rPr>
        <w:t>(1)</w:t>
      </w:r>
      <w:r>
        <w:rPr>
          <w:noProof/>
        </w:rPr>
        <w:tab/>
        <w:t>AEPD acționează în strânsă cooperare cu autoritățile naționale de supraveghere în ceea ce privește aspecte care necesită implicare la nivel național, în special în cazul în care AEPD sau o autoritate națională de supraveghere identifică discrepanțe majore între practicile statelor membre ori o transmitere sau un transfer potențial ilegal(ă) în utilizarea canalelor Europol pentru schimbul de informații sau în contextul întrebărilor adresate de una sau mai multe autorități naționale de supraveghere cu privire la punerea în aplicare și interpretarea prezentului regulament.</w:t>
      </w:r>
    </w:p>
    <w:p>
      <w:pPr>
        <w:pStyle w:val="ManualNumPar1"/>
        <w:rPr>
          <w:noProof/>
        </w:rPr>
      </w:pPr>
      <w:r>
        <w:rPr>
          <w:noProof/>
        </w:rPr>
        <w:t>(2)</w:t>
      </w:r>
      <w:r>
        <w:rPr>
          <w:noProof/>
        </w:rPr>
        <w:tab/>
        <w:t>În cazurile menționate la alineatul (1), se asigură supravegherea coordonată în conformitate cu articolul 62 din Regulamentul (UE) 2018/1725. AEPD recurge la cunoștințele de specialitate și la experiența autorităților naționale de supraveghere în îndeplinirea îndatoririlor sale stabilite în Regulamentul (UE) 2018/1725.</w:t>
      </w:r>
    </w:p>
    <w:p>
      <w:pPr>
        <w:pStyle w:val="Text1"/>
        <w:rPr>
          <w:noProof/>
        </w:rPr>
      </w:pPr>
      <w:r>
        <w:rPr>
          <w:noProof/>
        </w:rPr>
        <w:t>Atunci când efectuează inspecții comune cu AEPD, membrii și personalul autorităților naționale de supraveghere au, ținând seama în mod corespunzător de principiile subsidiarității și proporționalității, competențe echivalente cu cele prevăzute în Regulamentul (UE) 2018/1725 și sunt supuși unei obligații echivalente cu cea prevăzută la articolul 129 din prezentul regulament.</w:t>
      </w:r>
    </w:p>
    <w:p>
      <w:pPr>
        <w:pStyle w:val="ManualNumPar1"/>
        <w:rPr>
          <w:noProof/>
        </w:rPr>
      </w:pPr>
      <w:r>
        <w:rPr>
          <w:noProof/>
        </w:rPr>
        <w:t>(3)</w:t>
      </w:r>
      <w:r>
        <w:rPr>
          <w:noProof/>
        </w:rPr>
        <w:tab/>
        <w:t>AEPD informează pe deplin autoritățile naționale de supraveghere cu privire la toate aspectele care le afectează direct sau sunt în alt fel relevante pentru acestea. La cererea uneia sau mai multor autorități naționale de supraveghere, AEPD le informează cu privire la chestiuni specifice.</w:t>
      </w:r>
    </w:p>
    <w:p>
      <w:pPr>
        <w:pStyle w:val="ManualNumPar1"/>
        <w:rPr>
          <w:noProof/>
        </w:rPr>
      </w:pPr>
      <w:r>
        <w:rPr>
          <w:noProof/>
        </w:rPr>
        <w:t>(4)</w:t>
      </w:r>
      <w:r>
        <w:rPr>
          <w:noProof/>
        </w:rPr>
        <w:tab/>
        <w:t>În cazuri legate de date care provin din unul sau mai multe state membre, inclusiv în cazurile menționate la articolul 114, AEPD consultă autoritățile naționale de supraveghere în cauză. AEPD nu decide cu privire la luarea altor măsuri înainte ca aceste autorități naționale de supraveghere să fi informat AEPD cu privire la avizul lor, într-un termen specificat de aceasta care nu este mai scurt de o lună și nici mai lung de trei luni din momentul în care AEPD consultă autoritățile naționale de supraveghere în cauză. AEPD ține cont în cel mai înalt grad de poziția autorităților naționale de supraveghere în cauză. În cazul în care intenționează să nu urmeze poziția unei autorități naționale de supraveghere, AEPD informează autoritatea respectivă, oferă o justificare și supune chestiunea Comitetului european pentru protecția datelor.</w:t>
      </w:r>
    </w:p>
    <w:p>
      <w:pPr>
        <w:pStyle w:val="ChapterTitle"/>
        <w:rPr>
          <w:noProof/>
        </w:rPr>
      </w:pPr>
      <w:r>
        <w:rPr>
          <w:noProof/>
        </w:rPr>
        <w:t xml:space="preserve">Capitolul IX </w:t>
      </w:r>
      <w:r>
        <w:rPr>
          <w:noProof/>
        </w:rPr>
        <w:br/>
        <w:t>Căi de atac și răspundere</w:t>
      </w:r>
    </w:p>
    <w:p>
      <w:pPr>
        <w:pStyle w:val="Titrearticle"/>
        <w:rPr>
          <w:noProof/>
        </w:rPr>
      </w:pPr>
      <w:r>
        <w:rPr>
          <w:noProof/>
        </w:rPr>
        <w:t>Articolul 114</w:t>
      </w:r>
    </w:p>
    <w:p>
      <w:pPr>
        <w:pStyle w:val="NormalCentered"/>
        <w:rPr>
          <w:noProof/>
        </w:rPr>
      </w:pPr>
      <w:r>
        <w:rPr>
          <w:b/>
          <w:noProof/>
        </w:rPr>
        <w:t>Procedura de gestionare a plângerilor de către AEPD</w:t>
      </w:r>
    </w:p>
    <w:p>
      <w:pPr>
        <w:pStyle w:val="ManualNumPar1"/>
        <w:rPr>
          <w:noProof/>
        </w:rPr>
      </w:pPr>
      <w:r>
        <w:rPr>
          <w:noProof/>
        </w:rPr>
        <w:t>(1)</w:t>
      </w:r>
      <w:r>
        <w:rPr>
          <w:noProof/>
        </w:rPr>
        <w:tab/>
        <w:t>În cazul în care o plângere se referă la o decizie menționată la articolul 105 sau 106 din prezentul regulament sau la articolul 81 sau 82 din Regulamentul (UE) 2018/1725, AEPD consultă autoritățile naționale de supraveghere ale statului membru care a furnizat datele sau ale statului membru direct vizat. În adoptarea deciziei sale, care poate fi inclusiv aceea de a refuza comunicarea oricărei informații, AEPD ține cont de avizul autorității naționale de supraveghere.</w:t>
      </w:r>
    </w:p>
    <w:p>
      <w:pPr>
        <w:pStyle w:val="ManualNumPar1"/>
        <w:rPr>
          <w:noProof/>
        </w:rPr>
      </w:pPr>
      <w:r>
        <w:rPr>
          <w:noProof/>
        </w:rPr>
        <w:t>(2)</w:t>
      </w:r>
      <w:r>
        <w:rPr>
          <w:noProof/>
        </w:rPr>
        <w:tab/>
        <w:t>În cazul în care o plângere se referă la prelucrarea datelor furnizate Europol de un stat membru, AEPD și autoritatea națională de supraveghere a statului membru care a furnizat datele, fiecare acționând în cadrul domeniului de aplicare al competențelor deținute, se asigură că verificările necesare privind legalitatea prelucrării datelor au fost efectuate în mod corect.</w:t>
      </w:r>
    </w:p>
    <w:p>
      <w:pPr>
        <w:pStyle w:val="ManualNumPar1"/>
        <w:rPr>
          <w:noProof/>
        </w:rPr>
      </w:pPr>
      <w:r>
        <w:rPr>
          <w:noProof/>
        </w:rPr>
        <w:t>(3)</w:t>
      </w:r>
      <w:r>
        <w:rPr>
          <w:noProof/>
        </w:rPr>
        <w:tab/>
        <w:t>În cazul în care o plângere se referă la prelucrarea datelor furnizate Europol de instituții, organe, oficii sau agenții ale Uniunii, țări terțe sau organizații internaționale sau a datelor obținute de Europol de la surse aflate la dispoziția publicului sau rezultate din analizele proprii ale Europol, AEPD se asigură că Europol a efectuat corect verificările necesare privind legalitatea prelucrării datelor.</w:t>
      </w:r>
    </w:p>
    <w:p>
      <w:pPr>
        <w:pStyle w:val="Titrearticle"/>
        <w:rPr>
          <w:noProof/>
        </w:rPr>
      </w:pPr>
      <w:r>
        <w:rPr>
          <w:noProof/>
        </w:rPr>
        <w:t>Articolul 115</w:t>
      </w:r>
    </w:p>
    <w:p>
      <w:pPr>
        <w:pStyle w:val="NormalCentered"/>
        <w:rPr>
          <w:noProof/>
        </w:rPr>
      </w:pPr>
      <w:r>
        <w:rPr>
          <w:b/>
          <w:noProof/>
        </w:rPr>
        <w:t>Dispoziții generale privind răspunderea și dreptul la despăgubiri</w:t>
      </w:r>
    </w:p>
    <w:p>
      <w:pPr>
        <w:pStyle w:val="ManualNumPar1"/>
        <w:rPr>
          <w:noProof/>
        </w:rPr>
      </w:pPr>
      <w:r>
        <w:rPr>
          <w:noProof/>
        </w:rPr>
        <w:t>(1)</w:t>
      </w:r>
      <w:r>
        <w:rPr>
          <w:noProof/>
        </w:rPr>
        <w:tab/>
        <w:t>Răspunderea contractuală a Europol este guvernată de dreptul aplicabil contractului respectiv.</w:t>
      </w:r>
    </w:p>
    <w:p>
      <w:pPr>
        <w:pStyle w:val="ManualNumPar1"/>
        <w:rPr>
          <w:noProof/>
        </w:rPr>
      </w:pPr>
      <w:r>
        <w:rPr>
          <w:noProof/>
        </w:rPr>
        <w:t>(2)</w:t>
      </w:r>
      <w:r>
        <w:rPr>
          <w:noProof/>
        </w:rPr>
        <w:tab/>
        <w:t>Curtea de Justiție a Uniunii Europene este competentă să se pronunțe în temeiul oricărei clauze compromisorii prevăzute într-un contract încheiat de Europol.</w:t>
      </w:r>
    </w:p>
    <w:p>
      <w:pPr>
        <w:pStyle w:val="ManualNumPar1"/>
        <w:rPr>
          <w:noProof/>
        </w:rPr>
      </w:pPr>
      <w:r>
        <w:rPr>
          <w:noProof/>
        </w:rPr>
        <w:t>(3)</w:t>
      </w:r>
      <w:r>
        <w:rPr>
          <w:noProof/>
        </w:rPr>
        <w:tab/>
        <w:t>În cazul răspunderii necontractuale, Europol, în conformitate cu principiile generale comune legislațiilor statelor membre, repară orice prejudiciu cauzat de departamentele sale sau de membrii personalului său în îndeplinirea îndatoririlor acestora.</w:t>
      </w:r>
    </w:p>
    <w:p>
      <w:pPr>
        <w:pStyle w:val="ManualNumPar1"/>
        <w:rPr>
          <w:noProof/>
        </w:rPr>
      </w:pPr>
      <w:r>
        <w:rPr>
          <w:noProof/>
        </w:rPr>
        <w:t>(4)</w:t>
      </w:r>
      <w:r>
        <w:rPr>
          <w:noProof/>
        </w:rPr>
        <w:tab/>
        <w:t>Curtea de Justiție a Uniunii Europene este competentă în litigiile privind acordarea de despăgubiri pentru prejudiciile menționate la alineatul (3).</w:t>
      </w:r>
    </w:p>
    <w:p>
      <w:pPr>
        <w:pStyle w:val="ManualNumPar1"/>
        <w:rPr>
          <w:noProof/>
        </w:rPr>
      </w:pPr>
      <w:r>
        <w:rPr>
          <w:noProof/>
        </w:rPr>
        <w:t>(5)</w:t>
      </w:r>
      <w:r>
        <w:rPr>
          <w:noProof/>
        </w:rPr>
        <w:tab/>
        <w:t>Răspunderea personală a angajaților față de Europol este reglementată de Statutul personalului sau de regimul aplicabil celorlalți agenți.</w:t>
      </w:r>
    </w:p>
    <w:p>
      <w:pPr>
        <w:pStyle w:val="ChapterTitle"/>
        <w:rPr>
          <w:noProof/>
        </w:rPr>
      </w:pPr>
      <w:r>
        <w:rPr>
          <w:noProof/>
        </w:rPr>
        <w:t xml:space="preserve">Capitolul X </w:t>
      </w:r>
      <w:r>
        <w:rPr>
          <w:noProof/>
        </w:rPr>
        <w:br/>
        <w:t>Controlul parlamentar mixt</w:t>
      </w:r>
    </w:p>
    <w:p>
      <w:pPr>
        <w:pStyle w:val="Titrearticle"/>
        <w:rPr>
          <w:noProof/>
        </w:rPr>
      </w:pPr>
      <w:r>
        <w:rPr>
          <w:noProof/>
        </w:rPr>
        <w:t>Articolul 116</w:t>
      </w:r>
    </w:p>
    <w:p>
      <w:pPr>
        <w:pStyle w:val="NormalCentered"/>
        <w:keepNext/>
        <w:rPr>
          <w:noProof/>
        </w:rPr>
      </w:pPr>
      <w:r>
        <w:rPr>
          <w:b/>
          <w:noProof/>
        </w:rPr>
        <w:t xml:space="preserve">Controlul parlamentar mixt </w:t>
      </w:r>
    </w:p>
    <w:p>
      <w:pPr>
        <w:pStyle w:val="ManualNumPar1"/>
        <w:rPr>
          <w:noProof/>
        </w:rPr>
      </w:pPr>
      <w:r>
        <w:rPr>
          <w:noProof/>
        </w:rPr>
        <w:t>(1)</w:t>
      </w:r>
      <w:r>
        <w:rPr>
          <w:noProof/>
        </w:rPr>
        <w:tab/>
        <w:t>În conformitate cu articolul 88 din TFUE, controlul activităților Europol este efectuat de către Parlamentul European, împreună cu parlamentele naționale. Se constituie în acest sens un grup mixt de control parlamentar specializat (JPSG), instituit în comun de către parlamentele naționale și comisia competentă a Parlamentului European. Organizarea și Regulamentul de procedură al JPSG se stabilesc împreună de către Parlamentul European și de către parlamentele naționale, în conformitate cu articolul 9 din Protocolul nr. 1 privind rolul parlamentelor naționale în Uniunea Europeană.</w:t>
      </w:r>
    </w:p>
    <w:p>
      <w:pPr>
        <w:pStyle w:val="ManualNumPar1"/>
        <w:rPr>
          <w:noProof/>
        </w:rPr>
      </w:pPr>
      <w:r>
        <w:rPr>
          <w:noProof/>
        </w:rPr>
        <w:t>(2)</w:t>
      </w:r>
      <w:r>
        <w:rPr>
          <w:noProof/>
        </w:rPr>
        <w:tab/>
        <w:t>JPSG monitorizează din punct de vedere politic activitățile Europol în îndeplinirea misiunii sale, inclusiv în ceea ce privește impactul respectivelor activități asupra drepturilor și libertăților fundamentale ale persoanelor fizice.</w:t>
      </w:r>
    </w:p>
    <w:p>
      <w:pPr>
        <w:pStyle w:val="ManualNumPar1"/>
        <w:rPr>
          <w:noProof/>
        </w:rPr>
      </w:pPr>
      <w:r>
        <w:rPr>
          <w:noProof/>
        </w:rPr>
        <w:t>(3)</w:t>
      </w:r>
      <w:r>
        <w:rPr>
          <w:noProof/>
        </w:rPr>
        <w:tab/>
        <w:t xml:space="preserve">Președintele Consiliului de administrație, directorul executiv sau adjuncții acestora se prezintă în fața JPSG la cererea acestuia pentru a discuta chestiuni legate de activitățile menționate la primul paragraf, inclusiv aspectele bugetare ale acestor activități, organizarea structurală a Europol și potențiala instituire a unor noi unități și centre specializate, ținând cont de obligațiile privind respectarea discreției și a confidențialității. Dacă este cazul, JPSG poate decide să invite la reuniunile sale și alte persoane relevante. </w:t>
      </w:r>
    </w:p>
    <w:p>
      <w:pPr>
        <w:pStyle w:val="ManualNumPar1"/>
        <w:rPr>
          <w:noProof/>
        </w:rPr>
      </w:pPr>
      <w:r>
        <w:rPr>
          <w:noProof/>
        </w:rPr>
        <w:t>(4)</w:t>
      </w:r>
      <w:r>
        <w:rPr>
          <w:noProof/>
        </w:rPr>
        <w:tab/>
        <w:t>AEPD se prezintă în fața JPSG, la cererea acestuia și cel puțin o dată pe an, pentru a discuta chestiuni generale legate de protecția drepturilor și libertăților fundamentale ale persoanelor fizice, și în special protecția datelor cu caracter personal în ceea ce privește activitățile Europol, ținând cont de obligațiile privind respectarea discreției și a confidențialității.</w:t>
      </w:r>
    </w:p>
    <w:p>
      <w:pPr>
        <w:pStyle w:val="ManualNumPar1"/>
        <w:rPr>
          <w:noProof/>
        </w:rPr>
      </w:pPr>
      <w:r>
        <w:rPr>
          <w:noProof/>
        </w:rPr>
        <w:t>(5)</w:t>
      </w:r>
      <w:r>
        <w:rPr>
          <w:noProof/>
        </w:rPr>
        <w:tab/>
        <w:t>Europol consultă JPSG în legătură cu programul multianual al Europol în conformitate cu articolul 73 alineatul (1).</w:t>
      </w:r>
    </w:p>
    <w:p>
      <w:pPr>
        <w:pStyle w:val="ManualNumPar1"/>
        <w:rPr>
          <w:noProof/>
        </w:rPr>
      </w:pPr>
      <w:r>
        <w:rPr>
          <w:noProof/>
        </w:rPr>
        <w:t>(6)</w:t>
      </w:r>
      <w:r>
        <w:rPr>
          <w:noProof/>
        </w:rPr>
        <w:tab/>
        <w:t>Europol transmite JPSG următoarele documente spre informare, ținând cont de obligațiile de discreție și confidențialitate:</w:t>
      </w:r>
    </w:p>
    <w:p>
      <w:pPr>
        <w:pStyle w:val="Point1"/>
        <w:rPr>
          <w:noProof/>
        </w:rPr>
      </w:pPr>
      <w:r>
        <w:rPr>
          <w:noProof/>
        </w:rPr>
        <w:t>(a)</w:t>
      </w:r>
      <w:r>
        <w:rPr>
          <w:noProof/>
        </w:rPr>
        <w:tab/>
        <w:t>analize strategice, evaluări privind amenințările, rapoarte privind tendințele și informări situaționale referitoare la competența Europol și rezultatele studiilor și evaluărilor comandate de Europol;</w:t>
      </w:r>
    </w:p>
    <w:p>
      <w:pPr>
        <w:pStyle w:val="Point1"/>
        <w:rPr>
          <w:noProof/>
        </w:rPr>
      </w:pPr>
      <w:r>
        <w:rPr>
          <w:noProof/>
        </w:rPr>
        <w:t>(b)</w:t>
      </w:r>
      <w:r>
        <w:rPr>
          <w:noProof/>
        </w:rPr>
        <w:tab/>
        <w:t>acordurile administrative încheiate în temeiul articolului 79 alineatul (3);</w:t>
      </w:r>
    </w:p>
    <w:p>
      <w:pPr>
        <w:pStyle w:val="Point1"/>
        <w:rPr>
          <w:noProof/>
        </w:rPr>
      </w:pPr>
      <w:r>
        <w:rPr>
          <w:noProof/>
        </w:rPr>
        <w:t>(c)</w:t>
      </w:r>
      <w:r>
        <w:rPr>
          <w:noProof/>
        </w:rPr>
        <w:tab/>
        <w:t>documentul care conține programul multianual și programul anual de activitate al Europol, menționate la articolul 73 alineatul (1);</w:t>
      </w:r>
    </w:p>
    <w:p>
      <w:pPr>
        <w:pStyle w:val="Point1"/>
        <w:rPr>
          <w:noProof/>
        </w:rPr>
      </w:pPr>
      <w:r>
        <w:rPr>
          <w:noProof/>
        </w:rPr>
        <w:t>(d)</w:t>
      </w:r>
      <w:r>
        <w:rPr>
          <w:noProof/>
        </w:rPr>
        <w:tab/>
        <w:t>raportul anual de activitate consolidat privind activitățile Europol prevăzut la articolul 73 alineatul (2), inclusiv informațiile relevante privind activitățile Europol din cadrul prelucrării unor seturi de date de mari dimensiuni și privind rezultatele obținute în cadrul acestei prelucrări, fără a divulga detalii operaționale și fără a aduce atingere niciunei investigații în curs;</w:t>
      </w:r>
    </w:p>
    <w:p>
      <w:pPr>
        <w:pStyle w:val="Point1"/>
        <w:rPr>
          <w:noProof/>
        </w:rPr>
      </w:pPr>
      <w:r>
        <w:rPr>
          <w:noProof/>
        </w:rPr>
        <w:t>(e)</w:t>
      </w:r>
      <w:r>
        <w:rPr>
          <w:noProof/>
        </w:rPr>
        <w:tab/>
        <w:t>raportul de evaluare întocmit de Comisie, menționat la articolul 130;</w:t>
      </w:r>
    </w:p>
    <w:p>
      <w:pPr>
        <w:pStyle w:val="Point1"/>
        <w:rPr>
          <w:noProof/>
        </w:rPr>
      </w:pPr>
      <w:r>
        <w:rPr>
          <w:noProof/>
        </w:rPr>
        <w:t>(f)</w:t>
      </w:r>
      <w:r>
        <w:rPr>
          <w:noProof/>
        </w:rPr>
        <w:tab/>
        <w:t>informații anuale în temeiul articolului 96 alineatul (12) privind datele cu caracter personal schimbate cu părți private în temeiul articolului 96, inclusiv o evaluare a eficacității cooperării, exemple specifice de cazuri care să demonstreze motivul pentru care respectivele cereri au fost necesare și proporționale pentru a permite Europol să își îndeplinească atribuțiile și, în ceea ce privește schimburile de date cu caracter personal în temeiul articolului 96, numărul de copii identificați în urma acestor schimburi, în măsura în care Europol dispune de aceste informații;</w:t>
      </w:r>
    </w:p>
    <w:p>
      <w:pPr>
        <w:pStyle w:val="Point1"/>
        <w:rPr>
          <w:noProof/>
        </w:rPr>
      </w:pPr>
      <w:r>
        <w:rPr>
          <w:noProof/>
        </w:rPr>
        <w:t>(g)</w:t>
      </w:r>
      <w:r>
        <w:rPr>
          <w:noProof/>
        </w:rPr>
        <w:tab/>
        <w:t>informații anuale cu privire la numărul de cazuri în care a fost necesar ca Europol să prelucreze date cu caracter personal care nu privesc categoriile de persoane vizate enumerate în anexa II, alături de informații despre durata și rezultatele prelucrării, inclusiv exemple de astfel de cazuri care să demonstreze motivul pentru care a fost necesară și proporțională respectiva prelucrare a datelor;</w:t>
      </w:r>
    </w:p>
    <w:p>
      <w:pPr>
        <w:pStyle w:val="Point1"/>
        <w:rPr>
          <w:noProof/>
        </w:rPr>
      </w:pPr>
      <w:r>
        <w:rPr>
          <w:noProof/>
        </w:rPr>
        <w:t>(h)</w:t>
      </w:r>
      <w:r>
        <w:rPr>
          <w:noProof/>
        </w:rPr>
        <w:tab/>
        <w:t>informații anuale cu privire la transferurile de date cu caracter personal către țări terțe și organizații internaționale în temeiul articolului 94, inclusiv numărul de cazuri în care au fost autorizate transferuri în temeiul articolului 94 alineatul (2);</w:t>
      </w:r>
    </w:p>
    <w:p>
      <w:pPr>
        <w:pStyle w:val="Point1"/>
        <w:rPr>
          <w:noProof/>
        </w:rPr>
      </w:pPr>
      <w:r>
        <w:rPr>
          <w:noProof/>
        </w:rPr>
        <w:t>(i)</w:t>
      </w:r>
      <w:r>
        <w:rPr>
          <w:noProof/>
        </w:rPr>
        <w:tab/>
        <w:t>informații anuale privind numărul de cazuri în care Europol a propus posibila introducere de semnalări privind existența unor informații în conformitate cu articolul 30, inclusiv exemple specifice de cazuri care să demonstreze motivul pentru care a fost propusă introducerea respectivelor semnalări;</w:t>
      </w:r>
    </w:p>
    <w:p>
      <w:pPr>
        <w:pStyle w:val="Point1"/>
        <w:rPr>
          <w:noProof/>
        </w:rPr>
      </w:pPr>
      <w:r>
        <w:rPr>
          <w:noProof/>
        </w:rPr>
        <w:t>(j)</w:t>
      </w:r>
      <w:r>
        <w:rPr>
          <w:noProof/>
        </w:rPr>
        <w:tab/>
        <w:t>informații anuale cu privire la numărul de proiecte de cercetare și inovare desfășurate, inclusiv informații privind scopurile respectivelor proiecte, categoriile de date cu caracter personal prelucrate, garanțiile suplimentare utilizate, inclusiv reducerea la minimum a datelor, nevoile în materie de aplicare a legii pe care respectivele proiecte urmăresc să le abordeze și rezultatul respectivelor proiecte;</w:t>
      </w:r>
    </w:p>
    <w:p>
      <w:pPr>
        <w:pStyle w:val="Point1"/>
        <w:rPr>
          <w:noProof/>
        </w:rPr>
      </w:pPr>
      <w:r>
        <w:rPr>
          <w:noProof/>
        </w:rPr>
        <w:t>(k)</w:t>
      </w:r>
      <w:r>
        <w:rPr>
          <w:noProof/>
        </w:rPr>
        <w:tab/>
        <w:t>informații anuale despre numărul și tipurile de cazuri în care au fost prelucrate categorii speciale de date cu caracter personal, în temeiul articolului 100.</w:t>
      </w:r>
    </w:p>
    <w:p>
      <w:pPr>
        <w:pStyle w:val="Text1"/>
        <w:rPr>
          <w:noProof/>
        </w:rPr>
      </w:pPr>
      <w:r>
        <w:rPr>
          <w:noProof/>
        </w:rPr>
        <w:t>Exemplele menționate la literele (f) și (i) se anonimizează în ceea ce privește datele cu caracter personal.</w:t>
      </w:r>
    </w:p>
    <w:p>
      <w:pPr>
        <w:pStyle w:val="Text1"/>
        <w:rPr>
          <w:noProof/>
        </w:rPr>
      </w:pPr>
      <w:r>
        <w:rPr>
          <w:noProof/>
        </w:rPr>
        <w:t>Exemplele menționate la litera (g) se anonimizează în ceea ce privește datele cu caracter personal, fără a divulga detalii operaționale și fără a aduce atingere vreunei investigații în curs.</w:t>
      </w:r>
    </w:p>
    <w:p>
      <w:pPr>
        <w:pStyle w:val="ManualNumPar1"/>
        <w:rPr>
          <w:noProof/>
        </w:rPr>
      </w:pPr>
      <w:r>
        <w:rPr>
          <w:noProof/>
        </w:rPr>
        <w:t>(7)</w:t>
      </w:r>
      <w:r>
        <w:rPr>
          <w:noProof/>
        </w:rPr>
        <w:tab/>
        <w:t>JPSG poate solicita orice alte documente necesare în vederea îndeplinirii atribuțiilor sale în ceea ce privește controlul politic al activităților Europol, reglementate de Regulamentul (CE) nr. 1049/2001 al Parlamentului European și al Consiliului</w:t>
      </w:r>
      <w:r>
        <w:rPr>
          <w:rStyle w:val="FootnoteReference"/>
          <w:noProof/>
        </w:rPr>
        <w:footnoteReference w:id="76"/>
      </w:r>
      <w:r>
        <w:rPr>
          <w:noProof/>
        </w:rPr>
        <w:t xml:space="preserve"> și fără a aduce atingere articolelor 117 și 129 din prezentul regulament.</w:t>
      </w:r>
    </w:p>
    <w:p>
      <w:pPr>
        <w:pStyle w:val="ManualNumPar1"/>
        <w:rPr>
          <w:noProof/>
        </w:rPr>
      </w:pPr>
      <w:r>
        <w:rPr>
          <w:noProof/>
        </w:rPr>
        <w:t>(8)</w:t>
      </w:r>
      <w:r>
        <w:rPr>
          <w:noProof/>
        </w:rPr>
        <w:tab/>
        <w:t>JPSG poate elabora concluzii de sinteză privind monitorizarea politică a activităților Europol, inclusiv recomandări specifice fără caracter obligatoriu către Europol, și poate prezenta aceste concluzii Parlamentului European și parlamentelor naționale. Parlamentul European transmite respectivele concluzii spre informare Consiliului, Comisiei și Europol.</w:t>
      </w:r>
    </w:p>
    <w:p>
      <w:pPr>
        <w:pStyle w:val="Titrearticle"/>
        <w:rPr>
          <w:noProof/>
        </w:rPr>
      </w:pPr>
      <w:r>
        <w:rPr>
          <w:noProof/>
        </w:rPr>
        <w:t>Articolul 117</w:t>
      </w:r>
    </w:p>
    <w:p>
      <w:pPr>
        <w:pStyle w:val="NormalCentered"/>
        <w:rPr>
          <w:noProof/>
        </w:rPr>
      </w:pPr>
      <w:r>
        <w:rPr>
          <w:b/>
          <w:noProof/>
        </w:rPr>
        <w:t>Accesul Parlamentului European la informații prelucrate de către Europol sau prin intermediul acesteia</w:t>
      </w:r>
    </w:p>
    <w:p>
      <w:pPr>
        <w:pStyle w:val="ManualNumPar1"/>
        <w:rPr>
          <w:noProof/>
        </w:rPr>
      </w:pPr>
      <w:r>
        <w:rPr>
          <w:noProof/>
        </w:rPr>
        <w:t>(1)</w:t>
      </w:r>
      <w:r>
        <w:rPr>
          <w:noProof/>
        </w:rPr>
        <w:tab/>
        <w:t>În scopul exercitării controlului parlamentar asupra activităților Europol în conformitate cu articolul 116, accesul Parlamentului European și al JPSG la informații sensibile neclasificate, prelucrate de Europol sau prin intermediul acesteia, acordat la cererea Parlamentului European, respectă normele menționate la articolul 129 alineatul (1).</w:t>
      </w:r>
    </w:p>
    <w:p>
      <w:pPr>
        <w:pStyle w:val="ManualNumPar1"/>
        <w:rPr>
          <w:noProof/>
        </w:rPr>
      </w:pPr>
      <w:r>
        <w:rPr>
          <w:noProof/>
        </w:rPr>
        <w:t>(2)</w:t>
      </w:r>
      <w:r>
        <w:rPr>
          <w:noProof/>
        </w:rPr>
        <w:tab/>
        <w:t>Accesul Parlamentului European la informații UE clasificate prelucrate de sau prin intermediul Europol este în concordanță cu Acordul interinstituțional aplicabil dintre Parlamentul European și Consiliu privind transmiterea către Parlamentul European și prelucrarea de către acesta a informațiilor clasificate deținute de Consiliu în alte chestiuni decât cele vizate de domeniul politicii externe și de securitate comune și respectă normele menționate la articolul 129 alineatul (2) din prezentul regulament.</w:t>
      </w:r>
    </w:p>
    <w:p>
      <w:pPr>
        <w:pStyle w:val="ManualNumPar1"/>
        <w:rPr>
          <w:noProof/>
        </w:rPr>
      </w:pPr>
      <w:r>
        <w:rPr>
          <w:noProof/>
        </w:rPr>
        <w:t>(3)</w:t>
      </w:r>
      <w:r>
        <w:rPr>
          <w:noProof/>
        </w:rPr>
        <w:tab/>
        <w:t>Detaliile necesare privind accesul Parlamentului European la informațiile menționate la alineatele (1) și (2) se reglementează prin acorduri de lucru încheiate între Europol și Parlamentul European.</w:t>
      </w:r>
    </w:p>
    <w:p>
      <w:pPr>
        <w:pStyle w:val="ChapterTitle"/>
        <w:rPr>
          <w:noProof/>
        </w:rPr>
      </w:pPr>
      <w:r>
        <w:rPr>
          <w:noProof/>
        </w:rPr>
        <w:t xml:space="preserve">Capitolul XI </w:t>
      </w:r>
      <w:r>
        <w:rPr>
          <w:noProof/>
        </w:rPr>
        <w:br/>
        <w:t>Personalul</w:t>
      </w:r>
    </w:p>
    <w:p>
      <w:pPr>
        <w:pStyle w:val="Titrearticle"/>
        <w:rPr>
          <w:noProof/>
        </w:rPr>
      </w:pPr>
      <w:r>
        <w:rPr>
          <w:noProof/>
        </w:rPr>
        <w:t>Articolul 118</w:t>
      </w:r>
    </w:p>
    <w:p>
      <w:pPr>
        <w:pStyle w:val="NormalCentered"/>
        <w:rPr>
          <w:noProof/>
        </w:rPr>
      </w:pPr>
      <w:r>
        <w:rPr>
          <w:b/>
          <w:noProof/>
        </w:rPr>
        <w:t>Dispoziții generale</w:t>
      </w:r>
    </w:p>
    <w:p>
      <w:pPr>
        <w:pStyle w:val="ManualNumPar1"/>
        <w:rPr>
          <w:noProof/>
        </w:rPr>
      </w:pPr>
      <w:r>
        <w:rPr>
          <w:noProof/>
        </w:rPr>
        <w:t>(1)</w:t>
      </w:r>
      <w:r>
        <w:rPr>
          <w:noProof/>
        </w:rPr>
        <w:tab/>
        <w:t>Personalului Europol i se aplică Statutul funcționarilor Uniunii Europene și Regimul aplicabil celorlalți agenți ai Uniunii Europene, precum și normele adoptate de comun acord de instituțiile Uniunii pentru punerea în aplicare a Statutului funcționarilor Uniunii Europene și a Regimului aplicabil celorlalți agenți ai Uniunii Europene.</w:t>
      </w:r>
    </w:p>
    <w:p>
      <w:pPr>
        <w:pStyle w:val="ManualNumPar1"/>
        <w:rPr>
          <w:noProof/>
        </w:rPr>
      </w:pPr>
      <w:r>
        <w:rPr>
          <w:noProof/>
        </w:rPr>
        <w:t>(2)</w:t>
      </w:r>
      <w:r>
        <w:rPr>
          <w:noProof/>
        </w:rPr>
        <w:tab/>
        <w:t>Personalul Europol este format din agenți temporari și agenți contractuali. Consiliul de administrație este informat în fiecare an despre contracte pe durată nedeterminată acordate de către directorul executiv. Consiliul de administrație decide care dintre posturile care urmează să fie ocupate de agenți temporari prevăzute în schema de personal pot fi ocupate doar de personalul din cadrul autorităților competente ale statelor membre. Consiliul de administrație revizuiește periodic aceste posturi în funcție de cerințele operaționale și de necesitatea de a menține expertiza specializată. Personalul recrutat pentru a ocupa astfel de posturi poate fi angajat doar prin contracte pe durată determinată, care pot fi reînnoite o singură dată. Durata totală maximă a acestor contracte de agenți temporari nu depășește zece ani.</w:t>
      </w:r>
    </w:p>
    <w:p>
      <w:pPr>
        <w:pStyle w:val="Titrearticle"/>
        <w:rPr>
          <w:noProof/>
        </w:rPr>
      </w:pPr>
      <w:r>
        <w:rPr>
          <w:noProof/>
        </w:rPr>
        <w:t>Articolul 119</w:t>
      </w:r>
    </w:p>
    <w:p>
      <w:pPr>
        <w:pStyle w:val="NormalCentered"/>
        <w:rPr>
          <w:b/>
          <w:noProof/>
        </w:rPr>
      </w:pPr>
      <w:r>
        <w:rPr>
          <w:b/>
          <w:noProof/>
        </w:rPr>
        <w:t>Experți naționali detașați</w:t>
      </w:r>
    </w:p>
    <w:p>
      <w:pPr>
        <w:pStyle w:val="ManualNumPar1"/>
        <w:rPr>
          <w:noProof/>
        </w:rPr>
      </w:pPr>
      <w:r>
        <w:rPr>
          <w:noProof/>
        </w:rPr>
        <w:t>(1)</w:t>
      </w:r>
      <w:r>
        <w:rPr>
          <w:noProof/>
        </w:rPr>
        <w:tab/>
        <w:t>Europol poate utiliza experți naționali detașați.</w:t>
      </w:r>
    </w:p>
    <w:p>
      <w:pPr>
        <w:pStyle w:val="ManualNumPar1"/>
        <w:rPr>
          <w:noProof/>
        </w:rPr>
      </w:pPr>
      <w:r>
        <w:rPr>
          <w:noProof/>
        </w:rPr>
        <w:t>(2)</w:t>
      </w:r>
      <w:r>
        <w:rPr>
          <w:noProof/>
        </w:rPr>
        <w:tab/>
        <w:t>Consiliul de administrație adoptă o decizie care prevede norme privind detașarea experților naționali la Europol.</w:t>
      </w:r>
    </w:p>
    <w:p>
      <w:pPr>
        <w:pStyle w:val="ChapterTitle"/>
        <w:rPr>
          <w:noProof/>
        </w:rPr>
      </w:pPr>
      <w:r>
        <w:rPr>
          <w:noProof/>
        </w:rPr>
        <w:t xml:space="preserve">Capitolul XII </w:t>
      </w:r>
      <w:r>
        <w:rPr>
          <w:noProof/>
        </w:rPr>
        <w:br/>
        <w:t>Dispoziții financiare</w:t>
      </w:r>
    </w:p>
    <w:p>
      <w:pPr>
        <w:pStyle w:val="Titrearticle"/>
        <w:rPr>
          <w:noProof/>
        </w:rPr>
      </w:pPr>
      <w:r>
        <w:rPr>
          <w:noProof/>
        </w:rPr>
        <w:t>Articolul 120</w:t>
      </w:r>
    </w:p>
    <w:p>
      <w:pPr>
        <w:pStyle w:val="NormalCentered"/>
        <w:rPr>
          <w:noProof/>
        </w:rPr>
      </w:pPr>
      <w:r>
        <w:rPr>
          <w:b/>
          <w:noProof/>
        </w:rPr>
        <w:t>Bugetul</w:t>
      </w:r>
    </w:p>
    <w:p>
      <w:pPr>
        <w:pStyle w:val="ManualNumPar1"/>
        <w:rPr>
          <w:noProof/>
        </w:rPr>
      </w:pPr>
      <w:r>
        <w:rPr>
          <w:noProof/>
        </w:rPr>
        <w:t>(1)</w:t>
      </w:r>
      <w:r>
        <w:rPr>
          <w:noProof/>
        </w:rPr>
        <w:tab/>
        <w:t>Estimări ale tuturor veniturilor și cheltuielilor Europol se elaborează pentru fiecare exercițiu financiar, care corespunde anului calendaristic, și sunt înscrise în bugetul Europol.</w:t>
      </w:r>
    </w:p>
    <w:p>
      <w:pPr>
        <w:pStyle w:val="ManualNumPar1"/>
        <w:rPr>
          <w:noProof/>
        </w:rPr>
      </w:pPr>
      <w:r>
        <w:rPr>
          <w:noProof/>
        </w:rPr>
        <w:t>(2)</w:t>
      </w:r>
      <w:r>
        <w:rPr>
          <w:noProof/>
        </w:rPr>
        <w:tab/>
        <w:t>Bugetul Europol este echilibrat în ceea ce privește veniturile și cheltuielile.</w:t>
      </w:r>
    </w:p>
    <w:p>
      <w:pPr>
        <w:pStyle w:val="ManualNumPar1"/>
        <w:rPr>
          <w:noProof/>
        </w:rPr>
      </w:pPr>
      <w:r>
        <w:rPr>
          <w:noProof/>
        </w:rPr>
        <w:t>(3)</w:t>
      </w:r>
      <w:r>
        <w:rPr>
          <w:noProof/>
        </w:rPr>
        <w:tab/>
        <w:t>Fără a aduce atingere altor resurse, veniturile Europol cuprind:</w:t>
      </w:r>
    </w:p>
    <w:p>
      <w:pPr>
        <w:pStyle w:val="Point1"/>
        <w:rPr>
          <w:noProof/>
        </w:rPr>
      </w:pPr>
      <w:r>
        <w:rPr>
          <w:noProof/>
        </w:rPr>
        <w:t>(a)</w:t>
      </w:r>
      <w:r>
        <w:rPr>
          <w:noProof/>
        </w:rPr>
        <w:tab/>
        <w:t>o contribuție din partea Uniunii, înscrisă în bugetul general al Uniunii;</w:t>
      </w:r>
    </w:p>
    <w:p>
      <w:pPr>
        <w:pStyle w:val="Point1"/>
        <w:rPr>
          <w:noProof/>
        </w:rPr>
      </w:pPr>
      <w:r>
        <w:rPr>
          <w:noProof/>
        </w:rPr>
        <w:t>(b)</w:t>
      </w:r>
      <w:r>
        <w:rPr>
          <w:noProof/>
        </w:rPr>
        <w:tab/>
        <w:t>contribuții din partea țărilor asociate la implementarea, aplicarea și dezvoltarea acquis-ului Schengen, în cazul în care astfel de contribuții sunt prevăzute în acordurile internaționale relevante;</w:t>
      </w:r>
    </w:p>
    <w:p>
      <w:pPr>
        <w:pStyle w:val="Point1"/>
        <w:rPr>
          <w:noProof/>
        </w:rPr>
      </w:pPr>
      <w:r>
        <w:rPr>
          <w:noProof/>
        </w:rPr>
        <w:t>(c)</w:t>
      </w:r>
      <w:r>
        <w:rPr>
          <w:noProof/>
        </w:rPr>
        <w:tab/>
        <w:t>orice contribuție financiară voluntară din partea statelor membre, în conformitate cu normele adoptate de Consiliul de administrație.</w:t>
      </w:r>
    </w:p>
    <w:p>
      <w:pPr>
        <w:pStyle w:val="ManualNumPar1"/>
        <w:rPr>
          <w:noProof/>
        </w:rPr>
      </w:pPr>
      <w:r>
        <w:rPr>
          <w:noProof/>
        </w:rPr>
        <w:t>(4)</w:t>
      </w:r>
      <w:r>
        <w:rPr>
          <w:noProof/>
        </w:rPr>
        <w:tab/>
        <w:t>Europol poate beneficia de finanțare din partea Uniunii sub forma acordurilor de contribuție sau a granturilor ad-hoc în conformitate cu normele sale financiare menționate la articolul 124 și cu dispozițiile instrumentelor relevante care sprijină politicile Uniunii.</w:t>
      </w:r>
    </w:p>
    <w:p>
      <w:pPr>
        <w:pStyle w:val="ManualNumPar1"/>
        <w:rPr>
          <w:noProof/>
        </w:rPr>
      </w:pPr>
      <w:r>
        <w:rPr>
          <w:noProof/>
        </w:rPr>
        <w:t>(5)</w:t>
      </w:r>
      <w:r>
        <w:rPr>
          <w:noProof/>
        </w:rPr>
        <w:tab/>
        <w:t>Cheltuielile Europol includ remunerarea personalului, cheltuielile administrative și de infrastructură, precum și cheltuieli de funcționare.</w:t>
      </w:r>
    </w:p>
    <w:p>
      <w:pPr>
        <w:pStyle w:val="ManualNumPar1"/>
        <w:rPr>
          <w:noProof/>
        </w:rPr>
      </w:pPr>
      <w:r>
        <w:rPr>
          <w:noProof/>
        </w:rPr>
        <w:t>(6)</w:t>
      </w:r>
      <w:r>
        <w:rPr>
          <w:noProof/>
        </w:rPr>
        <w:tab/>
        <w:t>Angajamentele bugetare pentru acțiunile a căror durată depășește un exercițiu financiar pot fi fracționate pe mai multe exerciții financiare în tranșe anuale.</w:t>
      </w:r>
    </w:p>
    <w:p>
      <w:pPr>
        <w:pStyle w:val="Titrearticle"/>
        <w:rPr>
          <w:noProof/>
        </w:rPr>
      </w:pPr>
      <w:r>
        <w:rPr>
          <w:noProof/>
        </w:rPr>
        <w:t>Articolul 121</w:t>
      </w:r>
    </w:p>
    <w:p>
      <w:pPr>
        <w:pStyle w:val="NormalCentered"/>
        <w:rPr>
          <w:noProof/>
        </w:rPr>
      </w:pPr>
      <w:r>
        <w:rPr>
          <w:b/>
          <w:noProof/>
        </w:rPr>
        <w:t>Întocmirea bugetului</w:t>
      </w:r>
    </w:p>
    <w:p>
      <w:pPr>
        <w:pStyle w:val="ManualNumPar1"/>
        <w:rPr>
          <w:noProof/>
        </w:rPr>
      </w:pPr>
      <w:r>
        <w:rPr>
          <w:noProof/>
        </w:rPr>
        <w:t>(1)</w:t>
      </w:r>
      <w:r>
        <w:rPr>
          <w:noProof/>
        </w:rPr>
        <w:tab/>
        <w:t>În fiecare an, directorul executiv elaborează un proiect de buget estimativ privind veniturile și cheltuielile Europol pentru exercițiul financiar următor, care conține schema de personal, și îl transmite Consiliului de administrație. Proiectul de buget estimativ este elaborat într-un mod care asigură o diferențiere clară a creditelor în funcție de subactivitate, în concordanță cu structura documentului unic de programare.</w:t>
      </w:r>
    </w:p>
    <w:p>
      <w:pPr>
        <w:pStyle w:val="ManualNumPar1"/>
        <w:rPr>
          <w:noProof/>
        </w:rPr>
      </w:pPr>
      <w:r>
        <w:rPr>
          <w:noProof/>
        </w:rPr>
        <w:t>(2)</w:t>
      </w:r>
      <w:r>
        <w:rPr>
          <w:noProof/>
        </w:rPr>
        <w:tab/>
        <w:t>Pe baza proiectului de buget estimativ, Consiliul de administrație adoptă un proiect provizoriu de estimare a veniturilor și cheltuielilor Europol pentru următorul exercițiu financiar, care conține schema de personal provizorie. Consiliul de administrație îl transmite Parlamentului European, Consiliului și Comisiei până la data de 31 ianuarie a fiecărui an, ca parte din proiectul de document unic de programare.</w:t>
      </w:r>
    </w:p>
    <w:p>
      <w:pPr>
        <w:pStyle w:val="ManualNumPar1"/>
        <w:rPr>
          <w:noProof/>
        </w:rPr>
      </w:pPr>
      <w:r>
        <w:rPr>
          <w:noProof/>
        </w:rPr>
        <w:t>(3)</w:t>
      </w:r>
      <w:r>
        <w:rPr>
          <w:noProof/>
        </w:rPr>
        <w:tab/>
        <w:t>Până la data de 31 martie a fiecărui an, Consiliul de administrație transmite Comisiei proiectul final de estimare a veniturilor și cheltuielilor Europol, care include un proiect de schemă de personal.</w:t>
      </w:r>
    </w:p>
    <w:p>
      <w:pPr>
        <w:pStyle w:val="ManualNumPar1"/>
        <w:rPr>
          <w:noProof/>
        </w:rPr>
      </w:pPr>
      <w:r>
        <w:rPr>
          <w:noProof/>
        </w:rPr>
        <w:t>(4)</w:t>
      </w:r>
      <w:r>
        <w:rPr>
          <w:noProof/>
        </w:rPr>
        <w:tab/>
        <w:t>Comisia transmite situația estimărilor Parlamentului European și Consiliului, împreună cu proiectul de buget general al Uniunii.</w:t>
      </w:r>
    </w:p>
    <w:p>
      <w:pPr>
        <w:pStyle w:val="ManualNumPar1"/>
        <w:rPr>
          <w:noProof/>
        </w:rPr>
      </w:pPr>
      <w:r>
        <w:rPr>
          <w:noProof/>
        </w:rPr>
        <w:t>(5)</w:t>
      </w:r>
      <w:r>
        <w:rPr>
          <w:noProof/>
        </w:rPr>
        <w:tab/>
        <w:t>Pe baza situației estimărilor, Comisia înscrie în proiectul de buget general al Uniunii estimările pe care le consideră necesare pentru schema de personal și suma aferentă contribuției care urmează să fie suportată de la bugetul general, pe care le prezintă Parlamentului European și Consiliului în conformitate cu articolele 313 și 314 din TFUE.</w:t>
      </w:r>
    </w:p>
    <w:p>
      <w:pPr>
        <w:pStyle w:val="ManualNumPar1"/>
        <w:rPr>
          <w:noProof/>
        </w:rPr>
      </w:pPr>
      <w:r>
        <w:rPr>
          <w:noProof/>
        </w:rPr>
        <w:t>(6)</w:t>
      </w:r>
      <w:r>
        <w:rPr>
          <w:noProof/>
        </w:rPr>
        <w:tab/>
        <w:t>Parlamentul European și Consiliul autorizează creditele pentru contribuția alocată Europol.</w:t>
      </w:r>
    </w:p>
    <w:p>
      <w:pPr>
        <w:pStyle w:val="ManualNumPar1"/>
        <w:rPr>
          <w:noProof/>
        </w:rPr>
      </w:pPr>
      <w:r>
        <w:rPr>
          <w:noProof/>
        </w:rPr>
        <w:t>(7)</w:t>
      </w:r>
      <w:r>
        <w:rPr>
          <w:noProof/>
        </w:rPr>
        <w:tab/>
        <w:t>Parlamentul European și Consiliul adoptă schema de personal a Europol.</w:t>
      </w:r>
    </w:p>
    <w:p>
      <w:pPr>
        <w:pStyle w:val="ManualNumPar1"/>
        <w:rPr>
          <w:noProof/>
        </w:rPr>
      </w:pPr>
      <w:r>
        <w:rPr>
          <w:noProof/>
        </w:rPr>
        <w:t>(8)</w:t>
      </w:r>
      <w:r>
        <w:rPr>
          <w:noProof/>
        </w:rPr>
        <w:tab/>
        <w:t>Bugetul Europol este adoptat de consiliul de administrație. Bugetul agenției devine definitiv după adoptarea finală a bugetului general al Uniunii. În cazul în care este necesar, acesta se ajustează în consecință.</w:t>
      </w:r>
    </w:p>
    <w:p>
      <w:pPr>
        <w:pStyle w:val="ManualNumPar1"/>
        <w:rPr>
          <w:noProof/>
        </w:rPr>
      </w:pPr>
      <w:r>
        <w:rPr>
          <w:noProof/>
        </w:rPr>
        <w:t>(9)</w:t>
      </w:r>
      <w:r>
        <w:rPr>
          <w:noProof/>
        </w:rPr>
        <w:tab/>
        <w:t>Regulamentul delegat (UE) 2019/715 se aplică oricărui proiect de natură imobiliară care poate avea implicații semnificative asupra bugetului Europol.</w:t>
      </w:r>
    </w:p>
    <w:p>
      <w:pPr>
        <w:pStyle w:val="Titrearticle"/>
        <w:rPr>
          <w:noProof/>
        </w:rPr>
      </w:pPr>
      <w:r>
        <w:rPr>
          <w:noProof/>
        </w:rPr>
        <w:t>Articolul 122</w:t>
      </w:r>
    </w:p>
    <w:p>
      <w:pPr>
        <w:pStyle w:val="NormalCentered"/>
        <w:rPr>
          <w:noProof/>
        </w:rPr>
      </w:pPr>
      <w:r>
        <w:rPr>
          <w:b/>
          <w:noProof/>
        </w:rPr>
        <w:t>Execuția bugetului</w:t>
      </w:r>
    </w:p>
    <w:p>
      <w:pPr>
        <w:pStyle w:val="ManualNumPar1"/>
        <w:rPr>
          <w:noProof/>
        </w:rPr>
      </w:pPr>
      <w:r>
        <w:rPr>
          <w:noProof/>
        </w:rPr>
        <w:t>(1)</w:t>
      </w:r>
      <w:r>
        <w:rPr>
          <w:noProof/>
        </w:rPr>
        <w:tab/>
        <w:t>Directorul executiv execută bugetul Europol.</w:t>
      </w:r>
    </w:p>
    <w:p>
      <w:pPr>
        <w:pStyle w:val="ManualNumPar1"/>
        <w:rPr>
          <w:noProof/>
        </w:rPr>
      </w:pPr>
      <w:r>
        <w:rPr>
          <w:noProof/>
        </w:rPr>
        <w:t>(2)</w:t>
      </w:r>
      <w:r>
        <w:rPr>
          <w:noProof/>
        </w:rPr>
        <w:tab/>
        <w:t>În fiecare an, directorul executiv transmite Parlamentului European și Consiliului toate informațiile relevante pentru concluziile oricăror proceduri de evaluare.</w:t>
      </w:r>
    </w:p>
    <w:p>
      <w:pPr>
        <w:pStyle w:val="Titrearticle"/>
        <w:rPr>
          <w:noProof/>
        </w:rPr>
      </w:pPr>
      <w:r>
        <w:rPr>
          <w:noProof/>
        </w:rPr>
        <w:t>Articolul 123</w:t>
      </w:r>
    </w:p>
    <w:p>
      <w:pPr>
        <w:pStyle w:val="NormalCentered"/>
        <w:rPr>
          <w:noProof/>
        </w:rPr>
      </w:pPr>
      <w:r>
        <w:rPr>
          <w:b/>
          <w:noProof/>
        </w:rPr>
        <w:t>Prezentarea conturilor și descărcarea de gestiune</w:t>
      </w:r>
    </w:p>
    <w:p>
      <w:pPr>
        <w:pStyle w:val="ManualNumPar1"/>
        <w:rPr>
          <w:noProof/>
        </w:rPr>
      </w:pPr>
      <w:r>
        <w:rPr>
          <w:noProof/>
        </w:rPr>
        <w:t>(1)</w:t>
      </w:r>
      <w:r>
        <w:rPr>
          <w:noProof/>
        </w:rPr>
        <w:tab/>
        <w:t>Contabilul Europol transmite conturile provizorii pentru exercițiul financiar (anul N) contabilului Comisiei și Curții de Conturi până la data de 1 martie a următorului exercițiu financiar (anul N + 1).</w:t>
      </w:r>
    </w:p>
    <w:p>
      <w:pPr>
        <w:pStyle w:val="ManualNumPar1"/>
        <w:rPr>
          <w:noProof/>
        </w:rPr>
      </w:pPr>
      <w:r>
        <w:rPr>
          <w:noProof/>
        </w:rPr>
        <w:t>(2)</w:t>
      </w:r>
      <w:r>
        <w:rPr>
          <w:noProof/>
        </w:rPr>
        <w:tab/>
        <w:t>Europol transmite raportul privind gestiunea bugetară și financiară pentru anul N Parlamentului European, Consiliului și Curții de Conturi până la data de 31 martie a anului N + 1.</w:t>
      </w:r>
    </w:p>
    <w:p>
      <w:pPr>
        <w:pStyle w:val="ManualNumPar1"/>
        <w:rPr>
          <w:noProof/>
        </w:rPr>
      </w:pPr>
      <w:r>
        <w:rPr>
          <w:noProof/>
        </w:rPr>
        <w:t>(3)</w:t>
      </w:r>
      <w:r>
        <w:rPr>
          <w:noProof/>
        </w:rPr>
        <w:tab/>
        <w:t>Contabilul Comisiei transmite Curții de Conturi conturile provizorii ale Europol pentru anul N, consolidate cu conturile Comisiei, până la data de 31 martie a anului N + 1.</w:t>
      </w:r>
    </w:p>
    <w:p>
      <w:pPr>
        <w:pStyle w:val="ManualNumPar1"/>
        <w:rPr>
          <w:noProof/>
        </w:rPr>
      </w:pPr>
      <w:r>
        <w:rPr>
          <w:noProof/>
        </w:rPr>
        <w:t>(4)</w:t>
      </w:r>
      <w:r>
        <w:rPr>
          <w:noProof/>
        </w:rPr>
        <w:tab/>
        <w:t>După ce primește observațiile formulate de Curtea de Conturi cu privire la conturile provizorii ale Europol, în temeiul articolului 252 din Regulamentul (UE, Euratom) 2024/2509 al Parlamentului European și al Consiliului, contabilul Europol întocmește conturile finale ale Europol pentru anul respectiv. Directorul executiv prezintă respectivele conturi finale Consiliului de administrație în vederea obținerii unui aviz.</w:t>
      </w:r>
    </w:p>
    <w:p>
      <w:pPr>
        <w:pStyle w:val="ManualNumPar1"/>
        <w:rPr>
          <w:noProof/>
        </w:rPr>
      </w:pPr>
      <w:r>
        <w:rPr>
          <w:noProof/>
        </w:rPr>
        <w:t>(5)</w:t>
      </w:r>
      <w:r>
        <w:rPr>
          <w:noProof/>
        </w:rPr>
        <w:tab/>
        <w:t>Consiliul de administrație emite un aviz cu privire la conturile finale ale Europol pentru anul N.</w:t>
      </w:r>
    </w:p>
    <w:p>
      <w:pPr>
        <w:pStyle w:val="ManualNumPar1"/>
        <w:rPr>
          <w:noProof/>
        </w:rPr>
      </w:pPr>
      <w:r>
        <w:rPr>
          <w:noProof/>
        </w:rPr>
        <w:t>(6)</w:t>
      </w:r>
      <w:r>
        <w:rPr>
          <w:noProof/>
        </w:rPr>
        <w:tab/>
        <w:t>Directorul executiv al Europol transmite Parlamentului European, Consiliului, Comisiei, Curții de Conturi și parlamentelor naționale conturile definitive, împreună cu avizul Consiliului de administrație menționat la alineatul (5), până la data de 1 iulie a anului N + 1.</w:t>
      </w:r>
    </w:p>
    <w:p>
      <w:pPr>
        <w:pStyle w:val="ManualNumPar1"/>
        <w:rPr>
          <w:noProof/>
        </w:rPr>
      </w:pPr>
      <w:r>
        <w:rPr>
          <w:noProof/>
        </w:rPr>
        <w:t>(7)</w:t>
      </w:r>
      <w:r>
        <w:rPr>
          <w:noProof/>
        </w:rPr>
        <w:tab/>
        <w:t xml:space="preserve">Conturile definitive pentru anul N se publică în </w:t>
      </w:r>
      <w:r>
        <w:rPr>
          <w:i/>
          <w:noProof/>
        </w:rPr>
        <w:t>Jurnalul Oficial al Uniunii Europene</w:t>
      </w:r>
      <w:r>
        <w:rPr>
          <w:noProof/>
        </w:rPr>
        <w:t xml:space="preserve"> până la data de 15 noiembrie a anului N + 1.</w:t>
      </w:r>
    </w:p>
    <w:p>
      <w:pPr>
        <w:pStyle w:val="ManualNumPar1"/>
        <w:rPr>
          <w:noProof/>
        </w:rPr>
      </w:pPr>
      <w:r>
        <w:rPr>
          <w:noProof/>
        </w:rPr>
        <w:t>(8)</w:t>
      </w:r>
      <w:r>
        <w:rPr>
          <w:noProof/>
        </w:rPr>
        <w:tab/>
        <w:t>Până la data de 30 septembrie a anului N + 1, directorul executiv trimite Curții de Conturi un răspuns la observațiile cuprinse în raportul anual al acesteia. Directorul executiv transmite răspunsul respectiv și Consiliului de administrație.</w:t>
      </w:r>
    </w:p>
    <w:p>
      <w:pPr>
        <w:pStyle w:val="ManualNumPar1"/>
        <w:rPr>
          <w:noProof/>
        </w:rPr>
      </w:pPr>
      <w:r>
        <w:rPr>
          <w:noProof/>
        </w:rPr>
        <w:t>(9)</w:t>
      </w:r>
      <w:r>
        <w:rPr>
          <w:noProof/>
        </w:rPr>
        <w:tab/>
        <w:t>La cererea Parlamentului European, directorul executiv prezintă acestuia orice informație necesară pentru buna desfășurare a procedurii de descărcare de gestiune pentru anul N, în conformitate cu articolul 261 alineatul (3) din Regulamentul (UE, Euratom) 2024/2509.</w:t>
      </w:r>
    </w:p>
    <w:p>
      <w:pPr>
        <w:pStyle w:val="ManualNumPar1"/>
        <w:rPr>
          <w:noProof/>
        </w:rPr>
      </w:pPr>
      <w:r>
        <w:rPr>
          <w:noProof/>
        </w:rPr>
        <w:t>(10)</w:t>
      </w:r>
      <w:r>
        <w:rPr>
          <w:noProof/>
        </w:rPr>
        <w:tab/>
        <w:t>Parlamentul European, la recomandarea Consiliului, care hotărăște cu majoritate calificată, acordă directorului executiv, înainte de data de 15 mai a anului N + 2, descărcarea de gestiune în ceea ce privește execuția bugetului pentru anul N.</w:t>
      </w:r>
    </w:p>
    <w:p>
      <w:pPr>
        <w:pStyle w:val="Titrearticle"/>
        <w:rPr>
          <w:noProof/>
        </w:rPr>
      </w:pPr>
      <w:r>
        <w:rPr>
          <w:noProof/>
        </w:rPr>
        <w:t>Articolul 124</w:t>
      </w:r>
    </w:p>
    <w:p>
      <w:pPr>
        <w:pStyle w:val="NormalCentered"/>
        <w:rPr>
          <w:noProof/>
        </w:rPr>
      </w:pPr>
      <w:r>
        <w:rPr>
          <w:b/>
          <w:noProof/>
        </w:rPr>
        <w:t>Norme financiare</w:t>
      </w:r>
    </w:p>
    <w:p>
      <w:pPr>
        <w:pStyle w:val="ManualNumPar1"/>
        <w:rPr>
          <w:noProof/>
        </w:rPr>
      </w:pPr>
      <w:r>
        <w:rPr>
          <w:noProof/>
        </w:rPr>
        <w:t>(1)</w:t>
      </w:r>
      <w:r>
        <w:rPr>
          <w:noProof/>
        </w:rPr>
        <w:tab/>
        <w:t xml:space="preserve">Normele financiare aplicabile Europol se adoptă de Consiliul de administrație, după consultarea Comisiei. Acestea nu derogă de la dispozițiile </w:t>
      </w:r>
      <w:hyperlink r:id="rId24" w:tooltip="http://data.europa.eu/eli/reg_del/2019/715/oj">
        <w:r>
          <w:rPr>
            <w:rStyle w:val="Hyperlink"/>
            <w:noProof/>
          </w:rPr>
          <w:t>Regulamentului delegat (UE) 2019/715</w:t>
        </w:r>
      </w:hyperlink>
      <w:r>
        <w:rPr>
          <w:noProof/>
        </w:rPr>
        <w:t>, cu excepția cazului în care o astfel de derogare este necesară în mod special pentru funcționarea Europol, iar Comisia și-a dat acordul prealabil.</w:t>
      </w:r>
    </w:p>
    <w:p>
      <w:pPr>
        <w:pStyle w:val="ManualNumPar1"/>
        <w:rPr>
          <w:noProof/>
        </w:rPr>
      </w:pPr>
      <w:r>
        <w:rPr>
          <w:noProof/>
        </w:rPr>
        <w:t>(2)</w:t>
      </w:r>
      <w:r>
        <w:rPr>
          <w:noProof/>
        </w:rPr>
        <w:tab/>
        <w:t>Europol poate să acorde granturi legate de îndeplinirea atribuțiilor sale.</w:t>
      </w:r>
    </w:p>
    <w:p>
      <w:pPr>
        <w:pStyle w:val="ManualNumPar1"/>
        <w:rPr>
          <w:noProof/>
        </w:rPr>
      </w:pPr>
      <w:r>
        <w:rPr>
          <w:noProof/>
        </w:rPr>
        <w:t>(3)</w:t>
      </w:r>
      <w:r>
        <w:rPr>
          <w:noProof/>
        </w:rPr>
        <w:tab/>
        <w:t>Europol poate acorda granturi fără o cerere de propuneri statelor membre, țărilor terțe și organizațiilor internaționale pentru desfășurarea activităților care intră în sfera de competență a Europol.</w:t>
      </w:r>
    </w:p>
    <w:p>
      <w:pPr>
        <w:pStyle w:val="ManualNumPar1"/>
        <w:rPr>
          <w:noProof/>
        </w:rPr>
      </w:pPr>
      <w:r>
        <w:rPr>
          <w:noProof/>
        </w:rPr>
        <w:t>(4)</w:t>
      </w:r>
      <w:r>
        <w:rPr>
          <w:noProof/>
        </w:rPr>
        <w:tab/>
        <w:t>În cazul în care acest lucru este justificat în mod corespunzător în scopuri operaționale, după autorizarea de către consiliul de administrație, sprijinul financiar poate să acopere integral costurile de investiții pentru echipamente și infrastructură.</w:t>
      </w:r>
    </w:p>
    <w:p>
      <w:pPr>
        <w:pStyle w:val="ManualNumPar1"/>
        <w:rPr>
          <w:noProof/>
        </w:rPr>
      </w:pPr>
      <w:r>
        <w:rPr>
          <w:noProof/>
        </w:rPr>
        <w:t>(5)</w:t>
      </w:r>
      <w:r>
        <w:rPr>
          <w:noProof/>
        </w:rPr>
        <w:tab/>
        <w:t>Normele financiare menționate la alineatul (1) pot preciza criteriile pe baza cărora sprijinul financiar poate acoperi integral costurile de investiții menționate la primul paragraf de la prezentul alineat.</w:t>
      </w:r>
    </w:p>
    <w:p>
      <w:pPr>
        <w:pStyle w:val="ManualNumPar1"/>
        <w:rPr>
          <w:noProof/>
        </w:rPr>
      </w:pPr>
      <w:r>
        <w:rPr>
          <w:noProof/>
        </w:rPr>
        <w:t>(6)</w:t>
      </w:r>
      <w:r>
        <w:rPr>
          <w:noProof/>
        </w:rPr>
        <w:tab/>
        <w:t>În ceea ce privește sprijinul financiar acordat pentru activitățile echipelor comune de anchetă, Europol și Eurojust stabilesc în comun normele și condițiile în baza cărora sunt prelucrate cererile de sprijin.</w:t>
      </w:r>
    </w:p>
    <w:p>
      <w:pPr>
        <w:pStyle w:val="ChapterTitle"/>
        <w:rPr>
          <w:noProof/>
        </w:rPr>
      </w:pPr>
      <w:r>
        <w:rPr>
          <w:noProof/>
        </w:rPr>
        <w:t xml:space="preserve">Capitolul XIII </w:t>
      </w:r>
      <w:r>
        <w:rPr>
          <w:noProof/>
        </w:rPr>
        <w:br/>
        <w:t>Dispoziții diverse</w:t>
      </w:r>
    </w:p>
    <w:p>
      <w:pPr>
        <w:pStyle w:val="Titrearticle"/>
        <w:rPr>
          <w:noProof/>
        </w:rPr>
      </w:pPr>
      <w:r>
        <w:rPr>
          <w:noProof/>
        </w:rPr>
        <w:t>Articolul 125</w:t>
      </w:r>
    </w:p>
    <w:p>
      <w:pPr>
        <w:pStyle w:val="NormalCentered"/>
        <w:keepNext/>
        <w:rPr>
          <w:noProof/>
        </w:rPr>
      </w:pPr>
      <w:r>
        <w:rPr>
          <w:b/>
          <w:noProof/>
        </w:rPr>
        <w:t>Privilegii și imunități</w:t>
      </w:r>
    </w:p>
    <w:p>
      <w:pPr>
        <w:pStyle w:val="ManualNumPar1"/>
        <w:rPr>
          <w:noProof/>
        </w:rPr>
      </w:pPr>
      <w:r>
        <w:rPr>
          <w:noProof/>
        </w:rPr>
        <w:t>(1)</w:t>
      </w:r>
      <w:r>
        <w:rPr>
          <w:noProof/>
        </w:rPr>
        <w:tab/>
        <w:t>Protocolul nr. 7 privind privilegiile și imunitățile Uniunii Europene, anexat la TUE și la TFUE, se aplică Europol și personalului acestuia.</w:t>
      </w:r>
    </w:p>
    <w:p>
      <w:pPr>
        <w:pStyle w:val="ManualNumPar1"/>
        <w:rPr>
          <w:noProof/>
        </w:rPr>
      </w:pPr>
      <w:r>
        <w:rPr>
          <w:noProof/>
        </w:rPr>
        <w:t>(2)</w:t>
      </w:r>
      <w:r>
        <w:rPr>
          <w:noProof/>
        </w:rPr>
        <w:tab/>
        <w:t>Ofițerii de legătură și membrii familiilor acestora beneficiază de privilegii și imunități care fac obiectul unui acord între Regatul Țărilor de Jos și celelalte state membre. Acordul respectiv prevede privilegiile și imunitățile necesare pentru îndeplinirea corespunzătoare a atribuțiilor care le revin ofițerilor de legătură.</w:t>
      </w:r>
    </w:p>
    <w:p>
      <w:pPr>
        <w:pStyle w:val="Titrearticle"/>
        <w:rPr>
          <w:noProof/>
        </w:rPr>
      </w:pPr>
      <w:r>
        <w:rPr>
          <w:noProof/>
        </w:rPr>
        <w:t>Articolul 126</w:t>
      </w:r>
    </w:p>
    <w:p>
      <w:pPr>
        <w:pStyle w:val="NormalCentered"/>
        <w:rPr>
          <w:noProof/>
        </w:rPr>
      </w:pPr>
      <w:r>
        <w:rPr>
          <w:b/>
          <w:noProof/>
        </w:rPr>
        <w:t>Regim lingvistic</w:t>
      </w:r>
    </w:p>
    <w:p>
      <w:pPr>
        <w:pStyle w:val="ManualNumPar1"/>
        <w:rPr>
          <w:noProof/>
        </w:rPr>
      </w:pPr>
      <w:r>
        <w:rPr>
          <w:noProof/>
        </w:rPr>
        <w:t>(1)</w:t>
      </w:r>
      <w:r>
        <w:rPr>
          <w:noProof/>
        </w:rPr>
        <w:tab/>
        <w:t>Dispozițiile prevăzute de Regulamentul nr. 1 se aplică Europol.</w:t>
      </w:r>
    </w:p>
    <w:p>
      <w:pPr>
        <w:pStyle w:val="ManualNumPar1"/>
        <w:rPr>
          <w:noProof/>
        </w:rPr>
      </w:pPr>
      <w:r>
        <w:rPr>
          <w:noProof/>
        </w:rPr>
        <w:t>(2)</w:t>
      </w:r>
      <w:r>
        <w:rPr>
          <w:noProof/>
        </w:rPr>
        <w:tab/>
        <w:t>Consiliul de administrație decide cu o majoritate de două treimi din membrii săi regimul lingvistic intern al Europol.</w:t>
      </w:r>
    </w:p>
    <w:p>
      <w:pPr>
        <w:pStyle w:val="ManualNumPar1"/>
        <w:rPr>
          <w:noProof/>
        </w:rPr>
      </w:pPr>
      <w:r>
        <w:rPr>
          <w:noProof/>
        </w:rPr>
        <w:t>(3)</w:t>
      </w:r>
      <w:r>
        <w:rPr>
          <w:noProof/>
        </w:rPr>
        <w:tab/>
        <w:t>Serviciile de traducere și toate celelalte servicii lingvistice solicitate de Europol, altele decât interpretarea, sunt asigurate de Centrul de Traduceri pentru Organismele Uniunii, înființat prin Regulamentul (CE) nr. 2965/94 al Consiliului</w:t>
      </w:r>
      <w:r>
        <w:rPr>
          <w:rStyle w:val="FootnoteReference"/>
          <w:noProof/>
        </w:rPr>
        <w:footnoteReference w:id="77"/>
      </w:r>
      <w:r>
        <w:rPr>
          <w:noProof/>
        </w:rPr>
        <w:t xml:space="preserve">. </w:t>
      </w:r>
    </w:p>
    <w:p>
      <w:pPr>
        <w:pStyle w:val="Titrearticle"/>
        <w:rPr>
          <w:noProof/>
        </w:rPr>
      </w:pPr>
      <w:r>
        <w:rPr>
          <w:noProof/>
        </w:rPr>
        <w:t>Articolul 127</w:t>
      </w:r>
    </w:p>
    <w:p>
      <w:pPr>
        <w:pStyle w:val="NormalCentered"/>
        <w:rPr>
          <w:noProof/>
        </w:rPr>
      </w:pPr>
      <w:r>
        <w:rPr>
          <w:b/>
          <w:noProof/>
        </w:rPr>
        <w:t>Transparență</w:t>
      </w:r>
    </w:p>
    <w:p>
      <w:pPr>
        <w:pStyle w:val="ManualNumPar1"/>
        <w:rPr>
          <w:noProof/>
        </w:rPr>
      </w:pPr>
      <w:r>
        <w:rPr>
          <w:noProof/>
        </w:rPr>
        <w:t>(1)</w:t>
      </w:r>
      <w:r>
        <w:rPr>
          <w:noProof/>
        </w:rPr>
        <w:tab/>
        <w:t>Regulamentul (CE) nr. 1049/2001 se aplică documentelor deținute de Europol. Atunci când Europol sprijină investigațiile EPPO, aplicarea Regulamentului (CE) nr. 1049/2001 de către Europol nu aduce atingere articolului 109 din Regulamentul (UE) 2017/1939.</w:t>
      </w:r>
    </w:p>
    <w:p>
      <w:pPr>
        <w:pStyle w:val="ManualNumPar1"/>
        <w:rPr>
          <w:noProof/>
        </w:rPr>
      </w:pPr>
      <w:r>
        <w:rPr>
          <w:noProof/>
        </w:rPr>
        <w:t>(2)</w:t>
      </w:r>
      <w:r>
        <w:rPr>
          <w:noProof/>
        </w:rPr>
        <w:tab/>
        <w:t>Deciziile luate de Europol în temeiul articolului 8 din Regulamentul (CE) nr. 1049/2001 pot face obiectul unei plângeri înaintate Ombudsmanului European sau al unei acțiuni introduse în fața Curții de Justiție a Uniunii Europene, în conformitate cu articolul 228 și, respectiv, la articolul 263 din TFUE.</w:t>
      </w:r>
    </w:p>
    <w:p>
      <w:pPr>
        <w:pStyle w:val="ManualNumPar1"/>
        <w:rPr>
          <w:noProof/>
        </w:rPr>
      </w:pPr>
      <w:r>
        <w:rPr>
          <w:noProof/>
        </w:rPr>
        <w:t>(3)</w:t>
      </w:r>
      <w:r>
        <w:rPr>
          <w:noProof/>
        </w:rPr>
        <w:tab/>
        <w:t>Europol publică pe site-ul său o listă a membrilor Consiliului său de administrație și rezumatele rezultatelor reuniunilor Consiliului de administrație. Publicarea respectivelor rezumate este omisă sau restricționată, temporar sau permanent, în cazul în care ar periclita îndeplinirea atribuțiilor Europol, ținând seama de obligațiile sale privind discreția și confidențialitatea, precum și de caracterul operațional al Europol.</w:t>
      </w:r>
    </w:p>
    <w:p>
      <w:pPr>
        <w:pStyle w:val="Titrearticle"/>
        <w:rPr>
          <w:noProof/>
        </w:rPr>
      </w:pPr>
      <w:r>
        <w:rPr>
          <w:noProof/>
        </w:rPr>
        <w:t>Articolul 128</w:t>
      </w:r>
    </w:p>
    <w:p>
      <w:pPr>
        <w:pStyle w:val="NormalCentered"/>
        <w:rPr>
          <w:noProof/>
        </w:rPr>
      </w:pPr>
      <w:r>
        <w:rPr>
          <w:b/>
          <w:noProof/>
        </w:rPr>
        <w:t>Prevenirea și combaterea fraudei și a neregulilor</w:t>
      </w:r>
    </w:p>
    <w:p>
      <w:pPr>
        <w:pStyle w:val="ManualNumPar1"/>
        <w:rPr>
          <w:noProof/>
        </w:rPr>
      </w:pPr>
      <w:r>
        <w:rPr>
          <w:noProof/>
        </w:rPr>
        <w:t>(1)</w:t>
      </w:r>
      <w:r>
        <w:rPr>
          <w:noProof/>
        </w:rPr>
        <w:tab/>
        <w:t>Curtea de Conturi are competența de audita, pe bază de documente și de controale la fața locului, toți beneficiarii de granturi, contractanții și subcontractanții care au primit fonduri ale Uniunii din partea Europol.</w:t>
      </w:r>
    </w:p>
    <w:p>
      <w:pPr>
        <w:pStyle w:val="ManualNumPar1"/>
        <w:rPr>
          <w:noProof/>
        </w:rPr>
      </w:pPr>
      <w:r>
        <w:rPr>
          <w:noProof/>
        </w:rPr>
        <w:t>(2)</w:t>
      </w:r>
      <w:r>
        <w:rPr>
          <w:noProof/>
        </w:rPr>
        <w:tab/>
        <w:t>OLAF poate efectua investigații, inclusiv verificări și inspecții la fața locului, pentru a stabili dacă s-a comis o fraudă, un act de corupție sau orice altă activitate ilegală care aduce atingere intereselor financiare ale Uniunii în legătură cu un grant sau un contract acordat de Europol, sau dacă au avut loc fapte grave legate de îndeplinirea sarcinilor profesionale într-un mod care constituie o abatere de la obligațiile membrilor sau ale membrilor personalului de natură să facă obiectul unor acțiuni disciplinare sau, după caz, penale. Respectivele investigații se desfășoară în conformitate cu dispozițiile și procedurile prevăzute de Regulamentul (UE, Euratom) nr. 883/2013 al Parlamentului European și al Consiliului</w:t>
      </w:r>
      <w:r>
        <w:rPr>
          <w:rStyle w:val="FootnoteReference"/>
          <w:noProof/>
        </w:rPr>
        <w:footnoteReference w:id="78"/>
      </w:r>
      <w:r>
        <w:rPr>
          <w:noProof/>
        </w:rPr>
        <w:t xml:space="preserve"> și de Regulamentul (Euratom, CE) nr. 2185/96 al Consiliului</w:t>
      </w:r>
      <w:r>
        <w:rPr>
          <w:rStyle w:val="FootnoteReference"/>
          <w:noProof/>
        </w:rPr>
        <w:footnoteReference w:id="79"/>
      </w:r>
      <w:r>
        <w:rPr>
          <w:noProof/>
        </w:rPr>
        <w:t>.</w:t>
      </w:r>
    </w:p>
    <w:p>
      <w:pPr>
        <w:pStyle w:val="ManualNumPar1"/>
        <w:rPr>
          <w:noProof/>
        </w:rPr>
      </w:pPr>
      <w:r>
        <w:rPr>
          <w:noProof/>
        </w:rPr>
        <w:t>(3)</w:t>
      </w:r>
      <w:r>
        <w:rPr>
          <w:noProof/>
        </w:rPr>
        <w:tab/>
        <w:t>În conformitate cu Regulamentul (UE) 2017/1939, EPPO investighează și urmărește penal cazuri de fraudă și alte activități ilegale care aduc atingere intereselor financiare ale Uniunii, conform dispozițiilor Directivei (UE) 2017/1371 a Parlamentului European și a Consiliului</w:t>
      </w:r>
      <w:r>
        <w:rPr>
          <w:rStyle w:val="FootnoteReference"/>
          <w:noProof/>
        </w:rPr>
        <w:footnoteReference w:id="80"/>
      </w:r>
      <w:r>
        <w:rPr>
          <w:noProof/>
        </w:rPr>
        <w:t>.</w:t>
      </w:r>
    </w:p>
    <w:p>
      <w:pPr>
        <w:pStyle w:val="Titrearticle"/>
        <w:rPr>
          <w:noProof/>
        </w:rPr>
      </w:pPr>
      <w:r>
        <w:rPr>
          <w:noProof/>
        </w:rPr>
        <w:t>Articolul 129</w:t>
      </w:r>
    </w:p>
    <w:p>
      <w:pPr>
        <w:pStyle w:val="NormalCentered"/>
        <w:rPr>
          <w:noProof/>
        </w:rPr>
      </w:pPr>
      <w:r>
        <w:rPr>
          <w:b/>
          <w:noProof/>
        </w:rPr>
        <w:t>Norme privind protecția informațiilor sensibile neclasificate și a informațiilor clasificate</w:t>
      </w:r>
    </w:p>
    <w:p>
      <w:pPr>
        <w:pStyle w:val="ManualNumPar1"/>
        <w:rPr>
          <w:noProof/>
        </w:rPr>
      </w:pPr>
      <w:r>
        <w:rPr>
          <w:noProof/>
        </w:rPr>
        <w:t>(1)</w:t>
      </w:r>
      <w:r>
        <w:rPr>
          <w:noProof/>
        </w:rPr>
        <w:tab/>
        <w:t>Europol își adoptă propriile norme de securitate, care se bazează pe principiile și normele stabilite în normele de securitate ale Comisiei pentru protecția informațiilor clasificate ale Uniunii Europene (IUEC) și a informațiilor neclasificate sensibile (INS), inclusiv, printre altele, dispoziții privind schimbul de astfel de informații cu țări terțe și prelucrarea și stocarea acestor informații în conformitate cu Deciziile (UE, Euratom) 2015/443</w:t>
      </w:r>
      <w:r>
        <w:rPr>
          <w:rStyle w:val="FootnoteReference"/>
          <w:noProof/>
        </w:rPr>
        <w:footnoteReference w:id="81"/>
      </w:r>
      <w:r>
        <w:rPr>
          <w:noProof/>
        </w:rPr>
        <w:t xml:space="preserve"> și (UE, Euratom) 2015/444</w:t>
      </w:r>
      <w:r>
        <w:rPr>
          <w:rStyle w:val="FootnoteReference"/>
          <w:noProof/>
        </w:rPr>
        <w:footnoteReference w:id="82"/>
      </w:r>
      <w:r>
        <w:rPr>
          <w:noProof/>
        </w:rPr>
        <w:t xml:space="preserve"> ale Comisiei.</w:t>
      </w:r>
    </w:p>
    <w:p>
      <w:pPr>
        <w:pStyle w:val="ManualNumPar1"/>
        <w:rPr>
          <w:noProof/>
        </w:rPr>
      </w:pPr>
      <w:r>
        <w:rPr>
          <w:noProof/>
        </w:rPr>
        <w:t>(2)</w:t>
      </w:r>
      <w:r>
        <w:rPr>
          <w:noProof/>
        </w:rPr>
        <w:tab/>
        <w:t>Consiliul de administrație adoptă normele de securitate ale Europol în urma aprobării de către Comisie. Atunci când evaluează normele de securitate propuse, Comisia se asigură de compatibilitatea acestora cu Deciziile (UE, Euratom) 2015/443 și (UE, Euratom) 2015/444</w:t>
      </w:r>
      <w:r>
        <w:rPr>
          <w:rStyle w:val="FootnoteReference"/>
          <w:noProof/>
        </w:rPr>
        <w:footnoteReference w:id="83"/>
      </w:r>
      <w:r>
        <w:rPr>
          <w:noProof/>
        </w:rPr>
        <w:t>.</w:t>
      </w:r>
    </w:p>
    <w:p>
      <w:pPr>
        <w:pStyle w:val="Titrearticle"/>
        <w:rPr>
          <w:noProof/>
        </w:rPr>
      </w:pPr>
      <w:r>
        <w:rPr>
          <w:noProof/>
        </w:rPr>
        <w:t>Articolul 130</w:t>
      </w:r>
    </w:p>
    <w:p>
      <w:pPr>
        <w:pStyle w:val="NormalCentered"/>
        <w:rPr>
          <w:noProof/>
        </w:rPr>
      </w:pPr>
      <w:r>
        <w:rPr>
          <w:b/>
          <w:noProof/>
        </w:rPr>
        <w:t>Evaluare și revizuire</w:t>
      </w:r>
    </w:p>
    <w:p>
      <w:pPr>
        <w:pStyle w:val="ManualNumPar1"/>
        <w:rPr>
          <w:noProof/>
        </w:rPr>
      </w:pPr>
      <w:r>
        <w:rPr>
          <w:noProof/>
        </w:rPr>
        <w:t>(1)</w:t>
      </w:r>
      <w:r>
        <w:rPr>
          <w:noProof/>
        </w:rPr>
        <w:tab/>
        <w:t xml:space="preserve">În termen de cel mult … [cinci ani de la intrarea în vigoare a prezentului regulament] și, ulterior, o dată la cinci ani, Comisia efectuează o evaluare a performanței Europol în raport cu competența, mandatul, atribuțiile și guvernanța acesteia, în conformitate cu orientările Comisiei. Consiliul de administrație este audiat în cadrul procesului de evaluare. Atunci când evaluează impactul activităților Europol asupra drepturilor fundamentale, Comisia solicită contribuții din partea Agenției pentru Drepturi Fundamentale a Uniunii Europene. </w:t>
      </w:r>
    </w:p>
    <w:p>
      <w:pPr>
        <w:pStyle w:val="ManualNumPar1"/>
        <w:rPr>
          <w:noProof/>
        </w:rPr>
      </w:pPr>
      <w:r>
        <w:rPr>
          <w:noProof/>
        </w:rPr>
        <w:t>(2)</w:t>
      </w:r>
      <w:r>
        <w:rPr>
          <w:noProof/>
        </w:rPr>
        <w:tab/>
        <w:t>Evaluarea abordează în special posibila necesitate de a modifica mandatul Europol și implicațiile financiare ale unei astfel de modificări.</w:t>
      </w:r>
    </w:p>
    <w:p>
      <w:pPr>
        <w:pStyle w:val="ManualNumPar1"/>
        <w:rPr>
          <w:noProof/>
        </w:rPr>
      </w:pPr>
      <w:r>
        <w:rPr>
          <w:noProof/>
        </w:rPr>
        <w:t>(3)</w:t>
      </w:r>
      <w:r>
        <w:rPr>
          <w:noProof/>
        </w:rPr>
        <w:tab/>
        <w:t>La fiecare a doua evaluare va exista o evaluare a rezultatelor obținute de Europol având în vedere competența, mandatul, guvernanța și atribuțiile sale, inclusiv o evaluare a măsurii în care continuarea activității agenției este în continuare justificată în ceea ce privește competența, mandatul, guvernanța și atribuțiile respective.</w:t>
      </w:r>
    </w:p>
    <w:p>
      <w:pPr>
        <w:pStyle w:val="ManualNumPar1"/>
        <w:rPr>
          <w:noProof/>
        </w:rPr>
      </w:pPr>
      <w:r>
        <w:rPr>
          <w:noProof/>
        </w:rPr>
        <w:t>(4)</w:t>
      </w:r>
      <w:r>
        <w:rPr>
          <w:noProof/>
        </w:rPr>
        <w:tab/>
        <w:t>Comisia prezintă Parlamentului European, Consiliului și Consiliului de administrație un raport privind concluziile evaluării. Concluziile evaluării sunt făcute publice.</w:t>
      </w:r>
    </w:p>
    <w:p>
      <w:pPr>
        <w:pStyle w:val="Titrearticle"/>
        <w:rPr>
          <w:noProof/>
        </w:rPr>
      </w:pPr>
      <w:r>
        <w:rPr>
          <w:noProof/>
        </w:rPr>
        <w:t>Articolul 131</w:t>
      </w:r>
    </w:p>
    <w:p>
      <w:pPr>
        <w:pStyle w:val="NormalCentered"/>
        <w:rPr>
          <w:noProof/>
        </w:rPr>
      </w:pPr>
      <w:r>
        <w:rPr>
          <w:b/>
          <w:noProof/>
        </w:rPr>
        <w:t>Investigații administrative</w:t>
      </w:r>
    </w:p>
    <w:p>
      <w:pPr>
        <w:rPr>
          <w:noProof/>
        </w:rPr>
      </w:pPr>
      <w:r>
        <w:rPr>
          <w:noProof/>
        </w:rPr>
        <w:t>Activitățile Europol fac obiectul investigațiilor Ombudsmanului European în conformitate cu articolul 228 din TFUE.</w:t>
      </w:r>
    </w:p>
    <w:p>
      <w:pPr>
        <w:pStyle w:val="Titrearticle"/>
        <w:rPr>
          <w:noProof/>
        </w:rPr>
      </w:pPr>
      <w:r>
        <w:rPr>
          <w:noProof/>
        </w:rPr>
        <w:t>Articolul 132</w:t>
      </w:r>
    </w:p>
    <w:p>
      <w:pPr>
        <w:pStyle w:val="NormalCentered"/>
        <w:rPr>
          <w:noProof/>
        </w:rPr>
      </w:pPr>
      <w:r>
        <w:rPr>
          <w:b/>
          <w:noProof/>
        </w:rPr>
        <w:t>Sediul</w:t>
      </w:r>
    </w:p>
    <w:p>
      <w:pPr>
        <w:rPr>
          <w:noProof/>
        </w:rPr>
      </w:pPr>
      <w:r>
        <w:rPr>
          <w:noProof/>
        </w:rPr>
        <w:t>Dispozițiile necesare referitoare la găzduirea care urmează să fie oferită Europol în Regatul Țărilor de Jos și facilitățile care trebuie puse la dispoziție de Regatul Țărilor de Jos, împreună cu normele specifice aplicabile acolo cu privire la directorul executiv, membrii Consiliului de administrație, personalul Europol și membrii familiilor acestora sunt prevăzute într-un acord privind sediul între Europol și Regatul Țărilor de Jos în conformitate cu Protocolul nr. 6.</w:t>
      </w:r>
    </w:p>
    <w:p>
      <w:pPr>
        <w:rPr>
          <w:noProof/>
        </w:rPr>
      </w:pPr>
      <w:r>
        <w:rPr>
          <w:noProof/>
        </w:rPr>
        <w:t>Acest lucru nu aduce atingere posibilității ca Europol să găzduiască funcții și capacități operaționale, tehnice sau administrative în alte state membre.</w:t>
      </w:r>
    </w:p>
    <w:p>
      <w:pPr>
        <w:pStyle w:val="ChapterTitle"/>
        <w:rPr>
          <w:noProof/>
        </w:rPr>
      </w:pPr>
      <w:r>
        <w:rPr>
          <w:noProof/>
        </w:rPr>
        <w:t xml:space="preserve">Capitolul XIV </w:t>
      </w:r>
      <w:r>
        <w:rPr>
          <w:noProof/>
        </w:rPr>
        <w:br/>
        <w:t>Dispoziții tranzitorii</w:t>
      </w:r>
    </w:p>
    <w:p>
      <w:pPr>
        <w:pStyle w:val="Titrearticle"/>
        <w:rPr>
          <w:noProof/>
        </w:rPr>
      </w:pPr>
      <w:r>
        <w:rPr>
          <w:noProof/>
        </w:rPr>
        <w:t>Articolul 133</w:t>
      </w:r>
    </w:p>
    <w:p>
      <w:pPr>
        <w:pStyle w:val="NormalCentered"/>
        <w:rPr>
          <w:noProof/>
        </w:rPr>
      </w:pPr>
      <w:r>
        <w:rPr>
          <w:b/>
          <w:noProof/>
        </w:rPr>
        <w:t>Succesiunea legală</w:t>
      </w:r>
    </w:p>
    <w:p>
      <w:pPr>
        <w:pStyle w:val="ManualNumPar1"/>
        <w:rPr>
          <w:noProof/>
        </w:rPr>
      </w:pPr>
      <w:r>
        <w:rPr>
          <w:noProof/>
        </w:rPr>
        <w:t>(1)</w:t>
      </w:r>
      <w:r>
        <w:rPr>
          <w:noProof/>
        </w:rPr>
        <w:tab/>
        <w:t>Europol, astfel cum a fost instituită prin prezentul regulament, este succesorul legal al Europol, astfel cum a fost instituită prin Regulamentul (UE) 2016/794, în ceea ce privește toate drepturile și obligațiile care îi revin în temeiul dreptului național, al dreptului Uniunii și al dreptului internațional aplicabil.</w:t>
      </w:r>
    </w:p>
    <w:p>
      <w:pPr>
        <w:pStyle w:val="ManualNumPar1"/>
        <w:rPr>
          <w:noProof/>
        </w:rPr>
      </w:pPr>
      <w:r>
        <w:rPr>
          <w:noProof/>
        </w:rPr>
        <w:t>(2)</w:t>
      </w:r>
      <w:r>
        <w:rPr>
          <w:noProof/>
        </w:rPr>
        <w:tab/>
        <w:t>Prezentul regulament nu aduce atingere valabilității acordurilor de cooperare și a acordurilor de lucru încheiate de Europol în temeiul Convenției Europol, al Deciziei 2009/371/JAI sau al Regulamentului (UE) 2016/794. Aceste acorduri de cooperare și acorduri de lucru rămân în vigoare și se aplică până la expirarea lor sau până când sunt înlocuite.</w:t>
      </w:r>
    </w:p>
    <w:p>
      <w:pPr>
        <w:pStyle w:val="Titrearticle"/>
        <w:rPr>
          <w:noProof/>
        </w:rPr>
      </w:pPr>
      <w:r>
        <w:rPr>
          <w:noProof/>
        </w:rPr>
        <w:t>Articolul 134</w:t>
      </w:r>
    </w:p>
    <w:p>
      <w:pPr>
        <w:pStyle w:val="NormalCentered"/>
        <w:rPr>
          <w:noProof/>
        </w:rPr>
      </w:pPr>
      <w:r>
        <w:rPr>
          <w:b/>
          <w:noProof/>
        </w:rPr>
        <w:t>Dispoziții tranzitorii</w:t>
      </w:r>
    </w:p>
    <w:p>
      <w:pPr>
        <w:pStyle w:val="ManualNumPar1"/>
        <w:rPr>
          <w:noProof/>
        </w:rPr>
      </w:pPr>
      <w:r>
        <w:rPr>
          <w:noProof/>
        </w:rPr>
        <w:t>(1)</w:t>
      </w:r>
      <w:r>
        <w:rPr>
          <w:noProof/>
        </w:rPr>
        <w:tab/>
        <w:t>Europol poate continua activitățile inițiate în temeiul Regulamentului (UE) 2016/794 care nu sunt încheiate înainte de data aplicării prezentului regulament. Aceste activități se continuă în conformitate cu prezentul regulament.</w:t>
      </w:r>
    </w:p>
    <w:p>
      <w:pPr>
        <w:pStyle w:val="ManualNumPar1"/>
        <w:rPr>
          <w:noProof/>
        </w:rPr>
      </w:pPr>
      <w:r>
        <w:rPr>
          <w:noProof/>
        </w:rPr>
        <w:t>(2)</w:t>
      </w:r>
      <w:r>
        <w:rPr>
          <w:noProof/>
        </w:rPr>
        <w:tab/>
        <w:t>Datele cu caracter personal prelucrate de Europol înainte de data aplicării prezentului regulament în conformitate cu Regulamentul (UE) 2016/794 pot fi prelucrate în continuare de Europol în cazul în care o astfel de prelucrare respectă prezentul regulament.</w:t>
      </w:r>
    </w:p>
    <w:p>
      <w:pPr>
        <w:pStyle w:val="ManualNumPar1"/>
        <w:rPr>
          <w:noProof/>
        </w:rPr>
      </w:pPr>
      <w:r>
        <w:rPr>
          <w:noProof/>
        </w:rPr>
        <w:t>(3)</w:t>
      </w:r>
      <w:r>
        <w:rPr>
          <w:noProof/>
        </w:rPr>
        <w:tab/>
        <w:t>Orice set de transferuri către țări terțe și organizații internaționale autorizate de Consiliul de administrație în conformitate cu clauzele și condițiile prevăzute la articolul 25 alineatul (6) din Regulamentul (UE) 2016/794 rămâne valabil în temeiul prezentului regulament până la data expirării perioadei pentru care a fost autorizat transferul.</w:t>
      </w:r>
    </w:p>
    <w:p>
      <w:pPr>
        <w:pStyle w:val="ManualNumPar1"/>
        <w:rPr>
          <w:noProof/>
        </w:rPr>
      </w:pPr>
      <w:r>
        <w:rPr>
          <w:noProof/>
        </w:rPr>
        <w:t>(4)</w:t>
      </w:r>
      <w:r>
        <w:rPr>
          <w:noProof/>
        </w:rPr>
        <w:tab/>
        <w:t>Deciziile, măsurile de punere în aplicare, normele și dispozițiile adoptate în temeiul Regulamentului (UE) 2016/794 rămân în vigoare până când sunt abrogate sau înlocuite în temeiul prezentului regulament.</w:t>
      </w:r>
    </w:p>
    <w:p>
      <w:pPr>
        <w:pStyle w:val="ManualNumPar1"/>
        <w:rPr>
          <w:noProof/>
        </w:rPr>
      </w:pPr>
      <w:r>
        <w:rPr>
          <w:noProof/>
        </w:rPr>
        <w:t>(5)</w:t>
      </w:r>
      <w:r>
        <w:rPr>
          <w:noProof/>
        </w:rPr>
        <w:tab/>
        <w:t>Consiliul de administrație abrogă deciziile și măsurile adoptate în temeiul Regulamentului (UE) 2016/794 care nu sunt conforme cu prezentul regulament.</w:t>
      </w:r>
    </w:p>
    <w:p>
      <w:pPr>
        <w:pStyle w:val="ManualNumPar1"/>
        <w:rPr>
          <w:noProof/>
        </w:rPr>
      </w:pPr>
      <w:r>
        <w:rPr>
          <w:noProof/>
        </w:rPr>
        <w:t>(6)</w:t>
      </w:r>
      <w:r>
        <w:rPr>
          <w:noProof/>
        </w:rPr>
        <w:tab/>
        <w:t>Membrii personalului angajat de Europol la data aplicării prezentului regulament își păstrează drepturile și obligațiile care decurg din contractele de muncă și din mandatele lor.</w:t>
      </w:r>
    </w:p>
    <w:p>
      <w:pPr>
        <w:pStyle w:val="ManualNumPar1"/>
        <w:rPr>
          <w:noProof/>
        </w:rPr>
      </w:pPr>
      <w:r>
        <w:rPr>
          <w:noProof/>
        </w:rPr>
        <w:t>(7)</w:t>
      </w:r>
      <w:r>
        <w:rPr>
          <w:noProof/>
        </w:rPr>
        <w:tab/>
        <w:t xml:space="preserve">Directorul executiv și directorii executivi adjuncți numiți în temeiul Regulamentului (UE) 2016/794 au, pentru perioada rămasă din mandatul lor, responsabilitățile directorului executiv și, respectiv, ale directorilor executivi adjuncți, astfel cum se prevede în prezentul regulament. </w:t>
      </w:r>
    </w:p>
    <w:p>
      <w:pPr>
        <w:pStyle w:val="Text1"/>
        <w:rPr>
          <w:noProof/>
        </w:rPr>
      </w:pPr>
      <w:r>
        <w:rPr>
          <w:noProof/>
        </w:rPr>
        <w:t xml:space="preserve">În cazul în care, la data aplicării prezentului regulament, directorul executiv sau un director executiv adjunct își exercită primul mandat, mandatul respectiv este de 5 ani. Orice prelungire a mandatului respectiv urmează procedura prevăzută la articolul 76 alineatele (3)-(7) din prezentul regulament. </w:t>
      </w:r>
    </w:p>
    <w:p>
      <w:pPr>
        <w:pStyle w:val="Text1"/>
        <w:rPr>
          <w:noProof/>
        </w:rPr>
      </w:pPr>
      <w:r>
        <w:rPr>
          <w:noProof/>
        </w:rPr>
        <w:t>În cazul în care, la data aplicării prezentului regulament, directorul executiv sau un director executiv adjunct își exercită al doilea mandat, mandatul respectiv este de 5 ani. Acesta nu face obiectul niciunei prelungiri suplimentare.</w:t>
      </w:r>
    </w:p>
    <w:p>
      <w:pPr>
        <w:pStyle w:val="ManualNumPar1"/>
        <w:rPr>
          <w:noProof/>
        </w:rPr>
      </w:pPr>
      <w:r>
        <w:rPr>
          <w:noProof/>
        </w:rPr>
        <w:t>(8)</w:t>
      </w:r>
      <w:r>
        <w:rPr>
          <w:noProof/>
        </w:rPr>
        <w:tab/>
        <w:t xml:space="preserve">Membrii Consiliului de administrație și supleanții acestora numiți în temeiul Regulamentului (UE) 2016/794 continuă </w:t>
      </w:r>
      <w:r>
        <w:rPr>
          <w:rStyle w:val="normaltextrun"/>
          <w:noProof/>
        </w:rPr>
        <w:t xml:space="preserve">să își exercite funcțiile până la încheierea mandatelor lor respective, astfel cum se prevede în Regulamentul (UE) </w:t>
      </w:r>
      <w:r>
        <w:rPr>
          <w:noProof/>
        </w:rPr>
        <w:t xml:space="preserve">2016/794. </w:t>
      </w:r>
    </w:p>
    <w:p>
      <w:pPr>
        <w:keepNext/>
        <w:spacing w:after="360"/>
        <w:jc w:val="center"/>
        <w:rPr>
          <w:b/>
          <w:noProof/>
          <w:sz w:val="32"/>
        </w:rPr>
      </w:pPr>
      <w:r>
        <w:rPr>
          <w:b/>
          <w:noProof/>
          <w:sz w:val="32"/>
        </w:rPr>
        <w:t>Capitolul XV</w:t>
      </w:r>
      <w:r>
        <w:rPr>
          <w:noProof/>
        </w:rPr>
        <w:t xml:space="preserve"> </w:t>
      </w:r>
      <w:r>
        <w:rPr>
          <w:noProof/>
        </w:rPr>
        <w:br/>
      </w:r>
      <w:r>
        <w:rPr>
          <w:b/>
          <w:noProof/>
          <w:sz w:val="32"/>
        </w:rPr>
        <w:t>Modificarea altor instrumente existente</w:t>
      </w:r>
    </w:p>
    <w:p>
      <w:pPr>
        <w:keepNext/>
        <w:spacing w:before="360"/>
        <w:jc w:val="center"/>
        <w:rPr>
          <w:i/>
          <w:noProof/>
        </w:rPr>
      </w:pPr>
      <w:r>
        <w:rPr>
          <w:i/>
          <w:noProof/>
          <w:u w:color="A100B2"/>
        </w:rPr>
        <w:t>Articolul 135</w:t>
      </w:r>
    </w:p>
    <w:p>
      <w:pPr>
        <w:pStyle w:val="NormalCentered"/>
        <w:rPr>
          <w:b/>
          <w:noProof/>
          <w:u w:color="A100B2"/>
        </w:rPr>
      </w:pPr>
      <w:r>
        <w:rPr>
          <w:b/>
          <w:noProof/>
        </w:rPr>
        <w:t>Modificarea Regulamentului (UE) 2018/1726</w:t>
      </w:r>
    </w:p>
    <w:p>
      <w:pPr>
        <w:rPr>
          <w:noProof/>
        </w:rPr>
      </w:pPr>
      <w:r>
        <w:rPr>
          <w:noProof/>
        </w:rPr>
        <w:t>În Regulamentul (UE) 2018/1726, se introduce următorul articol 41a:</w:t>
      </w:r>
    </w:p>
    <w:p>
      <w:pPr>
        <w:keepNext/>
        <w:spacing w:before="360"/>
        <w:jc w:val="center"/>
        <w:rPr>
          <w:i/>
          <w:iCs/>
          <w:noProof/>
        </w:rPr>
      </w:pPr>
      <w:r>
        <w:rPr>
          <w:i/>
          <w:noProof/>
        </w:rPr>
        <w:t>„Articolul 41a</w:t>
      </w:r>
    </w:p>
    <w:p>
      <w:pPr>
        <w:pStyle w:val="NormalCentered"/>
        <w:rPr>
          <w:b/>
          <w:noProof/>
        </w:rPr>
      </w:pPr>
      <w:r>
        <w:rPr>
          <w:b/>
          <w:noProof/>
        </w:rPr>
        <w:t>Cooperarea cu Europol</w:t>
      </w:r>
    </w:p>
    <w:p>
      <w:pPr>
        <w:pStyle w:val="ManualNumPar1"/>
        <w:rPr>
          <w:noProof/>
        </w:rPr>
      </w:pPr>
      <w:r>
        <w:rPr>
          <w:noProof/>
        </w:rPr>
        <w:t>1.</w:t>
      </w:r>
      <w:r>
        <w:rPr>
          <w:noProof/>
        </w:rPr>
        <w:tab/>
        <w:t>eu-LISA poate coopera cu Europol în domenii de interes comun legate de dezvoltarea, implementarea și exploatarea sistemelor de informații și a infrastructurii de comunicații aferente.</w:t>
      </w:r>
    </w:p>
    <w:p>
      <w:pPr>
        <w:pStyle w:val="ManualNumPar1"/>
        <w:rPr>
          <w:noProof/>
        </w:rPr>
      </w:pPr>
      <w:r>
        <w:rPr>
          <w:noProof/>
        </w:rPr>
        <w:t>2.</w:t>
      </w:r>
      <w:r>
        <w:rPr>
          <w:noProof/>
        </w:rPr>
        <w:tab/>
        <w:t>Cooperarea dintre eu-LISA și Europol menționată la alineatul (1) include în special, după caz și în conformitate cu mandatele acestora:</w:t>
      </w:r>
    </w:p>
    <w:p>
      <w:pPr>
        <w:pStyle w:val="Point1"/>
        <w:rPr>
          <w:noProof/>
        </w:rPr>
      </w:pPr>
      <w:r>
        <w:rPr>
          <w:noProof/>
        </w:rPr>
        <w:t>(a)</w:t>
      </w:r>
      <w:r>
        <w:rPr>
          <w:noProof/>
        </w:rPr>
        <w:tab/>
        <w:t>participarea la proceduri de achiziții publice sau utilizarea acestora, inclusiv acțiuni de achiziții publice comune, contracte-cadru sau alte instrumente de achiziții publice pentru achiziționarea de lucrări, bunuri sau servicii; </w:t>
      </w:r>
    </w:p>
    <w:p>
      <w:pPr>
        <w:pStyle w:val="Point1"/>
        <w:rPr>
          <w:noProof/>
        </w:rPr>
      </w:pPr>
      <w:r>
        <w:rPr>
          <w:noProof/>
        </w:rPr>
        <w:t>(b)</w:t>
      </w:r>
      <w:r>
        <w:rPr>
          <w:noProof/>
        </w:rPr>
        <w:tab/>
        <w:t>partajarea, reutilizarea sau adaptarea componentelor tehnice, a instrumentelor, a serviciilor sau a elementelor constitutive dezvoltate sau exploatate de oricare dintre agenții; </w:t>
      </w:r>
    </w:p>
    <w:p>
      <w:pPr>
        <w:pStyle w:val="Point1"/>
        <w:rPr>
          <w:noProof/>
        </w:rPr>
      </w:pPr>
      <w:r>
        <w:rPr>
          <w:noProof/>
        </w:rPr>
        <w:t>(c)</w:t>
      </w:r>
      <w:r>
        <w:rPr>
          <w:noProof/>
        </w:rPr>
        <w:tab/>
        <w:t>furnizarea de sprijin tehnic, cunoștințe de specialitate sau servicii, inclusiv în domeniul dezvoltării, testării, întreținerii și securității sistemelor;</w:t>
      </w:r>
    </w:p>
    <w:p>
      <w:pPr>
        <w:pStyle w:val="Point1"/>
        <w:rPr>
          <w:noProof/>
        </w:rPr>
      </w:pPr>
      <w:r>
        <w:rPr>
          <w:noProof/>
        </w:rPr>
        <w:t>(d)</w:t>
      </w:r>
      <w:r>
        <w:rPr>
          <w:noProof/>
        </w:rPr>
        <w:tab/>
        <w:t>înființarea de echipe comune de proiect și schimbul de personal, cunoștințe de specialitate și alte resurse necesare pentru implementarea proiectelor comune și a activităților tehnice. </w:t>
      </w:r>
    </w:p>
    <w:p>
      <w:pPr>
        <w:pStyle w:val="ManualNumPar1"/>
        <w:rPr>
          <w:noProof/>
        </w:rPr>
      </w:pPr>
      <w:r>
        <w:rPr>
          <w:noProof/>
        </w:rPr>
        <w:t>3.</w:t>
      </w:r>
      <w:r>
        <w:rPr>
          <w:noProof/>
        </w:rPr>
        <w:tab/>
        <w:t>La cererea Europol în conformitate cu articolul 86 din Regulamentul (UE) …/… al Parlamentului European și al Consiliului*, eu-LISA furnizează Europol și, după caz, autorităților competente ale statelor membre certificate de infrastructură cu cheie publică de la autoritatea de certificare a eu-LISA către Europol în scopul serviciilor, instrumentelor și aplicațiilor Europol. </w:t>
      </w:r>
    </w:p>
    <w:p>
      <w:pPr>
        <w:pStyle w:val="ManualNumPar1"/>
        <w:rPr>
          <w:noProof/>
        </w:rPr>
      </w:pPr>
      <w:r>
        <w:rPr>
          <w:noProof/>
        </w:rPr>
        <w:t>4.</w:t>
      </w:r>
      <w:r>
        <w:rPr>
          <w:noProof/>
        </w:rPr>
        <w:tab/>
        <w:t>Cooperarea în temeiul alineatelor (1)-(3) are loc în cadrul unor acorduri de lucru care stabilesc modalitățile practice, inclusiv aspectele financiare, acordurile de guvernanță, acordurile privind schimburile de personal și misiunile temporare, precum și constituirea și funcționarea echipelor comune de proiect.” </w:t>
      </w:r>
    </w:p>
    <w:p>
      <w:pPr>
        <w:pStyle w:val="Text1"/>
        <w:ind w:left="0"/>
        <w:rPr>
          <w:noProof/>
        </w:rPr>
      </w:pPr>
      <w:r>
        <w:rPr>
          <w:noProof/>
        </w:rPr>
        <w:t xml:space="preserve">* </w:t>
      </w:r>
      <w:r>
        <w:rPr>
          <w:noProof/>
          <w:color w:val="515967"/>
          <w:shd w:val="clear" w:color="auto" w:fill="FFFFFF"/>
        </w:rPr>
        <w:t>Regulamentul (UE) …/… al Parlamentului European și al Consiliului</w:t>
      </w:r>
      <w:r>
        <w:rPr>
          <w:noProof/>
          <w:color w:val="515967"/>
          <w:sz w:val="20"/>
          <w:shd w:val="clear" w:color="auto" w:fill="FFFFFF"/>
        </w:rPr>
        <w:t xml:space="preserve"> </w:t>
      </w:r>
      <w:r>
        <w:rPr>
          <w:noProof/>
          <w:color w:val="515967"/>
          <w:shd w:val="clear" w:color="auto" w:fill="FFFFFF"/>
        </w:rPr>
        <w:t>[</w:t>
      </w:r>
      <w:r>
        <w:rPr>
          <w:i/>
          <w:noProof/>
        </w:rPr>
        <w:t>privind Agenția Uniunii Europene pentru Cooperare în Materie de Aplicare a Legii (Europol), de modificare a Regulamentelor (UE) 2018/1726 și (UE) 2024/982 și de abrogare a Regulamentului (UE) 2016/794]”</w:t>
      </w:r>
      <w:r>
        <w:rPr>
          <w:noProof/>
        </w:rPr>
        <w:t>.</w:t>
      </w:r>
    </w:p>
    <w:p>
      <w:pPr>
        <w:keepNext/>
        <w:spacing w:before="360"/>
        <w:jc w:val="center"/>
        <w:rPr>
          <w:i/>
          <w:noProof/>
        </w:rPr>
      </w:pPr>
      <w:r>
        <w:rPr>
          <w:i/>
          <w:noProof/>
          <w:u w:color="A100B2"/>
        </w:rPr>
        <w:t>Articolul 136</w:t>
      </w:r>
    </w:p>
    <w:p>
      <w:pPr>
        <w:pStyle w:val="NormalCentered"/>
        <w:rPr>
          <w:b/>
          <w:noProof/>
          <w:u w:color="A100B2"/>
        </w:rPr>
      </w:pPr>
      <w:r>
        <w:rPr>
          <w:b/>
          <w:noProof/>
        </w:rPr>
        <w:t>Modificarea Regulamentului (UE) 2024/982</w:t>
      </w:r>
    </w:p>
    <w:p>
      <w:pPr>
        <w:rPr>
          <w:noProof/>
        </w:rPr>
      </w:pPr>
      <w:r>
        <w:rPr>
          <w:noProof/>
        </w:rPr>
        <w:t>Articolul 49 din Regulamentul (UE) 2024/982 se modifică după cum urmează: </w:t>
      </w:r>
    </w:p>
    <w:p>
      <w:pPr>
        <w:pStyle w:val="Point0"/>
        <w:rPr>
          <w:noProof/>
        </w:rPr>
      </w:pPr>
      <w:r>
        <w:rPr>
          <w:noProof/>
        </w:rPr>
        <w:t>1.</w:t>
      </w:r>
      <w:r>
        <w:rPr>
          <w:noProof/>
        </w:rPr>
        <w:tab/>
        <w:t>La alineatul (5), se adaugă un al doilea paragraf, după cum urmează:</w:t>
      </w:r>
    </w:p>
    <w:p>
      <w:pPr>
        <w:rPr>
          <w:noProof/>
        </w:rPr>
      </w:pPr>
      <w:r>
        <w:rPr>
          <w:noProof/>
        </w:rPr>
        <w:t>„Europol poate efectua astfel de căutări utilizând: </w:t>
      </w:r>
    </w:p>
    <w:p>
      <w:pPr>
        <w:pStyle w:val="Point2"/>
        <w:rPr>
          <w:noProof/>
        </w:rPr>
      </w:pPr>
      <w:r>
        <w:rPr>
          <w:noProof/>
        </w:rPr>
        <w:t>(a)</w:t>
      </w:r>
      <w:r>
        <w:rPr>
          <w:noProof/>
        </w:rPr>
        <w:tab/>
        <w:t xml:space="preserve">date furnizate de țări terțe; </w:t>
      </w:r>
    </w:p>
    <w:p>
      <w:pPr>
        <w:pStyle w:val="Point2"/>
        <w:rPr>
          <w:noProof/>
        </w:rPr>
      </w:pPr>
      <w:r>
        <w:rPr>
          <w:noProof/>
        </w:rPr>
        <w:t>(b)</w:t>
      </w:r>
      <w:r>
        <w:rPr>
          <w:noProof/>
        </w:rPr>
        <w:tab/>
        <w:t>date provenite de la statele membre.”;</w:t>
      </w:r>
    </w:p>
    <w:p>
      <w:pPr>
        <w:ind w:left="1417"/>
        <w:rPr>
          <w:noProof/>
        </w:rPr>
      </w:pPr>
    </w:p>
    <w:p>
      <w:pPr>
        <w:pStyle w:val="Point0"/>
        <w:rPr>
          <w:noProof/>
        </w:rPr>
      </w:pPr>
      <w:r>
        <w:rPr>
          <w:noProof/>
        </w:rPr>
        <w:t>2.</w:t>
      </w:r>
      <w:r>
        <w:rPr>
          <w:noProof/>
        </w:rPr>
        <w:tab/>
        <w:t>Se introduc următoarele alineate:</w:t>
      </w:r>
    </w:p>
    <w:p>
      <w:pPr>
        <w:ind w:left="851" w:hanging="851"/>
        <w:rPr>
          <w:noProof/>
        </w:rPr>
      </w:pPr>
      <w:r>
        <w:rPr>
          <w:noProof/>
        </w:rPr>
        <w:t>„(5a) Pentru căutările efectuate cu ajutorul profilurilor ADN, al datelor dactiloscopice și al imaginilor faciale, Europol poate utiliza date provenite de la statele membre numai în cazul în care acest lucru este autorizat de statul membru care deține datele. Această autorizație poate fi acordată în următoarele cazuri: </w:t>
      </w:r>
    </w:p>
    <w:p>
      <w:pPr>
        <w:pStyle w:val="Point2"/>
        <w:rPr>
          <w:noProof/>
        </w:rPr>
      </w:pPr>
      <w:r>
        <w:rPr>
          <w:noProof/>
        </w:rPr>
        <w:t>(a)</w:t>
      </w:r>
      <w:r>
        <w:rPr>
          <w:noProof/>
        </w:rPr>
        <w:tab/>
        <w:t xml:space="preserve">de la caz la caz; </w:t>
      </w:r>
    </w:p>
    <w:p>
      <w:pPr>
        <w:pStyle w:val="Point2"/>
        <w:rPr>
          <w:noProof/>
        </w:rPr>
      </w:pPr>
      <w:r>
        <w:rPr>
          <w:noProof/>
        </w:rPr>
        <w:t>(b)</w:t>
      </w:r>
      <w:r>
        <w:rPr>
          <w:noProof/>
        </w:rPr>
        <w:tab/>
        <w:t>în temeiul unei autorizații permanente, sub rezerva condițiilor definite de statul membru.</w:t>
      </w:r>
    </w:p>
    <w:p>
      <w:pPr>
        <w:ind w:left="851" w:hanging="851"/>
        <w:rPr>
          <w:noProof/>
        </w:rPr>
      </w:pPr>
      <w:r>
        <w:rPr>
          <w:noProof/>
        </w:rPr>
        <w:t>(5b) Atunci când efectuează căutări utilizând date biometrice provenite din statele membre, Europol acționează în calitate de furnizor de servicii tehnice și de expertiză criminalistică în numele statului membru care acordă autorizația și respectă orice restricție privind accesul, transferul, transmiterea, ștergerea, distrugerea sau utilizarea ulterioară a informațiilor indicate de statul membru respectiv.”</w:t>
      </w:r>
    </w:p>
    <w:p>
      <w:pPr>
        <w:pStyle w:val="Point0"/>
        <w:rPr>
          <w:noProof/>
        </w:rPr>
      </w:pPr>
      <w:r>
        <w:rPr>
          <w:noProof/>
        </w:rPr>
        <w:t>3.</w:t>
      </w:r>
      <w:r>
        <w:rPr>
          <w:noProof/>
        </w:rPr>
        <w:tab/>
        <w:t>La alineatul (6), primul paragraf se înlocuiește cu următorul text:</w:t>
      </w:r>
    </w:p>
    <w:p>
      <w:pPr>
        <w:ind w:left="850"/>
        <w:rPr>
          <w:noProof/>
        </w:rPr>
      </w:pPr>
      <w:r>
        <w:rPr>
          <w:noProof/>
        </w:rPr>
        <w:t>„În cazul în care procedurile menționate la articolul 6, 11 sau 20 indică o concordanță între datele utilizate pentru căutare și datele deținute în baza de date a statului membru solicitat sau a statelor membre solicitate, Europol informează numai statul membru implicat sau statele membre implicate și, după caz, statul membru sau statele membre care a(u) autorizat utilizarea datelor în temeiul alineatului (6).” </w:t>
      </w:r>
    </w:p>
    <w:p>
      <w:pPr>
        <w:pStyle w:val="Point0"/>
        <w:rPr>
          <w:noProof/>
        </w:rPr>
      </w:pPr>
      <w:r>
        <w:rPr>
          <w:noProof/>
        </w:rPr>
        <w:t>4.</w:t>
      </w:r>
      <w:r>
        <w:rPr>
          <w:noProof/>
        </w:rPr>
        <w:tab/>
        <w:t>La alineatul (6), al doilea paragraf, litera (c) se înlocuiește cu următorul text:</w:t>
      </w:r>
    </w:p>
    <w:p>
      <w:pPr>
        <w:ind w:left="1984"/>
        <w:rPr>
          <w:noProof/>
        </w:rPr>
      </w:pPr>
      <w:r>
        <w:rPr>
          <w:noProof/>
        </w:rPr>
        <w:t>„(c) a fost comunicat numele țării terțe sau al statului membru care a furnizat datele.”</w:t>
      </w:r>
    </w:p>
    <w:p>
      <w:pPr>
        <w:pStyle w:val="Point0"/>
        <w:rPr>
          <w:noProof/>
        </w:rPr>
      </w:pPr>
      <w:r>
        <w:rPr>
          <w:noProof/>
        </w:rPr>
        <w:t>5.</w:t>
      </w:r>
      <w:r>
        <w:rPr>
          <w:noProof/>
        </w:rPr>
        <w:tab/>
        <w:t>Alineatul (7) se înlocuiește cu următorul text:</w:t>
      </w:r>
    </w:p>
    <w:p>
      <w:pPr>
        <w:ind w:left="850"/>
        <w:rPr>
          <w:noProof/>
        </w:rPr>
      </w:pPr>
    </w:p>
    <w:p>
      <w:pPr>
        <w:ind w:left="709" w:hanging="709"/>
        <w:rPr>
          <w:noProof/>
        </w:rPr>
      </w:pPr>
      <w:r>
        <w:rPr>
          <w:noProof/>
        </w:rPr>
        <w:t xml:space="preserve">„(7) Utilizarea de către Europol a informațiilor obținute în urma unei interogări efectuate în conformitate cu prezentul articol și a schimbului unui set de date de bază în conformitate cu alineatul (6) este condiționată de acordul statului membru în a cărui bază de date s-a obținut concordanța și, după caz, al statului membru care a autorizat utilizarea datelor în temeiul alineatului (6). Dacă statul membru permite utilizarea informațiilor respective, gestionarea acestora de către Europol intră sub incidența Regulamentului (UE) …/… </w:t>
      </w:r>
      <w:r>
        <w:rPr>
          <w:noProof/>
          <w:color w:val="515967"/>
          <w:shd w:val="clear" w:color="auto" w:fill="FFFFFF"/>
        </w:rPr>
        <w:t>al Parlamentului European și al Consiliului*</w:t>
      </w:r>
      <w:r>
        <w:rPr>
          <w:noProof/>
          <w:color w:val="515967"/>
          <w:sz w:val="20"/>
          <w:shd w:val="clear" w:color="auto" w:fill="FFFFFF"/>
        </w:rPr>
        <w:t xml:space="preserve"> </w:t>
      </w:r>
      <w:r>
        <w:rPr>
          <w:noProof/>
          <w:color w:val="515967"/>
          <w:shd w:val="clear" w:color="auto" w:fill="FFFFFF"/>
        </w:rPr>
        <w:t>[</w:t>
      </w:r>
      <w:r>
        <w:rPr>
          <w:i/>
          <w:noProof/>
          <w:color w:val="515967"/>
          <w:shd w:val="clear" w:color="auto" w:fill="FFFFFF"/>
        </w:rPr>
        <w:t>prezentul regulament</w:t>
      </w:r>
      <w:r>
        <w:rPr>
          <w:noProof/>
          <w:color w:val="515967"/>
          <w:shd w:val="clear" w:color="auto" w:fill="FFFFFF"/>
        </w:rPr>
        <w:t>]</w:t>
      </w:r>
      <w:r>
        <w:rPr>
          <w:noProof/>
        </w:rPr>
        <w:t>.</w:t>
      </w:r>
    </w:p>
    <w:p>
      <w:pPr>
        <w:ind w:left="709" w:hanging="709"/>
        <w:rPr>
          <w:noProof/>
        </w:rPr>
      </w:pPr>
      <w:r>
        <w:rPr>
          <w:noProof/>
        </w:rPr>
        <w:t>_____________</w:t>
      </w:r>
    </w:p>
    <w:p>
      <w:pPr>
        <w:ind w:left="709" w:hanging="709"/>
        <w:rPr>
          <w:noProof/>
        </w:rPr>
      </w:pPr>
      <w:r>
        <w:rPr>
          <w:noProof/>
        </w:rPr>
        <w:t xml:space="preserve">* </w:t>
      </w:r>
      <w:r>
        <w:rPr>
          <w:noProof/>
          <w:color w:val="515967"/>
          <w:shd w:val="clear" w:color="auto" w:fill="FFFFFF"/>
        </w:rPr>
        <w:t>Regulamentul (UE) …/… al Parlamentului European și al Consiliului</w:t>
      </w:r>
      <w:r>
        <w:rPr>
          <w:noProof/>
          <w:color w:val="515967"/>
          <w:sz w:val="20"/>
          <w:shd w:val="clear" w:color="auto" w:fill="FFFFFF"/>
        </w:rPr>
        <w:t xml:space="preserve"> </w:t>
      </w:r>
      <w:r>
        <w:rPr>
          <w:noProof/>
          <w:color w:val="515967"/>
          <w:shd w:val="clear" w:color="auto" w:fill="FFFFFF"/>
        </w:rPr>
        <w:t>[</w:t>
      </w:r>
      <w:r>
        <w:rPr>
          <w:i/>
          <w:noProof/>
        </w:rPr>
        <w:t>privind Agenția Uniunii Europene pentru Cooperare în Materie de Aplicare a Legii (Europol), de modificare a Regulamentelor (UE) 2018/1726 și (UE) 2024/982 și de abrogare a Regulamentului (UE) 2016/794]”</w:t>
      </w:r>
      <w:r>
        <w:rPr>
          <w:noProof/>
        </w:rPr>
        <w:t>.</w:t>
      </w:r>
    </w:p>
    <w:p>
      <w:pPr>
        <w:keepNext/>
        <w:spacing w:after="360"/>
        <w:jc w:val="center"/>
        <w:rPr>
          <w:b/>
          <w:noProof/>
          <w:sz w:val="32"/>
        </w:rPr>
      </w:pPr>
      <w:r>
        <w:rPr>
          <w:b/>
          <w:noProof/>
          <w:sz w:val="32"/>
        </w:rPr>
        <w:t>Capitolul XVI</w:t>
      </w:r>
      <w:r>
        <w:rPr>
          <w:noProof/>
        </w:rPr>
        <w:t xml:space="preserve"> </w:t>
      </w:r>
      <w:r>
        <w:rPr>
          <w:noProof/>
        </w:rPr>
        <w:br/>
      </w:r>
      <w:r>
        <w:rPr>
          <w:b/>
          <w:noProof/>
          <w:sz w:val="32"/>
        </w:rPr>
        <w:t>Dispoziții finale</w:t>
      </w:r>
    </w:p>
    <w:p>
      <w:pPr>
        <w:keepNext/>
        <w:spacing w:before="360"/>
        <w:jc w:val="center"/>
        <w:rPr>
          <w:i/>
          <w:noProof/>
        </w:rPr>
      </w:pPr>
      <w:r>
        <w:rPr>
          <w:i/>
          <w:noProof/>
          <w:u w:color="A100B2"/>
        </w:rPr>
        <w:t>Articolul 137</w:t>
      </w:r>
    </w:p>
    <w:p>
      <w:pPr>
        <w:pStyle w:val="NormalCentered"/>
        <w:rPr>
          <w:noProof/>
        </w:rPr>
      </w:pPr>
      <w:r>
        <w:rPr>
          <w:b/>
          <w:noProof/>
          <w:u w:color="A100B2"/>
        </w:rPr>
        <w:t>Începerea funcționării</w:t>
      </w:r>
    </w:p>
    <w:p>
      <w:pPr>
        <w:pStyle w:val="ManualNumPar1"/>
        <w:rPr>
          <w:noProof/>
        </w:rPr>
      </w:pPr>
      <w:r>
        <w:rPr>
          <w:noProof/>
        </w:rPr>
        <w:t>1.</w:t>
      </w:r>
      <w:r>
        <w:rPr>
          <w:noProof/>
        </w:rPr>
        <w:tab/>
        <w:t>Comisia stabilește data de la care statele membre pot începe să utilizeze soluțiile de încărcare a datelor menționate la articolul 38 alineatul (3) pentru a încărca informații în serviciul de verificare încrucișată al Europol, prin intermediul unui act de punere în aplicare, astfel cum se menționează la alineatul (8) de la articolul respectiv.</w:t>
      </w:r>
    </w:p>
    <w:p>
      <w:pPr>
        <w:pStyle w:val="Text1"/>
        <w:rPr>
          <w:noProof/>
        </w:rPr>
      </w:pPr>
      <w:r>
        <w:rPr>
          <w:noProof/>
        </w:rPr>
        <w:t>Comisia stabilește, prin intermediul actului de punere în aplicare menționat la primul paragraf, data de la care statele membre trebuie să înceapă să utilizeze soluțiile de încărcare a datelor.</w:t>
      </w:r>
    </w:p>
    <w:p>
      <w:pPr>
        <w:pStyle w:val="Text1"/>
        <w:rPr>
          <w:noProof/>
        </w:rPr>
      </w:pPr>
      <w:r>
        <w:rPr>
          <w:noProof/>
        </w:rPr>
        <w:t>Comisia stabilește data de la care Europol urmează să înceapă să utilizeze infrastructura de cloud a Europol menționată la articolul 50, prin intermediul unui act de punere în aplicare, astfel cum se menționează la alineatul (9) de la articolul respectiv. </w:t>
      </w:r>
    </w:p>
    <w:p>
      <w:pPr>
        <w:pStyle w:val="ManualNumPar1"/>
        <w:rPr>
          <w:noProof/>
        </w:rPr>
      </w:pPr>
      <w:r>
        <w:rPr>
          <w:noProof/>
        </w:rPr>
        <w:t>2.</w:t>
      </w:r>
      <w:r>
        <w:rPr>
          <w:noProof/>
        </w:rPr>
        <w:tab/>
        <w:t>Comisia stabilește data de la care Europol și statele membre pot începe să utilizeze platforma comună de date a poliției menționată la articolul 42, prin intermediul unui act de punere în aplicare, astfel cum se menționează la alineatul (5) de la articolul respectiv.</w:t>
      </w:r>
    </w:p>
    <w:p>
      <w:pPr>
        <w:pStyle w:val="Text1"/>
        <w:rPr>
          <w:noProof/>
        </w:rPr>
      </w:pPr>
      <w:r>
        <w:rPr>
          <w:noProof/>
        </w:rPr>
        <w:t>Comisia stabilește, prin intermediul actului de punere în aplicare menționat la primul paragraf, data de la care Europol și statele membre trebuie să înceapă să utilizeze platforma comună de date a poliției.</w:t>
      </w:r>
    </w:p>
    <w:p>
      <w:pPr>
        <w:pStyle w:val="ManualNumPar1"/>
        <w:rPr>
          <w:noProof/>
        </w:rPr>
      </w:pPr>
      <w:r>
        <w:rPr>
          <w:noProof/>
        </w:rPr>
        <w:t>3.</w:t>
      </w:r>
      <w:r>
        <w:rPr>
          <w:noProof/>
        </w:rPr>
        <w:tab/>
        <w:t>Comisia stabilește data de la care statele membre pot începe să utilizeze aplicația UE pentru compararea profilurilor ADN menționată la articolul 54 prin intermediul unui act de punere în aplicare, astfel cum se menționează la articolul 49.</w:t>
      </w:r>
    </w:p>
    <w:p>
      <w:pPr>
        <w:pStyle w:val="ManualNumPar1"/>
        <w:rPr>
          <w:noProof/>
        </w:rPr>
      </w:pPr>
      <w:r>
        <w:rPr>
          <w:noProof/>
        </w:rPr>
        <w:t>4.</w:t>
      </w:r>
      <w:r>
        <w:rPr>
          <w:noProof/>
        </w:rPr>
        <w:tab/>
        <w:t>Comisia stabilește data de la care Europol, statele membre și Comisia trebuie să înceapă să utilizeze instrumentele statistice și de raportare menționate la articolul 52, prin intermediul unui act de punere în aplicare, astfel cum se menționează la alineatul (6) de la articolul respectiv.</w:t>
      </w:r>
    </w:p>
    <w:p>
      <w:pPr>
        <w:pStyle w:val="ManualNumPar1"/>
        <w:rPr>
          <w:noProof/>
        </w:rPr>
      </w:pPr>
      <w:r>
        <w:rPr>
          <w:noProof/>
        </w:rPr>
        <w:t>5.</w:t>
      </w:r>
      <w:r>
        <w:rPr>
          <w:noProof/>
        </w:rPr>
        <w:tab/>
        <w:t>Comisia stabilește data de la care alte organe, oficii și agenții ale Uniunii trebuie să înceapă să utilizeze sistemul de tip răspuns pozitiv/răspuns negativ („hit/no hit”) menționat la articolul 80, prin intermediul unui act de punere în aplicare, astfel cum se menționează la alineatul (9) de la articolul respectiv.</w:t>
      </w:r>
    </w:p>
    <w:p>
      <w:pPr>
        <w:pStyle w:val="Titrearticle"/>
        <w:rPr>
          <w:noProof/>
        </w:rPr>
      </w:pPr>
      <w:r>
        <w:rPr>
          <w:noProof/>
        </w:rPr>
        <w:t>Articolul 138</w:t>
      </w:r>
    </w:p>
    <w:p>
      <w:pPr>
        <w:pStyle w:val="NormalCentered"/>
        <w:rPr>
          <w:noProof/>
        </w:rPr>
      </w:pPr>
      <w:r>
        <w:rPr>
          <w:b/>
          <w:noProof/>
          <w:u w:color="6500B2"/>
        </w:rPr>
        <w:t>Procedura comitetului</w:t>
      </w:r>
    </w:p>
    <w:p>
      <w:pPr>
        <w:pStyle w:val="ManualNumPar1"/>
        <w:rPr>
          <w:noProof/>
        </w:rPr>
      </w:pPr>
      <w:r>
        <w:rPr>
          <w:noProof/>
        </w:rPr>
        <w:t>(1)</w:t>
      </w:r>
      <w:r>
        <w:rPr>
          <w:noProof/>
        </w:rPr>
        <w:tab/>
        <w:t>Comisia este asistată de un comitet. Comitetul respectiv este un comitet în sensul Regulamentului (UE) nr. 182/2011.</w:t>
      </w:r>
    </w:p>
    <w:p>
      <w:pPr>
        <w:pStyle w:val="ManualNumPar1"/>
        <w:rPr>
          <w:noProof/>
          <w:u w:color="6500B2"/>
        </w:rPr>
      </w:pPr>
      <w:r>
        <w:rPr>
          <w:noProof/>
        </w:rPr>
        <w:t>(2)</w:t>
      </w:r>
      <w:r>
        <w:rPr>
          <w:noProof/>
        </w:rPr>
        <w:tab/>
        <w:t>În cazul în care se face trimitere la prezentul articol, se aplică articolul 5 din Regulamentul (UE) nr. 182/2011. În cazul în care comitetul nu emite un aviz, Comisia nu adoptă proiectul de act de punere în aplicare și se aplică articolul 5 alineatul (4) al treilea paragraf din Regulamentul (UE) nr. 182/2011.</w:t>
      </w:r>
    </w:p>
    <w:p>
      <w:pPr>
        <w:pStyle w:val="Text1"/>
        <w:rPr>
          <w:noProof/>
        </w:rPr>
      </w:pPr>
    </w:p>
    <w:p>
      <w:pPr>
        <w:pStyle w:val="Titrearticle"/>
        <w:rPr>
          <w:noProof/>
        </w:rPr>
      </w:pPr>
      <w:r>
        <w:rPr>
          <w:noProof/>
        </w:rPr>
        <w:t>Articolul 139</w:t>
      </w:r>
    </w:p>
    <w:p>
      <w:pPr>
        <w:pStyle w:val="NormalCentered"/>
        <w:rPr>
          <w:b/>
          <w:noProof/>
          <w:u w:color="6500B2"/>
        </w:rPr>
      </w:pPr>
      <w:r>
        <w:rPr>
          <w:b/>
          <w:noProof/>
          <w:u w:color="6500B2"/>
        </w:rPr>
        <w:t>Exercitarea delegării de competențe</w:t>
      </w:r>
    </w:p>
    <w:p>
      <w:pPr>
        <w:pStyle w:val="ManualNumPar1"/>
        <w:rPr>
          <w:noProof/>
        </w:rPr>
      </w:pPr>
      <w:r>
        <w:rPr>
          <w:noProof/>
        </w:rPr>
        <w:t>(1)</w:t>
      </w:r>
      <w:r>
        <w:rPr>
          <w:noProof/>
        </w:rPr>
        <w:tab/>
        <w:t>Competența de a adopta acte delegate este conferită Comisiei în condițiile prevăzute la prezentul articol.</w:t>
      </w:r>
    </w:p>
    <w:p>
      <w:pPr>
        <w:pStyle w:val="ManualNumPar1"/>
        <w:rPr>
          <w:noProof/>
        </w:rPr>
      </w:pPr>
      <w:r>
        <w:rPr>
          <w:noProof/>
        </w:rPr>
        <w:t>(2)</w:t>
      </w:r>
      <w:r>
        <w:rPr>
          <w:noProof/>
        </w:rPr>
        <w:tab/>
        <w:t xml:space="preserve">Competența de a adopta acte delegate menționată la articolul 19 se conferă Comisiei pe o perioadă nedeterminată de la … [data intrării în vigoare a prezentului regulament]. </w:t>
      </w:r>
    </w:p>
    <w:p>
      <w:pPr>
        <w:pStyle w:val="ManualNumPar1"/>
        <w:rPr>
          <w:noProof/>
        </w:rPr>
      </w:pPr>
      <w:r>
        <w:rPr>
          <w:noProof/>
        </w:rPr>
        <w:t>(3)</w:t>
      </w:r>
      <w:r>
        <w:rPr>
          <w:noProof/>
        </w:rPr>
        <w:tab/>
        <w:t xml:space="preserve">Delegarea de competențe menționată la articolul 19 poate fi revocată oricând de Parlamentul European sau de Consiliu. O decizie de revocare pune capăt delegării de competențe specificate în decizia respectivă. Decizia produce efecte din ziua care urmează datei publicării acesteia în </w:t>
      </w:r>
      <w:r>
        <w:rPr>
          <w:i/>
          <w:iCs/>
          <w:noProof/>
        </w:rPr>
        <w:t>Jurnalul Oficial al Uniunii Europene</w:t>
      </w:r>
      <w:r>
        <w:rPr>
          <w:noProof/>
        </w:rPr>
        <w:t xml:space="preserve"> sau de la o dată ulterioară menționată în decizie. Decizia nu aduce atingere actelor delegate care sunt deja în vigoare.</w:t>
      </w:r>
    </w:p>
    <w:p>
      <w:pPr>
        <w:pStyle w:val="ManualNumPar1"/>
        <w:rPr>
          <w:noProof/>
        </w:rPr>
      </w:pPr>
      <w:r>
        <w:rPr>
          <w:noProof/>
        </w:rPr>
        <w:t>(4)</w:t>
      </w:r>
      <w:r>
        <w:rPr>
          <w:noProof/>
        </w:rPr>
        <w:tab/>
        <w:t>Înainte de adoptarea unui act delegat, Comisia consultă experții desemnați de fiecare stat membru în conformitate cu principiile prevăzute în Acordul interinstituțional din 13 aprilie 2016 privind o mai bună legiferare.</w:t>
      </w:r>
    </w:p>
    <w:p>
      <w:pPr>
        <w:pStyle w:val="ManualNumPar1"/>
        <w:rPr>
          <w:noProof/>
        </w:rPr>
      </w:pPr>
      <w:r>
        <w:rPr>
          <w:noProof/>
        </w:rPr>
        <w:t>(5)</w:t>
      </w:r>
      <w:r>
        <w:rPr>
          <w:noProof/>
        </w:rPr>
        <w:tab/>
        <w:t>De îndată ce adoptă un act delegat, Comisia îl notifică simultan Parlamentului European și Consiliului.</w:t>
      </w:r>
    </w:p>
    <w:p>
      <w:pPr>
        <w:pStyle w:val="ManualNumPar1"/>
        <w:rPr>
          <w:noProof/>
        </w:rPr>
      </w:pPr>
      <w:r>
        <w:rPr>
          <w:noProof/>
        </w:rPr>
        <w:t>(6)</w:t>
      </w:r>
      <w:r>
        <w:rPr>
          <w:noProof/>
        </w:rPr>
        <w:tab/>
        <w:t>Un act delegat adoptat în temeiul articolului 19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pPr>
        <w:pStyle w:val="Titrearticle"/>
        <w:rPr>
          <w:noProof/>
        </w:rPr>
      </w:pPr>
      <w:r>
        <w:rPr>
          <w:noProof/>
        </w:rPr>
        <w:t>Articolul 140</w:t>
      </w:r>
    </w:p>
    <w:p>
      <w:pPr>
        <w:pStyle w:val="NormalCentered"/>
        <w:rPr>
          <w:noProof/>
        </w:rPr>
      </w:pPr>
      <w:r>
        <w:rPr>
          <w:b/>
          <w:noProof/>
        </w:rPr>
        <w:t>Abrogare</w:t>
      </w:r>
    </w:p>
    <w:p>
      <w:pPr>
        <w:pStyle w:val="ManualNumPar1"/>
        <w:rPr>
          <w:noProof/>
        </w:rPr>
      </w:pPr>
      <w:r>
        <w:rPr>
          <w:noProof/>
        </w:rPr>
        <w:t>(1)</w:t>
      </w:r>
      <w:r>
        <w:rPr>
          <w:noProof/>
        </w:rPr>
        <w:tab/>
        <w:t>Regulamentul (UE) 2016/794 se abrogă de la [data aplicării prezentului regulament].</w:t>
      </w:r>
    </w:p>
    <w:p>
      <w:pPr>
        <w:pStyle w:val="ManualNumPar1"/>
        <w:rPr>
          <w:noProof/>
        </w:rPr>
      </w:pPr>
      <w:r>
        <w:rPr>
          <w:noProof/>
        </w:rPr>
        <w:t>(2)</w:t>
      </w:r>
      <w:r>
        <w:rPr>
          <w:noProof/>
        </w:rPr>
        <w:tab/>
        <w:t>Toate trimiterile la Regulamentul (UE) 2016/794 se interpretează ca trimiteri la prezentul regulament.</w:t>
      </w:r>
    </w:p>
    <w:p>
      <w:pPr>
        <w:pStyle w:val="Titrearticle"/>
        <w:rPr>
          <w:noProof/>
        </w:rPr>
      </w:pPr>
      <w:r>
        <w:rPr>
          <w:noProof/>
        </w:rPr>
        <w:t>Articolul 141</w:t>
      </w:r>
    </w:p>
    <w:p>
      <w:pPr>
        <w:pStyle w:val="NormalCentered"/>
        <w:rPr>
          <w:noProof/>
        </w:rPr>
      </w:pPr>
      <w:r>
        <w:rPr>
          <w:b/>
          <w:noProof/>
        </w:rPr>
        <w:t>Intrarea în vigoare și aplicarea</w:t>
      </w:r>
    </w:p>
    <w:p>
      <w:pPr>
        <w:pStyle w:val="ManualNumPar1"/>
        <w:rPr>
          <w:noProof/>
        </w:rPr>
      </w:pPr>
      <w:r>
        <w:rPr>
          <w:noProof/>
        </w:rPr>
        <w:t>(1)</w:t>
      </w:r>
      <w:r>
        <w:rPr>
          <w:noProof/>
        </w:rPr>
        <w:tab/>
        <w:t xml:space="preserve">Prezentul regulament intră în vigoare în a douăzecea zi de la data publicării în </w:t>
      </w:r>
      <w:r>
        <w:rPr>
          <w:i/>
          <w:iCs/>
          <w:noProof/>
        </w:rPr>
        <w:t>Jurnalul Oficial al Uniunii Europene</w:t>
      </w:r>
      <w:r>
        <w:rPr>
          <w:noProof/>
        </w:rPr>
        <w:t>.</w:t>
      </w:r>
    </w:p>
    <w:p>
      <w:pPr>
        <w:pStyle w:val="ManualNumPar1"/>
        <w:rPr>
          <w:noProof/>
        </w:rPr>
      </w:pPr>
      <w:r>
        <w:rPr>
          <w:noProof/>
        </w:rPr>
        <w:t>(2)</w:t>
      </w:r>
      <w:r>
        <w:rPr>
          <w:noProof/>
        </w:rPr>
        <w:tab/>
        <w:t>Prezentul regulament se aplică de la [data].</w:t>
      </w:r>
    </w:p>
    <w:p>
      <w:pPr>
        <w:pStyle w:val="ManualNumPar1"/>
        <w:keepNext/>
        <w:keepLines/>
        <w:rPr>
          <w:noProof/>
        </w:rPr>
      </w:pPr>
      <w:r>
        <w:rPr>
          <w:noProof/>
        </w:rPr>
        <w:t>(3)</w:t>
      </w:r>
      <w:r>
        <w:rPr>
          <w:noProof/>
        </w:rPr>
        <w:tab/>
        <w:t>Prezentul regulament este obligatoriu în toate elementele sale și se aplică direct în statele membre în conformitate cu tratatele.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keepNext/>
        <w:rPr>
          <w:noProof/>
        </w:rPr>
      </w:pPr>
      <w:r>
        <w:rPr>
          <w:noProof/>
        </w:rPr>
        <w:t>Președinta</w:t>
      </w:r>
      <w:r>
        <w:rPr>
          <w:noProof/>
        </w:rPr>
        <w:tab/>
        <w:t>Președintele</w:t>
      </w:r>
    </w:p>
    <w:p>
      <w:pPr>
        <w:pStyle w:val="Personnequisigne"/>
        <w:rPr>
          <w:noProof/>
        </w:rPr>
      </w:pPr>
      <w:r>
        <w:rPr>
          <w:noProof/>
        </w:rPr>
        <w:t>[…]</w:t>
      </w:r>
      <w:r>
        <w:rPr>
          <w:noProof/>
        </w:rPr>
        <w:tab/>
        <w:t>[…]</w:t>
      </w:r>
    </w:p>
    <w:p>
      <w:pPr>
        <w:spacing w:before="0" w:after="200" w:line="276" w:lineRule="auto"/>
        <w:jc w:val="left"/>
        <w:rPr>
          <w:i/>
          <w:noProof/>
        </w:rPr>
      </w:pPr>
      <w:r>
        <w:rPr>
          <w:noProof/>
        </w:rPr>
        <w:br w:type="page"/>
      </w:r>
    </w:p>
    <w:p>
      <w:pPr>
        <w:pStyle w:val="Fichefinanciretitre"/>
        <w:keepNext/>
        <w:rPr>
          <w:noProof/>
        </w:rPr>
      </w:pPr>
      <w:bookmarkStart w:id="8" w:name="_Toc5D346564D1344DA4A57D37D117F8308C"/>
      <w:r>
        <w:rPr>
          <w:noProof/>
        </w:rPr>
        <w:t>FIȘĂ FINANCIARĂ LEGISLATIVĂ ȘI DIGITALĂ</w:t>
      </w:r>
      <w:bookmarkEnd w:id="8"/>
      <w:r>
        <w:rPr>
          <w:noProof/>
        </w:rPr>
        <w:t xml:space="preserve"> - AGENȚII</w:t>
      </w:r>
    </w:p>
    <w:p>
      <w:pPr>
        <w:pStyle w:val="ManualHeading1"/>
        <w:rPr>
          <w:noProof/>
        </w:rPr>
      </w:pPr>
      <w:bookmarkStart w:id="9" w:name="_Toc230120332"/>
      <w:bookmarkStart w:id="10" w:name="_Toc91CB6DB1675A4C36A23B9E068FF43DA2"/>
      <w:r>
        <w:rPr>
          <w:noProof/>
        </w:rPr>
        <w:t>1.</w:t>
      </w:r>
      <w:r>
        <w:rPr>
          <w:noProof/>
        </w:rPr>
        <w:tab/>
        <w:t>CADRUL PROPUNERII/INIȚIATIVEI</w:t>
      </w:r>
      <w:bookmarkEnd w:id="9"/>
      <w:r>
        <w:rPr>
          <w:noProof/>
        </w:rPr>
        <w:t xml:space="preserve"> </w:t>
      </w:r>
      <w:bookmarkEnd w:id="10"/>
    </w:p>
    <w:p>
      <w:pPr>
        <w:pStyle w:val="ManualHeading2"/>
        <w:rPr>
          <w:noProof/>
        </w:rPr>
      </w:pPr>
      <w:bookmarkStart w:id="11" w:name="_Toc21252D9E12294CC6994847DD27FA093D"/>
      <w:r>
        <w:rPr>
          <w:noProof/>
        </w:rPr>
        <w:t>1.1.</w:t>
      </w:r>
      <w:r>
        <w:rPr>
          <w:noProof/>
        </w:rPr>
        <w:tab/>
        <w:t>Titlul propunerii/inițiativei</w:t>
      </w:r>
      <w:bookmarkEnd w:id="11"/>
    </w:p>
    <w:p>
      <w:pPr>
        <w:pStyle w:val="Text1"/>
        <w:pBdr>
          <w:top w:val="single" w:sz="4" w:space="1" w:color="auto"/>
          <w:left w:val="single" w:sz="4" w:space="4" w:color="auto"/>
          <w:bottom w:val="single" w:sz="4" w:space="1" w:color="auto"/>
          <w:right w:val="single" w:sz="4" w:space="4" w:color="auto"/>
        </w:pBdr>
        <w:tabs>
          <w:tab w:val="left" w:pos="2985"/>
        </w:tabs>
        <w:rPr>
          <w:noProof/>
        </w:rPr>
      </w:pPr>
      <w:r>
        <w:rPr>
          <w:noProof/>
        </w:rPr>
        <w:t>Propunere de regulament al Parlamentului European și al Consiliului privind Agenția Uniunii Europene pentru Cooperare în Materie de Aplicare a Legii (Europol), de modificare a Regulamentelor (UE) 2018/1726 și (UE) 2024/982 și de abrogare a Regulamentului (UE) 2016/794</w:t>
      </w:r>
    </w:p>
    <w:p>
      <w:pPr>
        <w:pStyle w:val="ManualHeading2"/>
        <w:rPr>
          <w:i/>
          <w:noProof/>
        </w:rPr>
      </w:pPr>
      <w:bookmarkStart w:id="12" w:name="_Toc230120334"/>
      <w:r>
        <w:rPr>
          <w:noProof/>
        </w:rPr>
        <w:t>1.2.</w:t>
      </w:r>
      <w:r>
        <w:rPr>
          <w:noProof/>
        </w:rPr>
        <w:tab/>
        <w:t>Domeniul (domeniile) de politică vizat(e)</w:t>
      </w:r>
      <w:bookmarkEnd w:id="12"/>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Domeniul de politică: afaceri interne</w:t>
      </w:r>
    </w:p>
    <w:p>
      <w:pPr>
        <w:pStyle w:val="Text1"/>
        <w:pBdr>
          <w:top w:val="single" w:sz="4" w:space="1" w:color="auto"/>
          <w:left w:val="single" w:sz="4" w:space="4" w:color="auto"/>
          <w:bottom w:val="single" w:sz="4" w:space="1" w:color="auto"/>
          <w:right w:val="single" w:sz="4" w:space="4" w:color="auto"/>
        </w:pBdr>
        <w:rPr>
          <w:noProof/>
        </w:rPr>
      </w:pPr>
      <w:r>
        <w:rPr>
          <w:noProof/>
        </w:rPr>
        <w:t>Activitate: 12 Securitate</w:t>
      </w:r>
    </w:p>
    <w:p>
      <w:pPr>
        <w:pStyle w:val="Text1"/>
        <w:pBdr>
          <w:top w:val="single" w:sz="4" w:space="1" w:color="auto"/>
          <w:left w:val="single" w:sz="4" w:space="4" w:color="auto"/>
          <w:bottom w:val="single" w:sz="4" w:space="1" w:color="auto"/>
          <w:right w:val="single" w:sz="4" w:space="4" w:color="auto"/>
        </w:pBdr>
        <w:rPr>
          <w:noProof/>
        </w:rPr>
      </w:pPr>
      <w:r>
        <w:rPr>
          <w:noProof/>
        </w:rPr>
        <w:t>12 02 01: Fondul pentru securitate internă (FSI)</w:t>
      </w:r>
    </w:p>
    <w:p>
      <w:pPr>
        <w:pStyle w:val="Text1"/>
        <w:pBdr>
          <w:top w:val="single" w:sz="4" w:space="1" w:color="auto"/>
          <w:left w:val="single" w:sz="4" w:space="4" w:color="auto"/>
          <w:bottom w:val="single" w:sz="4" w:space="1" w:color="auto"/>
          <w:right w:val="single" w:sz="4" w:space="4" w:color="auto"/>
        </w:pBdr>
        <w:rPr>
          <w:noProof/>
        </w:rPr>
      </w:pPr>
      <w:r>
        <w:rPr>
          <w:noProof/>
        </w:rPr>
        <w:t>12 10 01: Europol</w:t>
      </w:r>
    </w:p>
    <w:p>
      <w:pPr>
        <w:pStyle w:val="ManualHeading2"/>
        <w:rPr>
          <w:noProof/>
        </w:rPr>
      </w:pPr>
      <w:bookmarkStart w:id="13" w:name="_Toc230120335"/>
      <w:r>
        <w:rPr>
          <w:noProof/>
        </w:rPr>
        <w:t>1.3.</w:t>
      </w:r>
      <w:r>
        <w:rPr>
          <w:noProof/>
        </w:rPr>
        <w:tab/>
        <w:t>Obiectiv(e)</w:t>
      </w:r>
      <w:bookmarkEnd w:id="13"/>
    </w:p>
    <w:p>
      <w:pPr>
        <w:pStyle w:val="ManualHeading3"/>
        <w:rPr>
          <w:noProof/>
        </w:rPr>
      </w:pPr>
      <w:bookmarkStart w:id="14" w:name="_Toc9F1A9730B27B4074A02413AAAEDA20A2"/>
      <w:r>
        <w:rPr>
          <w:noProof/>
        </w:rPr>
        <w:t>1.3.1.</w:t>
      </w:r>
      <w:r>
        <w:rPr>
          <w:noProof/>
        </w:rPr>
        <w:tab/>
        <w:t>Obiectiv(e) general(e)</w:t>
      </w:r>
      <w:bookmarkEnd w:id="14"/>
    </w:p>
    <w:p>
      <w:pPr>
        <w:pStyle w:val="Text1"/>
        <w:pBdr>
          <w:top w:val="single" w:sz="4" w:space="1" w:color="auto"/>
          <w:left w:val="single" w:sz="4" w:space="4" w:color="auto"/>
          <w:bottom w:val="single" w:sz="4" w:space="1" w:color="auto"/>
          <w:right w:val="single" w:sz="4" w:space="4" w:color="auto"/>
        </w:pBdr>
        <w:rPr>
          <w:noProof/>
        </w:rPr>
      </w:pPr>
      <w:r>
        <w:rPr>
          <w:noProof/>
        </w:rPr>
        <w:t>Obiectivul general al acestei inițiative este de a consolida capacitatea Europol de a sprijini statele membre în prevenirea și combaterea criminalității grave și organizate și a terorismului într-un mediu de securitate transfrontalier și din ce în ce mai complex și, prin urmare, de a contribui la securitatea și siguranța generală a UE. În special, scopul său este de a se asigura că Europol poate oferi în mod eficace sprijin operațional și analitic, poate facilita schimbul de informații și poate contribui la răspunsuri coordonate ale UE la amenințările infracționale emergente și în continuă evoluție.</w:t>
      </w:r>
    </w:p>
    <w:p>
      <w:pPr>
        <w:pStyle w:val="ManualHeading3"/>
        <w:rPr>
          <w:noProof/>
        </w:rPr>
      </w:pPr>
      <w:bookmarkStart w:id="15" w:name="_Toc5B618D0C629F499E8BDCF5E60551B21A"/>
      <w:r>
        <w:rPr>
          <w:noProof/>
        </w:rPr>
        <w:t>1.3.2.</w:t>
      </w:r>
      <w:r>
        <w:rPr>
          <w:noProof/>
        </w:rPr>
        <w:tab/>
        <w:t>Obiectiv(e) specific(e)</w:t>
      </w:r>
      <w:bookmarkEnd w:id="15"/>
    </w:p>
    <w:p>
      <w:pPr>
        <w:pStyle w:val="Text1"/>
        <w:pBdr>
          <w:top w:val="single" w:sz="4" w:space="1" w:color="auto"/>
          <w:left w:val="single" w:sz="4" w:space="1" w:color="auto"/>
          <w:bottom w:val="single" w:sz="4" w:space="1" w:color="auto"/>
          <w:right w:val="single" w:sz="4" w:space="4" w:color="auto"/>
        </w:pBdr>
        <w:rPr>
          <w:noProof/>
          <w:u w:val="single"/>
        </w:rPr>
      </w:pPr>
      <w:r>
        <w:rPr>
          <w:noProof/>
          <w:u w:val="single"/>
        </w:rPr>
        <w:t>Obiectivul specific nr. 1:</w:t>
      </w:r>
    </w:p>
    <w:p>
      <w:pPr>
        <w:pStyle w:val="Text1"/>
        <w:pBdr>
          <w:top w:val="single" w:sz="4" w:space="1" w:color="auto"/>
          <w:left w:val="single" w:sz="4" w:space="1" w:color="auto"/>
          <w:bottom w:val="single" w:sz="4" w:space="1" w:color="auto"/>
          <w:right w:val="single" w:sz="4" w:space="4" w:color="auto"/>
        </w:pBdr>
        <w:rPr>
          <w:noProof/>
        </w:rPr>
      </w:pPr>
      <w:r>
        <w:rPr>
          <w:noProof/>
        </w:rPr>
        <w:t>Consolidarea rolului Europol ca centru de informații pentru asigurarea respectării legii</w:t>
      </w:r>
    </w:p>
    <w:p>
      <w:pPr>
        <w:pStyle w:val="Text1"/>
        <w:pBdr>
          <w:top w:val="single" w:sz="4" w:space="1" w:color="auto"/>
          <w:left w:val="single" w:sz="4" w:space="1" w:color="auto"/>
          <w:bottom w:val="single" w:sz="4" w:space="1" w:color="auto"/>
          <w:right w:val="single" w:sz="4" w:space="4" w:color="auto"/>
        </w:pBdr>
        <w:rPr>
          <w:rFonts w:eastAsia="Times New Roman"/>
          <w:noProof/>
        </w:rPr>
      </w:pPr>
      <w:r>
        <w:rPr>
          <w:noProof/>
        </w:rPr>
        <w:t xml:space="preserve">Acest obiectiv urmărește să consolideze capacitatea Europol de a colecta, prelucra, analiza și partaja informații de înaltă calitate în materie penală la nivel transfrontalier. Scopul său este de a îmbunătăți promptitudinea, interoperabilitatea și posibilitatea de utilizare a schimburilor de informații cu statele membre și cu organele și agențiile UE. Obiectivul abordează fragmentarea și subutilizarea instrumentelor existente, asigurând în același timp garanții solide în materie de protecție a datelor și de drepturi fundamentale. </w:t>
      </w:r>
    </w:p>
    <w:p>
      <w:pPr>
        <w:pStyle w:val="Text1"/>
        <w:pBdr>
          <w:top w:val="single" w:sz="4" w:space="1" w:color="auto"/>
          <w:left w:val="single" w:sz="4" w:space="1" w:color="auto"/>
          <w:bottom w:val="single" w:sz="4" w:space="1" w:color="auto"/>
          <w:right w:val="single" w:sz="4" w:space="4" w:color="auto"/>
        </w:pBdr>
        <w:rPr>
          <w:noProof/>
          <w:u w:val="single"/>
        </w:rPr>
      </w:pPr>
      <w:r>
        <w:rPr>
          <w:noProof/>
          <w:u w:val="single"/>
        </w:rPr>
        <w:t xml:space="preserve">Obiectivul specific nr. 2: </w:t>
      </w:r>
    </w:p>
    <w:p>
      <w:pPr>
        <w:pStyle w:val="Text1"/>
        <w:pBdr>
          <w:top w:val="single" w:sz="4" w:space="1" w:color="auto"/>
          <w:left w:val="single" w:sz="4" w:space="1" w:color="auto"/>
          <w:bottom w:val="single" w:sz="4" w:space="1" w:color="auto"/>
          <w:right w:val="single" w:sz="4" w:space="4" w:color="auto"/>
        </w:pBdr>
        <w:rPr>
          <w:noProof/>
        </w:rPr>
      </w:pPr>
      <w:r>
        <w:rPr>
          <w:noProof/>
        </w:rPr>
        <w:t>Europol ca centru operațional</w:t>
      </w:r>
    </w:p>
    <w:p>
      <w:pPr>
        <w:pStyle w:val="Text1"/>
        <w:pBdr>
          <w:top w:val="single" w:sz="4" w:space="1" w:color="auto"/>
          <w:left w:val="single" w:sz="4" w:space="1" w:color="auto"/>
          <w:bottom w:val="single" w:sz="4" w:space="1" w:color="auto"/>
          <w:right w:val="single" w:sz="4" w:space="4" w:color="auto"/>
        </w:pBdr>
        <w:rPr>
          <w:noProof/>
        </w:rPr>
      </w:pPr>
      <w:r>
        <w:rPr>
          <w:noProof/>
        </w:rPr>
        <w:t>Obiectivul este de a consolida capacitatea Europol de a oferi sprijin operațional prompt, realizabil și cuprinzător în investigațiile privind criminalitatea gravă și organizată și terorismul. Acest lucru include posibilitatea ca Europol să se implice mai eficace în cazurile transfrontaliere, prin consolidarea capacității sale de a identifica legăturile operaționale dintre investigațiile naționale, de a coordona urmărirea operațională între statele membre și de a furniza în permanență date operative în materie penală, sprijin analitic, tehnic, criminalistic și pentru investigațiile financiare.</w:t>
      </w:r>
    </w:p>
    <w:p>
      <w:pPr>
        <w:pStyle w:val="Text1"/>
        <w:pBdr>
          <w:top w:val="single" w:sz="4" w:space="1" w:color="auto"/>
          <w:left w:val="single" w:sz="4" w:space="1" w:color="auto"/>
          <w:bottom w:val="single" w:sz="4" w:space="1" w:color="auto"/>
          <w:right w:val="single" w:sz="4" w:space="4" w:color="auto"/>
        </w:pBdr>
        <w:rPr>
          <w:noProof/>
        </w:rPr>
      </w:pPr>
      <w:r>
        <w:rPr>
          <w:noProof/>
        </w:rPr>
        <w:t>Scopul este, de asemenea, de a consolida cooperarea Europol cu organele și agențiile Uniunii, în special cu Parchetul European (EPPO). Se urmărește să se asigure un sprijin continuu la nivelul Uniunii pe parcursul întregului ciclu de viață operațional prin îmbunătățirea fluxului de informații, a coordonării operaționale și a utilizării complementare a capacităților la nivelul Uniunii.</w:t>
      </w:r>
    </w:p>
    <w:p>
      <w:pPr>
        <w:pStyle w:val="Text1"/>
        <w:pBdr>
          <w:top w:val="single" w:sz="4" w:space="1" w:color="auto"/>
          <w:left w:val="single" w:sz="4" w:space="1" w:color="auto"/>
          <w:bottom w:val="single" w:sz="4" w:space="1" w:color="auto"/>
          <w:right w:val="single" w:sz="4" w:space="4" w:color="auto"/>
        </w:pBdr>
        <w:rPr>
          <w:noProof/>
          <w:u w:val="single"/>
        </w:rPr>
      </w:pPr>
      <w:r>
        <w:rPr>
          <w:noProof/>
          <w:u w:val="single"/>
        </w:rPr>
        <w:t xml:space="preserve">Obiectivul specific nr. 3: </w:t>
      </w:r>
    </w:p>
    <w:p>
      <w:pPr>
        <w:pStyle w:val="Text1"/>
        <w:pBdr>
          <w:top w:val="single" w:sz="4" w:space="1" w:color="auto"/>
          <w:left w:val="single" w:sz="4" w:space="1" w:color="auto"/>
          <w:bottom w:val="single" w:sz="4" w:space="1" w:color="auto"/>
          <w:right w:val="single" w:sz="4" w:space="4" w:color="auto"/>
        </w:pBdr>
        <w:rPr>
          <w:noProof/>
        </w:rPr>
      </w:pPr>
      <w:r>
        <w:rPr>
          <w:noProof/>
        </w:rPr>
        <w:t xml:space="preserve">Europol ca centru tehnologic și de inovare </w:t>
      </w:r>
    </w:p>
    <w:p>
      <w:pPr>
        <w:pStyle w:val="Text1"/>
        <w:pBdr>
          <w:top w:val="single" w:sz="4" w:space="1" w:color="auto"/>
          <w:left w:val="single" w:sz="4" w:space="1" w:color="auto"/>
          <w:bottom w:val="single" w:sz="4" w:space="1" w:color="auto"/>
          <w:right w:val="single" w:sz="4" w:space="4" w:color="auto"/>
        </w:pBdr>
        <w:rPr>
          <w:b/>
          <w:bCs/>
          <w:noProof/>
        </w:rPr>
      </w:pPr>
      <w:r>
        <w:rPr>
          <w:noProof/>
        </w:rPr>
        <w:t>Propunerea vizează consolidarea capacității Europol de a sprijini autoritățile competente ale statelor membre de-a lungul întregului ciclu de cercetare, inovare și dezvoltare a capacităților. Aceasta include posibilitatea ca Europol să identifice nevoile comune în materie de capacități, să stimuleze activitățile de cercetare și inovare, să sprijine testarea, validarea și extinderea soluțiilor inovatoare și să dezvolte sau să furnizeze capacități comune care să răspundă cerințelor operaționale comune. Scopul este, de asemenea, de a poziționa Europol ca platformă centrală pentru cooperarea în domeniul tehnologiei și al inovării, facilitând punerea în comun a cunoștințelor de specialitate, a resurselor și a investițiilor și sprijinind autonomia tehnologică strategică și reziliența Uniunii în domeniul securității interne.</w:t>
      </w:r>
    </w:p>
    <w:p>
      <w:pPr>
        <w:pStyle w:val="ManualHeading3"/>
        <w:rPr>
          <w:noProof/>
        </w:rPr>
      </w:pPr>
      <w:r>
        <w:rPr>
          <w:noProof/>
        </w:rPr>
        <w:t>1.3.3.</w:t>
      </w:r>
      <w:r>
        <w:rPr>
          <w:noProof/>
        </w:rPr>
        <w:tab/>
        <w:t>Obiectiv(e) general(e)</w:t>
      </w:r>
    </w:p>
    <w:tbl>
      <w:tblPr>
        <w:tblStyle w:val="TableGrid"/>
        <w:tblW w:w="0" w:type="auto"/>
        <w:tblInd w:w="850" w:type="dxa"/>
        <w:tblLook w:val="04A0" w:firstRow="1" w:lastRow="0" w:firstColumn="1" w:lastColumn="0" w:noHBand="0" w:noVBand="1"/>
      </w:tblPr>
      <w:tblGrid>
        <w:gridCol w:w="8437"/>
      </w:tblGrid>
      <w:tr>
        <w:tc>
          <w:tcPr>
            <w:tcW w:w="8437" w:type="dxa"/>
          </w:tcPr>
          <w:p>
            <w:pPr>
              <w:rPr>
                <w:i/>
                <w:iCs/>
                <w:noProof/>
                <w:u w:val="single"/>
              </w:rPr>
            </w:pPr>
            <w:r>
              <w:rPr>
                <w:i/>
                <w:noProof/>
                <w:u w:val="single"/>
              </w:rPr>
              <w:t>Impactul global:</w:t>
            </w:r>
          </w:p>
          <w:p>
            <w:pPr>
              <w:rPr>
                <w:noProof/>
              </w:rPr>
            </w:pPr>
            <w:r>
              <w:rPr>
                <w:noProof/>
              </w:rPr>
              <w:t xml:space="preserve">Se preconizează că inițiativa va îmbunătăți eficacitatea, viteza și coordonarea investigațiilor transfrontaliere, permițând identificarea mai timpurie a persoanelor implicate în activități infracționale și a rețelelor infracționale și neutralizarea mai eficace a criminalității grave și organizate și a terorismului care afectează securitatea Uniunii. De asemenea, se preconizează că inițiativa va consolida capacitatea Uniunii de a detecta și de a combate frauda, corupția, spălarea banilor și alte activități infracționale care aduc atingere intereselor financiare ale UE. </w:t>
            </w:r>
          </w:p>
          <w:p>
            <w:pPr>
              <w:rPr>
                <w:noProof/>
              </w:rPr>
            </w:pPr>
            <w:r>
              <w:rPr>
                <w:noProof/>
              </w:rPr>
              <w:t xml:space="preserve">Prin urmare, se preconizează că </w:t>
            </w:r>
            <w:r>
              <w:rPr>
                <w:b/>
                <w:noProof/>
              </w:rPr>
              <w:t>cetățenii UE</w:t>
            </w:r>
            <w:r>
              <w:rPr>
                <w:noProof/>
              </w:rPr>
              <w:t xml:space="preserve"> vor beneficia de comunități mai sigure, de o mai bună protecție a victimelor, de reducerea infiltrării rețelelor infracționale în economie și în instituțiile publice, de reducerea prejudiciilor financiare și societale cauzate de activitățile infracționale și de un mediu mai sigur pentru întreprinderi pentru activități economice și investiții legitime în întreaga Uniune. Propunerea nu conține obligații de reglementare pentru cetățeni/consumatori și nu generează costuri suplimentare în această privință. </w:t>
            </w:r>
          </w:p>
          <w:p>
            <w:pPr>
              <w:rPr>
                <w:noProof/>
              </w:rPr>
            </w:pPr>
            <w:r>
              <w:rPr>
                <w:noProof/>
              </w:rPr>
              <w:t xml:space="preserve">Se preconizează că propunerea va genera economii de scară semnificative pentru </w:t>
            </w:r>
            <w:r>
              <w:rPr>
                <w:b/>
                <w:noProof/>
              </w:rPr>
              <w:t>autoritățile publice</w:t>
            </w:r>
            <w:r>
              <w:rPr>
                <w:noProof/>
              </w:rPr>
              <w:t xml:space="preserve"> prin punerea în comun, la nivelul UE, a capacităților operaționale, analitice, tehnice și criminalistice digitale specializate, reducând astfel dublarea resurselor și a investițiilor între statele membre. Autoritățile naționale vor beneficia de un acces mai eficient la expertiză avansată, sprijin operațional și capacități tehnologice, a căror dezvoltare la nivel național, în mod individual, ar fi costisitoare și ar necesita o utilizare intensivă a resurselor.</w:t>
            </w:r>
          </w:p>
          <w:p>
            <w:pPr>
              <w:rPr>
                <w:i/>
                <w:iCs/>
                <w:noProof/>
                <w:u w:val="single"/>
              </w:rPr>
            </w:pPr>
            <w:r>
              <w:rPr>
                <w:i/>
                <w:noProof/>
                <w:u w:val="single"/>
              </w:rPr>
              <w:t>Mai exact:</w:t>
            </w:r>
          </w:p>
          <w:p>
            <w:pPr>
              <w:rPr>
                <w:noProof/>
              </w:rPr>
            </w:pPr>
            <w:r>
              <w:rPr>
                <w:noProof/>
              </w:rPr>
              <w:t xml:space="preserve">Beneficii pentru </w:t>
            </w:r>
            <w:r>
              <w:rPr>
                <w:b/>
                <w:noProof/>
              </w:rPr>
              <w:t>autoritățile de aplicare a legii din statele membre și pentru organele și agențiile UE</w:t>
            </w:r>
            <w:r>
              <w:rPr>
                <w:noProof/>
              </w:rPr>
              <w:t xml:space="preserve">: </w:t>
            </w:r>
          </w:p>
          <w:p>
            <w:pPr>
              <w:pStyle w:val="Tiret0"/>
              <w:numPr>
                <w:ilvl w:val="0"/>
                <w:numId w:val="32"/>
              </w:numPr>
              <w:rPr>
                <w:noProof/>
              </w:rPr>
            </w:pPr>
            <w:r>
              <w:rPr>
                <w:noProof/>
              </w:rPr>
              <w:t>Creșterea disponibilității la nivelul Uniunii a informațiilor operaționale și analitice relevante care sprijină investigațiile naționale și transfrontaliere.</w:t>
            </w:r>
          </w:p>
          <w:p>
            <w:pPr>
              <w:pStyle w:val="Tiret0"/>
              <w:rPr>
                <w:noProof/>
              </w:rPr>
            </w:pPr>
            <w:r>
              <w:rPr>
                <w:noProof/>
              </w:rPr>
              <w:t>O coordonare operațională mai timpurie și mai eficace în cadrul investigațiilor transfrontaliere, inclusiv inițierea mai rapidă a cooperării operaționale, măsuri judiciare ulterioare mai prompte atunci când este necesar și activități analitice comune în toate statele membre.</w:t>
            </w:r>
          </w:p>
          <w:p>
            <w:pPr>
              <w:pStyle w:val="Tiret0"/>
              <w:rPr>
                <w:noProof/>
              </w:rPr>
            </w:pPr>
            <w:r>
              <w:rPr>
                <w:noProof/>
              </w:rPr>
              <w:t>Un sprijin din partea Europol mai rapid, mai accesibil și mai relevant din punct de vedere operațional pentru investigațiile naționale și comune, inclusiv produse analitice operaționale furnizate mai prompt, mai fiabile și mai detaliate, sprijin în cadrul investigațiilor financiare și măsuri de urmărire operațională.</w:t>
            </w:r>
          </w:p>
          <w:p>
            <w:pPr>
              <w:pStyle w:val="Tiret0"/>
              <w:rPr>
                <w:noProof/>
              </w:rPr>
            </w:pPr>
            <w:r>
              <w:rPr>
                <w:noProof/>
              </w:rPr>
              <w:t>O mai bună identificare a rețelelor infracționale, a legăturilor operaționale transfrontaliere și a fluxurilor financiare ilicite între jurisdicții.</w:t>
            </w:r>
          </w:p>
          <w:p>
            <w:pPr>
              <w:pStyle w:val="Tiret0"/>
              <w:rPr>
                <w:noProof/>
              </w:rPr>
            </w:pPr>
            <w:r>
              <w:rPr>
                <w:noProof/>
              </w:rPr>
              <w:t>Gestionarea mai eficace a investigațiilor complexe care implică probe digitale și seturi mari de date nestructurate prin sporirea accesului la capacități analitice, tehnice, criminalistice și criminalistice digitale specializate la nivelul Uniunii.</w:t>
            </w:r>
          </w:p>
          <w:p>
            <w:pPr>
              <w:pStyle w:val="Tiret0"/>
              <w:rPr>
                <w:noProof/>
              </w:rPr>
            </w:pPr>
            <w:r>
              <w:rPr>
                <w:noProof/>
              </w:rPr>
              <w:t>Intensificarea sprijinului analitic și operațional acordat organelor și agențiilor relevante ale Uniunii, în special Parchetului European, în vederea facilitării complementarității și a desfășurării unor acțiuni de investigare ulterioare coordonate și a unei acțiuni mai coerente la nivelul Uniunii pe parcursul întregului ciclu de viață al investigațiilor și al procedurilor judiciare.</w:t>
            </w:r>
          </w:p>
          <w:p>
            <w:pPr>
              <w:pStyle w:val="Tiret0"/>
              <w:rPr>
                <w:noProof/>
              </w:rPr>
            </w:pPr>
            <w:r>
              <w:rPr>
                <w:noProof/>
              </w:rPr>
              <w:t xml:space="preserve">Eficiență sporită: </w:t>
            </w:r>
          </w:p>
          <w:p>
            <w:pPr>
              <w:pStyle w:val="Tiret1"/>
              <w:numPr>
                <w:ilvl w:val="0"/>
                <w:numId w:val="33"/>
              </w:numPr>
              <w:rPr>
                <w:noProof/>
              </w:rPr>
            </w:pPr>
            <w:r>
              <w:rPr>
                <w:noProof/>
              </w:rPr>
              <w:t>Mărirea ponderii investigațiilor naționale care beneficiază de informații la nivelul Uniunii, de sprijin operațional și de capacități specializate.</w:t>
            </w:r>
          </w:p>
          <w:p>
            <w:pPr>
              <w:pStyle w:val="Tiret1"/>
              <w:rPr>
                <w:noProof/>
              </w:rPr>
            </w:pPr>
            <w:r>
              <w:rPr>
                <w:noProof/>
              </w:rPr>
              <w:t>O urmărire operațională mai rapidă și reducerea întârzierilor în investigațiile transfrontaliere.</w:t>
            </w:r>
          </w:p>
          <w:p>
            <w:pPr>
              <w:pStyle w:val="Tiret1"/>
              <w:rPr>
                <w:noProof/>
              </w:rPr>
            </w:pPr>
            <w:r>
              <w:rPr>
                <w:noProof/>
              </w:rPr>
              <w:t>Reducerea costurilor asociate accesului la capacități analitice, tehnice și criminalistice digitale specializate prin economii de scară la nivelul Uniunii.</w:t>
            </w:r>
          </w:p>
          <w:p>
            <w:pPr>
              <w:pStyle w:val="Tiret1"/>
              <w:rPr>
                <w:noProof/>
              </w:rPr>
            </w:pPr>
            <w:r>
              <w:rPr>
                <w:noProof/>
              </w:rPr>
              <w:t>Reducerea suprapunerii eforturilor și a investigațiilor paralele prin îmbunătățirea schimbului de informații, a coordonării operaționale și a mecanismelor de deconflictualizare.</w:t>
            </w:r>
          </w:p>
          <w:p>
            <w:pPr>
              <w:pStyle w:val="Tiret1"/>
              <w:rPr>
                <w:noProof/>
              </w:rPr>
            </w:pPr>
            <w:r>
              <w:rPr>
                <w:noProof/>
              </w:rPr>
              <w:t>Utilizarea mai eficientă a sistemelor de informații existente ale Uniunii printr-o interoperabilitate sporită și o utilizare operațională partajată.</w:t>
            </w:r>
          </w:p>
          <w:p>
            <w:pPr>
              <w:pStyle w:val="Tiret1"/>
              <w:rPr>
                <w:noProof/>
              </w:rPr>
            </w:pPr>
            <w:r>
              <w:rPr>
                <w:noProof/>
              </w:rPr>
              <w:t>Reducerea nevoii de dezvoltare a unor capacități analitice separate de către organele și agențiile relevante ale Uniunii, în special EPPO, cu excepția cazului în care astfel de capacități sunt necesare în temeiul mandatului specific al organelor și agențiilor relevante ale Uniunii, prin sporirea accesului la capacitățile analitice ale Europol la nivelul Uniunii.</w:t>
            </w:r>
          </w:p>
          <w:p>
            <w:pPr>
              <w:rPr>
                <w:noProof/>
              </w:rPr>
            </w:pPr>
            <w:r>
              <w:rPr>
                <w:noProof/>
              </w:rPr>
              <w:t xml:space="preserve">Beneficii pentru </w:t>
            </w:r>
            <w:r>
              <w:rPr>
                <w:b/>
                <w:noProof/>
              </w:rPr>
              <w:t>securitatea internă a Uniunii</w:t>
            </w:r>
            <w:r>
              <w:rPr>
                <w:noProof/>
              </w:rPr>
              <w:t>:</w:t>
            </w:r>
          </w:p>
          <w:p>
            <w:pPr>
              <w:pStyle w:val="Tiret0"/>
              <w:numPr>
                <w:ilvl w:val="0"/>
                <w:numId w:val="28"/>
              </w:numPr>
              <w:rPr>
                <w:noProof/>
              </w:rPr>
            </w:pPr>
            <w:r>
              <w:rPr>
                <w:noProof/>
              </w:rPr>
              <w:t>Consolidarea capacității de a anticipa, a detecta și a răspunde la evoluția criminalității grave și organizate și a terorismului.</w:t>
            </w:r>
          </w:p>
          <w:p>
            <w:pPr>
              <w:pStyle w:val="Tiret0"/>
              <w:numPr>
                <w:ilvl w:val="0"/>
                <w:numId w:val="28"/>
              </w:numPr>
              <w:rPr>
                <w:noProof/>
              </w:rPr>
            </w:pPr>
            <w:r>
              <w:rPr>
                <w:noProof/>
              </w:rPr>
              <w:t>Identificarea timpurie a structurilor infracționale care își desfășoară activitatea în mai multe jurisdicții.</w:t>
            </w:r>
          </w:p>
          <w:p>
            <w:pPr>
              <w:pStyle w:val="Tiret0"/>
              <w:numPr>
                <w:ilvl w:val="0"/>
                <w:numId w:val="28"/>
              </w:numPr>
              <w:rPr>
                <w:noProof/>
              </w:rPr>
            </w:pPr>
            <w:r>
              <w:rPr>
                <w:noProof/>
              </w:rPr>
              <w:t>Un sprijin probatoriu mai puternic pentru procedurile judiciare prin consolidarea capacităților analitice, tehnice și criminalistice.</w:t>
            </w:r>
          </w:p>
          <w:p>
            <w:pPr>
              <w:pStyle w:val="Tiret0"/>
              <w:numPr>
                <w:ilvl w:val="0"/>
                <w:numId w:val="28"/>
              </w:numPr>
              <w:rPr>
                <w:noProof/>
              </w:rPr>
            </w:pPr>
            <w:r>
              <w:rPr>
                <w:noProof/>
              </w:rPr>
              <w:t>Consolidarea încrederii publice în capacitatea Uniunii de a proteja cetățenii, întreprinderile și finanțele publice împotriva criminalității grave și organizate.</w:t>
            </w:r>
          </w:p>
        </w:tc>
      </w:tr>
    </w:tbl>
    <w:p>
      <w:pPr>
        <w:pStyle w:val="ManualHeading3"/>
        <w:rPr>
          <w:noProof/>
        </w:rPr>
      </w:pPr>
      <w:bookmarkStart w:id="16" w:name="_TocC3BEBEEBEC3742F18A645836D78B92CB"/>
      <w:r>
        <w:rPr>
          <w:noProof/>
        </w:rPr>
        <w:t>1.3.4.</w:t>
      </w:r>
      <w:r>
        <w:rPr>
          <w:noProof/>
        </w:rPr>
        <w:tab/>
        <w:t>Indicatori de performanță</w:t>
      </w:r>
      <w:bookmarkEnd w:id="16"/>
    </w:p>
    <w:p>
      <w:pPr>
        <w:pStyle w:val="Text1"/>
        <w:rPr>
          <w:i/>
          <w:noProof/>
          <w:sz w:val="20"/>
        </w:rPr>
      </w:pPr>
      <w:r>
        <w:rPr>
          <w:i/>
          <w:noProof/>
          <w:sz w:val="20"/>
        </w:rPr>
        <w:t>A se preciza indicatorii care permit monitorizarea progreselor și a realizărilor obținute.</w:t>
      </w:r>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szCs w:val="24"/>
                <w:u w:val="single"/>
              </w:rPr>
            </w:pPr>
            <w:r>
              <w:rPr>
                <w:noProof/>
                <w:u w:val="single"/>
              </w:rPr>
              <w:t>Obiectivul specific 1:</w:t>
            </w:r>
          </w:p>
          <w:p>
            <w:pPr>
              <w:pStyle w:val="Text1"/>
              <w:numPr>
                <w:ilvl w:val="0"/>
                <w:numId w:val="21"/>
              </w:numPr>
              <w:rPr>
                <w:noProof/>
                <w:szCs w:val="24"/>
              </w:rPr>
            </w:pPr>
            <w:r>
              <w:rPr>
                <w:noProof/>
              </w:rPr>
              <w:t xml:space="preserve">Europol menține până la </w:t>
            </w:r>
            <w:r>
              <w:rPr>
                <w:b/>
                <w:noProof/>
              </w:rPr>
              <w:t>5 standarde</w:t>
            </w:r>
            <w:r>
              <w:rPr>
                <w:noProof/>
              </w:rPr>
              <w:t xml:space="preserve"> și documente de orientare de referință privind schimbul de informații (numărul de standarde și orientări privind formatul datelor și schimbul de date sprijinite în mod activ de Europol; nivelul de referință 0; ținta 5.)</w:t>
            </w:r>
          </w:p>
          <w:p>
            <w:pPr>
              <w:pStyle w:val="Text1"/>
              <w:numPr>
                <w:ilvl w:val="0"/>
                <w:numId w:val="21"/>
              </w:numPr>
              <w:rPr>
                <w:noProof/>
                <w:szCs w:val="24"/>
              </w:rPr>
            </w:pPr>
            <w:r>
              <w:rPr>
                <w:noProof/>
              </w:rPr>
              <w:t xml:space="preserve">Jumătate dintre investigatorii în materie penală din UE au primit un </w:t>
            </w:r>
            <w:r>
              <w:rPr>
                <w:b/>
                <w:noProof/>
              </w:rPr>
              <w:t>card de identitate digitală a poliției din UE</w:t>
            </w:r>
            <w:r>
              <w:rPr>
                <w:noProof/>
              </w:rPr>
              <w:t xml:space="preserve"> și au avut </w:t>
            </w:r>
            <w:r>
              <w:rPr>
                <w:b/>
                <w:noProof/>
              </w:rPr>
              <w:t>acces efectiv la spațiul comun de date al poliției din UE</w:t>
            </w:r>
            <w:r>
              <w:rPr>
                <w:noProof/>
              </w:rPr>
              <w:t xml:space="preserve"> (ponderea ofițerilor de poliție din UE cu competențe de investigare în materie penală înregistrați ca utilizatori ai spațiului comun de date al poliției din UE; nivelul de referință 0 %; ținta 50 %)</w:t>
            </w:r>
          </w:p>
          <w:p>
            <w:pPr>
              <w:pStyle w:val="Text1"/>
              <w:numPr>
                <w:ilvl w:val="0"/>
                <w:numId w:val="21"/>
              </w:numPr>
              <w:rPr>
                <w:noProof/>
                <w:szCs w:val="24"/>
              </w:rPr>
            </w:pPr>
            <w:r>
              <w:rPr>
                <w:noProof/>
              </w:rPr>
              <w:t xml:space="preserve">Jumătate dintre anchetele penale care justifică utilizarea unor instrumente analitice de ultimă generație </w:t>
            </w:r>
            <w:r>
              <w:rPr>
                <w:b/>
                <w:noProof/>
              </w:rPr>
              <w:t>se bazează pe instrumente puse la dispoziție de Europol</w:t>
            </w:r>
            <w:r>
              <w:rPr>
                <w:noProof/>
              </w:rPr>
              <w:t xml:space="preserve"> (ponderea cazurilor penale deschise în cursul anului în întreaga UE pentru care anchetele s-au bazat pe instrumente analitice achiziționate în comun sau puse la dispoziție online de Europol prin intermediul spațiului comun de date al poliției din UE; nivelul de referință 0 %; ținta 10 %</w:t>
            </w:r>
            <w:r>
              <w:rPr>
                <w:rStyle w:val="FootnoteReference"/>
                <w:noProof/>
              </w:rPr>
              <w:footnoteReference w:id="84"/>
            </w:r>
            <w:r>
              <w:rPr>
                <w:noProof/>
              </w:rPr>
              <w:t>)</w:t>
            </w:r>
          </w:p>
          <w:p>
            <w:pPr>
              <w:pStyle w:val="Text1"/>
              <w:numPr>
                <w:ilvl w:val="0"/>
                <w:numId w:val="21"/>
              </w:numPr>
              <w:rPr>
                <w:noProof/>
                <w:szCs w:val="24"/>
              </w:rPr>
            </w:pPr>
            <w:r>
              <w:rPr>
                <w:noProof/>
              </w:rPr>
              <w:t xml:space="preserve">Toate persoanele considerate </w:t>
            </w:r>
            <w:r>
              <w:rPr>
                <w:b/>
                <w:noProof/>
              </w:rPr>
              <w:t>suspecte sau condamnate</w:t>
            </w:r>
            <w:r>
              <w:rPr>
                <w:noProof/>
              </w:rPr>
              <w:t xml:space="preserve"> pentru o infracțiune</w:t>
            </w:r>
            <w:r>
              <w:rPr>
                <w:rStyle w:val="FootnoteReference"/>
                <w:noProof/>
              </w:rPr>
              <w:footnoteReference w:id="85"/>
            </w:r>
            <w:r>
              <w:rPr>
                <w:noProof/>
              </w:rPr>
              <w:t xml:space="preserve"> în cursul anului au fost </w:t>
            </w:r>
            <w:r>
              <w:rPr>
                <w:b/>
                <w:noProof/>
              </w:rPr>
              <w:t>verificate în raport cu datele Europol</w:t>
            </w:r>
            <w:r>
              <w:rPr>
                <w:noProof/>
              </w:rPr>
              <w:t>, în fiecare stat membru (numărul statelor membre pentru care raportul dintre „numărul de căutări anuale în bazele de date ale Europol” și cifrele Eurostat privind persoanele suspectate sau infractorii în cursul anului este mai mare de 1,00; nivelul de referință 1; ținta = 26)</w:t>
            </w:r>
          </w:p>
          <w:p>
            <w:pPr>
              <w:pStyle w:val="Text1"/>
              <w:numPr>
                <w:ilvl w:val="0"/>
                <w:numId w:val="21"/>
              </w:numPr>
              <w:rPr>
                <w:noProof/>
                <w:szCs w:val="24"/>
              </w:rPr>
            </w:pPr>
            <w:r>
              <w:rPr>
                <w:noProof/>
              </w:rPr>
              <w:t xml:space="preserve">Autoritățile de aplicare a legii </w:t>
            </w:r>
            <w:r>
              <w:rPr>
                <w:b/>
                <w:noProof/>
              </w:rPr>
              <w:t>au urmărit în mod sistematic, împreună cu alte state membre</w:t>
            </w:r>
            <w:r>
              <w:rPr>
                <w:noProof/>
              </w:rPr>
              <w:t xml:space="preserve">, cazurile transfrontaliere (numărul de state membre pentru care raportul dintre „noile cazuri transfrontaliere inițiate, cum ar fi cu SIENA sau JOAC...” și „noile cazuri din cursul anului care au generat un răspuns pozitiv în bazele de date ale Europol” este mai mare de 0,90; ținta = 26) </w:t>
            </w:r>
          </w:p>
          <w:p>
            <w:pPr>
              <w:pStyle w:val="Text1"/>
              <w:numPr>
                <w:ilvl w:val="0"/>
                <w:numId w:val="21"/>
              </w:numPr>
              <w:rPr>
                <w:noProof/>
                <w:szCs w:val="24"/>
              </w:rPr>
            </w:pPr>
            <w:r>
              <w:rPr>
                <w:noProof/>
              </w:rPr>
              <w:t xml:space="preserve">Autoritățile de aplicare a legii </w:t>
            </w:r>
            <w:r>
              <w:rPr>
                <w:b/>
                <w:noProof/>
              </w:rPr>
              <w:t>au furnizat Europol informații</w:t>
            </w:r>
            <w:r>
              <w:rPr>
                <w:noProof/>
              </w:rPr>
              <w:t xml:space="preserve"> despre cazuri transfrontaliere în jumătate din cazuri (numărul de state membre pentru care raportul dintre „furnizarea de informații către Europol prin intermediul SIENA sau prin alte mijloace” și „numărul de cazuri noi în cursul anului care au generat un răspuns pozitiv în baza de date a Europol” este mai mare de 50 %; nivelul de referință = 5; ținta = 26)</w:t>
            </w:r>
          </w:p>
          <w:p>
            <w:pPr>
              <w:pStyle w:val="Text1"/>
              <w:numPr>
                <w:ilvl w:val="0"/>
                <w:numId w:val="21"/>
              </w:numPr>
              <w:rPr>
                <w:noProof/>
                <w:szCs w:val="24"/>
              </w:rPr>
            </w:pPr>
            <w:r>
              <w:rPr>
                <w:noProof/>
              </w:rPr>
              <w:t xml:space="preserve">Informațiile privind toate persoanele condamnate pentru o infracțiune în cursul anului au fost </w:t>
            </w:r>
            <w:r>
              <w:rPr>
                <w:b/>
                <w:noProof/>
              </w:rPr>
              <w:t>comunicate statelor membre și Europol</w:t>
            </w:r>
            <w:r>
              <w:rPr>
                <w:noProof/>
              </w:rPr>
              <w:t xml:space="preserve"> în sistemul informațional Europol (raportul dintre „înregistrările încărcate sau actualizate în SIE în cursul anului” și numărul de persoane condamnate publicat de Eurostat; ținta = 100 %)</w:t>
            </w:r>
          </w:p>
          <w:p>
            <w:pPr>
              <w:pStyle w:val="Text1"/>
              <w:ind w:left="0"/>
              <w:rPr>
                <w:noProof/>
                <w:szCs w:val="24"/>
                <w:u w:val="single"/>
              </w:rPr>
            </w:pPr>
            <w:r>
              <w:rPr>
                <w:noProof/>
                <w:u w:val="single"/>
              </w:rPr>
              <w:t>Obiectivul specific 2:</w:t>
            </w:r>
          </w:p>
          <w:p>
            <w:pPr>
              <w:pStyle w:val="Text1"/>
              <w:numPr>
                <w:ilvl w:val="0"/>
                <w:numId w:val="21"/>
              </w:numPr>
              <w:spacing w:after="0"/>
              <w:rPr>
                <w:noProof/>
                <w:szCs w:val="24"/>
              </w:rPr>
            </w:pPr>
            <w:r>
              <w:rPr>
                <w:noProof/>
              </w:rPr>
              <w:t>Mărirea ponderii investigațiilor transfrontaliere care beneficiază de sprijinul operațional, analitic sau tehnic al Europol.</w:t>
            </w:r>
          </w:p>
          <w:p>
            <w:pPr>
              <w:pStyle w:val="Text1"/>
              <w:spacing w:before="0"/>
              <w:ind w:left="360"/>
              <w:rPr>
                <w:i/>
                <w:noProof/>
                <w:szCs w:val="24"/>
              </w:rPr>
            </w:pPr>
            <w:r>
              <w:rPr>
                <w:i/>
                <w:noProof/>
              </w:rPr>
              <w:t>(ținta: +30 %)</w:t>
            </w:r>
          </w:p>
          <w:p>
            <w:pPr>
              <w:pStyle w:val="Text1"/>
              <w:numPr>
                <w:ilvl w:val="0"/>
                <w:numId w:val="21"/>
              </w:numPr>
              <w:rPr>
                <w:noProof/>
                <w:szCs w:val="24"/>
              </w:rPr>
            </w:pPr>
            <w:r>
              <w:rPr>
                <w:noProof/>
              </w:rPr>
              <w:t xml:space="preserve">Reducerea timpului mediu dintre primirea informațiilor operaționale de către Europol și diseminarea rezultatelor analitice către statele membre </w:t>
            </w:r>
            <w:r>
              <w:rPr>
                <w:noProof/>
              </w:rPr>
              <w:br/>
            </w:r>
            <w:r>
              <w:rPr>
                <w:i/>
                <w:noProof/>
              </w:rPr>
              <w:t>(ținta: &lt; 24 de ore</w:t>
            </w:r>
            <w:r>
              <w:rPr>
                <w:noProof/>
              </w:rPr>
              <w:t>)</w:t>
            </w:r>
          </w:p>
          <w:p>
            <w:pPr>
              <w:pStyle w:val="Text1"/>
              <w:numPr>
                <w:ilvl w:val="0"/>
                <w:numId w:val="21"/>
              </w:numPr>
              <w:spacing w:after="0"/>
              <w:rPr>
                <w:noProof/>
                <w:szCs w:val="24"/>
              </w:rPr>
            </w:pPr>
            <w:r>
              <w:rPr>
                <w:noProof/>
              </w:rPr>
              <w:t>Sporirea numărului de investigații care implică probe digitale sprijinite prin capacitățile analitice și criminalistice digitale ale Europol</w:t>
            </w:r>
          </w:p>
          <w:p>
            <w:pPr>
              <w:pStyle w:val="Text1"/>
              <w:spacing w:before="0"/>
              <w:ind w:left="360"/>
              <w:rPr>
                <w:i/>
                <w:noProof/>
                <w:szCs w:val="24"/>
              </w:rPr>
            </w:pPr>
            <w:r>
              <w:rPr>
                <w:i/>
                <w:noProof/>
              </w:rPr>
              <w:t>(ținta: +50 %)</w:t>
            </w:r>
          </w:p>
          <w:p>
            <w:pPr>
              <w:pStyle w:val="Text1"/>
              <w:numPr>
                <w:ilvl w:val="0"/>
                <w:numId w:val="21"/>
              </w:numPr>
              <w:spacing w:after="0"/>
              <w:rPr>
                <w:noProof/>
                <w:szCs w:val="24"/>
              </w:rPr>
            </w:pPr>
            <w:r>
              <w:rPr>
                <w:noProof/>
              </w:rPr>
              <w:t xml:space="preserve">Sporirea numărului sau a valorii investigațiilor financiare, a urmăririi activelor sau a cazurilor de recuperare a activelor sprijinite de Europol. </w:t>
            </w:r>
            <w:r>
              <w:rPr>
                <w:noProof/>
              </w:rPr>
              <w:br/>
            </w:r>
            <w:r>
              <w:rPr>
                <w:i/>
                <w:noProof/>
              </w:rPr>
              <w:t>(ținta: +40 %)</w:t>
            </w:r>
          </w:p>
          <w:p>
            <w:pPr>
              <w:pStyle w:val="Text1"/>
              <w:numPr>
                <w:ilvl w:val="0"/>
                <w:numId w:val="21"/>
              </w:numPr>
              <w:spacing w:after="0"/>
              <w:rPr>
                <w:noProof/>
                <w:szCs w:val="24"/>
              </w:rPr>
            </w:pPr>
            <w:r>
              <w:rPr>
                <w:noProof/>
              </w:rPr>
              <w:t>Numărul de cazuri în care Europol prezintă birourilor de indisponibilizare a activelor din statele membre propuneri de măsuri urgente de indisponibilizare sau de conservare a activelor.</w:t>
            </w:r>
          </w:p>
          <w:p>
            <w:pPr>
              <w:pStyle w:val="Text1"/>
              <w:numPr>
                <w:ilvl w:val="0"/>
                <w:numId w:val="21"/>
              </w:numPr>
              <w:spacing w:after="0"/>
              <w:rPr>
                <w:noProof/>
                <w:szCs w:val="24"/>
              </w:rPr>
            </w:pPr>
            <w:r>
              <w:rPr>
                <w:noProof/>
              </w:rPr>
              <w:t xml:space="preserve">Sporirea numărului de legături operaționale identificate de Europol între investigațiile desfășurate în diferite state membre. </w:t>
            </w:r>
          </w:p>
          <w:p>
            <w:pPr>
              <w:pStyle w:val="Text1"/>
              <w:spacing w:before="0"/>
              <w:ind w:left="360"/>
              <w:rPr>
                <w:i/>
                <w:noProof/>
                <w:szCs w:val="24"/>
              </w:rPr>
            </w:pPr>
            <w:r>
              <w:rPr>
                <w:i/>
                <w:noProof/>
              </w:rPr>
              <w:t>(ținta: +40 %)</w:t>
            </w:r>
          </w:p>
          <w:p>
            <w:pPr>
              <w:pStyle w:val="Text1"/>
              <w:numPr>
                <w:ilvl w:val="0"/>
                <w:numId w:val="21"/>
              </w:numPr>
              <w:spacing w:after="0"/>
              <w:rPr>
                <w:noProof/>
                <w:szCs w:val="24"/>
              </w:rPr>
            </w:pPr>
            <w:r>
              <w:rPr>
                <w:noProof/>
              </w:rPr>
              <w:t>Sporirea numărului de investigații naționale sprijinite direct prin intermediul birourilor de sprijin Europol.</w:t>
            </w:r>
          </w:p>
          <w:p>
            <w:pPr>
              <w:pStyle w:val="Text1"/>
              <w:numPr>
                <w:ilvl w:val="0"/>
                <w:numId w:val="21"/>
              </w:numPr>
              <w:spacing w:after="0"/>
              <w:rPr>
                <w:noProof/>
                <w:szCs w:val="24"/>
              </w:rPr>
            </w:pPr>
            <w:r>
              <w:rPr>
                <w:noProof/>
              </w:rPr>
              <w:t>Mărirea ponderii cazurilor tratate de EPPO care necesită sprijin analitic și care beneficiază de asistența Europol.</w:t>
            </w:r>
          </w:p>
          <w:p>
            <w:pPr>
              <w:pStyle w:val="Text1"/>
              <w:spacing w:before="0"/>
              <w:ind w:left="360"/>
              <w:rPr>
                <w:noProof/>
                <w:szCs w:val="24"/>
              </w:rPr>
            </w:pPr>
            <w:r>
              <w:rPr>
                <w:noProof/>
              </w:rPr>
              <w:t>(ținta: 90 %)</w:t>
            </w:r>
          </w:p>
          <w:p>
            <w:pPr>
              <w:pStyle w:val="Text1"/>
              <w:spacing w:before="240"/>
              <w:ind w:left="0"/>
              <w:rPr>
                <w:noProof/>
                <w:szCs w:val="24"/>
                <w:u w:val="single"/>
              </w:rPr>
            </w:pPr>
            <w:r>
              <w:rPr>
                <w:noProof/>
                <w:u w:val="single"/>
              </w:rPr>
              <w:t>Obiectivul specific 3:</w:t>
            </w:r>
          </w:p>
          <w:p>
            <w:pPr>
              <w:pStyle w:val="Text1"/>
              <w:numPr>
                <w:ilvl w:val="0"/>
                <w:numId w:val="21"/>
              </w:numPr>
              <w:spacing w:after="0"/>
              <w:rPr>
                <w:noProof/>
                <w:szCs w:val="24"/>
              </w:rPr>
            </w:pPr>
            <w:r>
              <w:rPr>
                <w:noProof/>
              </w:rPr>
              <w:t>Numărul de lacune în materie de capacități și de priorități în materie de dezvoltare tehnologică identificate prin Cadrul de analiză prospectivă și de dezvoltare a capacităților care conduc la acțiuni subsecvente concrete la nivelul Uniunii sau al statelor membre.</w:t>
            </w:r>
          </w:p>
          <w:p>
            <w:pPr>
              <w:pStyle w:val="Text1"/>
              <w:spacing w:before="0"/>
              <w:ind w:left="360"/>
              <w:rPr>
                <w:i/>
                <w:noProof/>
                <w:szCs w:val="24"/>
              </w:rPr>
            </w:pPr>
            <w:r>
              <w:rPr>
                <w:i/>
                <w:noProof/>
              </w:rPr>
              <w:t>(ținta: 10 acțiuni/an)</w:t>
            </w:r>
          </w:p>
          <w:p>
            <w:pPr>
              <w:pStyle w:val="Text1"/>
              <w:numPr>
                <w:ilvl w:val="0"/>
                <w:numId w:val="21"/>
              </w:numPr>
              <w:spacing w:after="0"/>
              <w:rPr>
                <w:noProof/>
                <w:szCs w:val="24"/>
              </w:rPr>
            </w:pPr>
            <w:r>
              <w:rPr>
                <w:noProof/>
              </w:rPr>
              <w:t>Numărul de capacități avansate sau de soluții tehnologice puse la dispoziție de Europol pentru utilizare operațională de către statele membre.</w:t>
            </w:r>
          </w:p>
          <w:p>
            <w:pPr>
              <w:pStyle w:val="Text1"/>
              <w:spacing w:before="0"/>
              <w:ind w:left="360"/>
              <w:rPr>
                <w:i/>
                <w:noProof/>
                <w:szCs w:val="24"/>
              </w:rPr>
            </w:pPr>
            <w:r>
              <w:rPr>
                <w:i/>
                <w:noProof/>
              </w:rPr>
              <w:t>(ținta: 5/an)</w:t>
            </w:r>
          </w:p>
          <w:p>
            <w:pPr>
              <w:pStyle w:val="Text1"/>
              <w:numPr>
                <w:ilvl w:val="0"/>
                <w:numId w:val="21"/>
              </w:numPr>
              <w:spacing w:after="0"/>
              <w:rPr>
                <w:noProof/>
                <w:szCs w:val="24"/>
              </w:rPr>
            </w:pPr>
            <w:r>
              <w:rPr>
                <w:noProof/>
              </w:rPr>
              <w:t>Numărul de activități de formare specializată sprijinite de Europol privind tehnologiile avansate, investigațiile digitale și capacitățile criminalistice.</w:t>
            </w:r>
          </w:p>
          <w:p>
            <w:pPr>
              <w:pStyle w:val="Text1"/>
              <w:spacing w:before="0"/>
              <w:ind w:left="360"/>
              <w:rPr>
                <w:i/>
                <w:noProof/>
                <w:szCs w:val="24"/>
              </w:rPr>
            </w:pPr>
            <w:r>
              <w:rPr>
                <w:i/>
                <w:noProof/>
              </w:rPr>
              <w:t>(ținta: 6/an)</w:t>
            </w:r>
          </w:p>
        </w:tc>
      </w:tr>
    </w:tbl>
    <w:p>
      <w:pPr>
        <w:pStyle w:val="ManualHeading2"/>
        <w:rPr>
          <w:noProof/>
        </w:rPr>
      </w:pPr>
      <w:bookmarkStart w:id="17" w:name="_Toc230120339"/>
      <w:r>
        <w:rPr>
          <w:noProof/>
        </w:rPr>
        <w:t>1.4.</w:t>
      </w:r>
      <w:r>
        <w:rPr>
          <w:noProof/>
        </w:rPr>
        <w:tab/>
        <w:t>Propunerea/inițiativa vizează:</w:t>
      </w:r>
      <w:bookmarkEnd w:id="17"/>
      <w:r>
        <w:rPr>
          <w:noProof/>
        </w:rPr>
        <w:t xml:space="preserve"> </w:t>
      </w:r>
    </w:p>
    <w:p>
      <w:pPr>
        <w:pStyle w:val="Text1"/>
        <w:rPr>
          <w:noProof/>
          <w:sz w:val="22"/>
        </w:rPr>
      </w:pPr>
      <w:r>
        <w:rPr>
          <w:rFonts w:ascii="Wingdings" w:hAnsi="Wingdings"/>
          <w:noProof/>
          <w:sz w:val="22"/>
        </w:rPr>
        <w:t></w:t>
      </w:r>
      <w:r>
        <w:rPr>
          <w:i/>
          <w:noProof/>
          <w:sz w:val="22"/>
        </w:rPr>
        <w:t xml:space="preserve"> </w:t>
      </w:r>
      <w:r>
        <w:rPr>
          <w:noProof/>
        </w:rPr>
        <w:t>o acțiune nouă</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86"/>
      </w:r>
      <w:r>
        <w:rPr>
          <w:noProof/>
          <w:sz w:val="22"/>
        </w:rPr>
        <w:t xml:space="preserve"> </w:t>
      </w:r>
    </w:p>
    <w:p>
      <w:pPr>
        <w:pStyle w:val="Text1"/>
        <w:rPr>
          <w:noProof/>
          <w:sz w:val="22"/>
        </w:rPr>
      </w:pPr>
      <w:r>
        <w:rPr>
          <w:rFonts w:ascii="Wingdings" w:hAnsi="Wingdings"/>
          <w:noProof/>
          <w:sz w:val="22"/>
        </w:rPr>
        <w:t></w:t>
      </w:r>
      <w:r>
        <w:rPr>
          <w:noProof/>
        </w:rPr>
        <w:t xml:space="preserve"> </w:t>
      </w:r>
      <w:r>
        <w:rPr>
          <w:noProof/>
          <w:sz w:val="22"/>
        </w:rPr>
        <w:t>p</w:t>
      </w:r>
      <w:r>
        <w:rPr>
          <w:noProof/>
        </w:rPr>
        <w:t>relungirea unei acțiuni existente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o fuziune sau o redirecționare a uneia sau mai multor acțiuni către o altă/o nouă acțiune</w:t>
      </w:r>
    </w:p>
    <w:p>
      <w:pPr>
        <w:pStyle w:val="ManualHeading2"/>
        <w:rPr>
          <w:noProof/>
          <w:szCs w:val="24"/>
        </w:rPr>
      </w:pPr>
      <w:bookmarkStart w:id="18" w:name="_Toc230120340"/>
      <w:r>
        <w:rPr>
          <w:noProof/>
        </w:rPr>
        <w:t>1.5.</w:t>
      </w:r>
      <w:r>
        <w:rPr>
          <w:noProof/>
        </w:rPr>
        <w:tab/>
        <w:t>Motivele propunerii/inițiativei</w:t>
      </w:r>
      <w:bookmarkEnd w:id="18"/>
      <w:r>
        <w:rPr>
          <w:noProof/>
        </w:rPr>
        <w:t xml:space="preserve"> </w:t>
      </w:r>
    </w:p>
    <w:p>
      <w:pPr>
        <w:pStyle w:val="ManualHeading3"/>
        <w:rPr>
          <w:noProof/>
        </w:rPr>
      </w:pPr>
      <w:bookmarkStart w:id="19" w:name="_Toc79CD74D7AA844678943C2A12D69D7C35"/>
      <w:r>
        <w:rPr>
          <w:noProof/>
        </w:rPr>
        <w:t>1.5.1.</w:t>
      </w:r>
      <w:r>
        <w:rPr>
          <w:noProof/>
        </w:rPr>
        <w:tab/>
        <w:t>Cerința (cerințele) care trebuie îndeplinită (îndeplinite) pe termen scurt sau lung, inclusiv un calendar detaliat pentru punerea în aplicare a inițiativei</w:t>
      </w:r>
      <w:bookmarkEnd w:id="19"/>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rPr>
            </w:pPr>
            <w:r>
              <w:rPr>
                <w:noProof/>
              </w:rPr>
              <w:t>Punerea în aplicare a inițiativei legislative va necesita implementarea progresivă a unor măsuri juridice, organizatorice, operaționale și tehnologice la nivelul Uniunii și la nivel național. Implementarea ar trebui să înceapă odată cu intrarea în vigoare și aplicarea regulamentului și va necesita o extindere treptată a resurselor, în special a resurselor umane și TIC, în concordanță cu cererea tot mai mare de servicii și capacități ale Europol.</w:t>
            </w:r>
          </w:p>
          <w:p>
            <w:pPr>
              <w:pStyle w:val="Text1"/>
              <w:ind w:left="0"/>
              <w:rPr>
                <w:noProof/>
              </w:rPr>
            </w:pPr>
            <w:r>
              <w:rPr>
                <w:noProof/>
              </w:rPr>
              <w:t>Punerea în aplicare va necesita, în special: (i) adoptarea legislației terțiare și a standardelor tehnice; (ii) instituirea unor noi structuri de guvernanță, de sprijin operațional și de dezvoltare a capacităților în cadrul Europol; (iii) investiții majore în infrastructuri analitice și de gestionare a informațiilor sigure, interoperabile și bazate pe cloud; (iv) dezvoltarea și implementarea progresivă a unor capacități avansate de analiză, bazate pe inteligență artificială și criminalistică digitală și (v) integrarea serviciilor, a sistemelor și a sprijinului operațional ale Europol în fluxurile de lucru naționale în materie de investigații și în mecanismele transfrontaliere de cooperare în materie de aplicare a legii.</w:t>
            </w:r>
          </w:p>
          <w:p>
            <w:pPr>
              <w:pStyle w:val="Text1"/>
              <w:ind w:left="0"/>
              <w:rPr>
                <w:noProof/>
              </w:rPr>
            </w:pPr>
            <w:r>
              <w:rPr>
                <w:noProof/>
              </w:rPr>
              <w:t>Punerea în aplicare va necesita, de asemenea, o cooperare consolidată și acorduri de lucru actualizate între Europol și organele și agențiile relevante ale Uniunii, în special Parchetul European.</w:t>
            </w:r>
          </w:p>
          <w:p>
            <w:pPr>
              <w:pStyle w:val="Text1"/>
              <w:ind w:left="0"/>
              <w:rPr>
                <w:noProof/>
              </w:rPr>
            </w:pPr>
            <w:r>
              <w:rPr>
                <w:noProof/>
              </w:rPr>
              <w:t>Obiectivele de etapă orientative sunt calculate începând cu anul intrării în vigoare a noului regulament și sunt menționate ca A.</w:t>
            </w:r>
          </w:p>
          <w:p>
            <w:pPr>
              <w:pStyle w:val="Text1"/>
              <w:ind w:left="0"/>
              <w:rPr>
                <w:noProof/>
              </w:rPr>
            </w:pPr>
            <w:r>
              <w:rPr>
                <w:noProof/>
              </w:rPr>
              <w:t>Comisia:</w:t>
            </w:r>
          </w:p>
          <w:p>
            <w:pPr>
              <w:pStyle w:val="Tiret0"/>
              <w:rPr>
                <w:rFonts w:eastAsiaTheme="minorHAnsi"/>
                <w:noProof/>
              </w:rPr>
            </w:pPr>
            <w:r>
              <w:rPr>
                <w:b/>
                <w:noProof/>
              </w:rPr>
              <w:t>A+1</w:t>
            </w:r>
            <w:r>
              <w:rPr>
                <w:noProof/>
              </w:rPr>
              <w:t xml:space="preserve"> și anii următori: adoptarea legislației terțiare, în special în ceea ce privește centrul de informații (SO1).</w:t>
            </w:r>
          </w:p>
          <w:p>
            <w:pPr>
              <w:pStyle w:val="Text1"/>
              <w:ind w:left="0"/>
              <w:rPr>
                <w:noProof/>
              </w:rPr>
            </w:pPr>
            <w:r>
              <w:rPr>
                <w:noProof/>
              </w:rPr>
              <w:t>Măsuri organizatorice, operaționale și de guvernanță ale Europol:</w:t>
            </w:r>
          </w:p>
          <w:p>
            <w:pPr>
              <w:pStyle w:val="Tiret0"/>
              <w:rPr>
                <w:noProof/>
              </w:rPr>
            </w:pPr>
            <w:r>
              <w:rPr>
                <w:b/>
                <w:noProof/>
              </w:rPr>
              <w:t>A:</w:t>
            </w:r>
            <w:r>
              <w:rPr>
                <w:noProof/>
              </w:rPr>
              <w:t xml:space="preserve"> instituirea grupurilor consultative și de coordonare pentru TIC și gestionarea informațiilor, a Grupului consultativ pentru capacități și inovare și a Comitetului executiv.</w:t>
            </w:r>
          </w:p>
          <w:p>
            <w:pPr>
              <w:pStyle w:val="Tiret0"/>
              <w:rPr>
                <w:noProof/>
              </w:rPr>
            </w:pPr>
            <w:r>
              <w:rPr>
                <w:b/>
                <w:noProof/>
              </w:rPr>
              <w:t>A:</w:t>
            </w:r>
            <w:r>
              <w:rPr>
                <w:noProof/>
              </w:rPr>
              <w:t xml:space="preserve"> instituirea unei capacități operaționale dedicate care să sprijine cazurile legate de EPPO.</w:t>
            </w:r>
          </w:p>
          <w:p>
            <w:pPr>
              <w:pStyle w:val="Tiret0"/>
              <w:rPr>
                <w:noProof/>
              </w:rPr>
            </w:pPr>
            <w:r>
              <w:rPr>
                <w:b/>
                <w:noProof/>
              </w:rPr>
              <w:t>A+3:</w:t>
            </w:r>
            <w:r>
              <w:rPr>
                <w:noProof/>
              </w:rPr>
              <w:t xml:space="preserve"> capacitate de sprijin operațional a EPPO structurată și dotată cu personal suficient. </w:t>
            </w:r>
          </w:p>
          <w:p>
            <w:pPr>
              <w:pStyle w:val="Tiret0"/>
              <w:rPr>
                <w:noProof/>
              </w:rPr>
            </w:pPr>
            <w:r>
              <w:rPr>
                <w:b/>
                <w:noProof/>
              </w:rPr>
              <w:t>A:</w:t>
            </w:r>
            <w:r>
              <w:rPr>
                <w:noProof/>
              </w:rPr>
              <w:t xml:space="preserve"> devin aplicabile norme simplificate privind clasificarea persoanelor vizate.</w:t>
            </w:r>
          </w:p>
          <w:p>
            <w:pPr>
              <w:pStyle w:val="Tiret0"/>
              <w:rPr>
                <w:noProof/>
              </w:rPr>
            </w:pPr>
            <w:r>
              <w:rPr>
                <w:b/>
                <w:noProof/>
              </w:rPr>
              <w:t>A:</w:t>
            </w:r>
            <w:r>
              <w:rPr>
                <w:noProof/>
              </w:rPr>
              <w:t xml:space="preserve"> înființarea centrelor specializate ale Uniunii, a Serviciului operațional și de analiză (SO2) și a Serviciului pentru capacități și inovare (SO3), inclusiv adoptarea de către Consiliul de administrație a normelor de punere în aplicare corespunzătoare.</w:t>
            </w:r>
          </w:p>
          <w:p>
            <w:pPr>
              <w:pStyle w:val="Tiret0"/>
              <w:rPr>
                <w:noProof/>
              </w:rPr>
            </w:pPr>
            <w:r>
              <w:rPr>
                <w:b/>
                <w:noProof/>
              </w:rPr>
              <w:t>A+3:</w:t>
            </w:r>
            <w:r>
              <w:rPr>
                <w:noProof/>
              </w:rPr>
              <w:t xml:space="preserve"> dotarea cu personal suficient a centrelor specializate ale Uniunii, a Serviciului operațional și de analiză (SO2) și a Serviciului pentru capacități și inovare (SO3).</w:t>
            </w:r>
          </w:p>
          <w:p>
            <w:pPr>
              <w:pStyle w:val="Tiret0"/>
              <w:rPr>
                <w:noProof/>
              </w:rPr>
            </w:pPr>
            <w:r>
              <w:rPr>
                <w:b/>
                <w:noProof/>
              </w:rPr>
              <w:t>A:</w:t>
            </w:r>
            <w:r>
              <w:rPr>
                <w:noProof/>
              </w:rPr>
              <w:t xml:space="preserve"> înființarea birourilor de sprijin Europol în statele membre.</w:t>
            </w:r>
          </w:p>
          <w:p>
            <w:pPr>
              <w:pStyle w:val="Tiret0"/>
              <w:rPr>
                <w:noProof/>
              </w:rPr>
            </w:pPr>
            <w:r>
              <w:rPr>
                <w:b/>
                <w:noProof/>
              </w:rPr>
              <w:t>Din A+1 până în A+3:</w:t>
            </w:r>
            <w:r>
              <w:rPr>
                <w:noProof/>
              </w:rPr>
              <w:t xml:space="preserve"> personal detașat la Biroul național de sprijin Europol.</w:t>
            </w:r>
          </w:p>
          <w:p>
            <w:pPr>
              <w:pStyle w:val="Tiret0"/>
              <w:rPr>
                <w:noProof/>
              </w:rPr>
            </w:pPr>
            <w:r>
              <w:rPr>
                <w:b/>
                <w:noProof/>
              </w:rPr>
              <w:t>Din A+1 până în A+3:</w:t>
            </w:r>
            <w:r>
              <w:rPr>
                <w:noProof/>
              </w:rPr>
              <w:t xml:space="preserve"> actualizarea acordurilor de lucru relevante dintre Europol și organele Uniunii.</w:t>
            </w:r>
          </w:p>
          <w:p>
            <w:pPr>
              <w:pStyle w:val="Tiret0"/>
              <w:rPr>
                <w:noProof/>
              </w:rPr>
            </w:pPr>
            <w:r>
              <w:rPr>
                <w:b/>
                <w:noProof/>
              </w:rPr>
              <w:t>Din A+3 până în A+4:</w:t>
            </w:r>
            <w:r>
              <w:rPr>
                <w:noProof/>
              </w:rPr>
              <w:t xml:space="preserve"> dezvoltarea progresivă, împreună cu organele relevante ale Uniunii, a unor mecanisme automatizate de verificare încrucișată de tip răspuns pozitiv/răspuns negativ în raport cu datele Europol.</w:t>
            </w:r>
          </w:p>
          <w:p>
            <w:pPr>
              <w:pStyle w:val="Tiret0"/>
              <w:rPr>
                <w:noProof/>
              </w:rPr>
            </w:pPr>
            <w:r>
              <w:rPr>
                <w:b/>
                <w:noProof/>
              </w:rPr>
              <w:t>A+1:</w:t>
            </w:r>
            <w:r>
              <w:rPr>
                <w:noProof/>
              </w:rPr>
              <w:t xml:space="preserve"> dezvoltarea unui sprijin specializat la nivelul UE pentru autoritățile naționale care urmăresc să obțină probe electronice de la furnizorii de servicii online.</w:t>
            </w:r>
          </w:p>
          <w:p>
            <w:pPr>
              <w:pStyle w:val="Text1"/>
              <w:spacing w:before="240"/>
              <w:ind w:left="0"/>
              <w:rPr>
                <w:noProof/>
              </w:rPr>
            </w:pPr>
            <w:r>
              <w:rPr>
                <w:noProof/>
              </w:rPr>
              <w:t>Dezvoltarea capacităților Europol, TIC, inovare:</w:t>
            </w:r>
          </w:p>
          <w:p>
            <w:pPr>
              <w:pStyle w:val="Tiret0"/>
              <w:numPr>
                <w:ilvl w:val="0"/>
                <w:numId w:val="29"/>
              </w:numPr>
              <w:rPr>
                <w:noProof/>
              </w:rPr>
            </w:pPr>
            <w:r>
              <w:rPr>
                <w:b/>
                <w:noProof/>
              </w:rPr>
              <w:t>A+1:</w:t>
            </w:r>
            <w:r>
              <w:rPr>
                <w:noProof/>
              </w:rPr>
              <w:t xml:space="preserve"> instituirea Cadrului de analiză prospectivă și de dezvoltare a capacităților și a capacității centrale de achiziții publice comune pentru componentele tehnice (SO3).</w:t>
            </w:r>
          </w:p>
          <w:p>
            <w:pPr>
              <w:pStyle w:val="Tiret0"/>
              <w:numPr>
                <w:ilvl w:val="0"/>
                <w:numId w:val="29"/>
              </w:numPr>
              <w:rPr>
                <w:noProof/>
              </w:rPr>
            </w:pPr>
            <w:r>
              <w:rPr>
                <w:b/>
                <w:noProof/>
              </w:rPr>
              <w:t>A+2:</w:t>
            </w:r>
            <w:r>
              <w:rPr>
                <w:noProof/>
              </w:rPr>
              <w:t xml:space="preserve"> prima actualizare a standardului UMF sub conducerea Europol și disponibilitatea capacității ADN (SO1).</w:t>
            </w:r>
          </w:p>
          <w:p>
            <w:pPr>
              <w:pStyle w:val="Tiret0"/>
              <w:numPr>
                <w:ilvl w:val="0"/>
                <w:numId w:val="29"/>
              </w:numPr>
              <w:rPr>
                <w:noProof/>
              </w:rPr>
            </w:pPr>
            <w:r>
              <w:rPr>
                <w:b/>
                <w:noProof/>
              </w:rPr>
              <w:t>A+2:</w:t>
            </w:r>
            <w:r>
              <w:rPr>
                <w:noProof/>
              </w:rPr>
              <w:t xml:space="preserve"> crearea unei infrastructuri de cloud hibride scalabile și sigure la nivelul de protecție de bază (BPL), echivalentă cu informațiile sensibile neclasificate.</w:t>
            </w:r>
          </w:p>
          <w:p>
            <w:pPr>
              <w:pStyle w:val="Tiret0"/>
              <w:numPr>
                <w:ilvl w:val="0"/>
                <w:numId w:val="29"/>
              </w:numPr>
              <w:rPr>
                <w:noProof/>
              </w:rPr>
            </w:pPr>
            <w:r>
              <w:rPr>
                <w:b/>
                <w:noProof/>
              </w:rPr>
              <w:t>A+5:</w:t>
            </w:r>
            <w:r>
              <w:rPr>
                <w:noProof/>
              </w:rPr>
              <w:t xml:space="preserve"> extinderea infrastructurii cloud la mediile de informații clasificate.</w:t>
            </w:r>
          </w:p>
          <w:p>
            <w:pPr>
              <w:pStyle w:val="Tiret0"/>
              <w:numPr>
                <w:ilvl w:val="0"/>
                <w:numId w:val="29"/>
              </w:numPr>
              <w:rPr>
                <w:noProof/>
              </w:rPr>
            </w:pPr>
            <w:r>
              <w:rPr>
                <w:b/>
                <w:noProof/>
              </w:rPr>
              <w:t>A+2:</w:t>
            </w:r>
            <w:r>
              <w:rPr>
                <w:noProof/>
              </w:rPr>
              <w:t xml:space="preserve"> primul test de integrare cu un credențial de identitate a poliției naționale.</w:t>
            </w:r>
          </w:p>
          <w:p>
            <w:pPr>
              <w:pStyle w:val="Tiret0"/>
              <w:numPr>
                <w:ilvl w:val="0"/>
                <w:numId w:val="29"/>
              </w:numPr>
              <w:rPr>
                <w:noProof/>
              </w:rPr>
            </w:pPr>
            <w:r>
              <w:rPr>
                <w:b/>
                <w:noProof/>
              </w:rPr>
              <w:t>Din A+3 până în A+5:</w:t>
            </w:r>
            <w:r>
              <w:rPr>
                <w:noProof/>
              </w:rPr>
              <w:t xml:space="preserve"> integrarea progresivă a credențialelor de identitate digitală a poliției naționale.</w:t>
            </w:r>
          </w:p>
          <w:p>
            <w:pPr>
              <w:pStyle w:val="Tiret0"/>
              <w:numPr>
                <w:ilvl w:val="0"/>
                <w:numId w:val="29"/>
              </w:numPr>
              <w:rPr>
                <w:noProof/>
              </w:rPr>
            </w:pPr>
            <w:r>
              <w:rPr>
                <w:b/>
                <w:noProof/>
              </w:rPr>
              <w:t>A+2:</w:t>
            </w:r>
            <w:r>
              <w:rPr>
                <w:noProof/>
              </w:rPr>
              <w:t xml:space="preserve"> migrarea unei prime platforme importante de gestionare a informațiilor și a unor instrumente analitice către infrastructura de cloud.</w:t>
            </w:r>
          </w:p>
          <w:p>
            <w:pPr>
              <w:pStyle w:val="Tiret0"/>
              <w:numPr>
                <w:ilvl w:val="0"/>
                <w:numId w:val="29"/>
              </w:numPr>
              <w:rPr>
                <w:noProof/>
              </w:rPr>
            </w:pPr>
            <w:r>
              <w:rPr>
                <w:b/>
                <w:noProof/>
              </w:rPr>
              <w:t>Din A+3 până în A+5:</w:t>
            </w:r>
            <w:r>
              <w:rPr>
                <w:noProof/>
              </w:rPr>
              <w:t xml:space="preserve"> migrarea progresivă a sistemelor și a instrumentelor analitice ale Europol rămase către infrastructura de cloud la nivelul BPL.</w:t>
            </w:r>
          </w:p>
          <w:p>
            <w:pPr>
              <w:pStyle w:val="Tiret0"/>
              <w:numPr>
                <w:ilvl w:val="0"/>
                <w:numId w:val="29"/>
              </w:numPr>
              <w:rPr>
                <w:noProof/>
              </w:rPr>
            </w:pPr>
            <w:r>
              <w:rPr>
                <w:b/>
                <w:noProof/>
              </w:rPr>
              <w:t>A+6:</w:t>
            </w:r>
            <w:r>
              <w:rPr>
                <w:noProof/>
              </w:rPr>
              <w:t xml:space="preserve"> migrarea sistemelor relevante către medii cloud clasificate.</w:t>
            </w:r>
          </w:p>
          <w:p>
            <w:pPr>
              <w:pStyle w:val="Tiret0"/>
              <w:numPr>
                <w:ilvl w:val="0"/>
                <w:numId w:val="29"/>
              </w:numPr>
              <w:rPr>
                <w:noProof/>
              </w:rPr>
            </w:pPr>
            <w:r>
              <w:rPr>
                <w:b/>
                <w:noProof/>
              </w:rPr>
              <w:t>Din A+1 până în A+6:</w:t>
            </w:r>
            <w:r>
              <w:rPr>
                <w:noProof/>
              </w:rPr>
              <w:t xml:space="preserve"> modernizarea treptată a platformelor analitice și de gestionare a informațiilor de bază, inclusiv a SIENA, a serviciilor de verificare încrucișată și a mediului analitic al Europol, printr-o automatizare sporită, funcționalități bazate pe inteligența artificială, o posibilitate de utilizare îmbunătățită, o performanță sporită, standardizarea datelor și funcționalități biometrice extinse.</w:t>
            </w:r>
          </w:p>
          <w:p>
            <w:pPr>
              <w:pStyle w:val="Tiret0"/>
              <w:numPr>
                <w:ilvl w:val="0"/>
                <w:numId w:val="29"/>
              </w:numPr>
              <w:rPr>
                <w:noProof/>
              </w:rPr>
            </w:pPr>
            <w:r>
              <w:rPr>
                <w:b/>
                <w:noProof/>
              </w:rPr>
              <w:t>A:</w:t>
            </w:r>
            <w:r>
              <w:rPr>
                <w:noProof/>
              </w:rPr>
              <w:t xml:space="preserve"> prima interconectare îmbunătățită cu bazele de date naționale în temeiul Prüm II, utilizând o primă modalitate biometrică.</w:t>
            </w:r>
          </w:p>
          <w:p>
            <w:pPr>
              <w:pStyle w:val="Tiret0"/>
              <w:numPr>
                <w:ilvl w:val="0"/>
                <w:numId w:val="29"/>
              </w:numPr>
              <w:rPr>
                <w:noProof/>
              </w:rPr>
            </w:pPr>
            <w:r>
              <w:rPr>
                <w:b/>
                <w:noProof/>
              </w:rPr>
              <w:t>A+2:</w:t>
            </w:r>
            <w:r>
              <w:rPr>
                <w:noProof/>
              </w:rPr>
              <w:t xml:space="preserve"> extinderea la modalități biometrice suplimentare.</w:t>
            </w:r>
          </w:p>
          <w:p>
            <w:pPr>
              <w:pStyle w:val="Tiret0"/>
              <w:numPr>
                <w:ilvl w:val="0"/>
                <w:numId w:val="29"/>
              </w:numPr>
              <w:rPr>
                <w:noProof/>
              </w:rPr>
            </w:pPr>
            <w:r>
              <w:rPr>
                <w:b/>
                <w:noProof/>
              </w:rPr>
              <w:t>Din A până în A+6:</w:t>
            </w:r>
            <w:r>
              <w:rPr>
                <w:noProof/>
              </w:rPr>
              <w:t xml:space="preserve"> extinderea progresivă a instrumentelor analitice inovatoare și bazate pe IA aflate la dispoziția Europol și a statelor membre.</w:t>
            </w:r>
          </w:p>
          <w:p>
            <w:pPr>
              <w:pStyle w:val="Tiret0"/>
              <w:numPr>
                <w:ilvl w:val="0"/>
                <w:numId w:val="29"/>
              </w:numPr>
              <w:rPr>
                <w:rFonts w:eastAsiaTheme="minorHAnsi"/>
                <w:noProof/>
              </w:rPr>
            </w:pPr>
            <w:r>
              <w:rPr>
                <w:b/>
                <w:noProof/>
              </w:rPr>
              <w:t>Începând cu A:</w:t>
            </w:r>
            <w:r>
              <w:rPr>
                <w:noProof/>
              </w:rPr>
              <w:t xml:space="preserve"> consolidarea progresivă a capacităților de informații din surse deschise (OSINT).</w:t>
            </w:r>
          </w:p>
          <w:p>
            <w:pPr>
              <w:pStyle w:val="Text1"/>
              <w:ind w:left="0"/>
              <w:rPr>
                <w:rFonts w:eastAsiaTheme="minorHAnsi"/>
                <w:noProof/>
              </w:rPr>
            </w:pPr>
            <w:r>
              <w:rPr>
                <w:noProof/>
              </w:rPr>
              <w:t>Statele membre:</w:t>
            </w:r>
          </w:p>
          <w:p>
            <w:pPr>
              <w:pStyle w:val="Tiret0"/>
              <w:rPr>
                <w:noProof/>
              </w:rPr>
            </w:pPr>
            <w:r>
              <w:rPr>
                <w:b/>
                <w:noProof/>
              </w:rPr>
              <w:t>Din A până în A+7</w:t>
            </w:r>
            <w:r>
              <w:rPr>
                <w:noProof/>
              </w:rPr>
              <w:t xml:space="preserve"> (continuu): ajustarea treptată a organizării lor naționale și introducerea sau consolidarea automatizării schimbului de informații cu Europol. </w:t>
            </w:r>
          </w:p>
          <w:p>
            <w:pPr>
              <w:pStyle w:val="Tiret0"/>
              <w:rPr>
                <w:noProof/>
              </w:rPr>
            </w:pPr>
            <w:r>
              <w:rPr>
                <w:b/>
                <w:noProof/>
              </w:rPr>
              <w:t>Din A până în A+7</w:t>
            </w:r>
            <w:r>
              <w:rPr>
                <w:noProof/>
              </w:rPr>
              <w:t xml:space="preserve"> (continuu): modernizarea sistemelor naționale și a fluxurilor de lucru din cadrul anchetelor penale pentru a integra treptat serviciile Europol, instrumentele analitice și standardele de interoperabilitate.</w:t>
            </w:r>
          </w:p>
          <w:p>
            <w:pPr>
              <w:pStyle w:val="Tiret0"/>
              <w:rPr>
                <w:noProof/>
              </w:rPr>
            </w:pPr>
            <w:r>
              <w:rPr>
                <w:b/>
                <w:noProof/>
              </w:rPr>
              <w:t>A+1:</w:t>
            </w:r>
            <w:r>
              <w:rPr>
                <w:noProof/>
              </w:rPr>
              <w:t xml:space="preserve"> primele state membre modernizează credențialele digitale naționale în materie de aplicare a legii în conformitate cu standardele armonizate ale Uniunii.</w:t>
            </w:r>
          </w:p>
          <w:p>
            <w:pPr>
              <w:pStyle w:val="Tiret0"/>
              <w:rPr>
                <w:noProof/>
              </w:rPr>
            </w:pPr>
            <w:r>
              <w:rPr>
                <w:b/>
                <w:noProof/>
              </w:rPr>
              <w:t>Din A+2 până în A+4:</w:t>
            </w:r>
            <w:r>
              <w:rPr>
                <w:noProof/>
              </w:rPr>
              <w:t xml:space="preserve"> eliberarea treptată a cardului de identitate digitală a poliției din UE către investigatorii naționali în materie penală.</w:t>
            </w:r>
          </w:p>
          <w:p>
            <w:pPr>
              <w:pStyle w:val="Tiret0"/>
              <w:rPr>
                <w:noProof/>
              </w:rPr>
            </w:pPr>
            <w:r>
              <w:rPr>
                <w:b/>
                <w:noProof/>
              </w:rPr>
              <w:t>A+6:</w:t>
            </w:r>
            <w:r>
              <w:rPr>
                <w:noProof/>
              </w:rPr>
              <w:t xml:space="preserve"> toate sistemele naționale conectate la Europol necesită autentificarea prealabilă prin intermediul cardului de identitate digitală a poliției din UE.</w:t>
            </w:r>
          </w:p>
          <w:p>
            <w:pPr>
              <w:pStyle w:val="Tiret0"/>
              <w:rPr>
                <w:noProof/>
              </w:rPr>
            </w:pPr>
            <w:r>
              <w:rPr>
                <w:b/>
                <w:noProof/>
              </w:rPr>
              <w:t>A+1:</w:t>
            </w:r>
            <w:r>
              <w:rPr>
                <w:noProof/>
              </w:rPr>
              <w:t xml:space="preserve"> armonizarea punctelor terminale digitale ale investigatorilor pentru a facilita accesul la infrastructura de cloud, platformele și instrumentele poliției din UE.</w:t>
            </w:r>
          </w:p>
          <w:p>
            <w:pPr>
              <w:pStyle w:val="Tiret0"/>
              <w:rPr>
                <w:noProof/>
              </w:rPr>
            </w:pPr>
            <w:r>
              <w:rPr>
                <w:b/>
                <w:noProof/>
              </w:rPr>
              <w:t>A:</w:t>
            </w:r>
            <w:r>
              <w:rPr>
                <w:noProof/>
              </w:rPr>
              <w:t xml:space="preserve"> înființarea și găzduirea birourilor de sprijin Europol de către statele membre.</w:t>
            </w:r>
          </w:p>
          <w:p>
            <w:pPr>
              <w:pStyle w:val="Text1"/>
              <w:ind w:left="0"/>
              <w:rPr>
                <w:noProof/>
              </w:rPr>
            </w:pPr>
            <w:r>
              <w:rPr>
                <w:noProof/>
              </w:rPr>
              <w:t>Organele Uniunii:</w:t>
            </w:r>
          </w:p>
          <w:p>
            <w:pPr>
              <w:pStyle w:val="Tiret0"/>
              <w:numPr>
                <w:ilvl w:val="0"/>
                <w:numId w:val="30"/>
              </w:numPr>
              <w:rPr>
                <w:noProof/>
              </w:rPr>
            </w:pPr>
            <w:r>
              <w:rPr>
                <w:b/>
                <w:noProof/>
              </w:rPr>
              <w:t>Din A+1 până în A+3:</w:t>
            </w:r>
            <w:r>
              <w:rPr>
                <w:noProof/>
              </w:rPr>
              <w:t xml:space="preserve"> actualizarea acordurilor de lucru relevante cu Europol.</w:t>
            </w:r>
          </w:p>
          <w:p>
            <w:pPr>
              <w:pStyle w:val="Tiret0"/>
              <w:numPr>
                <w:ilvl w:val="0"/>
                <w:numId w:val="30"/>
              </w:numPr>
              <w:rPr>
                <w:noProof/>
              </w:rPr>
            </w:pPr>
            <w:r>
              <w:rPr>
                <w:b/>
                <w:noProof/>
              </w:rPr>
              <w:t>A:</w:t>
            </w:r>
            <w:r>
              <w:rPr>
                <w:noProof/>
              </w:rPr>
              <w:t xml:space="preserve"> EPPO trebuie să pună în aplicare treptat măsurile tehnice și organizatorice necesare pentru a sprijini cooperarea operațională consolidată și accesul la sprijinul analitic al Europol.</w:t>
            </w:r>
          </w:p>
          <w:p>
            <w:pPr>
              <w:pStyle w:val="Tiret0"/>
              <w:numPr>
                <w:ilvl w:val="0"/>
                <w:numId w:val="30"/>
              </w:numPr>
              <w:rPr>
                <w:noProof/>
              </w:rPr>
            </w:pPr>
            <w:r>
              <w:rPr>
                <w:b/>
                <w:noProof/>
              </w:rPr>
              <w:t>Din A+3 până în A+4:</w:t>
            </w:r>
            <w:r>
              <w:rPr>
                <w:noProof/>
              </w:rPr>
              <w:t xml:space="preserve"> dezvoltarea progresivă, împreună cu Europol, a unor mecanisme automatizate de verificare încrucișată de tip răspuns pozitiv/răspuns negativ.</w:t>
            </w:r>
          </w:p>
        </w:tc>
      </w:tr>
    </w:tbl>
    <w:p>
      <w:pPr>
        <w:pStyle w:val="Text1"/>
        <w:rPr>
          <w:noProof/>
        </w:rPr>
      </w:pPr>
    </w:p>
    <w:p>
      <w:pPr>
        <w:pStyle w:val="ManualHeading3"/>
        <w:rPr>
          <w:noProof/>
          <w:szCs w:val="24"/>
        </w:rPr>
      </w:pPr>
      <w:bookmarkStart w:id="20" w:name="_Toc230120342"/>
      <w:r>
        <w:rPr>
          <w:noProof/>
        </w:rPr>
        <w:t>1.5.2.</w:t>
      </w:r>
      <w:r>
        <w:rPr>
          <w:noProof/>
        </w:rPr>
        <w:tab/>
        <w:t>Valoarea adăugată a intervenției UE</w:t>
      </w:r>
      <w:bookmarkEnd w:id="20"/>
      <w:r>
        <w:rPr>
          <w:noProof/>
        </w:rPr>
        <w:t xml:space="preserve"> </w:t>
      </w:r>
    </w:p>
    <w:p>
      <w:pPr>
        <w:pStyle w:val="Text1"/>
        <w:pBdr>
          <w:top w:val="single" w:sz="4" w:space="1" w:color="auto"/>
          <w:left w:val="single" w:sz="4" w:space="4" w:color="auto"/>
          <w:bottom w:val="single" w:sz="4" w:space="1" w:color="auto"/>
          <w:right w:val="single" w:sz="4" w:space="4" w:color="auto"/>
        </w:pBdr>
        <w:rPr>
          <w:i/>
          <w:noProof/>
        </w:rPr>
      </w:pPr>
      <w:r>
        <w:rPr>
          <w:i/>
          <w:noProof/>
        </w:rPr>
        <w:t>Valoarea adăugată europeană ex ante:</w:t>
      </w:r>
    </w:p>
    <w:p>
      <w:pPr>
        <w:pStyle w:val="Text1"/>
        <w:pBdr>
          <w:top w:val="single" w:sz="4" w:space="1" w:color="auto"/>
          <w:left w:val="single" w:sz="4" w:space="4" w:color="auto"/>
          <w:bottom w:val="single" w:sz="4" w:space="1" w:color="auto"/>
          <w:right w:val="single" w:sz="4" w:space="4" w:color="auto"/>
        </w:pBdr>
        <w:rPr>
          <w:noProof/>
        </w:rPr>
      </w:pPr>
      <w:r>
        <w:rPr>
          <w:noProof/>
        </w:rPr>
        <w:t>Criminalitatea gravă și organizată și terorismul operează din ce în ce mai mult la nivel transfrontalier, se bazează pe tehnologii și infrastructuri digitale și exploatează diferențele dintre cadrele juridice, operaționale și tehnice de la nivel național. Amploarea, viteza și complexitatea acestor amenințări necesită acțiuni coordonate, sisteme interoperabile și capacități comune la nivelul Uniunii. Acțiunea individuală a statelor membre nu ar fi suficientă pentru a asigura o coordonare operațională transfrontalieră eficace, analiza datelor operative în materie penală la scară largă sau dezvoltarea și implementarea unor capacități tehnologice și analitice avansate în întreaga Uniune.</w:t>
      </w:r>
    </w:p>
    <w:p>
      <w:pPr>
        <w:pStyle w:val="Text1"/>
        <w:pBdr>
          <w:top w:val="single" w:sz="4" w:space="1" w:color="auto"/>
          <w:left w:val="single" w:sz="4" w:space="4" w:color="auto"/>
          <w:bottom w:val="single" w:sz="4" w:space="1" w:color="auto"/>
          <w:right w:val="single" w:sz="4" w:space="4" w:color="auto"/>
        </w:pBdr>
        <w:tabs>
          <w:tab w:val="center" w:pos="4960"/>
        </w:tabs>
        <w:rPr>
          <w:noProof/>
        </w:rPr>
      </w:pPr>
      <w:r>
        <w:rPr>
          <w:i/>
          <w:noProof/>
        </w:rPr>
        <w:t>Valoarea adăugată europeană a cadrului juridic existent:</w:t>
      </w:r>
      <w:r>
        <w:rPr>
          <w:noProof/>
        </w:rPr>
        <w:t xml:space="preserve"> </w:t>
      </w:r>
    </w:p>
    <w:p>
      <w:pPr>
        <w:pStyle w:val="Text1"/>
        <w:pBdr>
          <w:top w:val="single" w:sz="4" w:space="1" w:color="auto"/>
          <w:left w:val="single" w:sz="4" w:space="4" w:color="auto"/>
          <w:bottom w:val="single" w:sz="4" w:space="1" w:color="auto"/>
          <w:right w:val="single" w:sz="4" w:space="4" w:color="auto"/>
        </w:pBdr>
        <w:tabs>
          <w:tab w:val="center" w:pos="4960"/>
        </w:tabs>
        <w:rPr>
          <w:noProof/>
        </w:rPr>
      </w:pPr>
      <w:r>
        <w:rPr>
          <w:noProof/>
        </w:rPr>
        <w:t xml:space="preserve">Evaluarea cadrului juridic actual a confirmat, pe baza unei ample consultări a părților interesate, că Europol oferă o valoare adăugată europeană clară, servind drept platformă centralizată pentru schimbul de date în materie penală și coordonarea operațională transfrontalieră. Infrastructura sa permite schimbul de informații în timp real între statele membre, contribuind la identificarea legăturilor dintre investigații care altfel ar rămâne nedetectate. Fără Europol, cooperarea ar depinde de canale bilaterale mai lente și mai puțin eficace, ceea ce ar îngreuna combaterea rețelelor infracționale transnaționale sofisticate. Părțile interesate sunt de acord cu faptul că sprijinul analitic și de coordonare al Europol îmbunătățește în mod semnificativ eficiența investigațiilor transfrontaliere în comparație cu eforturile pur naționale sau bilaterale. </w:t>
      </w:r>
    </w:p>
    <w:p>
      <w:pPr>
        <w:pStyle w:val="Text1"/>
        <w:pBdr>
          <w:top w:val="single" w:sz="4" w:space="1" w:color="auto"/>
          <w:left w:val="single" w:sz="4" w:space="4" w:color="auto"/>
          <w:bottom w:val="single" w:sz="4" w:space="1" w:color="auto"/>
          <w:right w:val="single" w:sz="4" w:space="4" w:color="auto"/>
        </w:pBdr>
        <w:tabs>
          <w:tab w:val="center" w:pos="4960"/>
        </w:tabs>
        <w:rPr>
          <w:noProof/>
        </w:rPr>
      </w:pPr>
      <w:r>
        <w:rPr>
          <w:noProof/>
        </w:rPr>
        <w:t>Potrivit evaluării, Europol oferă, de asemenea, capacități specializate la nivelul UE, cum ar fi criminalistica digitală, informațiile financiare și expertiza în domeniul criminalității informatice, pe care multe state membre, în special cele mai mici sau cu mai puține resurse, nu le-ar putea dezvolta în mod independent. Această punere în comun a resurselor evită suprapunerile și asigură faptul că toate statele membre beneficiază de instrumente avansate. Studiile de caz arată că implicarea Europol se dovedește adesea esențială în dezmembrarea rețelelor infracționale complexe care acționează în mai multe jurisdicții. În plus, agenția acționează ca un portal unic pentru cooperarea dintre autoritățile de aplicare a legii din UE și cele internaționale, reducând necesitatea încheierii mai multor acorduri bilaterale.</w:t>
      </w:r>
    </w:p>
    <w:p>
      <w:pPr>
        <w:pStyle w:val="Text1"/>
        <w:pBdr>
          <w:top w:val="single" w:sz="4" w:space="1" w:color="auto"/>
          <w:left w:val="single" w:sz="4" w:space="4" w:color="auto"/>
          <w:bottom w:val="single" w:sz="4" w:space="1" w:color="auto"/>
          <w:right w:val="single" w:sz="4" w:space="4" w:color="auto"/>
        </w:pBdr>
        <w:tabs>
          <w:tab w:val="center" w:pos="4960"/>
        </w:tabs>
        <w:rPr>
          <w:i/>
          <w:noProof/>
        </w:rPr>
      </w:pPr>
      <w:r>
        <w:rPr>
          <w:i/>
          <w:noProof/>
        </w:rPr>
        <w:t>Valoarea adăugată europeană a acțiunii propuse</w:t>
      </w:r>
    </w:p>
    <w:p>
      <w:pPr>
        <w:pStyle w:val="Text1"/>
        <w:pBdr>
          <w:top w:val="single" w:sz="4" w:space="1" w:color="auto"/>
          <w:left w:val="single" w:sz="4" w:space="4" w:color="auto"/>
          <w:bottom w:val="single" w:sz="4" w:space="1" w:color="auto"/>
          <w:right w:val="single" w:sz="4" w:space="4" w:color="auto"/>
        </w:pBdr>
        <w:tabs>
          <w:tab w:val="center" w:pos="4960"/>
        </w:tabs>
        <w:rPr>
          <w:noProof/>
        </w:rPr>
      </w:pPr>
      <w:r>
        <w:rPr>
          <w:noProof/>
        </w:rPr>
        <w:t>Acțiunea propusă oferă o valoare adăugată clară la nivelul Uniunii prin stabilirea unor cadre operaționale, tehnice și de interoperabilitate comune care nu pot fi dezvoltate în mod eficace prin măsuri naționale izolate sau prin acorduri de cooperare bilaterală. În special, elaborarea unor standarde armonizate pentru credențialele digitale în materie de aplicare a legii, punctele terminale digitale, formatele de date și fluxurile de date în cadrul investigațiilor necesită o coordonare la nivelul Uniunii pentru a asigura interoperabilitatea, schimbul securizat de informații și coerența investigațiilor transfrontaliere între statele membre și organele relevante ale Uniunii.</w:t>
      </w:r>
    </w:p>
    <w:p>
      <w:pPr>
        <w:pStyle w:val="Text1"/>
        <w:pBdr>
          <w:top w:val="single" w:sz="4" w:space="1" w:color="auto"/>
          <w:left w:val="single" w:sz="4" w:space="4" w:color="auto"/>
          <w:bottom w:val="single" w:sz="4" w:space="1" w:color="auto"/>
          <w:right w:val="single" w:sz="4" w:space="4" w:color="auto"/>
        </w:pBdr>
        <w:tabs>
          <w:tab w:val="center" w:pos="4960"/>
        </w:tabs>
        <w:rPr>
          <w:noProof/>
        </w:rPr>
      </w:pPr>
      <w:r>
        <w:rPr>
          <w:noProof/>
        </w:rPr>
        <w:t>Propunerea oferă, de asemenea, valoare adăugată prin faptul că permite acordarea de sprijin operațional la nivelul Uniunii, precum și mecanisme de coordonare și de verificare încrucișată bazate pe datele și sistemele de informații ale Europol. Îmbunătățirea accesului la capacitățile Europol și utilizarea operațională a acestora de către statele membre și organele relevante ale Uniunii, în special EPPO, pot, prin natura lor, să fie organizate în mod eficace numai la nivelul Uniunii.</w:t>
      </w:r>
    </w:p>
    <w:p>
      <w:pPr>
        <w:pStyle w:val="Text1"/>
        <w:pBdr>
          <w:top w:val="single" w:sz="4" w:space="1" w:color="auto"/>
          <w:left w:val="single" w:sz="4" w:space="4" w:color="auto"/>
          <w:bottom w:val="single" w:sz="4" w:space="1" w:color="auto"/>
          <w:right w:val="single" w:sz="4" w:space="4" w:color="auto"/>
        </w:pBdr>
        <w:tabs>
          <w:tab w:val="center" w:pos="4960"/>
        </w:tabs>
        <w:rPr>
          <w:noProof/>
        </w:rPr>
      </w:pPr>
      <w:r>
        <w:rPr>
          <w:noProof/>
        </w:rPr>
        <w:t>În plus, propunerea generează economii de scară prin punerea în comun a capacităților tehnologice, analitice și criminalistice digitale avansate la nivelul Uniunii, inclusiv a instrumentelor bazate pe inteligența artificială, a infrastructurilor de cloud securizate, a tehnologiilor criminalistice avansate și a mecanismelor de achiziții publice comune. Acest lucru reduce dublarea investițiilor și fragmentarea operațională între statele membre și permite dezvoltarea și implementarea capacităților într-un mod mai eficient și la costuri mai mici decât prin soluții naționale paralele.</w:t>
      </w:r>
    </w:p>
    <w:p>
      <w:pPr>
        <w:pStyle w:val="Text1"/>
        <w:pBdr>
          <w:top w:val="single" w:sz="4" w:space="1" w:color="auto"/>
          <w:left w:val="single" w:sz="4" w:space="4" w:color="auto"/>
          <w:bottom w:val="single" w:sz="4" w:space="1" w:color="auto"/>
          <w:right w:val="single" w:sz="4" w:space="4" w:color="auto"/>
        </w:pBdr>
        <w:rPr>
          <w:noProof/>
        </w:rPr>
      </w:pPr>
      <w:r>
        <w:rPr>
          <w:noProof/>
        </w:rPr>
        <w:t>.</w:t>
      </w:r>
    </w:p>
    <w:p>
      <w:pPr>
        <w:pStyle w:val="ManualHeading3"/>
        <w:rPr>
          <w:noProof/>
        </w:rPr>
      </w:pPr>
      <w:bookmarkStart w:id="21" w:name="_Toc5A33F369C88F47FAB000EB978337D3A3"/>
      <w:r>
        <w:rPr>
          <w:noProof/>
        </w:rPr>
        <w:t>1.5.3.</w:t>
      </w:r>
      <w:r>
        <w:rPr>
          <w:noProof/>
        </w:rPr>
        <w:tab/>
        <w:t>Învățăminte desprinse din experiențele anterioare similare</w:t>
      </w:r>
      <w:bookmarkEnd w:id="21"/>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rPr>
            </w:pPr>
            <w:r>
              <w:rPr>
                <w:noProof/>
              </w:rPr>
              <w:t>Evaluarea cadrului juridic actual, în special consultarea părților interesate, a confirmat că:</w:t>
            </w:r>
          </w:p>
          <w:p>
            <w:pPr>
              <w:pStyle w:val="Text1"/>
              <w:numPr>
                <w:ilvl w:val="0"/>
                <w:numId w:val="23"/>
              </w:numPr>
              <w:rPr>
                <w:noProof/>
              </w:rPr>
            </w:pPr>
            <w:r>
              <w:rPr>
                <w:b/>
                <w:noProof/>
              </w:rPr>
              <w:t xml:space="preserve">Coordonarea la nivelul UE este indispensabilă. </w:t>
            </w:r>
            <w:r>
              <w:rPr>
                <w:noProof/>
              </w:rPr>
              <w:t>Întrucât criminalitatea transnațională necesită o cooperare structurată și centralizată (iar eforturile naționale, luate separat, sunt insuficiente), sistemele de schimb de date în materie penală și capacitățile operaționale și analitice ale Europol sunt esențiale pentru eficacitatea investigațiilor transfrontaliere.</w:t>
            </w:r>
          </w:p>
          <w:p>
            <w:pPr>
              <w:pStyle w:val="Text1"/>
              <w:numPr>
                <w:ilvl w:val="0"/>
                <w:numId w:val="23"/>
              </w:numPr>
              <w:rPr>
                <w:noProof/>
              </w:rPr>
            </w:pPr>
            <w:r>
              <w:rPr>
                <w:b/>
                <w:noProof/>
              </w:rPr>
              <w:t xml:space="preserve">Capacitățile tehnologice și analitice avansate sunt esențiale. </w:t>
            </w:r>
            <w:r>
              <w:rPr>
                <w:noProof/>
              </w:rPr>
              <w:t>Având în vedere relevanța tot mai mare a probelor digitale, a criptării și a criminalității informatice, care necesită cunoștințe de specialitate dincolo de capacitățile fiecărui stat membru, Europol trebuie să inoveze în permanență (de exemplu, în domeniul criminalisticii digitale și al analizei bazate pe IA) pentru a putea răspunde nevoilor operaționale ale statelor membre.</w:t>
            </w:r>
          </w:p>
          <w:p>
            <w:pPr>
              <w:pStyle w:val="Text1"/>
              <w:numPr>
                <w:ilvl w:val="0"/>
                <w:numId w:val="23"/>
              </w:numPr>
              <w:rPr>
                <w:noProof/>
              </w:rPr>
            </w:pPr>
            <w:r>
              <w:rPr>
                <w:b/>
                <w:noProof/>
              </w:rPr>
              <w:t xml:space="preserve">Schimbul de informații sistematic și automatizat trebuie consolidat. </w:t>
            </w:r>
            <w:r>
              <w:rPr>
                <w:noProof/>
              </w:rPr>
              <w:t>Practicile inconsecvente de schimb de date între statele membre reduc eficacitatea operațională, problemă care ar putea fi soluționată printr-o utilizare mai intensivă a sistemelor de schimb automatizat și a procedurilor standardizate.</w:t>
            </w:r>
          </w:p>
          <w:p>
            <w:pPr>
              <w:pStyle w:val="Text1"/>
              <w:numPr>
                <w:ilvl w:val="0"/>
                <w:numId w:val="23"/>
              </w:numPr>
              <w:rPr>
                <w:noProof/>
              </w:rPr>
            </w:pPr>
            <w:r>
              <w:rPr>
                <w:b/>
                <w:noProof/>
              </w:rPr>
              <w:t xml:space="preserve">Coerența în cadrul de securitate al UE este esențială: </w:t>
            </w:r>
            <w:r>
              <w:rPr>
                <w:noProof/>
              </w:rPr>
              <w:t>Sunt necesare mandate clare, norme aliniate în materie de protecție a datelor și un schimb eficient de informații pentru o cooperare neîntreruptă între Europol și alte organe ale Uniunii.</w:t>
            </w:r>
          </w:p>
          <w:p>
            <w:pPr>
              <w:pStyle w:val="Text1"/>
              <w:numPr>
                <w:ilvl w:val="0"/>
                <w:numId w:val="23"/>
              </w:numPr>
              <w:rPr>
                <w:noProof/>
              </w:rPr>
            </w:pPr>
            <w:r>
              <w:rPr>
                <w:b/>
                <w:noProof/>
              </w:rPr>
              <w:t xml:space="preserve">Principiile REFIT ar trebui să ghideze eficiența procedurală. </w:t>
            </w:r>
            <w:r>
              <w:rPr>
                <w:noProof/>
              </w:rPr>
              <w:t>Simplificarea proceselor, sporirea interoperabilității și reducerea sarcinilor administrative ar stimula viteza operațională. Prin urmare, ar trebui să se acorde prioritate modernizării instrumentelor digitale (de exemplu, IA, platformele de date securizate) pentru a sprijini colaborarea în timp real.</w:t>
            </w:r>
          </w:p>
          <w:p>
            <w:pPr>
              <w:pStyle w:val="Text1"/>
              <w:ind w:left="0"/>
              <w:rPr>
                <w:noProof/>
              </w:rPr>
            </w:pPr>
            <w:r>
              <w:rPr>
                <w:noProof/>
              </w:rPr>
              <w:t xml:space="preserve">Prin urmare, </w:t>
            </w:r>
            <w:r>
              <w:rPr>
                <w:b/>
                <w:noProof/>
              </w:rPr>
              <w:t>cadrul juridic actual al Europol rămâne eficace</w:t>
            </w:r>
            <w:r>
              <w:rPr>
                <w:noProof/>
              </w:rPr>
              <w:t xml:space="preserve">, dar trebuie să </w:t>
            </w:r>
            <w:r>
              <w:rPr>
                <w:b/>
                <w:noProof/>
              </w:rPr>
              <w:t>evolueze pentru a răspunde amenințărilor emergente și nevoilor operaționale</w:t>
            </w:r>
            <w:r>
              <w:rPr>
                <w:noProof/>
              </w:rPr>
              <w:t>. Adaptările viitoare ar trebui să se axeze pe tehnologie, interoperabilitate și cooperare raționalizată pentru a asigura reziliența cadrului de securitate al UE.</w:t>
            </w:r>
          </w:p>
          <w:p>
            <w:pPr>
              <w:pStyle w:val="Text1"/>
              <w:ind w:left="0"/>
              <w:rPr>
                <w:noProof/>
              </w:rPr>
            </w:pPr>
            <w:r>
              <w:rPr>
                <w:noProof/>
              </w:rPr>
              <w:t>În vederea asigurării unei puneri în aplicare eficace a măsurilor propuse, experiența anterioară a demonstrat, de asemenea, importanța asigurării unor structuri de guvernanță clare, a unor mecanisme solide de stabilire a priorităților și a unei coordonări eficace între Europol, statele membre, Comisie și alte organe relevante ale Uniunii pentru a evita suprapunerea eforturilor și pentru a asigura o dezvoltare operațională și tehnologică coerentă la nivelul Uniunii.</w:t>
            </w:r>
          </w:p>
          <w:p>
            <w:pPr>
              <w:pStyle w:val="Text1"/>
              <w:ind w:left="0"/>
              <w:rPr>
                <w:b/>
                <w:noProof/>
              </w:rPr>
            </w:pPr>
            <w:r>
              <w:rPr>
                <w:noProof/>
              </w:rPr>
              <w:t>În plus, experiența dobândită în urma proiectelor anterioare de dezvoltare a capacităților și de modernizare a TIC a demonstrat necesitatea unei alocări și trasabilități clare a resurselor Uniunii în cadrul activităților de sprijin operațional și tehnologic, combinate cu mecanisme solide de monitorizare, raportare și responsabilitate. Prin urmare, propunerea consolidează mecanismele de guvernanță, planificare și raportare. În plus, există sinergii clare care pot fi realizate în cadrul proiectelor TIC prin cooperarea dintre Europol și eu-LISA, Agenția UE pentru Gestionarea Operațională a Sistemelor Informatice la Scară Largă în Spațiul de Libertate, Securitate și Justiție. Pe baza cunoștințelor de specialitate, a experienței și a cooperării sale cu furnizorii externi de servicii, eu-LISA poate furniza în mod eficace și eficient către Europol servicii legate de gestionarea informațiilor și TIC. În acest scop, propunerea stabilește o cooperare structurată între Europol și eu-LISA în ceea ce privește dezvoltarea, implementarea și exploatarea sistemelor de informații și a infrastructurii de comunicații aferente.</w:t>
            </w:r>
          </w:p>
        </w:tc>
      </w:tr>
    </w:tbl>
    <w:p>
      <w:pPr>
        <w:pStyle w:val="ManualHeading3"/>
        <w:rPr>
          <w:noProof/>
        </w:rPr>
      </w:pPr>
      <w:bookmarkStart w:id="22" w:name="_TocF28740B160C04A50B861D9FDF7E9774A"/>
      <w:r>
        <w:rPr>
          <w:noProof/>
        </w:rPr>
        <w:t>1.5.4.</w:t>
      </w:r>
      <w:r>
        <w:rPr>
          <w:noProof/>
        </w:rPr>
        <w:tab/>
        <w:t>Compatibilitatea cu cadrul financiar multianual și posibilele sinergii cu alte instrumente corespunzătoare</w:t>
      </w:r>
      <w:bookmarkEnd w:id="22"/>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rPr>
            </w:pPr>
            <w:r>
              <w:rPr>
                <w:noProof/>
              </w:rPr>
              <w:t>În Orientările politice pentru Comisia Europeană pentru mandatul 2024-2029, președinta Comisiei Europene a anunțat obiectivul „ca Europol să devină o agenție de poliție cu adevărat operațională și care, cu timpul, să își mărească numărul de angajați, la cel puțin dublu față decât este în prezent. Acest lucru ar trebui să fie însoțit de o supraveghere și un mandat consolidate”, pentru a intensifica sprijinul acordat autorităților naționale de aplicare a legii.</w:t>
            </w:r>
          </w:p>
          <w:p>
            <w:pPr>
              <w:pStyle w:val="Text1"/>
              <w:ind w:left="0"/>
              <w:rPr>
                <w:noProof/>
              </w:rPr>
            </w:pPr>
            <w:r>
              <w:rPr>
                <w:noProof/>
              </w:rPr>
              <w:t>La 16 iulie 2025, Comisia și-a prezentat propunerea privind cadrul financiar multianual („CFM”)</w:t>
            </w:r>
            <w:r>
              <w:rPr>
                <w:rStyle w:val="FootnoteReference"/>
                <w:noProof/>
              </w:rPr>
              <w:footnoteReference w:id="87"/>
            </w:r>
            <w:r>
              <w:rPr>
                <w:noProof/>
              </w:rPr>
              <w:t xml:space="preserve"> pentru perioada 2028-2034, care se ridică la aproape 2 mii de miliarde EUR. Având în vedere amenințările tot mai mari la adresa securității cu care se confruntă Uniunea și valoarea adăugată demonstrată a acțiunii coordonate a UE și a statelor membre în domeniul securității interne, CFM propus urmărește să sprijine punerea în aplicare a ProtectEU – o strategie europeană de securitate internă și să consolideze capacitatea UE de prevenire, pregătire și răspuns. </w:t>
            </w:r>
          </w:p>
          <w:p>
            <w:pPr>
              <w:pStyle w:val="Text1"/>
              <w:ind w:left="0"/>
              <w:rPr>
                <w:noProof/>
              </w:rPr>
            </w:pPr>
            <w:r>
              <w:rPr>
                <w:noProof/>
              </w:rPr>
              <w:t xml:space="preserve">În acest cadru, Comisia a propus o consolidare semnificativă a resurselor alocate agențiilor descentralizate din domeniul justiției și afacerilor interne, inclusiv Europol. </w:t>
            </w:r>
          </w:p>
          <w:p>
            <w:pPr>
              <w:pStyle w:val="Text1"/>
              <w:ind w:left="0"/>
              <w:rPr>
                <w:noProof/>
              </w:rPr>
            </w:pPr>
            <w:r>
              <w:rPr>
                <w:noProof/>
              </w:rPr>
              <w:t>Cifrele prezentate în prezenta fișă financiară legislativă și digitală se referă exclusiv la resursele financiare și umane suplimentare necesare pentru punerea în aplicare a noilor măsuri introduse de propunere în comparație cu actualul Regulament privind Europol</w:t>
            </w:r>
            <w:r>
              <w:rPr>
                <w:rStyle w:val="FootnoteReference"/>
                <w:noProof/>
              </w:rPr>
              <w:footnoteReference w:id="88"/>
            </w:r>
            <w:r>
              <w:rPr>
                <w:noProof/>
              </w:rPr>
              <w:t xml:space="preserve">. Se estimează că propunerea va necesita resurse suplimentare pentru Europol și eu-LISA, legate de punerea în aplicare a atribuțiilor delegate agenției prin prezentul regulament, în valoare de aproximativ </w:t>
            </w:r>
            <w:r>
              <w:rPr>
                <w:b/>
                <w:noProof/>
              </w:rPr>
              <w:t>1,053 miliarde EUR</w:t>
            </w:r>
            <w:r>
              <w:rPr>
                <w:noProof/>
              </w:rPr>
              <w:t xml:space="preserve"> și </w:t>
            </w:r>
            <w:r>
              <w:rPr>
                <w:b/>
                <w:noProof/>
              </w:rPr>
              <w:t>910 posturi suplimentare</w:t>
            </w:r>
            <w:r>
              <w:rPr>
                <w:rStyle w:val="FootnoteReference"/>
                <w:b/>
                <w:noProof/>
              </w:rPr>
              <w:footnoteReference w:id="89"/>
            </w:r>
            <w:r>
              <w:rPr>
                <w:noProof/>
              </w:rPr>
              <w:t xml:space="preserve"> pe durata CFM 2028-2034, comparativ cu bugetul de referință pentru 2027, care prevede 1 226 de angajați și credite în valoare de 256,557 milioane EUR. </w:t>
            </w:r>
          </w:p>
          <w:p>
            <w:pPr>
              <w:pStyle w:val="Text1"/>
              <w:ind w:left="0"/>
              <w:rPr>
                <w:noProof/>
              </w:rPr>
            </w:pPr>
            <w:r>
              <w:rPr>
                <w:noProof/>
              </w:rPr>
              <w:t xml:space="preserve">Prin urmare, aceste cifre ar trebui citite împreună cu resursele necesare pentru punerea în aplicare a măsurilor existente în temeiul cadrului juridic actual, estimate la 1,946 miliarde EUR și 1 226 de angajați pe durata CFM 2028-2034, pe baza bugetului anual pentru 2027 proiectat pe o perioadă de șapte ani, cu o rată anuală a inflației de 2 %. În total, acestea se ridică la un pachet global de </w:t>
            </w:r>
            <w:r>
              <w:rPr>
                <w:b/>
                <w:noProof/>
              </w:rPr>
              <w:t>2,999 miliarde EUR</w:t>
            </w:r>
            <w:r>
              <w:rPr>
                <w:noProof/>
              </w:rPr>
              <w:t xml:space="preserve"> pe durata următorului CFM și la un efectiv de 2 336 de angajați la sfârșitul anului 2034, cifre care sunt în concordanță cu propunerea legislativă a Comisiei privind CFM 2028-2034. </w:t>
            </w:r>
          </w:p>
          <w:p>
            <w:pPr>
              <w:pStyle w:val="Text1"/>
              <w:pBdr>
                <w:top w:val="nil"/>
                <w:left w:val="nil"/>
                <w:bottom w:val="nil"/>
                <w:right w:val="nil"/>
                <w:between w:val="nil"/>
              </w:pBdr>
              <w:spacing w:before="0" w:after="240"/>
              <w:ind w:left="0"/>
              <w:rPr>
                <w:rFonts w:eastAsia="Arial Unicode MS"/>
                <w:noProof/>
              </w:rPr>
            </w:pPr>
            <w:r>
              <w:rPr>
                <w:noProof/>
              </w:rPr>
              <w:t>Activitățile care urmează să fie desfășurate de statele membre în aceeași perioadă pentru a sprijini o interoperabilitate sporită, integrarea sistemelor Europol în fluxurile de lucru naționale în cadrul investigațiilor, implementarea credențialelor digitale ale poliției și consolidarea capacităților de schimb de informații sunt estimate la aproximativ 590 de milioane EUR în primii șapte ani de punere în aplicare, în special pentru adaptarea sistemelor naționale, a fluxurilor de lucru și a interfețelor tehnice necesare pentru a sprijini o cooperare mai integrată și automatizată cu sistemele și instrumentele Europol.</w:t>
            </w:r>
          </w:p>
          <w:p>
            <w:pPr>
              <w:pStyle w:val="Text1"/>
              <w:ind w:left="0"/>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tc>
      </w:tr>
    </w:tbl>
    <w:p>
      <w:pPr>
        <w:pStyle w:val="ManualHeading3"/>
        <w:rPr>
          <w:noProof/>
        </w:rPr>
      </w:pPr>
      <w:bookmarkStart w:id="23" w:name="_Toc47F50056088A44A9A9D02DAAD97B14D6"/>
      <w:r>
        <w:rPr>
          <w:noProof/>
        </w:rPr>
        <w:t>1.5.5.</w:t>
      </w:r>
      <w:r>
        <w:rPr>
          <w:noProof/>
        </w:rPr>
        <w:tab/>
        <w:t>Evaluarea diferitelor opțiuni de finanțare disponibile, inclusiv a posibilităților de realocare a creditelor</w:t>
      </w:r>
      <w:bookmarkEnd w:id="23"/>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szCs w:val="24"/>
              </w:rPr>
            </w:pPr>
            <w:r>
              <w:rPr>
                <w:noProof/>
              </w:rPr>
              <w:t>Revizuirea din 2022 a mandatului Europol a reprezentat un pas important în direcția modernizării mandatului agenției, în special prin consolidarea capacităților sale de prelucrare a datelor, de inovare și de sprijin ca răspuns la caracterul din ce în ce mai digital, transfrontalier și complex al criminalității grave și organizate și al terorismului. Această revizuire a fost însoțită de o creștere de aproximativ 178 de milioane EUR față de bugetul de 1 285 de milioane EUR adoptat inițial pentru Europol în propunerea privind CFM 2021-2027, ceea ce corespunde unei creșteri de 14 %.</w:t>
            </w:r>
          </w:p>
          <w:p>
            <w:pPr>
              <w:pStyle w:val="Text1"/>
              <w:ind w:left="0"/>
              <w:rPr>
                <w:noProof/>
              </w:rPr>
            </w:pPr>
            <w:r>
              <w:rPr>
                <w:noProof/>
              </w:rPr>
              <w:t>De atunci, mediul operațional a evoluat semnificativ. Rețelele infracționale și-au extins rapid utilizarea tehnologiilor digitale, a inteligenței artificiale, a comunicațiilor criptate și a infrastructurii online, combinând în același timp din ce în ce mai mult criminalitatea facilitată prin mijloace informatice, criminalitatea financiară, traficul și alte activități ilicite în modele infracționale extrem de adaptabile și transnaționale. În același timp, volumul și importanța strategică a datelor operaționale în anchetele penale au crescut substanțial. Această situație a condus la o creștere continuă a așteptărilor statelor membre și ale organelor Uniunii în ceea ce privește sprijinul operațional, analitic, tehnologic, criminalistic și de coordonare oferit de Europol, având drept rezultat solicitări repetate de consolidări anuale ale bugetului și efectivelor de personal ale Europol, peste nivelurile prevăzute inițial în actualul CFM.</w:t>
            </w:r>
          </w:p>
          <w:p>
            <w:pPr>
              <w:pStyle w:val="Text1"/>
              <w:ind w:left="0"/>
              <w:rPr>
                <w:noProof/>
              </w:rPr>
            </w:pPr>
            <w:r>
              <w:rPr>
                <w:noProof/>
              </w:rPr>
              <w:t>Prezenta propunere introduce noi sarcini substanțiale în domeniul operațional, tehnologic și al dezvoltării capacităților, integrând și consolidând în același timp activitățile existente într-un cadru operațional și de guvernanță mai coerent. Realizarea impactului operațional preconizat și consolidarea în consecință a capacităților Uniunii în materie de aplicare a legii necesită investiții suplimentare substanțiale în personal specializat, infrastructură tehnologică avansată, medii securizate de tip cloud și de analiză, instrumente bazate pe inteligența artificială și mecanisme de sprijin operațional. Astfel de investiții nu pot fi incluse în pachetul financiar actual și, prin urmare, necesită sprijin financiar suplimentar de la bugetul Uniunii.</w:t>
            </w:r>
          </w:p>
          <w:p>
            <w:pPr>
              <w:pStyle w:val="Text1"/>
              <w:ind w:left="0"/>
              <w:rPr>
                <w:noProof/>
              </w:rPr>
            </w:pPr>
            <w:r>
              <w:rPr>
                <w:noProof/>
              </w:rPr>
              <w:t>Toate estimările nevoilor de resurse suplimentare prevăzute în propunere se bazează pe bugetul de referință al Europol pentru 2027, inclusiv pe creditele operaționale și pe personal. Comisia a efectuat o evaluare aprofundată a posibilităților de redistribuire în cadrul agenției pentru a identifica dacă noile atribuții introduse de propunere ar putea fi incluse în cadrul existent privind resursele. Evaluarea respectivă a concluzionat că Europol funcționează deja la capacitatea operațională maximă sau aproape de aceasta. În special, Consiliul de administrație a adoptat deja, în 2024, măsuri de redefinire a priorităților, ca răspuns la constrângerile legate de resurse. În acest context, nu au fost identificate posibilități semnificative de redistribuire care să permită Europol să absoarbă atribuțiile suplimentare prevăzute de propunere fără a afecta în mod negativ punerea în aplicare a activităților operaționale existente și sprijinul acordat statelor membre.</w:t>
            </w:r>
          </w:p>
          <w:p>
            <w:pPr>
              <w:pStyle w:val="Text1"/>
              <w:ind w:left="0"/>
              <w:rPr>
                <w:noProof/>
              </w:rPr>
            </w:pPr>
            <w:r>
              <w:rPr>
                <w:noProof/>
              </w:rPr>
              <w:t>În consecință, propunerea prevede resurse financiare și umane suplimentare pentru Europol pe durata următorului CFM, pentru a asigura punerea în aplicare durabilă a mandatului revizuit și pentru a evita subfinanțarea structurală a responsabilităților extinse ale agenției.</w:t>
            </w:r>
          </w:p>
          <w:p>
            <w:pPr>
              <w:pStyle w:val="Text1"/>
              <w:ind w:left="0"/>
              <w:rPr>
                <w:noProof/>
              </w:rPr>
            </w:pPr>
            <w:r>
              <w:rPr>
                <w:noProof/>
              </w:rPr>
              <w:t>Punerea în aplicare a propunerii va implica activități suplimentare pentru ca eu-LISA să furnizeze Europol servicii legate de gestionarea informațiilor și TIC. În consecință, propunerea prevede modificări specifice ale mandatului eu-LISA și prevede un număr limitat de resurse umane suplimentare pentru eu-LISA pe durata următorului CFM, pentru a asigura punerea în aplicare durabilă a cooperării structurate dintre Europol și eu-LISA, astfel cum se prevede în mandatele revizuite ale agențiilor. În acest moment, nu este posibil să se cuantifice cheltuielile operaționale aferente acestor activități care urmează să fie alocate eu-LISA, deoarece încă nu este clar ce servicii anume ar urma să fie implementate de Europol prin intermediul serviciilor furnizate de eu-LISA. Prin urmare, cheltuielile operaționale aferente acestor activități care urmează să fie alocate eu-LISA din totalul cheltuielilor operaționale prevăzute în prezenta fișă financiară legislativă și digitală vor fi evaluate la o dată ulterioară.</w:t>
            </w:r>
          </w:p>
          <w:p>
            <w:pPr>
              <w:pStyle w:val="Text1"/>
              <w:ind w:left="0"/>
              <w:rPr>
                <w:noProof/>
              </w:rPr>
            </w:pPr>
            <w:r>
              <w:rPr>
                <w:noProof/>
              </w:rPr>
              <w:t>Punerea în aplicare a propunerii va implica, de asemenea, activități suplimentare pentru serviciile Comisiei, în special pentru Direcția Generală Migrație și Afaceri Interne (DG HOME), în ceea ce privește guvernanța, supravegherea, coordonarea politicilor și elaborarea și adoptarea actelor de punere în aplicare. De asemenea, va fi necesar un sprijin suplimentar din partea Direcției Generale pentru Servicii Digitale (DG DIGIT), în special în ceea ce privește instituirea și gestionarea lanțului de aprovizionare TIC și a cadrelor contractuale de cloud computing care sprijină infrastructura tehnologică a Europol.</w:t>
            </w:r>
          </w:p>
        </w:tc>
      </w:tr>
    </w:tbl>
    <w:p>
      <w:pPr>
        <w:pStyle w:val="Text1"/>
        <w:rPr>
          <w:noProof/>
        </w:rPr>
      </w:pPr>
    </w:p>
    <w:p>
      <w:pPr>
        <w:pStyle w:val="ManualHeading2"/>
        <w:rPr>
          <w:noProof/>
          <w:szCs w:val="24"/>
        </w:rPr>
      </w:pPr>
      <w:bookmarkStart w:id="24" w:name="_Toc185FB167E8BB4FFEBE7A9330BA5642AA"/>
      <w:r>
        <w:rPr>
          <w:noProof/>
        </w:rPr>
        <w:br w:type="page"/>
        <w:t>1.6.</w:t>
      </w:r>
      <w:r>
        <w:rPr>
          <w:noProof/>
        </w:rPr>
        <w:tab/>
        <w:t>Durata propunerii/inițiativei și a impactului său financiar</w:t>
      </w:r>
      <w:bookmarkEnd w:id="24"/>
    </w:p>
    <w:p>
      <w:pPr>
        <w:pStyle w:val="Text1"/>
        <w:rPr>
          <w:noProof/>
        </w:rPr>
      </w:pPr>
      <w:r>
        <w:rPr>
          <w:rFonts w:ascii="Wingdings" w:hAnsi="Wingdings"/>
          <w:b/>
          <w:noProof/>
        </w:rPr>
        <w:t></w:t>
      </w:r>
      <w:r>
        <w:rPr>
          <w:b/>
          <w:noProof/>
        </w:rPr>
        <w:t xml:space="preserve"> durată limitată </w:t>
      </w:r>
    </w:p>
    <w:p>
      <w:pPr>
        <w:pStyle w:val="ListDash2"/>
        <w:tabs>
          <w:tab w:val="num" w:pos="1134"/>
        </w:tabs>
        <w:ind w:left="1134" w:hanging="283"/>
        <w:rPr>
          <w:noProof/>
        </w:rPr>
      </w:pPr>
      <w:r>
        <w:rPr>
          <w:rFonts w:ascii="Wingdings" w:hAnsi="Wingdings"/>
          <w:noProof/>
        </w:rPr>
        <w:t></w:t>
      </w:r>
      <w:r>
        <w:rPr>
          <w:noProof/>
        </w:rPr>
        <w:tab/>
        <w:t xml:space="preserve">în vigoare de la [ZZ/LL]AAAA până la [ZZ/LL]AAAA </w:t>
      </w:r>
    </w:p>
    <w:p>
      <w:pPr>
        <w:pStyle w:val="ListDash2"/>
        <w:tabs>
          <w:tab w:val="num" w:pos="1134"/>
        </w:tabs>
        <w:ind w:left="1134" w:hanging="283"/>
        <w:rPr>
          <w:noProof/>
        </w:rPr>
      </w:pPr>
      <w:r>
        <w:rPr>
          <w:rFonts w:ascii="Wingdings" w:hAnsi="Wingdings"/>
          <w:noProof/>
        </w:rPr>
        <w:t></w:t>
      </w:r>
      <w:r>
        <w:rPr>
          <w:noProof/>
        </w:rPr>
        <w:tab/>
        <w:t xml:space="preserve">impactul financiar din AAAA până în AAAA pentru creditele de angajament și din AAAA până în AAAA pentru creditele de plată. </w:t>
      </w:r>
    </w:p>
    <w:p>
      <w:pPr>
        <w:pStyle w:val="Text1"/>
        <w:rPr>
          <w:noProof/>
        </w:rPr>
      </w:pPr>
      <w:r>
        <w:rPr>
          <w:rFonts w:ascii="Wingdings" w:hAnsi="Wingdings"/>
          <w:b/>
          <w:noProof/>
        </w:rPr>
        <w:t></w:t>
      </w:r>
      <w:r>
        <w:rPr>
          <w:b/>
          <w:noProof/>
        </w:rPr>
        <w:t xml:space="preserve"> durată nelimitată</w:t>
      </w:r>
    </w:p>
    <w:p>
      <w:pPr>
        <w:pStyle w:val="ListDash1"/>
        <w:tabs>
          <w:tab w:val="num" w:pos="1134"/>
        </w:tabs>
        <w:ind w:left="1134" w:hanging="283"/>
        <w:rPr>
          <w:noProof/>
        </w:rPr>
      </w:pPr>
      <w:r>
        <w:rPr>
          <w:noProof/>
        </w:rPr>
        <w:t>Punere în aplicare cu o perioadă de creștere în intensitate din AAAA până în AAAA,</w:t>
      </w:r>
    </w:p>
    <w:p>
      <w:pPr>
        <w:pStyle w:val="ListDash1"/>
        <w:tabs>
          <w:tab w:val="num" w:pos="1134"/>
        </w:tabs>
        <w:ind w:left="1134" w:hanging="283"/>
        <w:rPr>
          <w:noProof/>
        </w:rPr>
      </w:pPr>
      <w:r>
        <w:rPr>
          <w:noProof/>
        </w:rPr>
        <w:t>urmată de o perioadă de funcționare la capacitate maximă.</w:t>
      </w:r>
    </w:p>
    <w:p>
      <w:pPr>
        <w:pStyle w:val="ManualHeading2"/>
        <w:rPr>
          <w:noProof/>
          <w:szCs w:val="24"/>
        </w:rPr>
      </w:pPr>
      <w:bookmarkStart w:id="25" w:name="_Toc230120347"/>
      <w:r>
        <w:rPr>
          <w:noProof/>
        </w:rPr>
        <w:t>1.7.</w:t>
      </w:r>
      <w:r>
        <w:rPr>
          <w:noProof/>
        </w:rPr>
        <w:tab/>
        <w:t>Metoda (metodele) de execuție a bugetului planificată (planificate)</w:t>
      </w:r>
      <w:bookmarkEnd w:id="25"/>
      <w:r>
        <w:rPr>
          <w:rStyle w:val="FootnoteReference"/>
          <w:noProof/>
        </w:rPr>
        <w:t xml:space="preserve"> </w:t>
      </w:r>
    </w:p>
    <w:p>
      <w:pPr>
        <w:pStyle w:val="Text1"/>
        <w:rPr>
          <w:noProof/>
        </w:rPr>
      </w:pPr>
      <w:r>
        <w:rPr>
          <w:rFonts w:ascii="Wingdings" w:hAnsi="Wingdings"/>
          <w:noProof/>
        </w:rPr>
        <w:t></w:t>
      </w:r>
      <w:r>
        <w:rPr>
          <w:b/>
          <w:i/>
          <w:noProof/>
        </w:rPr>
        <w:t xml:space="preserve"> </w:t>
      </w:r>
      <w:r>
        <w:rPr>
          <w:b/>
          <w:noProof/>
        </w:rPr>
        <w:t>Gestiune directă</w:t>
      </w:r>
      <w:r>
        <w:rPr>
          <w:noProof/>
        </w:rPr>
        <w:t xml:space="preserve"> asigurată de Comisie</w:t>
      </w:r>
    </w:p>
    <w:p>
      <w:pPr>
        <w:pStyle w:val="ListDash2"/>
        <w:tabs>
          <w:tab w:val="num" w:pos="1134"/>
        </w:tabs>
        <w:ind w:left="1134" w:hanging="283"/>
        <w:rPr>
          <w:rFonts w:cs="EUAlbertina"/>
          <w:noProof/>
        </w:rPr>
      </w:pPr>
      <w:r>
        <w:rPr>
          <w:rFonts w:ascii="Wingdings" w:hAnsi="Wingdings"/>
          <w:noProof/>
        </w:rPr>
        <w:t></w:t>
      </w:r>
      <w:r>
        <w:rPr>
          <w:noProof/>
        </w:rPr>
        <w:t xml:space="preserve"> prin intermediul serviciilor sale, inclusiv al personalului din delegațiile Uniunii; </w:t>
      </w:r>
    </w:p>
    <w:p>
      <w:pPr>
        <w:pStyle w:val="ListDash2"/>
        <w:tabs>
          <w:tab w:val="num" w:pos="1134"/>
        </w:tabs>
        <w:ind w:left="1134" w:hanging="283"/>
        <w:rPr>
          <w:noProof/>
        </w:rPr>
      </w:pPr>
      <w:r>
        <w:rPr>
          <w:rFonts w:ascii="Wingdings" w:hAnsi="Wingdings"/>
          <w:noProof/>
        </w:rPr>
        <w:t></w:t>
      </w:r>
      <w:r>
        <w:rPr>
          <w:noProof/>
        </w:rPr>
        <w:tab/>
        <w:t xml:space="preserve">prin intermediul agențiilor executive </w:t>
      </w:r>
    </w:p>
    <w:p>
      <w:pPr>
        <w:pStyle w:val="Text1"/>
        <w:rPr>
          <w:noProof/>
        </w:rPr>
      </w:pPr>
      <w:r>
        <w:rPr>
          <w:rFonts w:ascii="Wingdings" w:hAnsi="Wingdings"/>
          <w:noProof/>
        </w:rPr>
        <w:t></w:t>
      </w:r>
      <w:r>
        <w:rPr>
          <w:b/>
          <w:i/>
          <w:noProof/>
        </w:rPr>
        <w:t xml:space="preserve"> </w:t>
      </w:r>
      <w:r>
        <w:rPr>
          <w:b/>
          <w:noProof/>
        </w:rPr>
        <w:t>Gestiune partajată</w:t>
      </w:r>
      <w:r>
        <w:rPr>
          <w:noProof/>
        </w:rPr>
        <w:t xml:space="preserve"> cu statele membre </w:t>
      </w:r>
    </w:p>
    <w:p>
      <w:pPr>
        <w:pStyle w:val="Text1"/>
        <w:rPr>
          <w:noProof/>
        </w:rPr>
      </w:pPr>
      <w:r>
        <w:rPr>
          <w:rFonts w:ascii="Wingdings" w:hAnsi="Wingdings"/>
          <w:noProof/>
        </w:rPr>
        <w:t></w:t>
      </w:r>
      <w:r>
        <w:rPr>
          <w:i/>
          <w:noProof/>
        </w:rPr>
        <w:t xml:space="preserve"> </w:t>
      </w:r>
      <w:r>
        <w:rPr>
          <w:b/>
          <w:noProof/>
        </w:rPr>
        <w:t>Gestiune indirectă</w:t>
      </w:r>
      <w:r>
        <w:rPr>
          <w:noProof/>
        </w:rPr>
        <w:t>, cu delegarea sarcinilor de execuție bugetară:</w:t>
      </w:r>
    </w:p>
    <w:p>
      <w:pPr>
        <w:pStyle w:val="ListDash2"/>
        <w:tabs>
          <w:tab w:val="num" w:pos="1134"/>
        </w:tabs>
        <w:ind w:left="1134" w:hanging="283"/>
        <w:rPr>
          <w:noProof/>
        </w:rPr>
      </w:pPr>
      <w:r>
        <w:rPr>
          <w:rFonts w:ascii="Wingdings" w:hAnsi="Wingdings"/>
          <w:noProof/>
        </w:rPr>
        <w:t></w:t>
      </w:r>
      <w:r>
        <w:rPr>
          <w:noProof/>
        </w:rPr>
        <w:t xml:space="preserve"> țărilor terțe sau organismelor pe care le-au desemnat acestea</w:t>
      </w:r>
    </w:p>
    <w:p>
      <w:pPr>
        <w:pStyle w:val="ListDash2"/>
        <w:tabs>
          <w:tab w:val="num" w:pos="1134"/>
        </w:tabs>
        <w:ind w:left="1134" w:hanging="283"/>
        <w:rPr>
          <w:noProof/>
        </w:rPr>
      </w:pPr>
      <w:r>
        <w:rPr>
          <w:rFonts w:ascii="Wingdings" w:hAnsi="Wingdings"/>
          <w:noProof/>
        </w:rPr>
        <w:t></w:t>
      </w:r>
      <w:r>
        <w:rPr>
          <w:noProof/>
        </w:rPr>
        <w:t xml:space="preserve"> organizațiilor internaționale și agențiilor acestora (a se preciza)</w:t>
      </w:r>
    </w:p>
    <w:p>
      <w:pPr>
        <w:pStyle w:val="ListDash2"/>
        <w:tabs>
          <w:tab w:val="num" w:pos="1134"/>
        </w:tabs>
        <w:ind w:left="1134" w:hanging="283"/>
        <w:rPr>
          <w:noProof/>
        </w:rPr>
      </w:pPr>
      <w:r>
        <w:rPr>
          <w:rFonts w:ascii="Wingdings" w:hAnsi="Wingdings"/>
          <w:noProof/>
        </w:rPr>
        <w:t></w:t>
      </w:r>
      <w:r>
        <w:rPr>
          <w:noProof/>
        </w:rPr>
        <w:t xml:space="preserve"> Băncii Europene de Investiții și Fondului European de Investiții</w:t>
      </w:r>
    </w:p>
    <w:p>
      <w:pPr>
        <w:pStyle w:val="ListDash2"/>
        <w:tabs>
          <w:tab w:val="num" w:pos="1134"/>
        </w:tabs>
        <w:ind w:left="1134" w:hanging="283"/>
        <w:rPr>
          <w:noProof/>
        </w:rPr>
      </w:pPr>
      <w:r>
        <w:rPr>
          <w:rFonts w:ascii="Wingdings" w:hAnsi="Wingdings"/>
          <w:noProof/>
        </w:rPr>
        <w:t></w:t>
      </w:r>
      <w:r>
        <w:rPr>
          <w:noProof/>
        </w:rPr>
        <w:t xml:space="preserve"> organismelor menționate la articolele 70 și 71 din Regulamentul financiar</w:t>
      </w:r>
    </w:p>
    <w:p>
      <w:pPr>
        <w:pStyle w:val="ListDash2"/>
        <w:tabs>
          <w:tab w:val="num" w:pos="1134"/>
        </w:tabs>
        <w:ind w:left="1134" w:hanging="283"/>
        <w:rPr>
          <w:noProof/>
        </w:rPr>
      </w:pPr>
      <w:r>
        <w:rPr>
          <w:rFonts w:ascii="Wingdings" w:hAnsi="Wingdings"/>
          <w:noProof/>
        </w:rPr>
        <w:t></w:t>
      </w:r>
      <w:r>
        <w:rPr>
          <w:noProof/>
        </w:rPr>
        <w:t xml:space="preserve"> organismelor de drept public</w:t>
      </w:r>
    </w:p>
    <w:p>
      <w:pPr>
        <w:pStyle w:val="ListDash2"/>
        <w:tabs>
          <w:tab w:val="num" w:pos="1134"/>
        </w:tabs>
        <w:ind w:left="1134" w:hanging="283"/>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ListDash2"/>
        <w:tabs>
          <w:tab w:val="num" w:pos="1134"/>
        </w:tabs>
        <w:ind w:left="1134" w:hanging="283"/>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ListDash2"/>
        <w:tabs>
          <w:tab w:val="num" w:pos="1134"/>
        </w:tabs>
        <w:ind w:left="1134" w:hanging="283"/>
        <w:rPr>
          <w:noProof/>
        </w:rPr>
      </w:pPr>
      <w:r>
        <w:rPr>
          <w:rFonts w:ascii="Wingdings" w:hAnsi="Wingdings"/>
          <w:noProof/>
        </w:rPr>
        <w:t></w:t>
      </w:r>
      <w:r>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ListDash2"/>
        <w:tabs>
          <w:tab w:val="num" w:pos="1134"/>
        </w:tabs>
        <w:ind w:left="1134" w:hanging="283"/>
        <w:rPr>
          <w:noProof/>
        </w:rPr>
      </w:pPr>
      <w:r>
        <w:rPr>
          <w:rFonts w:ascii="Wingdings" w:hAnsi="Wingdings"/>
          <w:noProof/>
        </w:rPr>
        <w:t></w:t>
      </w:r>
      <w:r>
        <w:rPr>
          <w:rFonts w:ascii="Wingdings" w:hAnsi="Wingdings"/>
          <w:noProof/>
        </w:rPr>
        <w:t></w:t>
      </w:r>
      <w:r>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pStyle w:val="ManualHeading1"/>
        <w:rPr>
          <w:noProof/>
          <w:szCs w:val="24"/>
        </w:rPr>
      </w:pPr>
      <w:bookmarkStart w:id="26" w:name="_Toc230120348"/>
      <w:r>
        <w:rPr>
          <w:noProof/>
        </w:rPr>
        <w:t>2.</w:t>
      </w:r>
      <w:r>
        <w:rPr>
          <w:noProof/>
        </w:rPr>
        <w:tab/>
        <w:t>MĂSURI DE GESTIUNE</w:t>
      </w:r>
      <w:bookmarkEnd w:id="26"/>
      <w:r>
        <w:rPr>
          <w:noProof/>
        </w:rPr>
        <w:t xml:space="preserve"> </w:t>
      </w:r>
    </w:p>
    <w:p>
      <w:pPr>
        <w:pStyle w:val="ManualHeading2"/>
        <w:rPr>
          <w:noProof/>
        </w:rPr>
      </w:pPr>
      <w:bookmarkStart w:id="27" w:name="_Toc230120349"/>
      <w:r>
        <w:rPr>
          <w:noProof/>
        </w:rPr>
        <w:t>2.1.</w:t>
      </w:r>
      <w:r>
        <w:rPr>
          <w:noProof/>
        </w:rPr>
        <w:tab/>
        <w:t>Dispoziții în materie de monitorizare și de raportare</w:t>
      </w:r>
      <w:bookmarkEnd w:id="27"/>
      <w:r>
        <w:rPr>
          <w:noProof/>
        </w:rPr>
        <w:t xml:space="preserve"> </w:t>
      </w:r>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rPr>
            </w:pPr>
            <w:r>
              <w:rPr>
                <w:noProof/>
              </w:rPr>
              <w:t>Monitorizarea și raportarea activităților desfășurate de Europol în cadrul gestiunii indirecte vor respecta dispozițiile prevăzute în noul Regulament privind Europol și în Regulamentul financiar</w:t>
            </w:r>
            <w:r>
              <w:rPr>
                <w:rStyle w:val="FootnoteReference"/>
                <w:noProof/>
              </w:rPr>
              <w:footnoteReference w:id="90"/>
            </w:r>
            <w:r>
              <w:rPr>
                <w:noProof/>
              </w:rPr>
              <w:t xml:space="preserve"> și vor fi în conformitate cu abordarea comună privind agențiile descentralizate</w:t>
            </w:r>
            <w:r>
              <w:rPr>
                <w:rStyle w:val="FootnoteReference"/>
                <w:noProof/>
              </w:rPr>
              <w:footnoteReference w:id="91"/>
            </w:r>
            <w:r>
              <w:rPr>
                <w:noProof/>
              </w:rPr>
              <w:t>.</w:t>
            </w:r>
          </w:p>
          <w:p>
            <w:pPr>
              <w:pStyle w:val="Text1"/>
              <w:ind w:left="0"/>
              <w:rPr>
                <w:noProof/>
              </w:rPr>
            </w:pPr>
            <w:r>
              <w:rPr>
                <w:noProof/>
              </w:rPr>
              <w:t>Europol va prezenta anual Comisiei, Parlamentului European și Consiliului un document unic de programare, în care își va prezenta programele multianuale și anuale de lucru, obiectivele, rezultatele preconizate și indicatorii de performanță. Prezentul document este elaborat ținând seama de avizul Comisiei și al grupului mixt de control parlamentar specializat (JPSG). În plus, Europol va adopta un raport anual de activitate consolidat, care evaluează progresele înregistrate în raport cu obiectivele documentului unic de programare. Consiliul de administrație aprobă acest raport înainte de a fi transmis Comisiei, Parlamentului European, Consiliului, Curții de Conturi și parlamentelor naționale până la data de 1 iulie a fiecărui an.</w:t>
            </w:r>
          </w:p>
          <w:p>
            <w:pPr>
              <w:pStyle w:val="Text1"/>
              <w:ind w:left="0"/>
              <w:rPr>
                <w:noProof/>
              </w:rPr>
            </w:pPr>
            <w:r>
              <w:rPr>
                <w:noProof/>
              </w:rPr>
              <w:t xml:space="preserve">În temeiul articolului 130 propus din Regulamentul revizuit privind Europol, Comisia va efectua o evaluare a Europol o dată la cinci ani, analizând valoarea adăugată, impactul, eficacitatea, eficiența și metodele de lucru ale acesteia. Evaluarea poate propune modificări structurale sau operaționale, inclusiv implicații financiare. Comisia își prezintă raportul Consiliului de administrație, care formulează observații în termen de trei luni. Raportul final, împreună cu concluziile Comisiei și observațiile Consiliului de administrație, este apoi trimis Parlamentului European, Consiliului, parlamentelor naționale și Consiliului de administrație, principalele constatări fiind făcute publice, după caz. </w:t>
            </w:r>
          </w:p>
          <w:p>
            <w:pPr>
              <w:pStyle w:val="Text1"/>
              <w:ind w:left="0"/>
              <w:rPr>
                <w:noProof/>
              </w:rPr>
            </w:pPr>
            <w:r>
              <w:rPr>
                <w:noProof/>
              </w:rPr>
              <w:t>Propunerea consolidează și mai mult rolul Consiliului de administrație în definirea și monitorizarea indicatorilor de performanță, a obiectivelor și a priorităților de punere în aplicare stabilite în documentul unic de programare, în programele anuale de activitate corespunzătoare și în raportul anual de activitate consolidat. Pentru a sprijini aceste funcții, propunerea instituie un comitet executiv și structuri de coordonare specializate în domeniul TIC și al gestionării informațiilor, responsabile cu sprijinirea supravegherii strategice, a monitorizării bugetare și a urmăririi punerii în aplicare operaționale și tehnologice. Propunerea consolidează, de asemenea, legătura dintre raportarea cu privire la performanță și programarea strategică prin alinierea mai strânsă a criteriilor de evaluare din raportul anual de activitate consolidat la obiectivele și indicatorii de performanță stabiliți în cadrul documentului unic de programare și la stabilirea bugetului anual.</w:t>
            </w:r>
          </w:p>
          <w:p>
            <w:pPr>
              <w:pStyle w:val="Text1"/>
              <w:ind w:left="0"/>
              <w:rPr>
                <w:noProof/>
              </w:rPr>
            </w:pPr>
            <w:r>
              <w:rPr>
                <w:noProof/>
              </w:rPr>
              <w:t>În cele din urmă, propunerea consolidează și mai mult cadrul Europol de guvernanță, monitorizare și asigurare a răspunderii. Ea consolidează rolul de supraveghere al Consiliului de administrație prin extinderea supravegherii acestuia dincolo de indicatorii de performanță, la exercitarea efectivă a competențelor conferite directorului executiv, precum și la monitorizarea priorităților strategice și operaționale. Consiliul de administrație va putea, de asemenea, să ia măsuri în cazul în care cel puțin o treime dintre membrii săi își exprimă îngrijorarea cu privire la o anumită problemă operațională sau de guvernanță.</w:t>
            </w:r>
          </w:p>
          <w:p>
            <w:pPr>
              <w:pStyle w:val="Text1"/>
              <w:ind w:left="0"/>
              <w:rPr>
                <w:noProof/>
              </w:rPr>
            </w:pPr>
            <w:r>
              <w:rPr>
                <w:noProof/>
              </w:rPr>
              <w:t>Pentru a sprijini transparența, răspunderea și cooperarea eficace dintre statele membre și Europol, Europol va raporta anual Comisiei, Parlamentului European, Consiliului și parlamentelor naționale cu privire la informațiile furnizate de statele membre, inclusiv în ceea ce privește domeniile de criminalitate prioritare pentru Uniune. Aceste rapoarte se vor baza pe criterii cantitative și calitative stabilite de Consiliul de administrație. Grupul mixt de control parlamentar specializat (JPSG) va continua să exercite un control politic asupra activităților Europol, în special în ceea ce privește eficacitatea operațională, răspunderea și respectarea obligațiilor în materie de drepturi fundamentale.</w:t>
            </w:r>
          </w:p>
        </w:tc>
      </w:tr>
    </w:tbl>
    <w:p>
      <w:pPr>
        <w:pStyle w:val="Text1"/>
        <w:rPr>
          <w:noProof/>
        </w:rPr>
      </w:pPr>
    </w:p>
    <w:p>
      <w:pPr>
        <w:pStyle w:val="ManualHeading2"/>
        <w:rPr>
          <w:noProof/>
          <w:szCs w:val="24"/>
        </w:rPr>
      </w:pPr>
      <w:bookmarkStart w:id="28" w:name="_Toc230120350"/>
      <w:r>
        <w:rPr>
          <w:noProof/>
        </w:rPr>
        <w:t>2.2.</w:t>
      </w:r>
      <w:r>
        <w:rPr>
          <w:noProof/>
        </w:rPr>
        <w:tab/>
        <w:t>Sistemul (sistemele) de gestiune și de control</w:t>
      </w:r>
      <w:bookmarkEnd w:id="28"/>
      <w:r>
        <w:rPr>
          <w:noProof/>
        </w:rPr>
        <w:t xml:space="preserve"> </w:t>
      </w:r>
    </w:p>
    <w:p>
      <w:pPr>
        <w:pStyle w:val="ManualHeading3"/>
        <w:rPr>
          <w:noProof/>
        </w:rPr>
      </w:pPr>
      <w:bookmarkStart w:id="29" w:name="_TocAE87DAA0E59B42AB8D4580FE8491E18C"/>
      <w:r>
        <w:rPr>
          <w:noProof/>
        </w:rPr>
        <w:t>2.2.1.</w:t>
      </w:r>
      <w:r>
        <w:rPr>
          <w:noProof/>
        </w:rPr>
        <w:tab/>
        <w:t>Justificarea metodei (metodelor) de execuție bugetară, a mecanismului (mecanismelor) de punere în aplicare a finanțării, a modalităților de plată și a strategiei de control propuse</w:t>
      </w:r>
      <w:bookmarkEnd w:id="29"/>
    </w:p>
    <w:tbl>
      <w:tblPr>
        <w:tblStyle w:val="TableGrid"/>
        <w:tblW w:w="0" w:type="auto"/>
        <w:tblInd w:w="850" w:type="dxa"/>
        <w:tblLook w:val="04A0" w:firstRow="1" w:lastRow="0" w:firstColumn="1" w:lastColumn="0" w:noHBand="0" w:noVBand="1"/>
      </w:tblPr>
      <w:tblGrid>
        <w:gridCol w:w="8437"/>
      </w:tblGrid>
      <w:tr>
        <w:tc>
          <w:tcPr>
            <w:tcW w:w="8437" w:type="dxa"/>
          </w:tcPr>
          <w:p>
            <w:pPr>
              <w:pStyle w:val="Text1"/>
              <w:ind w:left="0"/>
              <w:rPr>
                <w:noProof/>
              </w:rPr>
            </w:pPr>
            <w:r>
              <w:rPr>
                <w:noProof/>
              </w:rPr>
              <w:t xml:space="preserve">Având în vedere faptul că propunerea are un impact asupra contribuției anuale a UE la Europol, bugetul UE va fi executat prin gestiune indirectă. </w:t>
            </w:r>
          </w:p>
          <w:p>
            <w:pPr>
              <w:pStyle w:val="Text1"/>
              <w:ind w:left="0"/>
              <w:rPr>
                <w:noProof/>
              </w:rPr>
            </w:pPr>
            <w:r>
              <w:rPr>
                <w:noProof/>
              </w:rPr>
              <w:t xml:space="preserve">În temeiul principiului bunei gestiuni financiare, bugetul Europol se execută pe baza principiului unui control intern eficace și eficient. Prin urmare, Europol are obligația de a pune în aplicare o strategie de control corespunzătoare, coordonată între actorii competenți implicați în lanțul de control. </w:t>
            </w:r>
          </w:p>
          <w:p>
            <w:pPr>
              <w:pStyle w:val="Text1"/>
              <w:ind w:left="0"/>
              <w:rPr>
                <w:noProof/>
              </w:rPr>
            </w:pPr>
            <w:r>
              <w:rPr>
                <w:noProof/>
              </w:rPr>
              <w:t>În ceea ce privește controalele ex post, Europol, în calitate de agenție descentralizată, face în special obiectul:</w:t>
            </w:r>
          </w:p>
          <w:p>
            <w:pPr>
              <w:pStyle w:val="Text1"/>
              <w:numPr>
                <w:ilvl w:val="0"/>
                <w:numId w:val="22"/>
              </w:numPr>
              <w:rPr>
                <w:noProof/>
              </w:rPr>
            </w:pPr>
            <w:r>
              <w:rPr>
                <w:noProof/>
              </w:rPr>
              <w:t>auditului intern efectuat de Serviciul de Audit Intern al Comisiei;</w:t>
            </w:r>
          </w:p>
          <w:p>
            <w:pPr>
              <w:pStyle w:val="Text1"/>
              <w:numPr>
                <w:ilvl w:val="0"/>
                <w:numId w:val="22"/>
              </w:numPr>
              <w:rPr>
                <w:noProof/>
              </w:rPr>
            </w:pPr>
            <w:r>
              <w:rPr>
                <w:noProof/>
              </w:rPr>
              <w:t>rapoartelor anuale ale Curții de Conturi Europene, care furnizează o declarație de asigurare privind fiabilitatea conturilor anuale și legalitatea și regularitatea operațiunilor subiacente;</w:t>
            </w:r>
          </w:p>
          <w:p>
            <w:pPr>
              <w:pStyle w:val="Text1"/>
              <w:numPr>
                <w:ilvl w:val="0"/>
                <w:numId w:val="22"/>
              </w:numPr>
              <w:rPr>
                <w:noProof/>
              </w:rPr>
            </w:pPr>
            <w:r>
              <w:rPr>
                <w:noProof/>
              </w:rPr>
              <w:t xml:space="preserve">descărcării anuale de gestiune acordate de Parlamentul European; </w:t>
            </w:r>
          </w:p>
          <w:p>
            <w:pPr>
              <w:pStyle w:val="Text1"/>
              <w:numPr>
                <w:ilvl w:val="0"/>
                <w:numId w:val="22"/>
              </w:numPr>
              <w:rPr>
                <w:noProof/>
              </w:rPr>
            </w:pPr>
            <w:r>
              <w:rPr>
                <w:noProof/>
              </w:rPr>
              <w:t xml:space="preserve">unor eventuale investigații efectuate de Oficiul European de Luptă Antifraudă (OLAF) pentru a se asigura, în special, că resursele alocate agențiilor sunt utilizate în mod corespunzător. </w:t>
            </w:r>
          </w:p>
          <w:p>
            <w:pPr>
              <w:pStyle w:val="Text1"/>
              <w:numPr>
                <w:ilvl w:val="0"/>
                <w:numId w:val="22"/>
              </w:numPr>
              <w:rPr>
                <w:noProof/>
              </w:rPr>
            </w:pPr>
            <w:r>
              <w:rPr>
                <w:noProof/>
              </w:rPr>
              <w:t xml:space="preserve">În calitate de direcție generală parteneră a Europol, DG HOME va pune în aplicare strategia sa de control privind agențiile descentralizate pentru a asigura furnizarea de date fiabile în cadrul raportului său anual de activitate. Cu toate că agențiile descentralizate au o responsabilitate deplină pentru execuția bugetului lor, DG HOME este responsabilă cu plata regulată a contribuțiilor anuale stabilite de autoritatea bugetară. </w:t>
            </w:r>
          </w:p>
          <w:p>
            <w:pPr>
              <w:pStyle w:val="Text1"/>
              <w:numPr>
                <w:ilvl w:val="0"/>
                <w:numId w:val="22"/>
              </w:numPr>
              <w:rPr>
                <w:noProof/>
              </w:rPr>
            </w:pPr>
            <w:r>
              <w:rPr>
                <w:noProof/>
              </w:rPr>
              <w:t>În fine, Ombudsmanul European asigură un nivel suplimentar de control asupra Europol și de răspundere în cadrul Europol.</w:t>
            </w:r>
          </w:p>
          <w:p>
            <w:pPr>
              <w:pStyle w:val="Text1"/>
              <w:ind w:left="0"/>
              <w:rPr>
                <w:noProof/>
              </w:rPr>
            </w:pPr>
            <w:r>
              <w:rPr>
                <w:noProof/>
              </w:rPr>
              <w:t>Pe baza evaluării cadrului juridic actual, a evaluării impactului care însoțește propunerea pentru un nou regulament privind Europol și a creșterii semnificative a resurselor financiare și umane preconizate să sprijine punerea în aplicare a propunerii, se introduc mecanisme suplimentare de guvernanță, gestionare și control pentru a consolida supravegherea financiară, responsabilitatea și respectarea principiilor bunei gestiuni financiare:</w:t>
            </w:r>
          </w:p>
          <w:p>
            <w:pPr>
              <w:pStyle w:val="Text1"/>
              <w:numPr>
                <w:ilvl w:val="0"/>
                <w:numId w:val="22"/>
              </w:numPr>
              <w:rPr>
                <w:noProof/>
              </w:rPr>
            </w:pPr>
            <w:r>
              <w:rPr>
                <w:noProof/>
              </w:rPr>
              <w:t>în temeiul cadrului propus, în cazul în care Comisia Europeană consideră că un proiect de decizie a Consiliului de administrație, inclusiv documentul unic de programare, ridică semne de întrebare cu privire la respectarea dreptului Uniunii, a mandatului Europol sau a principiilor bunei gestiuni financiare, aceasta poate solicita Consiliului de administrație să reexamineze proiectul de decizie înainte de adoptarea sa;</w:t>
            </w:r>
          </w:p>
          <w:p>
            <w:pPr>
              <w:pStyle w:val="Text1"/>
              <w:numPr>
                <w:ilvl w:val="0"/>
                <w:numId w:val="22"/>
              </w:numPr>
              <w:rPr>
                <w:noProof/>
              </w:rPr>
            </w:pPr>
            <w:r>
              <w:rPr>
                <w:noProof/>
              </w:rPr>
              <w:t xml:space="preserve">Consiliul de administrație are autoritate disciplinară asupra directorului executiv, consolidând astfel responsabilitatea în ceea ce privește gestiunea operațională și financiară; </w:t>
            </w:r>
          </w:p>
          <w:p>
            <w:pPr>
              <w:pStyle w:val="Text1"/>
              <w:numPr>
                <w:ilvl w:val="0"/>
                <w:numId w:val="22"/>
              </w:numPr>
              <w:rPr>
                <w:noProof/>
              </w:rPr>
            </w:pPr>
            <w:r>
              <w:rPr>
                <w:noProof/>
              </w:rPr>
              <w:t xml:space="preserve">propunerea instituie un comitet executiv responsabil, printre altele, de monitorizarea acțiunilor întreprinse în urma constatărilor și a recomandărilor rezultate din auditurile interne și externe, inclusiv din investigațiile efectuate de OLAF și EPPO, precum și de elaborarea și, dacă este necesar, adoptarea deciziilor bugetare provizorii, sub rezerva validării ulterioare de către Consiliul de administrație. </w:t>
            </w:r>
          </w:p>
          <w:p>
            <w:pPr>
              <w:pStyle w:val="Text1"/>
              <w:ind w:left="0"/>
              <w:rPr>
                <w:noProof/>
              </w:rPr>
            </w:pPr>
            <w:r>
              <w:rPr>
                <w:noProof/>
              </w:rPr>
              <w:t>Aceste măsuri sunt menite să consolideze controlul intern, guvernanța financiară și supravegherea execuției bugetare a Europol.</w:t>
            </w:r>
          </w:p>
        </w:tc>
      </w:tr>
    </w:tbl>
    <w:p>
      <w:pPr>
        <w:pStyle w:val="ManualHeading3"/>
        <w:rPr>
          <w:noProof/>
        </w:rPr>
      </w:pPr>
      <w:bookmarkStart w:id="30" w:name="_Toc0727D7AEC165477FAC3C0DC1F5EE8281"/>
      <w:r>
        <w:rPr>
          <w:noProof/>
        </w:rPr>
        <w:t>2.2.2.</w:t>
      </w:r>
      <w:r>
        <w:rPr>
          <w:noProof/>
        </w:rPr>
        <w:tab/>
        <w:t>Informații privind riscurile identificate și sistemul (sistemele) de control intern instituit(e) pentru atenuarea lor</w:t>
      </w:r>
      <w:bookmarkEnd w:id="30"/>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rPr>
            </w:pPr>
            <w:r>
              <w:rPr>
                <w:noProof/>
              </w:rPr>
              <w:t>S-au identificat următoarele riscuri:</w:t>
            </w:r>
          </w:p>
          <w:p>
            <w:pPr>
              <w:pStyle w:val="Text1"/>
              <w:numPr>
                <w:ilvl w:val="0"/>
                <w:numId w:val="22"/>
              </w:numPr>
              <w:rPr>
                <w:noProof/>
              </w:rPr>
            </w:pPr>
            <w:r>
              <w:rPr>
                <w:noProof/>
              </w:rPr>
              <w:t>dezechilibre între nevoile operaționale pe termen scurt și investițiile strategice pe termen lung, în special în ceea ce privește migrarea către infrastructuri de cloud securizate și automatizarea fluxului de lucru operațional;</w:t>
            </w:r>
          </w:p>
          <w:p>
            <w:pPr>
              <w:pStyle w:val="Text1"/>
              <w:numPr>
                <w:ilvl w:val="0"/>
                <w:numId w:val="22"/>
              </w:numPr>
              <w:rPr>
                <w:noProof/>
              </w:rPr>
            </w:pPr>
            <w:r>
              <w:rPr>
                <w:noProof/>
              </w:rPr>
              <w:t xml:space="preserve">neconcordanțe între obligațiile legale, prioritățile strategice, planificarea multianuală și punerea în aplicare anuală, în special în domeniul gestionării informațiilor și al capacităților TIC; </w:t>
            </w:r>
          </w:p>
          <w:p>
            <w:pPr>
              <w:pStyle w:val="Text1"/>
              <w:numPr>
                <w:ilvl w:val="0"/>
                <w:numId w:val="22"/>
              </w:numPr>
              <w:rPr>
                <w:noProof/>
              </w:rPr>
            </w:pPr>
            <w:r>
              <w:rPr>
                <w:noProof/>
              </w:rPr>
              <w:t>presiunea asupra resurselor operaționale care rezultă din creșterea volumelor de date, a cererilor operaționale și a amenințărilor în continuă evoluție la adresa securității;</w:t>
            </w:r>
          </w:p>
          <w:p>
            <w:pPr>
              <w:pStyle w:val="Text1"/>
              <w:numPr>
                <w:ilvl w:val="0"/>
                <w:numId w:val="22"/>
              </w:numPr>
              <w:rPr>
                <w:noProof/>
              </w:rPr>
            </w:pPr>
            <w:r>
              <w:rPr>
                <w:noProof/>
              </w:rPr>
              <w:t>capacitatea Europol de a consolida personalul și competențele în materie de GI și TIC și de a aborda extinderea misiunii și a atribuțiilor agenției;</w:t>
            </w:r>
          </w:p>
          <w:p>
            <w:pPr>
              <w:pStyle w:val="Text1"/>
              <w:numPr>
                <w:ilvl w:val="0"/>
                <w:numId w:val="22"/>
              </w:numPr>
              <w:rPr>
                <w:noProof/>
              </w:rPr>
            </w:pPr>
            <w:r>
              <w:rPr>
                <w:noProof/>
              </w:rPr>
              <w:t xml:space="preserve">întârzieri în recrutarea și păstrarea personalului specializat în domeniul TIC și în domeniul analitic necesar pentru a sprijini evoluțiile tehnologice majore; </w:t>
            </w:r>
          </w:p>
          <w:p>
            <w:pPr>
              <w:pStyle w:val="Text1"/>
              <w:numPr>
                <w:ilvl w:val="0"/>
                <w:numId w:val="22"/>
              </w:numPr>
              <w:rPr>
                <w:noProof/>
              </w:rPr>
            </w:pPr>
            <w:r>
              <w:rPr>
                <w:noProof/>
              </w:rPr>
              <w:t>creșterea costurilor de întreținere a TIC;</w:t>
            </w:r>
          </w:p>
          <w:p>
            <w:pPr>
              <w:pStyle w:val="Text1"/>
              <w:numPr>
                <w:ilvl w:val="0"/>
                <w:numId w:val="22"/>
              </w:numPr>
              <w:rPr>
                <w:noProof/>
              </w:rPr>
            </w:pPr>
            <w:r>
              <w:rPr>
                <w:noProof/>
              </w:rPr>
              <w:t>lipsa unei strategii pe termen lung de gestionare a activelor TIC și de achiziții publice;</w:t>
            </w:r>
          </w:p>
          <w:p>
            <w:pPr>
              <w:pStyle w:val="Text1"/>
              <w:numPr>
                <w:ilvl w:val="0"/>
                <w:numId w:val="22"/>
              </w:numPr>
              <w:rPr>
                <w:noProof/>
              </w:rPr>
            </w:pPr>
            <w:r>
              <w:rPr>
                <w:noProof/>
              </w:rPr>
              <w:t>costuri suplimentare legate de respectarea normelor și de asigurarea conformității, asociate cu implementarea unor instrumente analitice avansate și bazate pe inteligența artificială în temeiul cadrului de reglementare al Uniunii, inclusiv al Regulamentului privind IA;</w:t>
            </w:r>
          </w:p>
          <w:p>
            <w:pPr>
              <w:pStyle w:val="Text1"/>
              <w:numPr>
                <w:ilvl w:val="0"/>
                <w:numId w:val="22"/>
              </w:numPr>
              <w:rPr>
                <w:noProof/>
              </w:rPr>
            </w:pPr>
            <w:r>
              <w:rPr>
                <w:noProof/>
              </w:rPr>
              <w:t>creșterea volumului de lucru legat de tratarea cererilor de acces ale persoanelor vizate;</w:t>
            </w:r>
          </w:p>
          <w:p>
            <w:pPr>
              <w:pStyle w:val="Text1"/>
              <w:numPr>
                <w:ilvl w:val="0"/>
                <w:numId w:val="22"/>
              </w:numPr>
              <w:rPr>
                <w:noProof/>
              </w:rPr>
            </w:pPr>
            <w:r>
              <w:rPr>
                <w:noProof/>
              </w:rPr>
              <w:t>dependențele de punerea în aplicare în timp util a măsurilor tehnice și organizatorice de către alte organe și agenții ale Uniunii, în special de către EPPO.</w:t>
            </w:r>
          </w:p>
          <w:p>
            <w:pPr>
              <w:pStyle w:val="Text1"/>
              <w:ind w:left="0"/>
              <w:rPr>
                <w:noProof/>
              </w:rPr>
            </w:pPr>
            <w:r>
              <w:rPr>
                <w:noProof/>
              </w:rPr>
              <w:t>În ceea ce privește măsurile de atenuare:</w:t>
            </w:r>
          </w:p>
          <w:p>
            <w:pPr>
              <w:pStyle w:val="Text1"/>
              <w:numPr>
                <w:ilvl w:val="0"/>
                <w:numId w:val="22"/>
              </w:numPr>
              <w:rPr>
                <w:noProof/>
              </w:rPr>
            </w:pPr>
            <w:r>
              <w:rPr>
                <w:noProof/>
              </w:rPr>
              <w:t>Europol pune în aplicare un cadru specific de control intern bazat pe cadrul de control intern al Comisiei Europene și pe cadrul de control intern integrat stabilit inițial de Comitetul Organizațiilor de Sponsorizare. Documentul unic de programare trebuie să furnizeze informații privind sistemele de control intern, în timp ce raportul anual de activitate consolidat trebuie să conțină informații privind eficiența și eficacitatea sistemelor de control intern, inclusiv în ceea ce privește evaluarea riscurilor. Raportul anual de activitate consolidat pentru 2024 menționează că, pe baza analizei componentelor și a principiilor de control intern care au fost monitorizate în cursul anului 2019, utilizând atât elemente cantitative, cât și calitative, sistemul de control intern al Europol este evaluat ca fiind prezent și ca funcționând în mod integrat în cadrul agenției.</w:t>
            </w:r>
          </w:p>
          <w:p>
            <w:pPr>
              <w:pStyle w:val="Text1"/>
              <w:numPr>
                <w:ilvl w:val="0"/>
                <w:numId w:val="22"/>
              </w:numPr>
              <w:rPr>
                <w:noProof/>
              </w:rPr>
            </w:pPr>
            <w:r>
              <w:rPr>
                <w:noProof/>
              </w:rPr>
              <w:t>Un alt nivel de supraveghere internă este asigurat, de asemenea, de structura de audit intern a Europol, pe baza unui plan anual de audit, luând în considerare, în special, evaluarea riscurilor în cadrul Europol. Structura de audit intern ajută Europol să își îndeplinească obiectivele, printr-o abordare sistematică și metodică de evaluare a eficacității proceselor de gestionare a riscurilor, de control și de guvernanță și prin emiterea de recomandări pentru îmbunătățirea acestora.</w:t>
            </w:r>
          </w:p>
          <w:p>
            <w:pPr>
              <w:pStyle w:val="Text1"/>
              <w:numPr>
                <w:ilvl w:val="0"/>
                <w:numId w:val="22"/>
              </w:numPr>
              <w:rPr>
                <w:noProof/>
              </w:rPr>
            </w:pPr>
            <w:r>
              <w:rPr>
                <w:noProof/>
              </w:rPr>
              <w:t>În calitate de DG partener al Europol, DG HOME efectuează un exercițiu anual de gestionare a riscurilor pentru a identifica și a evalua potențialele riscuri ridicate legate de operațiunile agențiilor, inclusiv de cele ale Europol. Riscurile considerate critice sunt raportate anual în planul de management al DG HOME și sunt însoțite de un plan de acțiune care precizează măsurile de atenuare.</w:t>
            </w:r>
          </w:p>
          <w:p>
            <w:pPr>
              <w:pStyle w:val="Text1"/>
              <w:numPr>
                <w:ilvl w:val="0"/>
                <w:numId w:val="22"/>
              </w:numPr>
              <w:rPr>
                <w:noProof/>
              </w:rPr>
            </w:pPr>
            <w:r>
              <w:rPr>
                <w:noProof/>
              </w:rPr>
              <w:t>Comitetul executiv, introdus prin propunerea legislativă, joacă un rol esențial de audit, prin monitorizarea și asigurarea responsabilității în cadrul operațiunilor financiare ale Europol. Acesta este responsabil de supravegherea execuției bugetului Europol, de asigurarea respectării normelor financiare și a principiilor bunei gestiuni financiare, precum și de elaborarea deciziilor financiare și bugetare în vederea adoptării lor de către Consiliul de administrație. O funcție-cheie este obligația sa de a se asigura că se dă curs în mod adecvat constatărilor și recomandărilor auditurilor interne și externe, precum și investigațiilor efectuate de OLAF și EPPO, consolidând astfel integritatea financiară și transparența. Deși comitetul în sine nu efectuează audituri, acesta examinează rapoartele de audit, evaluează implicațiile acestora și propune măsuri corective pentru a remedia deficiențele sau neregulile identificate, acționând astfel în calitate de controlor al probității financiare în cadrul Europol.</w:t>
            </w:r>
          </w:p>
          <w:p>
            <w:pPr>
              <w:pStyle w:val="Text1"/>
              <w:numPr>
                <w:ilvl w:val="0"/>
                <w:numId w:val="22"/>
              </w:numPr>
              <w:rPr>
                <w:noProof/>
              </w:rPr>
            </w:pPr>
            <w:r>
              <w:rPr>
                <w:noProof/>
              </w:rPr>
              <w:t>În cele din urmă, Grupul de coordonare și Grupul consultativ pentru TIC și gestionarea informațiilor, precum și Grupul consultativ pentru inovare și capacități vor sprijini Consiliul de administrație în delimitarea activităților și a subactivităților legate de planificarea bugetară și executarea mandatului și a priorităților strategice ale agenției, în special prin identificarea unor indicatori concreți și reprezentativi pentru activitatea agenției în domeniu, precum și prin monitorizarea punerii în aplicare de către agenție a obiectivelor legate de TIC și a rezultatelor concrete.</w:t>
            </w:r>
          </w:p>
        </w:tc>
      </w:tr>
    </w:tbl>
    <w:p>
      <w:pPr>
        <w:pStyle w:val="Text1"/>
        <w:rPr>
          <w:noProof/>
        </w:rPr>
      </w:pPr>
    </w:p>
    <w:p>
      <w:pPr>
        <w:pStyle w:val="ManualHeading3"/>
        <w:rPr>
          <w:noProof/>
        </w:rPr>
      </w:pPr>
      <w:bookmarkStart w:id="31" w:name="_Toc230120353"/>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31"/>
      <w:r>
        <w:rPr>
          <w:noProof/>
        </w:rPr>
        <w:t xml:space="preserve"> </w:t>
      </w:r>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rPr>
            </w:pPr>
            <w:r>
              <w:rPr>
                <w:noProof/>
              </w:rPr>
              <w:t xml:space="preserve">Raportul dintre „costurile controalelor și valoarea plăților” este raportat de Comisie. Conform raportului anual de activitate pe 2024 al DG HOME, acesta a fost de 0,10 % în cazul entităților cărora le-a fost încredințată gestionarea indirectă și al agențiilor descentralizate, printre care se numără și Europol. </w:t>
            </w:r>
          </w:p>
          <w:p>
            <w:pPr>
              <w:pStyle w:val="Text1"/>
              <w:ind w:left="0"/>
              <w:rPr>
                <w:noProof/>
              </w:rPr>
            </w:pPr>
            <w:r>
              <w:rPr>
                <w:noProof/>
              </w:rPr>
              <w:t>Curtea de Conturi Europeană a confirmat legalitatea și regularitatea conturilor anuale ale Europol pentru 2024, ceea ce implică o rată de eroare mai mică de 2 %. Nu există indicii conform cărora rata de eroare va crește în următorii ani.</w:t>
            </w:r>
          </w:p>
          <w:p>
            <w:pPr>
              <w:pStyle w:val="Text1"/>
              <w:ind w:left="0"/>
              <w:rPr>
                <w:noProof/>
              </w:rPr>
            </w:pPr>
            <w:r>
              <w:rPr>
                <w:noProof/>
              </w:rPr>
              <w:t>În plus, articolul 80 din Regulamentul financiar al Europol prevede posibilitatea ca agenția să partajeze o structură de audit intern cu alte organisme ale Uniunii care își desfășoară activitatea în același domeniu de politică, în cazul în care capacitatea de audit intern a unui singur organism al Uniunii nu este eficientă din punctul de vedere al costurilor.</w:t>
            </w:r>
          </w:p>
        </w:tc>
      </w:tr>
    </w:tbl>
    <w:p>
      <w:pPr>
        <w:pStyle w:val="Text1"/>
        <w:rPr>
          <w:noProof/>
        </w:rPr>
      </w:pPr>
    </w:p>
    <w:p>
      <w:pPr>
        <w:pStyle w:val="ManualHeading2"/>
        <w:rPr>
          <w:noProof/>
          <w:szCs w:val="24"/>
        </w:rPr>
      </w:pPr>
      <w:bookmarkStart w:id="32" w:name="_Toc230120354"/>
      <w:r>
        <w:rPr>
          <w:noProof/>
        </w:rPr>
        <w:t>2.3.</w:t>
      </w:r>
      <w:r>
        <w:rPr>
          <w:noProof/>
        </w:rPr>
        <w:tab/>
        <w:t>Măsuri de prevenire a fraudelor și a neregulilor</w:t>
      </w:r>
      <w:bookmarkEnd w:id="32"/>
      <w:r>
        <w:rPr>
          <w:noProof/>
        </w:rPr>
        <w:t xml:space="preserve"> </w:t>
      </w:r>
    </w:p>
    <w:tbl>
      <w:tblPr>
        <w:tblStyle w:val="TableGrid"/>
        <w:tblW w:w="0" w:type="auto"/>
        <w:tblInd w:w="850" w:type="dxa"/>
        <w:tblLook w:val="04A0" w:firstRow="1" w:lastRow="0" w:firstColumn="1" w:lastColumn="0" w:noHBand="0" w:noVBand="1"/>
      </w:tblPr>
      <w:tblGrid>
        <w:gridCol w:w="8437"/>
      </w:tblGrid>
      <w:tr>
        <w:tc>
          <w:tcPr>
            <w:tcW w:w="9287" w:type="dxa"/>
          </w:tcPr>
          <w:p>
            <w:pPr>
              <w:pStyle w:val="Text1"/>
              <w:ind w:left="0"/>
              <w:rPr>
                <w:noProof/>
              </w:rPr>
            </w:pPr>
            <w:r>
              <w:rPr>
                <w:noProof/>
                <w:color w:val="000000" w:themeColor="text1"/>
              </w:rPr>
              <w:t>Propunerea include măsuri de asigurare a bunei gestiuni financiare și de prevenire a fraudei, a neregulilor și a conflictelor de interese în desfășurarea activităților operaționale și de finanțare ale Uniunii,</w:t>
            </w:r>
            <w:r>
              <w:rPr>
                <w:noProof/>
              </w:rPr>
              <w:t xml:space="preserve"> în special articolul 128 și dispozițiile financiare din capitolul XII. </w:t>
            </w:r>
          </w:p>
          <w:p>
            <w:pPr>
              <w:pStyle w:val="Text1"/>
              <w:ind w:left="0"/>
              <w:rPr>
                <w:noProof/>
              </w:rPr>
            </w:pPr>
            <w:r>
              <w:rPr>
                <w:noProof/>
              </w:rPr>
              <w:t>În acest cadru juridic, Consiliul de administrație al Europol trebuie să adopte și să actualizeze periodic o strategie internă antifraudă. Europol a adoptat o strategie antifraudă actualizată la 25-26 iunie 2025. În conformitate cu acest cadru, Europol va continua să participe la activitățile de prevenire a fraudei desfășurate de OLAF și va raporta fără întârziere Comisiei suspiciunile de fraudă și de nereguli financiare.</w:t>
            </w:r>
          </w:p>
          <w:p>
            <w:pPr>
              <w:pStyle w:val="Text1"/>
              <w:ind w:left="0"/>
              <w:rPr>
                <w:noProof/>
              </w:rPr>
            </w:pPr>
            <w:r>
              <w:rPr>
                <w:noProof/>
                <w:color w:val="000000" w:themeColor="text1"/>
              </w:rPr>
              <w:t>Propunerea consolidează, de asemenea, guvernanța internă și supravegherea financiară prin instituirea unui comitet executiv responsabil cu monitorizarea constatărilor auditului și cu asigurarea punerii în aplicare a recomandărilor de audit și control. În plus, Comisia își păstrează competența de a formula obiecții cu privire la deciziile Consiliului de administrație care pot genera riscuri de gestiune financiară defectuoasă sau de nerespectare a dreptului Uniunii.</w:t>
            </w:r>
            <w:r>
              <w:rPr>
                <w:noProof/>
              </w:rPr>
              <w:t xml:space="preserve"> </w:t>
            </w:r>
          </w:p>
          <w:p>
            <w:pPr>
              <w:pStyle w:val="Text1"/>
              <w:ind w:left="0"/>
              <w:rPr>
                <w:noProof/>
                <w:color w:val="000000" w:themeColor="text1"/>
              </w:rPr>
            </w:pPr>
            <w:r>
              <w:rPr>
                <w:noProof/>
                <w:color w:val="000000" w:themeColor="text1"/>
              </w:rPr>
              <w:t>Activitățile Europol vor face în continuare obiectul cadrelor financiare, de audit, de protecție a datelor și de asigurare a răspunderii aplicabile ale Uniunii, inclusiv al supravegherii și al investigațiilor efectuate de OLAF, EPPO, Curtea de Conturi și Consiliul de cooperare al Europol.</w:t>
            </w:r>
          </w:p>
          <w:p>
            <w:pPr>
              <w:pStyle w:val="Text1"/>
              <w:ind w:left="0"/>
              <w:rPr>
                <w:noProof/>
                <w:color w:val="000000" w:themeColor="text1"/>
              </w:rPr>
            </w:pPr>
            <w:r>
              <w:rPr>
                <w:noProof/>
                <w:color w:val="000000" w:themeColor="text1"/>
              </w:rPr>
              <w:t>DG HOME va continua să își pună în aplicare strategia antifraudă în conformitate cu strategia antifraudă a Comisiei (SAFC), care se aplică și agențiilor descentralizate aflate în sfera sa de competență, inclusiv Europol.</w:t>
            </w:r>
          </w:p>
        </w:tc>
      </w:tr>
    </w:tbl>
    <w:p>
      <w:pPr>
        <w:rPr>
          <w:noProof/>
        </w:rPr>
        <w:sectPr>
          <w:headerReference w:type="even" r:id="rId25"/>
          <w:footerReference w:type="even" r:id="rId26"/>
          <w:footerReference w:type="default" r:id="rId27"/>
          <w:headerReference w:type="first" r:id="rId28"/>
          <w:footerReference w:type="first" r:id="rId29"/>
          <w:pgSz w:w="11907" w:h="16840" w:code="9"/>
          <w:pgMar w:top="1134" w:right="1418" w:bottom="1134" w:left="1418" w:header="709" w:footer="709" w:gutter="0"/>
          <w:pgNumType w:start="1"/>
          <w:cols w:space="720"/>
          <w:docGrid w:linePitch="360"/>
        </w:sectPr>
      </w:pPr>
    </w:p>
    <w:p>
      <w:pPr>
        <w:pStyle w:val="ManualHeading1"/>
        <w:rPr>
          <w:noProof/>
          <w:szCs w:val="24"/>
        </w:rPr>
      </w:pPr>
      <w:bookmarkStart w:id="33" w:name="_Toc230120355"/>
      <w:r>
        <w:rPr>
          <w:noProof/>
        </w:rPr>
        <w:t>3.</w:t>
      </w:r>
      <w:r>
        <w:rPr>
          <w:noProof/>
        </w:rPr>
        <w:tab/>
        <w:t>IMPACTUL FINANCIAR ESTIMAT AL PROPUNERII/INIȚIATIVEI</w:t>
      </w:r>
      <w:bookmarkEnd w:id="33"/>
      <w:r>
        <w:rPr>
          <w:noProof/>
        </w:rPr>
        <w:t xml:space="preserve"> </w:t>
      </w:r>
    </w:p>
    <w:p>
      <w:pPr>
        <w:pStyle w:val="Text1"/>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ManualHeading2"/>
        <w:rPr>
          <w:noProof/>
        </w:rPr>
      </w:pPr>
      <w:bookmarkStart w:id="34" w:name="_Toc230120356"/>
      <w:r>
        <w:rPr>
          <w:noProof/>
        </w:rPr>
        <w:t>3.1.</w:t>
      </w:r>
      <w:r>
        <w:rPr>
          <w:noProof/>
        </w:rPr>
        <w:tab/>
        <w:t>Rubrica (rubricile) din cadrul financiar multianual și linia (liniile) bugetară (bugetare) de cheltuieli afectată (afectate)</w:t>
      </w:r>
      <w:bookmarkEnd w:id="34"/>
      <w:r>
        <w:rPr>
          <w:noProof/>
        </w:rPr>
        <w:t xml:space="preserve"> </w:t>
      </w:r>
    </w:p>
    <w:p>
      <w:pPr>
        <w:pStyle w:val="ListBullet1"/>
        <w:tabs>
          <w:tab w:val="num" w:pos="1134"/>
        </w:tabs>
        <w:ind w:left="1134" w:hanging="283"/>
        <w:rPr>
          <w:noProof/>
        </w:rPr>
      </w:pPr>
      <w:r>
        <w:rPr>
          <w:noProof/>
        </w:rPr>
        <w:t xml:space="preserve">Linii bugetare existente </w:t>
      </w:r>
    </w:p>
    <w:p>
      <w:pPr>
        <w:pStyle w:val="Text1"/>
        <w:rPr>
          <w:i/>
          <w:noProof/>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Contribuția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1: Coeziune economică, socială și teritorială, agricultură și zone rurale, afaceri maritime, prosperitate și securitate</w:t>
            </w:r>
          </w:p>
        </w:tc>
        <w:tc>
          <w:tcPr>
            <w:tcW w:w="1092" w:type="dxa"/>
            <w:vAlign w:val="center"/>
          </w:tcPr>
          <w:p>
            <w:pPr>
              <w:jc w:val="center"/>
              <w:rPr>
                <w:noProof/>
              </w:rPr>
            </w:pPr>
            <w:r>
              <w:rPr>
                <w:noProof/>
                <w:sz w:val="18"/>
              </w:rPr>
              <w:t>Dif./Nedif.</w:t>
            </w:r>
            <w:r>
              <w:rPr>
                <w:rStyle w:val="FootnoteReference"/>
                <w:noProof/>
                <w:sz w:val="18"/>
                <w:szCs w:val="18"/>
              </w:rPr>
              <w:footnoteReference w:id="92"/>
            </w:r>
          </w:p>
        </w:tc>
        <w:tc>
          <w:tcPr>
            <w:tcW w:w="966" w:type="dxa"/>
            <w:vAlign w:val="center"/>
          </w:tcPr>
          <w:p>
            <w:pPr>
              <w:jc w:val="center"/>
              <w:rPr>
                <w:b/>
                <w:noProof/>
                <w:sz w:val="18"/>
              </w:rPr>
            </w:pPr>
            <w:r>
              <w:rPr>
                <w:noProof/>
                <w:sz w:val="18"/>
              </w:rPr>
              <w:t>din partea țărilor AELS</w:t>
            </w:r>
            <w:r>
              <w:rPr>
                <w:rStyle w:val="FootnoteReference"/>
                <w:noProof/>
                <w:sz w:val="18"/>
                <w:szCs w:val="18"/>
              </w:rPr>
              <w:footnoteReference w:id="93"/>
            </w:r>
          </w:p>
        </w:tc>
        <w:tc>
          <w:tcPr>
            <w:tcW w:w="1092" w:type="dxa"/>
            <w:vAlign w:val="center"/>
          </w:tcPr>
          <w:p>
            <w:pPr>
              <w:jc w:val="center"/>
              <w:rPr>
                <w:noProof/>
                <w:sz w:val="18"/>
              </w:rPr>
            </w:pPr>
            <w:r>
              <w:rPr>
                <w:noProof/>
                <w:sz w:val="18"/>
              </w:rPr>
              <w:t>din partea țărilor candidate și potențial candidate</w:t>
            </w:r>
            <w:r>
              <w:rPr>
                <w:rStyle w:val="FootnoteReference"/>
                <w:noProof/>
                <w:sz w:val="18"/>
                <w:szCs w:val="18"/>
              </w:rPr>
              <w:footnoteReference w:id="94"/>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vAlign w:val="center"/>
          </w:tcPr>
          <w:p>
            <w:pPr>
              <w:jc w:val="center"/>
              <w:rPr>
                <w:noProof/>
                <w:color w:val="0000FF"/>
                <w:sz w:val="22"/>
              </w:rPr>
            </w:pPr>
          </w:p>
        </w:tc>
        <w:tc>
          <w:tcPr>
            <w:tcW w:w="4002" w:type="dxa"/>
            <w:vAlign w:val="center"/>
          </w:tcPr>
          <w:p>
            <w:pPr>
              <w:spacing w:before="60"/>
              <w:rPr>
                <w:noProof/>
                <w:sz w:val="22"/>
              </w:rPr>
            </w:pPr>
            <w:r>
              <w:rPr>
                <w:noProof/>
                <w:sz w:val="22"/>
              </w:rPr>
              <w:t xml:space="preserve">Agenții descentralizate </w:t>
            </w:r>
          </w:p>
          <w:p>
            <w:pPr>
              <w:spacing w:before="60"/>
              <w:rPr>
                <w:noProof/>
                <w:sz w:val="22"/>
              </w:rPr>
            </w:pPr>
            <w:r>
              <w:rPr>
                <w:noProof/>
                <w:sz w:val="22"/>
              </w:rPr>
              <w:t>Europol</w:t>
            </w:r>
          </w:p>
        </w:tc>
        <w:tc>
          <w:tcPr>
            <w:tcW w:w="1092" w:type="dxa"/>
            <w:vAlign w:val="center"/>
          </w:tcPr>
          <w:p>
            <w:pPr>
              <w:jc w:val="center"/>
              <w:rPr>
                <w:noProof/>
                <w:color w:val="0000FF"/>
                <w:sz w:val="22"/>
              </w:rPr>
            </w:pPr>
            <w:r>
              <w:rPr>
                <w:noProof/>
                <w:sz w:val="22"/>
              </w:rPr>
              <w:t>Nedif.</w:t>
            </w:r>
          </w:p>
        </w:tc>
        <w:tc>
          <w:tcPr>
            <w:tcW w:w="966" w:type="dxa"/>
            <w:vAlign w:val="center"/>
          </w:tcPr>
          <w:p>
            <w:pPr>
              <w:jc w:val="center"/>
              <w:rPr>
                <w:noProof/>
                <w:sz w:val="22"/>
              </w:rPr>
            </w:pPr>
            <w:r>
              <w:rPr>
                <w:noProof/>
                <w:sz w:val="22"/>
              </w:rPr>
              <w:t>DA/NU</w:t>
            </w:r>
          </w:p>
        </w:tc>
        <w:tc>
          <w:tcPr>
            <w:tcW w:w="1092" w:type="dxa"/>
            <w:vAlign w:val="center"/>
          </w:tcPr>
          <w:p>
            <w:pPr>
              <w:jc w:val="center"/>
              <w:rPr>
                <w:noProof/>
                <w:sz w:val="22"/>
              </w:rPr>
            </w:pPr>
            <w:r>
              <w:rPr>
                <w:noProof/>
                <w:sz w:val="22"/>
              </w:rPr>
              <w:t>DA/NU</w:t>
            </w:r>
          </w:p>
        </w:tc>
        <w:tc>
          <w:tcPr>
            <w:tcW w:w="966" w:type="dxa"/>
            <w:vAlign w:val="center"/>
          </w:tcPr>
          <w:p>
            <w:pPr>
              <w:jc w:val="center"/>
              <w:rPr>
                <w:noProof/>
                <w:sz w:val="22"/>
              </w:rPr>
            </w:pPr>
            <w:r>
              <w:rPr>
                <w:noProof/>
                <w:sz w:val="22"/>
              </w:rPr>
              <w:t>DA/NU</w:t>
            </w:r>
          </w:p>
        </w:tc>
        <w:tc>
          <w:tcPr>
            <w:tcW w:w="1463" w:type="dxa"/>
            <w:vAlign w:val="center"/>
          </w:tcPr>
          <w:p>
            <w:pPr>
              <w:jc w:val="center"/>
              <w:rPr>
                <w:noProof/>
                <w:sz w:val="22"/>
              </w:rPr>
            </w:pPr>
            <w:r>
              <w:rPr>
                <w:noProof/>
                <w:sz w:val="22"/>
              </w:rPr>
              <w:t>DA/NU</w:t>
            </w:r>
          </w:p>
        </w:tc>
      </w:tr>
    </w:tbl>
    <w:p>
      <w:pPr>
        <w:pStyle w:val="ManualHeading2"/>
        <w:rPr>
          <w:noProof/>
        </w:rPr>
        <w:sectPr>
          <w:pgSz w:w="11907" w:h="16839"/>
          <w:pgMar w:top="1134" w:right="1417" w:bottom="1134" w:left="1417" w:header="709" w:footer="709" w:gutter="0"/>
          <w:cols w:space="720"/>
          <w:docGrid w:linePitch="360"/>
        </w:sectPr>
      </w:pPr>
    </w:p>
    <w:p>
      <w:pPr>
        <w:pStyle w:val="ManualHeading2"/>
        <w:rPr>
          <w:noProof/>
          <w:szCs w:val="24"/>
        </w:rPr>
      </w:pPr>
      <w:bookmarkStart w:id="35" w:name="_Toc230120357"/>
      <w:r>
        <w:rPr>
          <w:noProof/>
        </w:rPr>
        <w:t>3.2 Impactul financiar estimat al propunerii asupra creditelor</w:t>
      </w:r>
      <w:bookmarkEnd w:id="35"/>
      <w:r>
        <w:rPr>
          <w:noProof/>
        </w:rPr>
        <w:t xml:space="preserve"> </w:t>
      </w:r>
    </w:p>
    <w:p>
      <w:pPr>
        <w:pStyle w:val="ManualHeading3"/>
        <w:rPr>
          <w:noProof/>
        </w:rPr>
      </w:pPr>
      <w:bookmarkStart w:id="36" w:name="_Toc230120358"/>
      <w:r>
        <w:rPr>
          <w:noProof/>
        </w:rPr>
        <w:t>3.2.1.</w:t>
      </w:r>
      <w:r>
        <w:rPr>
          <w:noProof/>
        </w:rPr>
        <w:tab/>
        <w:t>Sinteza impactului estimat asupra creditelor operaționale</w:t>
      </w:r>
      <w:bookmarkEnd w:id="36"/>
      <w:r>
        <w:rPr>
          <w:noProof/>
        </w:rPr>
        <w:t xml:space="preserve"> </w:t>
      </w:r>
    </w:p>
    <w:p>
      <w:pPr>
        <w:pStyle w:val="ListDash1"/>
        <w:tabs>
          <w:tab w:val="num" w:pos="1134"/>
        </w:tabs>
        <w:ind w:left="1134" w:hanging="283"/>
        <w:rPr>
          <w:noProof/>
        </w:rPr>
      </w:pPr>
      <w:r>
        <w:rPr>
          <w:rFonts w:ascii="Wingdings" w:hAnsi="Wingdings"/>
          <w:noProof/>
        </w:rPr>
        <w:t></w:t>
      </w:r>
      <w:r>
        <w:rPr>
          <w:noProof/>
        </w:rPr>
        <w:tab/>
        <w:t xml:space="preserve">Propunerea/inițiativa nu implică utilizarea de credite operaționale </w:t>
      </w:r>
    </w:p>
    <w:p>
      <w:pPr>
        <w:pStyle w:val="ListDash1"/>
        <w:tabs>
          <w:tab w:val="num" w:pos="1134"/>
        </w:tabs>
        <w:ind w:left="1134" w:hanging="283"/>
        <w:rPr>
          <w:noProof/>
        </w:rPr>
      </w:pPr>
      <w:bookmarkStart w:id="37" w:name="_Hlk226123490"/>
      <w:r>
        <w:rPr>
          <w:rFonts w:ascii="Wingdings" w:hAnsi="Wingdings"/>
          <w:noProof/>
        </w:rPr>
        <w:t></w:t>
      </w:r>
      <w:bookmarkEnd w:id="37"/>
      <w:r>
        <w:rPr>
          <w:noProof/>
        </w:rPr>
        <w:tab/>
        <w:t>Propunerea/inițiativa implică utilizarea de credite operaționale, conform explicațiilor de mai jos</w:t>
      </w:r>
    </w:p>
    <w:p>
      <w:pPr>
        <w:pStyle w:val="ManualHeading3"/>
        <w:rPr>
          <w:noProof/>
        </w:rPr>
      </w:pPr>
      <w:bookmarkStart w:id="38" w:name="_Toc91BA1DF32FCE44FE8F47F66E75A0562F"/>
      <w:r>
        <w:rPr>
          <w:noProof/>
        </w:rPr>
        <w:t>3.2.1.1.</w:t>
      </w:r>
      <w:r>
        <w:rPr>
          <w:noProof/>
        </w:rPr>
        <w:tab/>
        <w:t>Credite din bugetul votat</w:t>
      </w:r>
      <w:bookmarkEnd w:id="38"/>
    </w:p>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994"/>
        <w:gridCol w:w="8866"/>
      </w:tblGrid>
      <w:tr>
        <w:tc>
          <w:tcPr>
            <w:tcW w:w="1666"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36" w:type="pct"/>
            <w:vAlign w:val="center"/>
          </w:tcPr>
          <w:p>
            <w:pPr>
              <w:spacing w:before="60" w:after="60"/>
              <w:jc w:val="center"/>
              <w:rPr>
                <w:noProof/>
              </w:rPr>
            </w:pPr>
            <w:r>
              <w:rPr>
                <w:noProof/>
                <w:sz w:val="22"/>
              </w:rPr>
              <w:t>1</w:t>
            </w:r>
          </w:p>
        </w:tc>
        <w:tc>
          <w:tcPr>
            <w:tcW w:w="2998" w:type="pct"/>
            <w:vAlign w:val="center"/>
          </w:tcPr>
          <w:p>
            <w:pPr>
              <w:spacing w:before="60" w:after="60"/>
              <w:rPr>
                <w:noProof/>
              </w:rPr>
            </w:pPr>
            <w:r>
              <w:rPr>
                <w:noProof/>
              </w:rPr>
              <w:t>Coeziune economică, socială și teritorială, agricultură și zone rurale, afaceri maritime, prosperitate și securitate/Planuri de parteneriat naționale și regionale</w:t>
            </w:r>
          </w:p>
        </w:tc>
      </w:tr>
    </w:tbl>
    <w:p>
      <w:pPr>
        <w:jc w:val="right"/>
        <w:rPr>
          <w:noProof/>
          <w:sz w:val="18"/>
          <w:szCs w:val="18"/>
        </w:rPr>
      </w:pPr>
      <w:r>
        <w:rPr>
          <w:noProof/>
          <w:sz w:val="18"/>
        </w:rPr>
        <w:t>milioane EUR (cu trei zecimale)</w:t>
      </w: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992"/>
        <w:gridCol w:w="1134"/>
        <w:gridCol w:w="1134"/>
        <w:gridCol w:w="992"/>
        <w:gridCol w:w="1134"/>
        <w:gridCol w:w="1134"/>
        <w:gridCol w:w="1134"/>
        <w:gridCol w:w="2127"/>
      </w:tblGrid>
      <w:tr>
        <w:trPr>
          <w:trHeight w:val="744"/>
        </w:trPr>
        <w:tc>
          <w:tcPr>
            <w:tcW w:w="4962" w:type="dxa"/>
            <w:vAlign w:val="center"/>
          </w:tcPr>
          <w:p>
            <w:pPr>
              <w:jc w:val="center"/>
              <w:rPr>
                <w:noProof/>
                <w:sz w:val="20"/>
                <w:szCs w:val="20"/>
              </w:rPr>
            </w:pPr>
            <w:r>
              <w:rPr>
                <w:noProof/>
                <w:sz w:val="20"/>
              </w:rPr>
              <w:t>[Agenția]: Europol</w:t>
            </w:r>
          </w:p>
        </w:tc>
        <w:tc>
          <w:tcPr>
            <w:tcW w:w="992" w:type="dxa"/>
            <w:vAlign w:val="center"/>
          </w:tcPr>
          <w:p>
            <w:pPr>
              <w:jc w:val="center"/>
              <w:rPr>
                <w:b/>
                <w:noProof/>
                <w:sz w:val="20"/>
                <w:szCs w:val="20"/>
              </w:rPr>
            </w:pPr>
            <w:r>
              <w:rPr>
                <w:noProof/>
                <w:sz w:val="18"/>
              </w:rPr>
              <w:t xml:space="preserve">Anul </w:t>
            </w:r>
            <w:r>
              <w:rPr>
                <w:b/>
                <w:noProof/>
                <w:sz w:val="18"/>
              </w:rPr>
              <w:t>2028</w:t>
            </w:r>
          </w:p>
        </w:tc>
        <w:tc>
          <w:tcPr>
            <w:tcW w:w="1134" w:type="dxa"/>
            <w:vAlign w:val="center"/>
          </w:tcPr>
          <w:p>
            <w:pPr>
              <w:jc w:val="center"/>
              <w:rPr>
                <w:noProof/>
                <w:color w:val="000000"/>
                <w:sz w:val="20"/>
                <w:szCs w:val="20"/>
              </w:rPr>
            </w:pPr>
            <w:r>
              <w:rPr>
                <w:noProof/>
                <w:sz w:val="18"/>
              </w:rPr>
              <w:t xml:space="preserve">Anul </w:t>
            </w:r>
            <w:r>
              <w:rPr>
                <w:b/>
                <w:noProof/>
                <w:sz w:val="18"/>
              </w:rPr>
              <w:t>2029</w:t>
            </w:r>
          </w:p>
        </w:tc>
        <w:tc>
          <w:tcPr>
            <w:tcW w:w="1134" w:type="dxa"/>
            <w:vAlign w:val="center"/>
          </w:tcPr>
          <w:p>
            <w:pPr>
              <w:jc w:val="center"/>
              <w:rPr>
                <w:noProof/>
                <w:color w:val="000000"/>
                <w:sz w:val="20"/>
                <w:szCs w:val="20"/>
              </w:rPr>
            </w:pPr>
            <w:r>
              <w:rPr>
                <w:noProof/>
                <w:sz w:val="18"/>
              </w:rPr>
              <w:t xml:space="preserve">Anul </w:t>
            </w:r>
            <w:r>
              <w:rPr>
                <w:b/>
                <w:noProof/>
                <w:sz w:val="18"/>
              </w:rPr>
              <w:t>2030</w:t>
            </w:r>
          </w:p>
        </w:tc>
        <w:tc>
          <w:tcPr>
            <w:tcW w:w="992" w:type="dxa"/>
            <w:vAlign w:val="center"/>
          </w:tcPr>
          <w:p>
            <w:pPr>
              <w:jc w:val="center"/>
              <w:rPr>
                <w:noProof/>
                <w:color w:val="000000"/>
                <w:sz w:val="20"/>
                <w:szCs w:val="20"/>
              </w:rPr>
            </w:pPr>
            <w:r>
              <w:rPr>
                <w:noProof/>
                <w:sz w:val="18"/>
              </w:rPr>
              <w:t xml:space="preserve">Anul </w:t>
            </w:r>
            <w:r>
              <w:rPr>
                <w:b/>
                <w:noProof/>
                <w:sz w:val="18"/>
              </w:rPr>
              <w:t>2031</w:t>
            </w:r>
          </w:p>
        </w:tc>
        <w:tc>
          <w:tcPr>
            <w:tcW w:w="1134" w:type="dxa"/>
            <w:vAlign w:val="center"/>
          </w:tcPr>
          <w:p>
            <w:pPr>
              <w:jc w:val="center"/>
              <w:rPr>
                <w:b/>
                <w:noProof/>
                <w:sz w:val="20"/>
                <w:szCs w:val="20"/>
              </w:rPr>
            </w:pPr>
            <w:r>
              <w:rPr>
                <w:noProof/>
                <w:sz w:val="18"/>
              </w:rPr>
              <w:t xml:space="preserve">Anul </w:t>
            </w:r>
            <w:r>
              <w:rPr>
                <w:b/>
                <w:noProof/>
                <w:sz w:val="18"/>
              </w:rPr>
              <w:t>2032</w:t>
            </w:r>
          </w:p>
        </w:tc>
        <w:tc>
          <w:tcPr>
            <w:tcW w:w="1134" w:type="dxa"/>
            <w:vAlign w:val="center"/>
          </w:tcPr>
          <w:p>
            <w:pPr>
              <w:jc w:val="center"/>
              <w:rPr>
                <w:b/>
                <w:noProof/>
                <w:sz w:val="20"/>
                <w:szCs w:val="20"/>
              </w:rPr>
            </w:pPr>
            <w:r>
              <w:rPr>
                <w:noProof/>
                <w:sz w:val="18"/>
              </w:rPr>
              <w:t xml:space="preserve">Anul </w:t>
            </w:r>
            <w:r>
              <w:rPr>
                <w:b/>
                <w:noProof/>
                <w:sz w:val="18"/>
              </w:rPr>
              <w:t>2033</w:t>
            </w:r>
          </w:p>
        </w:tc>
        <w:tc>
          <w:tcPr>
            <w:tcW w:w="1134" w:type="dxa"/>
            <w:vAlign w:val="center"/>
          </w:tcPr>
          <w:p>
            <w:pPr>
              <w:jc w:val="center"/>
              <w:rPr>
                <w:b/>
                <w:noProof/>
                <w:sz w:val="20"/>
                <w:szCs w:val="20"/>
              </w:rPr>
            </w:pPr>
            <w:r>
              <w:rPr>
                <w:noProof/>
                <w:sz w:val="18"/>
              </w:rPr>
              <w:t xml:space="preserve">Anul </w:t>
            </w:r>
            <w:r>
              <w:rPr>
                <w:b/>
                <w:noProof/>
                <w:sz w:val="18"/>
              </w:rPr>
              <w:t>2034</w:t>
            </w:r>
          </w:p>
        </w:tc>
        <w:tc>
          <w:tcPr>
            <w:tcW w:w="2127" w:type="dxa"/>
            <w:vAlign w:val="center"/>
          </w:tcPr>
          <w:p>
            <w:pPr>
              <w:jc w:val="center"/>
              <w:rPr>
                <w:b/>
                <w:noProof/>
                <w:sz w:val="20"/>
                <w:szCs w:val="20"/>
              </w:rPr>
            </w:pPr>
            <w:r>
              <w:rPr>
                <w:b/>
                <w:noProof/>
                <w:color w:val="000000"/>
                <w:sz w:val="20"/>
              </w:rPr>
              <w:t>TOTAL CFM 2028-2034</w:t>
            </w:r>
          </w:p>
        </w:tc>
      </w:tr>
      <w:tr>
        <w:trPr>
          <w:trHeight w:val="484"/>
        </w:trPr>
        <w:tc>
          <w:tcPr>
            <w:tcW w:w="4962" w:type="dxa"/>
            <w:vAlign w:val="center"/>
          </w:tcPr>
          <w:p>
            <w:pPr>
              <w:jc w:val="left"/>
              <w:rPr>
                <w:noProof/>
                <w:sz w:val="20"/>
                <w:szCs w:val="20"/>
              </w:rPr>
            </w:pPr>
            <w:r>
              <w:rPr>
                <w:noProof/>
                <w:sz w:val="20"/>
              </w:rPr>
              <w:t>Linia bugetară: 12 10 01 Europol/Contribuția de la bugetul UE pentru agenție</w:t>
            </w:r>
            <w:r>
              <w:rPr>
                <w:rStyle w:val="FootnoteReference"/>
                <w:noProof/>
                <w:sz w:val="20"/>
                <w:szCs w:val="20"/>
              </w:rPr>
              <w:footnoteReference w:id="95"/>
            </w:r>
          </w:p>
        </w:tc>
        <w:tc>
          <w:tcPr>
            <w:tcW w:w="992" w:type="dxa"/>
            <w:shd w:val="clear" w:color="auto" w:fill="D9D9D9" w:themeFill="background1" w:themeFillShade="D9"/>
            <w:vAlign w:val="center"/>
          </w:tcPr>
          <w:p>
            <w:pPr>
              <w:spacing w:before="20" w:after="20"/>
              <w:jc w:val="right"/>
              <w:rPr>
                <w:b/>
                <w:noProof/>
                <w:sz w:val="20"/>
                <w:szCs w:val="20"/>
              </w:rPr>
            </w:pPr>
            <w:r>
              <w:rPr>
                <w:b/>
                <w:noProof/>
                <w:sz w:val="20"/>
              </w:rPr>
              <w:t>57,512</w:t>
            </w:r>
          </w:p>
        </w:tc>
        <w:tc>
          <w:tcPr>
            <w:tcW w:w="1134" w:type="dxa"/>
            <w:shd w:val="clear" w:color="auto" w:fill="D9D9D9" w:themeFill="background1" w:themeFillShade="D9"/>
            <w:vAlign w:val="center"/>
          </w:tcPr>
          <w:p>
            <w:pPr>
              <w:spacing w:before="20" w:after="20"/>
              <w:jc w:val="right"/>
              <w:rPr>
                <w:b/>
                <w:noProof/>
                <w:sz w:val="20"/>
                <w:szCs w:val="20"/>
              </w:rPr>
            </w:pPr>
            <w:r>
              <w:rPr>
                <w:b/>
                <w:noProof/>
                <w:sz w:val="20"/>
              </w:rPr>
              <w:t>92,346</w:t>
            </w:r>
          </w:p>
        </w:tc>
        <w:tc>
          <w:tcPr>
            <w:tcW w:w="1134" w:type="dxa"/>
            <w:shd w:val="clear" w:color="auto" w:fill="D9D9D9" w:themeFill="background1" w:themeFillShade="D9"/>
            <w:vAlign w:val="center"/>
          </w:tcPr>
          <w:p>
            <w:pPr>
              <w:spacing w:before="20" w:after="20"/>
              <w:jc w:val="right"/>
              <w:rPr>
                <w:b/>
                <w:noProof/>
                <w:sz w:val="20"/>
                <w:szCs w:val="20"/>
              </w:rPr>
            </w:pPr>
            <w:r>
              <w:rPr>
                <w:b/>
                <w:noProof/>
                <w:sz w:val="20"/>
              </w:rPr>
              <w:t>120,831</w:t>
            </w:r>
          </w:p>
        </w:tc>
        <w:tc>
          <w:tcPr>
            <w:tcW w:w="992" w:type="dxa"/>
            <w:shd w:val="clear" w:color="auto" w:fill="D9D9D9" w:themeFill="background1" w:themeFillShade="D9"/>
            <w:vAlign w:val="center"/>
          </w:tcPr>
          <w:p>
            <w:pPr>
              <w:spacing w:before="20" w:after="20"/>
              <w:jc w:val="right"/>
              <w:rPr>
                <w:b/>
                <w:noProof/>
                <w:sz w:val="20"/>
                <w:szCs w:val="20"/>
              </w:rPr>
            </w:pPr>
            <w:r>
              <w:rPr>
                <w:b/>
                <w:noProof/>
                <w:sz w:val="20"/>
              </w:rPr>
              <w:t>150,385</w:t>
            </w:r>
          </w:p>
        </w:tc>
        <w:tc>
          <w:tcPr>
            <w:tcW w:w="1134" w:type="dxa"/>
            <w:shd w:val="clear" w:color="auto" w:fill="D9D9D9" w:themeFill="background1" w:themeFillShade="D9"/>
            <w:vAlign w:val="center"/>
          </w:tcPr>
          <w:p>
            <w:pPr>
              <w:spacing w:before="20" w:after="20"/>
              <w:jc w:val="right"/>
              <w:rPr>
                <w:b/>
                <w:noProof/>
                <w:sz w:val="20"/>
                <w:szCs w:val="20"/>
              </w:rPr>
            </w:pPr>
            <w:r>
              <w:rPr>
                <w:b/>
                <w:noProof/>
                <w:sz w:val="20"/>
              </w:rPr>
              <w:t>178,830</w:t>
            </w:r>
          </w:p>
        </w:tc>
        <w:tc>
          <w:tcPr>
            <w:tcW w:w="1134" w:type="dxa"/>
            <w:shd w:val="clear" w:color="auto" w:fill="D9D9D9" w:themeFill="background1" w:themeFillShade="D9"/>
            <w:vAlign w:val="center"/>
          </w:tcPr>
          <w:p>
            <w:pPr>
              <w:spacing w:before="20" w:after="20"/>
              <w:jc w:val="right"/>
              <w:rPr>
                <w:b/>
                <w:noProof/>
                <w:sz w:val="20"/>
                <w:szCs w:val="20"/>
              </w:rPr>
            </w:pPr>
            <w:r>
              <w:rPr>
                <w:b/>
                <w:noProof/>
                <w:sz w:val="20"/>
              </w:rPr>
              <w:t>207,164</w:t>
            </w:r>
          </w:p>
        </w:tc>
        <w:tc>
          <w:tcPr>
            <w:tcW w:w="1134" w:type="dxa"/>
            <w:shd w:val="clear" w:color="auto" w:fill="D9D9D9" w:themeFill="background1" w:themeFillShade="D9"/>
            <w:vAlign w:val="center"/>
          </w:tcPr>
          <w:p>
            <w:pPr>
              <w:spacing w:before="20" w:after="20"/>
              <w:jc w:val="right"/>
              <w:rPr>
                <w:b/>
                <w:noProof/>
                <w:sz w:val="20"/>
                <w:szCs w:val="20"/>
              </w:rPr>
            </w:pPr>
            <w:r>
              <w:rPr>
                <w:b/>
                <w:noProof/>
                <w:sz w:val="20"/>
              </w:rPr>
              <w:t>234,384</w:t>
            </w:r>
          </w:p>
        </w:tc>
        <w:tc>
          <w:tcPr>
            <w:tcW w:w="2127" w:type="dxa"/>
            <w:shd w:val="clear" w:color="auto" w:fill="D9D9D9" w:themeFill="background1" w:themeFillShade="D9"/>
            <w:vAlign w:val="center"/>
          </w:tcPr>
          <w:p>
            <w:pPr>
              <w:spacing w:before="20" w:after="20"/>
              <w:jc w:val="right"/>
              <w:rPr>
                <w:b/>
                <w:noProof/>
                <w:sz w:val="20"/>
                <w:szCs w:val="20"/>
              </w:rPr>
            </w:pPr>
            <w:r>
              <w:rPr>
                <w:b/>
                <w:noProof/>
                <w:sz w:val="20"/>
              </w:rPr>
              <w:t>1 041,452</w:t>
            </w:r>
          </w:p>
        </w:tc>
      </w:tr>
      <w:tr>
        <w:trPr>
          <w:trHeight w:val="484"/>
        </w:trPr>
        <w:tc>
          <w:tcPr>
            <w:tcW w:w="4962" w:type="dxa"/>
            <w:vAlign w:val="center"/>
          </w:tcPr>
          <w:p>
            <w:pPr>
              <w:jc w:val="left"/>
              <w:rPr>
                <w:noProof/>
                <w:sz w:val="20"/>
                <w:szCs w:val="20"/>
              </w:rPr>
            </w:pPr>
            <w:r>
              <w:rPr>
                <w:noProof/>
                <w:sz w:val="20"/>
              </w:rPr>
              <w:t>Linia bugetară: 11 10 02 eu-LISA/Contribuția de la bugetul UE pentru agenție</w:t>
            </w:r>
            <w:r>
              <w:rPr>
                <w:rStyle w:val="FootnoteReference"/>
                <w:noProof/>
              </w:rPr>
              <w:footnoteReference w:id="96"/>
            </w:r>
          </w:p>
        </w:tc>
        <w:tc>
          <w:tcPr>
            <w:tcW w:w="992" w:type="dxa"/>
            <w:shd w:val="clear" w:color="auto" w:fill="D9D9D9" w:themeFill="background1" w:themeFillShade="D9"/>
            <w:vAlign w:val="center"/>
          </w:tcPr>
          <w:p>
            <w:pPr>
              <w:spacing w:before="20" w:after="20"/>
              <w:jc w:val="right"/>
              <w:rPr>
                <w:b/>
                <w:bCs/>
                <w:noProof/>
                <w:sz w:val="20"/>
                <w:szCs w:val="20"/>
              </w:rPr>
            </w:pPr>
            <w:r>
              <w:rPr>
                <w:b/>
                <w:noProof/>
                <w:sz w:val="20"/>
              </w:rPr>
              <w:t>0,756</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1,687</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1,863</w:t>
            </w:r>
          </w:p>
        </w:tc>
        <w:tc>
          <w:tcPr>
            <w:tcW w:w="992" w:type="dxa"/>
            <w:shd w:val="clear" w:color="auto" w:fill="D9D9D9" w:themeFill="background1" w:themeFillShade="D9"/>
            <w:vAlign w:val="center"/>
          </w:tcPr>
          <w:p>
            <w:pPr>
              <w:spacing w:before="20" w:after="20"/>
              <w:jc w:val="right"/>
              <w:rPr>
                <w:b/>
                <w:bCs/>
                <w:noProof/>
                <w:sz w:val="20"/>
                <w:szCs w:val="20"/>
              </w:rPr>
            </w:pPr>
            <w:r>
              <w:rPr>
                <w:b/>
                <w:noProof/>
                <w:sz w:val="20"/>
              </w:rPr>
              <w:t>1,863</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1,863</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1,863</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1,863</w:t>
            </w:r>
          </w:p>
        </w:tc>
        <w:tc>
          <w:tcPr>
            <w:tcW w:w="2127" w:type="dxa"/>
            <w:shd w:val="clear" w:color="auto" w:fill="D9D9D9" w:themeFill="background1" w:themeFillShade="D9"/>
            <w:vAlign w:val="center"/>
          </w:tcPr>
          <w:p>
            <w:pPr>
              <w:spacing w:before="20" w:after="20"/>
              <w:jc w:val="right"/>
              <w:rPr>
                <w:b/>
                <w:bCs/>
                <w:noProof/>
                <w:sz w:val="20"/>
                <w:szCs w:val="20"/>
              </w:rPr>
            </w:pPr>
            <w:r>
              <w:rPr>
                <w:b/>
                <w:noProof/>
                <w:sz w:val="20"/>
              </w:rPr>
              <w:t>11,758</w:t>
            </w:r>
          </w:p>
        </w:tc>
      </w:tr>
      <w:tr>
        <w:trPr>
          <w:trHeight w:val="484"/>
        </w:trPr>
        <w:tc>
          <w:tcPr>
            <w:tcW w:w="4962" w:type="dxa"/>
            <w:vAlign w:val="center"/>
          </w:tcPr>
          <w:p>
            <w:pPr>
              <w:jc w:val="left"/>
              <w:rPr>
                <w:noProof/>
                <w:sz w:val="20"/>
                <w:szCs w:val="20"/>
              </w:rPr>
            </w:pPr>
            <w:r>
              <w:rPr>
                <w:noProof/>
                <w:sz w:val="20"/>
              </w:rPr>
              <w:t>Total Europol și eu-LISA</w:t>
            </w:r>
          </w:p>
        </w:tc>
        <w:tc>
          <w:tcPr>
            <w:tcW w:w="992" w:type="dxa"/>
            <w:shd w:val="clear" w:color="auto" w:fill="D9D9D9" w:themeFill="background1" w:themeFillShade="D9"/>
            <w:vAlign w:val="center"/>
          </w:tcPr>
          <w:p>
            <w:pPr>
              <w:spacing w:before="20" w:after="20"/>
              <w:jc w:val="right"/>
              <w:rPr>
                <w:b/>
                <w:bCs/>
                <w:noProof/>
                <w:sz w:val="20"/>
                <w:szCs w:val="20"/>
              </w:rPr>
            </w:pPr>
            <w:r>
              <w:rPr>
                <w:b/>
                <w:noProof/>
                <w:sz w:val="20"/>
              </w:rPr>
              <w:t>58,268</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94,033</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122,694</w:t>
            </w:r>
          </w:p>
        </w:tc>
        <w:tc>
          <w:tcPr>
            <w:tcW w:w="992" w:type="dxa"/>
            <w:shd w:val="clear" w:color="auto" w:fill="D9D9D9" w:themeFill="background1" w:themeFillShade="D9"/>
            <w:vAlign w:val="center"/>
          </w:tcPr>
          <w:p>
            <w:pPr>
              <w:spacing w:before="20" w:after="20"/>
              <w:jc w:val="right"/>
              <w:rPr>
                <w:b/>
                <w:bCs/>
                <w:noProof/>
                <w:sz w:val="20"/>
                <w:szCs w:val="20"/>
              </w:rPr>
            </w:pPr>
            <w:r>
              <w:rPr>
                <w:b/>
                <w:noProof/>
                <w:sz w:val="20"/>
              </w:rPr>
              <w:t>152,248</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180,693</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209,027</w:t>
            </w:r>
          </w:p>
        </w:tc>
        <w:tc>
          <w:tcPr>
            <w:tcW w:w="1134" w:type="dxa"/>
            <w:shd w:val="clear" w:color="auto" w:fill="D9D9D9" w:themeFill="background1" w:themeFillShade="D9"/>
            <w:vAlign w:val="center"/>
          </w:tcPr>
          <w:p>
            <w:pPr>
              <w:spacing w:before="20" w:after="20"/>
              <w:jc w:val="right"/>
              <w:rPr>
                <w:b/>
                <w:bCs/>
                <w:noProof/>
                <w:sz w:val="20"/>
                <w:szCs w:val="20"/>
              </w:rPr>
            </w:pPr>
            <w:r>
              <w:rPr>
                <w:b/>
                <w:noProof/>
                <w:sz w:val="20"/>
              </w:rPr>
              <w:t>236,247</w:t>
            </w:r>
          </w:p>
        </w:tc>
        <w:tc>
          <w:tcPr>
            <w:tcW w:w="2127" w:type="dxa"/>
            <w:shd w:val="clear" w:color="auto" w:fill="D9D9D9" w:themeFill="background1" w:themeFillShade="D9"/>
            <w:vAlign w:val="center"/>
          </w:tcPr>
          <w:p>
            <w:pPr>
              <w:spacing w:before="20" w:after="20"/>
              <w:jc w:val="right"/>
              <w:rPr>
                <w:b/>
                <w:bCs/>
                <w:noProof/>
                <w:sz w:val="20"/>
                <w:szCs w:val="20"/>
              </w:rPr>
            </w:pPr>
            <w:r>
              <w:rPr>
                <w:b/>
                <w:noProof/>
                <w:sz w:val="20"/>
              </w:rPr>
              <w:t>1 053,21</w:t>
            </w:r>
          </w:p>
        </w:tc>
      </w:tr>
    </w:tbl>
    <w:p>
      <w:pPr>
        <w:jc w:val="right"/>
        <w:rPr>
          <w:noProof/>
          <w:sz w:val="20"/>
        </w:rPr>
      </w:pPr>
    </w:p>
    <w:tbl>
      <w:tblPr>
        <w:tblW w:w="5000" w:type="pct"/>
        <w:tblLook w:val="04A0" w:firstRow="1" w:lastRow="0" w:firstColumn="1" w:lastColumn="0" w:noHBand="0" w:noVBand="1"/>
      </w:tblPr>
      <w:tblGrid>
        <w:gridCol w:w="2189"/>
        <w:gridCol w:w="1653"/>
        <w:gridCol w:w="1032"/>
        <w:gridCol w:w="1038"/>
        <w:gridCol w:w="1112"/>
        <w:gridCol w:w="1115"/>
        <w:gridCol w:w="1115"/>
        <w:gridCol w:w="1115"/>
        <w:gridCol w:w="1115"/>
        <w:gridCol w:w="1115"/>
        <w:gridCol w:w="2188"/>
      </w:tblGrid>
      <w:tr>
        <w:trPr>
          <w:trHeight w:val="410"/>
        </w:trPr>
        <w:tc>
          <w:tcPr>
            <w:tcW w:w="1648"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lang w:eastAsia="en-IE"/>
              </w:rPr>
            </w:pPr>
          </w:p>
        </w:tc>
        <w:tc>
          <w:tcPr>
            <w:tcW w:w="351"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6"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74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TOTAL CFM 2028-2034</w:t>
            </w:r>
          </w:p>
        </w:tc>
      </w:tr>
      <w:tr>
        <w:trPr>
          <w:trHeight w:val="300"/>
        </w:trPr>
        <w:tc>
          <w:tcPr>
            <w:tcW w:w="1648"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351"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2028</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2029</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2030</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2031</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2032</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2033</w:t>
            </w:r>
          </w:p>
        </w:tc>
        <w:tc>
          <w:tcPr>
            <w:tcW w:w="37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2034</w:t>
            </w:r>
          </w:p>
        </w:tc>
        <w:tc>
          <w:tcPr>
            <w:tcW w:w="74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860"/>
        </w:trPr>
        <w:tc>
          <w:tcPr>
            <w:tcW w:w="740"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credite operaționale (inclusiv contribuția pentru agenția descentralizată)</w:t>
            </w:r>
          </w:p>
        </w:tc>
        <w:tc>
          <w:tcPr>
            <w:tcW w:w="559"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4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35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58,268</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94,033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122,694</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152,248</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180,693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209,027</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236,247</w:t>
            </w:r>
          </w:p>
        </w:tc>
        <w:tc>
          <w:tcPr>
            <w:tcW w:w="74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sz w:val="20"/>
              </w:rPr>
              <w:t>1 053,21</w:t>
            </w:r>
          </w:p>
        </w:tc>
      </w:tr>
      <w:tr>
        <w:trPr>
          <w:trHeight w:val="300"/>
        </w:trPr>
        <w:tc>
          <w:tcPr>
            <w:tcW w:w="740"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559"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49" w:type="pct"/>
            <w:tcBorders>
              <w:top w:val="nil"/>
              <w:left w:val="nil"/>
              <w:bottom w:val="single" w:sz="4"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35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58,268</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94,033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122,694</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152,248</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180,693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209,027</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sz w:val="20"/>
              </w:rPr>
              <w:t>236,247</w:t>
            </w:r>
          </w:p>
        </w:tc>
        <w:tc>
          <w:tcPr>
            <w:tcW w:w="74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sz w:val="20"/>
              </w:rPr>
              <w:t>1 053,21</w:t>
            </w:r>
          </w:p>
        </w:tc>
      </w:tr>
      <w:tr>
        <w:trPr>
          <w:trHeight w:val="1180"/>
        </w:trPr>
        <w:tc>
          <w:tcPr>
            <w:tcW w:w="1299"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credite cu caracter administrativ finanțate din bugetul unor programe specifice </w:t>
            </w:r>
          </w:p>
        </w:tc>
        <w:tc>
          <w:tcPr>
            <w:tcW w:w="349" w:type="pct"/>
            <w:tcBorders>
              <w:top w:val="single" w:sz="4"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35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74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color w:val="000000"/>
                <w:sz w:val="20"/>
              </w:rPr>
              <w:t>0</w:t>
            </w:r>
          </w:p>
        </w:tc>
      </w:tr>
      <w:tr>
        <w:trPr>
          <w:trHeight w:val="579"/>
        </w:trPr>
        <w:tc>
          <w:tcPr>
            <w:tcW w:w="740"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noProof/>
                <w:color w:val="000000"/>
                <w:sz w:val="22"/>
              </w:rPr>
            </w:pPr>
            <w:r>
              <w:rPr>
                <w:b/>
                <w:noProof/>
                <w:color w:val="000000"/>
                <w:sz w:val="22"/>
              </w:rPr>
              <w:t>TOTAL credite în cadrul RUBRICII 1</w:t>
            </w:r>
          </w:p>
        </w:tc>
        <w:tc>
          <w:tcPr>
            <w:tcW w:w="559"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4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35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58 268</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94 033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122 694</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152 248</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180,693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209,027</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236,247</w:t>
            </w:r>
          </w:p>
        </w:tc>
        <w:tc>
          <w:tcPr>
            <w:tcW w:w="74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sz w:val="20"/>
              </w:rPr>
              <w:t>1 053,21</w:t>
            </w:r>
          </w:p>
        </w:tc>
      </w:tr>
      <w:tr>
        <w:trPr>
          <w:trHeight w:val="552"/>
        </w:trPr>
        <w:tc>
          <w:tcPr>
            <w:tcW w:w="740"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din cadrul financiar multianual</w:t>
            </w:r>
          </w:p>
        </w:tc>
        <w:tc>
          <w:tcPr>
            <w:tcW w:w="559"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49"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35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58 268</w:t>
            </w:r>
          </w:p>
        </w:tc>
        <w:tc>
          <w:tcPr>
            <w:tcW w:w="376"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94 033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122 694</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152,248</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180,693</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209,027</w:t>
            </w:r>
          </w:p>
        </w:tc>
        <w:tc>
          <w:tcPr>
            <w:tcW w:w="3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noProof/>
                <w:sz w:val="20"/>
              </w:rPr>
              <w:t>236,247</w:t>
            </w:r>
          </w:p>
        </w:tc>
        <w:tc>
          <w:tcPr>
            <w:tcW w:w="74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20"/>
                <w:szCs w:val="20"/>
              </w:rPr>
            </w:pPr>
            <w:r>
              <w:rPr>
                <w:b/>
                <w:noProof/>
                <w:sz w:val="20"/>
              </w:rPr>
              <w:t>1 053,21</w:t>
            </w:r>
          </w:p>
        </w:tc>
      </w:tr>
    </w:tbl>
    <w:p>
      <w:pPr>
        <w:jc w:val="right"/>
        <w:rPr>
          <w:noProof/>
          <w:sz w:val="18"/>
          <w:szCs w:val="18"/>
        </w:rPr>
      </w:pPr>
    </w:p>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994"/>
        <w:gridCol w:w="8866"/>
      </w:tblGrid>
      <w:tr>
        <w:tc>
          <w:tcPr>
            <w:tcW w:w="1666"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36" w:type="pct"/>
            <w:vAlign w:val="center"/>
          </w:tcPr>
          <w:p>
            <w:pPr>
              <w:spacing w:before="60" w:after="60"/>
              <w:jc w:val="center"/>
              <w:rPr>
                <w:noProof/>
              </w:rPr>
            </w:pPr>
            <w:r>
              <w:rPr>
                <w:noProof/>
                <w:sz w:val="22"/>
              </w:rPr>
              <w:t>4</w:t>
            </w:r>
          </w:p>
        </w:tc>
        <w:tc>
          <w:tcPr>
            <w:tcW w:w="2998" w:type="pct"/>
            <w:vAlign w:val="center"/>
          </w:tcPr>
          <w:p>
            <w:pPr>
              <w:spacing w:before="60" w:after="60"/>
              <w:rPr>
                <w:noProof/>
              </w:rPr>
            </w:pPr>
            <w:r>
              <w:rPr>
                <w:noProof/>
                <w:sz w:val="22"/>
              </w:rPr>
              <w:t>„Cheltuieli administrative”</w:t>
            </w:r>
          </w:p>
        </w:tc>
      </w:tr>
    </w:tbl>
    <w:p>
      <w:pPr>
        <w:jc w:val="right"/>
        <w:rPr>
          <w:noProof/>
          <w:sz w:val="18"/>
          <w:szCs w:val="18"/>
        </w:rPr>
      </w:pPr>
      <w:r>
        <w:rPr>
          <w:noProof/>
          <w:sz w:val="18"/>
        </w:rPr>
        <w:t>milioane EUR (cu trei zecimale)</w:t>
      </w:r>
    </w:p>
    <w:tbl>
      <w:tblPr>
        <w:tblW w:w="5000" w:type="pct"/>
        <w:tblLayout w:type="fixed"/>
        <w:tblLook w:val="04A0" w:firstRow="1" w:lastRow="0" w:firstColumn="1" w:lastColumn="0" w:noHBand="0" w:noVBand="1"/>
      </w:tblPr>
      <w:tblGrid>
        <w:gridCol w:w="1806"/>
        <w:gridCol w:w="2839"/>
        <w:gridCol w:w="1275"/>
        <w:gridCol w:w="1142"/>
        <w:gridCol w:w="665"/>
        <w:gridCol w:w="272"/>
        <w:gridCol w:w="192"/>
        <w:gridCol w:w="44"/>
        <w:gridCol w:w="237"/>
        <w:gridCol w:w="852"/>
        <w:gridCol w:w="1050"/>
        <w:gridCol w:w="1118"/>
        <w:gridCol w:w="1115"/>
        <w:gridCol w:w="2180"/>
      </w:tblGrid>
      <w:tr>
        <w:trPr>
          <w:trHeight w:val="410"/>
        </w:trPr>
        <w:tc>
          <w:tcPr>
            <w:tcW w:w="1571" w:type="pct"/>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noProof/>
                <w:color w:val="000000"/>
                <w:szCs w:val="24"/>
              </w:rPr>
            </w:pPr>
            <w:r>
              <w:rPr>
                <w:noProof/>
                <w:color w:val="000000"/>
              </w:rPr>
              <w:t>DG: HOME</w:t>
            </w:r>
          </w:p>
        </w:tc>
        <w:tc>
          <w:tcPr>
            <w:tcW w:w="431" w:type="pct"/>
            <w:tcBorders>
              <w:top w:val="single" w:sz="8" w:space="0" w:color="auto"/>
              <w:left w:val="single" w:sz="4" w:space="0" w:color="auto"/>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8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82"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83" w:type="pct"/>
            <w:gridSpan w:val="3"/>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77" w:type="pct"/>
            <w:tcBorders>
              <w:top w:val="single" w:sz="8" w:space="0" w:color="auto"/>
              <w:left w:val="nil"/>
              <w:bottom w:val="nil"/>
              <w:right w:val="single" w:sz="4"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737"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b/>
                <w:noProof/>
                <w:color w:val="000000"/>
                <w:sz w:val="20"/>
                <w:szCs w:val="20"/>
              </w:rPr>
            </w:pPr>
            <w:r>
              <w:rPr>
                <w:b/>
                <w:noProof/>
                <w:color w:val="000000"/>
                <w:sz w:val="20"/>
              </w:rPr>
              <w:t>TOTAL CFM 2028-2034</w:t>
            </w:r>
          </w:p>
        </w:tc>
      </w:tr>
      <w:tr>
        <w:trPr>
          <w:trHeight w:val="300"/>
        </w:trPr>
        <w:tc>
          <w:tcPr>
            <w:tcW w:w="1571" w:type="pct"/>
            <w:gridSpan w:val="2"/>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Cs w:val="24"/>
                <w:lang w:eastAsia="en-IE"/>
              </w:rPr>
            </w:pPr>
          </w:p>
        </w:tc>
        <w:tc>
          <w:tcPr>
            <w:tcW w:w="431" w:type="pct"/>
            <w:tcBorders>
              <w:top w:val="nil"/>
              <w:left w:val="single" w:sz="4" w:space="0" w:color="auto"/>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2028</w:t>
            </w:r>
          </w:p>
        </w:tc>
        <w:tc>
          <w:tcPr>
            <w:tcW w:w="386"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2029</w:t>
            </w:r>
          </w:p>
        </w:tc>
        <w:tc>
          <w:tcPr>
            <w:tcW w:w="382"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2030</w:t>
            </w:r>
          </w:p>
        </w:tc>
        <w:tc>
          <w:tcPr>
            <w:tcW w:w="383"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2031</w:t>
            </w:r>
          </w:p>
        </w:tc>
        <w:tc>
          <w:tcPr>
            <w:tcW w:w="355"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2032</w:t>
            </w:r>
          </w:p>
        </w:tc>
        <w:tc>
          <w:tcPr>
            <w:tcW w:w="378"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2033</w:t>
            </w:r>
          </w:p>
        </w:tc>
        <w:tc>
          <w:tcPr>
            <w:tcW w:w="377" w:type="pct"/>
            <w:tcBorders>
              <w:top w:val="nil"/>
              <w:left w:val="nil"/>
              <w:bottom w:val="single" w:sz="8" w:space="0" w:color="auto"/>
              <w:right w:val="single" w:sz="4" w:space="0" w:color="auto"/>
            </w:tcBorders>
            <w:vAlign w:val="center"/>
            <w:hideMark/>
          </w:tcPr>
          <w:p>
            <w:pPr>
              <w:spacing w:before="0" w:after="0"/>
              <w:jc w:val="center"/>
              <w:rPr>
                <w:rFonts w:eastAsia="Times New Roman"/>
                <w:b/>
                <w:noProof/>
                <w:color w:val="000000"/>
                <w:sz w:val="20"/>
                <w:szCs w:val="20"/>
              </w:rPr>
            </w:pPr>
            <w:r>
              <w:rPr>
                <w:b/>
                <w:noProof/>
                <w:color w:val="000000"/>
                <w:sz w:val="20"/>
              </w:rPr>
              <w:t>2034</w:t>
            </w:r>
          </w:p>
        </w:tc>
        <w:tc>
          <w:tcPr>
            <w:tcW w:w="737" w:type="pct"/>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1571" w:type="pct"/>
            <w:gridSpan w:val="2"/>
            <w:tcBorders>
              <w:top w:val="single" w:sz="4"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rPr>
            </w:pPr>
            <w:r>
              <w:rPr>
                <w:noProof/>
                <w:color w:val="000000" w:themeColor="text1"/>
                <w:sz w:val="22"/>
              </w:rPr>
              <w:t xml:space="preserve">Resurse umane </w:t>
            </w:r>
          </w:p>
        </w:tc>
        <w:tc>
          <w:tcPr>
            <w:tcW w:w="4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0,496</w:t>
            </w:r>
          </w:p>
        </w:tc>
        <w:tc>
          <w:tcPr>
            <w:tcW w:w="38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0,496</w:t>
            </w:r>
          </w:p>
        </w:tc>
        <w:tc>
          <w:tcPr>
            <w:tcW w:w="382"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0,690</w:t>
            </w:r>
          </w:p>
        </w:tc>
        <w:tc>
          <w:tcPr>
            <w:tcW w:w="383"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0,690</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0,884</w:t>
            </w:r>
          </w:p>
        </w:tc>
        <w:tc>
          <w:tcPr>
            <w:tcW w:w="37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0,884</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1,078</w:t>
            </w:r>
          </w:p>
        </w:tc>
        <w:tc>
          <w:tcPr>
            <w:tcW w:w="737"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5,218</w:t>
            </w:r>
          </w:p>
        </w:tc>
      </w:tr>
      <w:tr>
        <w:trPr>
          <w:trHeight w:val="300"/>
        </w:trPr>
        <w:tc>
          <w:tcPr>
            <w:tcW w:w="157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rPr>
            </w:pPr>
            <w:r>
              <w:rPr>
                <w:noProof/>
                <w:color w:val="000000" w:themeColor="text1"/>
                <w:sz w:val="22"/>
              </w:rPr>
              <w:t xml:space="preserve">Alte cheltuieli administrative </w:t>
            </w:r>
          </w:p>
        </w:tc>
        <w:tc>
          <w:tcPr>
            <w:tcW w:w="4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0,268</w:t>
            </w:r>
          </w:p>
        </w:tc>
        <w:tc>
          <w:tcPr>
            <w:tcW w:w="38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0,518</w:t>
            </w:r>
          </w:p>
        </w:tc>
        <w:tc>
          <w:tcPr>
            <w:tcW w:w="382"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0,268</w:t>
            </w:r>
          </w:p>
        </w:tc>
        <w:tc>
          <w:tcPr>
            <w:tcW w:w="383"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0,518</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0,268</w:t>
            </w:r>
          </w:p>
        </w:tc>
        <w:tc>
          <w:tcPr>
            <w:tcW w:w="37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0,518</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0,268</w:t>
            </w:r>
          </w:p>
        </w:tc>
        <w:tc>
          <w:tcPr>
            <w:tcW w:w="73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2,626</w:t>
            </w:r>
          </w:p>
        </w:tc>
      </w:tr>
      <w:tr>
        <w:trPr>
          <w:trHeight w:val="850"/>
        </w:trPr>
        <w:tc>
          <w:tcPr>
            <w:tcW w:w="61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noProof/>
                <w:color w:val="000000"/>
                <w:sz w:val="22"/>
              </w:rPr>
            </w:pPr>
            <w:r>
              <w:rPr>
                <w:b/>
                <w:noProof/>
                <w:color w:val="000000"/>
                <w:sz w:val="22"/>
              </w:rPr>
              <w:t>TOTAL DG HOME</w:t>
            </w:r>
          </w:p>
        </w:tc>
        <w:tc>
          <w:tcPr>
            <w:tcW w:w="960" w:type="pct"/>
            <w:tcBorders>
              <w:top w:val="single" w:sz="8" w:space="0" w:color="auto"/>
              <w:left w:val="nil"/>
              <w:bottom w:val="single" w:sz="8" w:space="0" w:color="auto"/>
              <w:right w:val="single" w:sz="8" w:space="0" w:color="000000" w:themeColor="text1"/>
            </w:tcBorders>
            <w:vAlign w:val="center"/>
            <w:hideMark/>
          </w:tcPr>
          <w:p>
            <w:pPr>
              <w:spacing w:before="0" w:after="0"/>
              <w:jc w:val="left"/>
              <w:rPr>
                <w:rFonts w:eastAsia="Times New Roman"/>
                <w:noProof/>
                <w:color w:val="000000"/>
                <w:sz w:val="18"/>
                <w:szCs w:val="18"/>
                <w:lang w:eastAsia="en-IE"/>
              </w:rPr>
            </w:pPr>
          </w:p>
        </w:tc>
        <w:tc>
          <w:tcPr>
            <w:tcW w:w="4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0,764</w:t>
            </w:r>
          </w:p>
        </w:tc>
        <w:tc>
          <w:tcPr>
            <w:tcW w:w="38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1,014</w:t>
            </w:r>
          </w:p>
        </w:tc>
        <w:tc>
          <w:tcPr>
            <w:tcW w:w="382"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0,958</w:t>
            </w:r>
          </w:p>
        </w:tc>
        <w:tc>
          <w:tcPr>
            <w:tcW w:w="383" w:type="pct"/>
            <w:gridSpan w:val="3"/>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1,208</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1,152</w:t>
            </w:r>
          </w:p>
        </w:tc>
        <w:tc>
          <w:tcPr>
            <w:tcW w:w="378"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1,402</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1,346</w:t>
            </w:r>
          </w:p>
        </w:tc>
        <w:tc>
          <w:tcPr>
            <w:tcW w:w="73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7,844</w:t>
            </w:r>
          </w:p>
        </w:tc>
      </w:tr>
      <w:tr>
        <w:trPr>
          <w:trHeight w:val="300"/>
        </w:trPr>
        <w:tc>
          <w:tcPr>
            <w:tcW w:w="611" w:type="pct"/>
            <w:tcBorders>
              <w:top w:val="nil"/>
              <w:left w:val="nil"/>
              <w:bottom w:val="nil"/>
              <w:right w:val="nil"/>
            </w:tcBorders>
            <w:noWrap/>
            <w:vAlign w:val="bottom"/>
            <w:hideMark/>
          </w:tcPr>
          <w:p>
            <w:pPr>
              <w:spacing w:before="0" w:after="0"/>
              <w:jc w:val="right"/>
              <w:rPr>
                <w:rFonts w:eastAsia="Times New Roman"/>
                <w:b/>
                <w:noProof/>
                <w:color w:val="000000"/>
                <w:sz w:val="20"/>
                <w:szCs w:val="20"/>
                <w:lang w:eastAsia="en-IE"/>
              </w:rPr>
            </w:pPr>
          </w:p>
        </w:tc>
        <w:tc>
          <w:tcPr>
            <w:tcW w:w="96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17"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9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0"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8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73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300"/>
        </w:trPr>
        <w:tc>
          <w:tcPr>
            <w:tcW w:w="611" w:type="pct"/>
            <w:tcBorders>
              <w:top w:val="nil"/>
              <w:left w:val="nil"/>
              <w:bottom w:val="nil"/>
              <w:right w:val="nil"/>
            </w:tcBorders>
            <w:noWrap/>
            <w:vAlign w:val="bottom"/>
            <w:hideMark/>
          </w:tcPr>
          <w:p>
            <w:pPr>
              <w:spacing w:before="0" w:after="0"/>
              <w:jc w:val="right"/>
              <w:rPr>
                <w:rFonts w:eastAsia="Times New Roman"/>
                <w:b/>
                <w:noProof/>
                <w:color w:val="000000"/>
                <w:sz w:val="20"/>
                <w:szCs w:val="20"/>
                <w:lang w:eastAsia="en-IE"/>
              </w:rPr>
            </w:pPr>
          </w:p>
        </w:tc>
        <w:tc>
          <w:tcPr>
            <w:tcW w:w="96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17"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2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9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0" w:type="pct"/>
            <w:gridSpan w:val="2"/>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8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8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73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571"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pPr>
              <w:spacing w:before="0" w:after="0"/>
              <w:jc w:val="center"/>
              <w:rPr>
                <w:rFonts w:eastAsia="Times New Roman"/>
                <w:b/>
                <w:noProof/>
                <w:color w:val="000000"/>
                <w:sz w:val="22"/>
              </w:rPr>
            </w:pPr>
            <w:r>
              <w:rPr>
                <w:b/>
                <w:noProof/>
                <w:color w:val="000000"/>
                <w:sz w:val="22"/>
              </w:rPr>
              <w:t>TOTAL credite în cadrul RUBRICII 4 din cadrul financiar multianual</w:t>
            </w:r>
            <w:r>
              <w:rPr>
                <w:noProof/>
              </w:rPr>
              <w:t xml:space="preserve"> </w:t>
            </w:r>
            <w:r>
              <w:rPr>
                <w:noProof/>
              </w:rPr>
              <w:br/>
            </w:r>
            <w:r>
              <w:rPr>
                <w:noProof/>
                <w:color w:val="000000"/>
                <w:sz w:val="22"/>
              </w:rPr>
              <w:t>(Total angajamente = Total plăți)</w:t>
            </w:r>
          </w:p>
        </w:tc>
        <w:tc>
          <w:tcPr>
            <w:tcW w:w="431" w:type="pct"/>
            <w:tcBorders>
              <w:top w:val="single" w:sz="8" w:space="0" w:color="auto"/>
              <w:left w:val="nil"/>
              <w:bottom w:val="single" w:sz="8" w:space="0" w:color="auto"/>
              <w:right w:val="single" w:sz="8" w:space="0" w:color="000000" w:themeColor="text1"/>
            </w:tcBorders>
            <w:vAlign w:val="center"/>
          </w:tcPr>
          <w:p>
            <w:pPr>
              <w:spacing w:before="0" w:after="0"/>
              <w:jc w:val="center"/>
              <w:rPr>
                <w:rFonts w:eastAsia="Times New Roman"/>
                <w:noProof/>
                <w:color w:val="000000"/>
                <w:sz w:val="18"/>
                <w:szCs w:val="18"/>
              </w:rPr>
            </w:pPr>
            <w:r>
              <w:rPr>
                <w:b/>
                <w:noProof/>
                <w:color w:val="000000"/>
                <w:sz w:val="20"/>
              </w:rPr>
              <w:t>0,764</w:t>
            </w:r>
          </w:p>
        </w:tc>
        <w:tc>
          <w:tcPr>
            <w:tcW w:w="386" w:type="pct"/>
            <w:tcBorders>
              <w:top w:val="single" w:sz="8" w:space="0" w:color="auto"/>
              <w:left w:val="nil"/>
              <w:bottom w:val="single" w:sz="8" w:space="0" w:color="auto"/>
              <w:right w:val="single" w:sz="8" w:space="0" w:color="auto"/>
            </w:tcBorders>
            <w:shd w:val="clear" w:color="auto" w:fill="D9D9D9" w:themeFill="background1" w:themeFillShade="D9"/>
            <w:vAlign w:val="center"/>
          </w:tcPr>
          <w:p>
            <w:pPr>
              <w:spacing w:before="0" w:after="0"/>
              <w:jc w:val="right"/>
              <w:rPr>
                <w:rFonts w:eastAsia="Times New Roman"/>
                <w:b/>
                <w:noProof/>
                <w:color w:val="000000"/>
                <w:sz w:val="20"/>
                <w:szCs w:val="20"/>
              </w:rPr>
            </w:pPr>
            <w:r>
              <w:rPr>
                <w:b/>
                <w:noProof/>
                <w:color w:val="000000"/>
                <w:sz w:val="20"/>
              </w:rPr>
              <w:t>1,014</w:t>
            </w:r>
          </w:p>
        </w:tc>
        <w:tc>
          <w:tcPr>
            <w:tcW w:w="382"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0,958</w:t>
            </w:r>
          </w:p>
        </w:tc>
        <w:tc>
          <w:tcPr>
            <w:tcW w:w="383"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1,208</w:t>
            </w:r>
          </w:p>
        </w:tc>
        <w:tc>
          <w:tcPr>
            <w:tcW w:w="355"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1,152</w:t>
            </w:r>
          </w:p>
        </w:tc>
        <w:tc>
          <w:tcPr>
            <w:tcW w:w="378"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1,402</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1,346</w:t>
            </w:r>
          </w:p>
        </w:tc>
        <w:tc>
          <w:tcPr>
            <w:tcW w:w="73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7,844</w:t>
            </w:r>
          </w:p>
        </w:tc>
      </w:tr>
    </w:tbl>
    <w:p>
      <w:pPr>
        <w:jc w:val="right"/>
        <w:rPr>
          <w:noProof/>
          <w:sz w:val="20"/>
        </w:rPr>
      </w:pPr>
    </w:p>
    <w:p>
      <w:pPr>
        <w:jc w:val="right"/>
        <w:rPr>
          <w:noProof/>
          <w:sz w:val="20"/>
        </w:rPr>
      </w:pPr>
      <w:r>
        <w:rPr>
          <w:noProof/>
          <w:sz w:val="20"/>
        </w:rPr>
        <w:t>milioane EUR (cu trei zecimale)</w:t>
      </w:r>
    </w:p>
    <w:tbl>
      <w:tblPr>
        <w:tblW w:w="5000" w:type="pct"/>
        <w:tblLook w:val="04A0" w:firstRow="1" w:lastRow="0" w:firstColumn="1" w:lastColumn="0" w:noHBand="0" w:noVBand="1"/>
      </w:tblPr>
      <w:tblGrid>
        <w:gridCol w:w="1647"/>
        <w:gridCol w:w="1236"/>
        <w:gridCol w:w="1313"/>
        <w:gridCol w:w="1414"/>
        <w:gridCol w:w="1514"/>
        <w:gridCol w:w="1514"/>
        <w:gridCol w:w="1514"/>
        <w:gridCol w:w="1514"/>
        <w:gridCol w:w="1514"/>
        <w:gridCol w:w="1607"/>
      </w:tblGrid>
      <w:tr>
        <w:trPr>
          <w:trHeight w:val="410"/>
        </w:trPr>
        <w:tc>
          <w:tcPr>
            <w:tcW w:w="967" w:type="pct"/>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rFonts w:eastAsia="Times New Roman"/>
                <w:noProof/>
                <w:color w:val="000000"/>
                <w:szCs w:val="24"/>
                <w:lang w:eastAsia="en-IE"/>
              </w:rPr>
            </w:pPr>
          </w:p>
        </w:tc>
        <w:tc>
          <w:tcPr>
            <w:tcW w:w="445" w:type="pct"/>
            <w:tcBorders>
              <w:top w:val="single" w:sz="8" w:space="0" w:color="auto"/>
              <w:left w:val="single" w:sz="4" w:space="0" w:color="auto"/>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7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46" w:type="pct"/>
            <w:vMerge w:val="restart"/>
            <w:tcBorders>
              <w:top w:val="single" w:sz="8" w:space="0" w:color="auto"/>
              <w:left w:val="single" w:sz="8" w:space="0" w:color="auto"/>
              <w:right w:val="single" w:sz="4" w:space="0" w:color="auto"/>
            </w:tcBorders>
            <w:vAlign w:val="center"/>
            <w:hideMark/>
          </w:tcPr>
          <w:p>
            <w:pPr>
              <w:spacing w:before="0" w:after="0"/>
              <w:jc w:val="center"/>
              <w:rPr>
                <w:rFonts w:eastAsia="Times New Roman"/>
                <w:b/>
                <w:noProof/>
                <w:color w:val="000000"/>
                <w:sz w:val="20"/>
                <w:szCs w:val="20"/>
              </w:rPr>
            </w:pPr>
            <w:r>
              <w:rPr>
                <w:b/>
                <w:noProof/>
                <w:color w:val="000000"/>
                <w:sz w:val="20"/>
              </w:rPr>
              <w:t>TOTAL CFM 2028-2034</w:t>
            </w:r>
          </w:p>
        </w:tc>
      </w:tr>
      <w:tr>
        <w:trPr>
          <w:trHeight w:val="300"/>
        </w:trPr>
        <w:tc>
          <w:tcPr>
            <w:tcW w:w="967" w:type="pct"/>
            <w:gridSpan w:val="2"/>
            <w:vMerge/>
            <w:tcBorders>
              <w:top w:val="single" w:sz="8" w:space="0" w:color="000000" w:themeColor="text1"/>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Cs w:val="24"/>
                <w:lang w:eastAsia="en-IE"/>
              </w:rPr>
            </w:pPr>
          </w:p>
        </w:tc>
        <w:tc>
          <w:tcPr>
            <w:tcW w:w="445" w:type="pct"/>
            <w:tcBorders>
              <w:top w:val="nil"/>
              <w:left w:val="single" w:sz="4" w:space="0" w:color="auto"/>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2028</w:t>
            </w:r>
          </w:p>
        </w:tc>
        <w:tc>
          <w:tcPr>
            <w:tcW w:w="479"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2029</w:t>
            </w:r>
          </w:p>
        </w:tc>
        <w:tc>
          <w:tcPr>
            <w:tcW w:w="51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2030</w:t>
            </w:r>
          </w:p>
        </w:tc>
        <w:tc>
          <w:tcPr>
            <w:tcW w:w="51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2031</w:t>
            </w:r>
          </w:p>
        </w:tc>
        <w:tc>
          <w:tcPr>
            <w:tcW w:w="51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2032</w:t>
            </w:r>
          </w:p>
        </w:tc>
        <w:tc>
          <w:tcPr>
            <w:tcW w:w="51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2033</w:t>
            </w:r>
          </w:p>
        </w:tc>
        <w:tc>
          <w:tcPr>
            <w:tcW w:w="51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2034</w:t>
            </w:r>
          </w:p>
        </w:tc>
        <w:tc>
          <w:tcPr>
            <w:tcW w:w="546" w:type="pct"/>
            <w:vMerge/>
            <w:tcBorders>
              <w:top w:val="single" w:sz="8" w:space="0" w:color="000000" w:themeColor="text1"/>
              <w:right w:val="single" w:sz="4" w:space="0" w:color="auto"/>
            </w:tcBorders>
            <w:vAlign w:val="center"/>
            <w:hideMark/>
          </w:tcPr>
          <w:p>
            <w:pPr>
              <w:spacing w:before="0" w:after="0"/>
              <w:jc w:val="left"/>
              <w:rPr>
                <w:rFonts w:eastAsia="Times New Roman"/>
                <w:b/>
                <w:bCs/>
                <w:noProof/>
                <w:color w:val="000000"/>
                <w:sz w:val="20"/>
                <w:szCs w:val="20"/>
                <w:lang w:eastAsia="en-IE"/>
              </w:rPr>
            </w:pPr>
          </w:p>
        </w:tc>
      </w:tr>
      <w:tr>
        <w:trPr>
          <w:trHeight w:val="321"/>
        </w:trPr>
        <w:tc>
          <w:tcPr>
            <w:tcW w:w="548" w:type="pct"/>
            <w:tcBorders>
              <w:top w:val="single" w:sz="4" w:space="0" w:color="auto"/>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rFonts w:eastAsia="Times New Roman"/>
                <w:b/>
                <w:noProof/>
                <w:color w:val="000000"/>
                <w:sz w:val="22"/>
              </w:rPr>
            </w:pPr>
            <w:r>
              <w:rPr>
                <w:b/>
                <w:noProof/>
                <w:color w:val="000000"/>
                <w:sz w:val="22"/>
              </w:rPr>
              <w:t>TOTAL credite în cadrul RUBRICILOR 1-4</w:t>
            </w:r>
          </w:p>
        </w:tc>
        <w:tc>
          <w:tcPr>
            <w:tcW w:w="418" w:type="pct"/>
            <w:tcBorders>
              <w:top w:val="single" w:sz="4"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44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59 032</w:t>
            </w:r>
          </w:p>
        </w:tc>
        <w:tc>
          <w:tcPr>
            <w:tcW w:w="47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95 047</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123 652</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153 456</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181 845</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210 429</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237 593</w:t>
            </w:r>
          </w:p>
        </w:tc>
        <w:tc>
          <w:tcPr>
            <w:tcW w:w="54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1 061 054</w:t>
            </w:r>
          </w:p>
        </w:tc>
      </w:tr>
      <w:tr>
        <w:trPr>
          <w:trHeight w:val="247"/>
        </w:trPr>
        <w:tc>
          <w:tcPr>
            <w:tcW w:w="548"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rFonts w:eastAsia="Times New Roman"/>
                <w:noProof/>
                <w:color w:val="000000"/>
                <w:sz w:val="22"/>
              </w:rPr>
            </w:pPr>
            <w:r>
              <w:rPr>
                <w:noProof/>
                <w:color w:val="000000"/>
                <w:sz w:val="22"/>
              </w:rPr>
              <w:t>din cadrul financiar multianual</w:t>
            </w:r>
            <w:r>
              <w:rPr>
                <w:b/>
                <w:noProof/>
                <w:color w:val="000000"/>
                <w:sz w:val="22"/>
              </w:rPr>
              <w:t xml:space="preserve"> </w:t>
            </w:r>
          </w:p>
        </w:tc>
        <w:tc>
          <w:tcPr>
            <w:tcW w:w="418"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44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59 032</w:t>
            </w:r>
          </w:p>
        </w:tc>
        <w:tc>
          <w:tcPr>
            <w:tcW w:w="47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95 047</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123 652</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153 456</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181 845</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210 429</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237 593</w:t>
            </w:r>
          </w:p>
        </w:tc>
        <w:tc>
          <w:tcPr>
            <w:tcW w:w="54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rPr>
            </w:pPr>
            <w:r>
              <w:rPr>
                <w:b/>
                <w:noProof/>
                <w:color w:val="000000"/>
                <w:sz w:val="20"/>
              </w:rPr>
              <w:t>1 061 054</w:t>
            </w:r>
          </w:p>
        </w:tc>
      </w:tr>
    </w:tbl>
    <w:p>
      <w:pPr>
        <w:pStyle w:val="Text1"/>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Text1"/>
        <w:rPr>
          <w:noProof/>
        </w:rPr>
      </w:pPr>
    </w:p>
    <w:p>
      <w:pPr>
        <w:pStyle w:val="ManualHeading3"/>
        <w:rPr>
          <w:noProof/>
        </w:rPr>
      </w:pPr>
      <w:bookmarkStart w:id="39" w:name="_Toc221194337"/>
      <w:bookmarkStart w:id="40" w:name="_Hlk177486416"/>
      <w:r>
        <w:rPr>
          <w:noProof/>
        </w:rPr>
        <w:t>3.2.2.</w:t>
      </w:r>
      <w:r>
        <w:rPr>
          <w:noProof/>
        </w:rPr>
        <w:tab/>
        <w:t>Realizările preconizate finanțate din credite operaționale</w:t>
      </w:r>
      <w:bookmarkEnd w:id="39"/>
    </w:p>
    <w:p>
      <w:pPr>
        <w:pStyle w:val="Text1"/>
        <w:rPr>
          <w:noProof/>
        </w:rPr>
      </w:pPr>
      <w:r>
        <w:rPr>
          <w:noProof/>
        </w:rPr>
        <w:t xml:space="preserve">Creditele operaționale și resursele suplimentare necesare exclusiv pentru ca Europol să atingă cele trei obiective specifice diferite și să desfășoare acțiunile corespunzătoare, precum și pentru eu-LISA, legate de punerea în aplicare a atribuțiilor delegate agenției prin prezentul regulament, se ridică la 1,053 miliarde EUR și la 910 posturi suplimentare în cadrul bugetului ambelor agenții. Aceste credite și resurse suplimentare se adaugă la costul măsurilor existente din bugetul Europol (1,946 miliarde EUR și 1 226 de angajați), totalizând 2,999 miliarde EUR și 2 126 de angajați în cadrul bugetului Europol, precum și 10 angajați suplimentari pentru bugetul eu-LISA în legătură cu punerea în aplicare a atribuțiilor delegate agenției prin prezentul regulament. Aceste credite operaționale și resurse suplimentare vor fi alocate în totalitate pentru a sprijini: </w:t>
      </w:r>
    </w:p>
    <w:p>
      <w:pPr>
        <w:pStyle w:val="Tiret1"/>
        <w:numPr>
          <w:ilvl w:val="0"/>
          <w:numId w:val="31"/>
        </w:numPr>
        <w:rPr>
          <w:noProof/>
        </w:rPr>
      </w:pPr>
      <w:r>
        <w:rPr>
          <w:b/>
          <w:noProof/>
        </w:rPr>
        <w:t>SO1</w:t>
      </w:r>
      <w:r>
        <w:rPr>
          <w:noProof/>
        </w:rPr>
        <w:t>: gestionarea informațiilor și TIC ale Europol.</w:t>
      </w:r>
    </w:p>
    <w:p>
      <w:pPr>
        <w:pStyle w:val="Tiret1"/>
        <w:numPr>
          <w:ilvl w:val="0"/>
          <w:numId w:val="31"/>
        </w:numPr>
        <w:rPr>
          <w:noProof/>
        </w:rPr>
      </w:pPr>
      <w:r>
        <w:rPr>
          <w:b/>
          <w:noProof/>
        </w:rPr>
        <w:t>SO2</w:t>
      </w:r>
      <w:r>
        <w:rPr>
          <w:noProof/>
        </w:rPr>
        <w:t>: centrele specializate ale Uniunii, birourile de sprijin Europol, sprijinul dedicat EPPO.</w:t>
      </w:r>
    </w:p>
    <w:p>
      <w:pPr>
        <w:pStyle w:val="Tiret1"/>
        <w:numPr>
          <w:ilvl w:val="0"/>
          <w:numId w:val="31"/>
        </w:numPr>
        <w:rPr>
          <w:noProof/>
        </w:rPr>
      </w:pPr>
      <w:r>
        <w:rPr>
          <w:b/>
          <w:noProof/>
        </w:rPr>
        <w:t>SO3</w:t>
      </w:r>
      <w:r>
        <w:rPr>
          <w:noProof/>
        </w:rPr>
        <w:t>: capacitatea Europol de cercetare, inovare și consolidare a capacităților.</w:t>
      </w:r>
    </w:p>
    <w:p>
      <w:pPr>
        <w:pStyle w:val="Text1"/>
        <w:rPr>
          <w:noProof/>
        </w:rPr>
      </w:pPr>
      <w:r>
        <w:rPr>
          <w:noProof/>
        </w:rPr>
        <w:t>În același timp, se preconizează că funcțiile de guvernanță ale Europol vor rămâne, în linii mari, stabile în ceea ce privește personalul, datorită creșterii eficienței generate de propunere, în special prin simplificarea și raționalizarea procedurilor legate de protecția datelor, limitând astfel nevoile suplimentare de personal pentru funcțiile de guvernanță orizontală și administrative.</w:t>
      </w:r>
    </w:p>
    <w:p>
      <w:pPr>
        <w:pStyle w:val="Text1"/>
        <w:ind w:left="0"/>
        <w:rPr>
          <w:noProof/>
        </w:rPr>
      </w:pPr>
    </w:p>
    <w:tbl>
      <w:tblPr>
        <w:tblpPr w:leftFromText="181" w:rightFromText="181" w:vertAnchor="text" w:horzAnchor="page" w:tblpX="2119" w:tblpY="-36"/>
        <w:tblOverlap w:val="never"/>
        <w:tblW w:w="13575" w:type="dxa"/>
        <w:tblLook w:val="04A0" w:firstRow="1" w:lastRow="0" w:firstColumn="1" w:lastColumn="0" w:noHBand="0" w:noVBand="1"/>
      </w:tblPr>
      <w:tblGrid>
        <w:gridCol w:w="3085"/>
        <w:gridCol w:w="4363"/>
        <w:gridCol w:w="4567"/>
        <w:gridCol w:w="1560"/>
      </w:tblGrid>
      <w:tr>
        <w:trPr>
          <w:trHeight w:val="300"/>
        </w:trPr>
        <w:tc>
          <w:tcPr>
            <w:tcW w:w="3085" w:type="dxa"/>
            <w:tcBorders>
              <w:top w:val="single" w:sz="4" w:space="0" w:color="auto"/>
              <w:left w:val="single" w:sz="4" w:space="0" w:color="auto"/>
              <w:bottom w:val="single" w:sz="4" w:space="0" w:color="auto"/>
              <w:right w:val="nil"/>
            </w:tcBorders>
            <w:noWrap/>
            <w:vAlign w:val="bottom"/>
            <w:hideMark/>
          </w:tcPr>
          <w:p>
            <w:pPr>
              <w:spacing w:before="0" w:after="0"/>
              <w:jc w:val="left"/>
              <w:rPr>
                <w:rFonts w:eastAsia="Times New Roman"/>
                <w:noProof/>
                <w:sz w:val="20"/>
                <w:szCs w:val="24"/>
              </w:rPr>
            </w:pPr>
            <w:r>
              <w:rPr>
                <w:noProof/>
                <w:sz w:val="20"/>
              </w:rPr>
              <w:t>Obiectiv specific</w:t>
            </w:r>
          </w:p>
        </w:tc>
        <w:tc>
          <w:tcPr>
            <w:tcW w:w="4363" w:type="dxa"/>
            <w:tcBorders>
              <w:top w:val="single" w:sz="4" w:space="0" w:color="auto"/>
              <w:left w:val="single" w:sz="4" w:space="0" w:color="auto"/>
              <w:bottom w:val="nil"/>
              <w:right w:val="nil"/>
            </w:tcBorders>
            <w:noWrap/>
            <w:vAlign w:val="bottom"/>
            <w:hideMark/>
          </w:tcPr>
          <w:p>
            <w:pPr>
              <w:spacing w:before="0" w:after="0"/>
              <w:jc w:val="left"/>
              <w:rPr>
                <w:rFonts w:eastAsia="Times New Roman"/>
                <w:b/>
                <w:noProof/>
                <w:color w:val="000000"/>
                <w:sz w:val="22"/>
              </w:rPr>
            </w:pPr>
            <w:r>
              <w:rPr>
                <w:b/>
                <w:noProof/>
                <w:color w:val="000000"/>
                <w:sz w:val="22"/>
              </w:rPr>
              <w:t>Costuri</w:t>
            </w:r>
          </w:p>
        </w:tc>
        <w:tc>
          <w:tcPr>
            <w:tcW w:w="4567"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Milioane EUR</w:t>
            </w:r>
          </w:p>
        </w:tc>
        <w:tc>
          <w:tcPr>
            <w:tcW w:w="1560"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Personalul</w:t>
            </w:r>
          </w:p>
        </w:tc>
      </w:tr>
      <w:tr>
        <w:trPr>
          <w:trHeight w:val="300"/>
        </w:trPr>
        <w:tc>
          <w:tcPr>
            <w:tcW w:w="3085" w:type="dxa"/>
            <w:tcBorders>
              <w:top w:val="single" w:sz="4" w:space="0" w:color="auto"/>
              <w:left w:val="single" w:sz="4" w:space="0" w:color="auto"/>
              <w:right w:val="nil"/>
            </w:tcBorders>
            <w:noWrap/>
            <w:vAlign w:val="bottom"/>
            <w:hideMark/>
          </w:tcPr>
          <w:p>
            <w:pPr>
              <w:spacing w:before="0" w:after="0"/>
              <w:jc w:val="right"/>
              <w:rPr>
                <w:rFonts w:eastAsia="Times New Roman"/>
                <w:b/>
                <w:noProof/>
                <w:color w:val="000000"/>
                <w:sz w:val="22"/>
                <w:lang w:eastAsia="en-IE"/>
              </w:rPr>
            </w:pPr>
          </w:p>
        </w:tc>
        <w:tc>
          <w:tcPr>
            <w:tcW w:w="4363" w:type="dxa"/>
            <w:tcBorders>
              <w:top w:val="single" w:sz="4" w:space="0" w:color="auto"/>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Nivel de referință la 2027</w:t>
            </w:r>
          </w:p>
        </w:tc>
        <w:tc>
          <w:tcPr>
            <w:tcW w:w="4567"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1 796,200</w:t>
            </w:r>
          </w:p>
        </w:tc>
        <w:tc>
          <w:tcPr>
            <w:tcW w:w="1560"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1 226</w:t>
            </w:r>
          </w:p>
        </w:tc>
      </w:tr>
      <w:tr>
        <w:trPr>
          <w:trHeight w:val="300"/>
        </w:trPr>
        <w:tc>
          <w:tcPr>
            <w:tcW w:w="3085" w:type="dxa"/>
            <w:tcBorders>
              <w:left w:val="single" w:sz="4" w:space="0" w:color="auto"/>
              <w:bottom w:val="nil"/>
              <w:right w:val="single" w:sz="4" w:space="0" w:color="auto"/>
            </w:tcBorders>
            <w:noWrap/>
            <w:vAlign w:val="bottom"/>
            <w:hideMark/>
          </w:tcPr>
          <w:p>
            <w:pPr>
              <w:spacing w:before="0" w:after="0"/>
              <w:jc w:val="left"/>
              <w:rPr>
                <w:rFonts w:eastAsia="Times New Roman"/>
                <w:b/>
                <w:noProof/>
                <w:color w:val="000000"/>
                <w:sz w:val="22"/>
              </w:rPr>
            </w:pPr>
            <w:r>
              <w:rPr>
                <w:b/>
                <w:noProof/>
                <w:color w:val="000000"/>
                <w:sz w:val="22"/>
              </w:rPr>
              <w:t>Nu se aplică</w:t>
            </w: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Inflația</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 xml:space="preserve">149,590 </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0</w:t>
            </w:r>
          </w:p>
        </w:tc>
      </w:tr>
      <w:tr>
        <w:trPr>
          <w:trHeight w:val="300"/>
        </w:trPr>
        <w:tc>
          <w:tcPr>
            <w:tcW w:w="3085" w:type="dxa"/>
            <w:tcBorders>
              <w:top w:val="nil"/>
              <w:left w:val="single" w:sz="4" w:space="0" w:color="auto"/>
              <w:bottom w:val="single" w:sz="4" w:space="0" w:color="auto"/>
              <w:right w:val="single" w:sz="4" w:space="0" w:color="auto"/>
            </w:tcBorders>
            <w:shd w:val="clear" w:color="auto" w:fill="FFFFFF" w:themeFill="background1"/>
            <w:noWrap/>
            <w:vAlign w:val="bottom"/>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single" w:sz="4" w:space="0" w:color="auto"/>
              <w:right w:val="nil"/>
            </w:tcBorders>
            <w:shd w:val="clear" w:color="auto" w:fill="BFBFBF" w:themeFill="background1" w:themeFillShade="BF"/>
            <w:noWrap/>
            <w:vAlign w:val="bottom"/>
            <w:hideMark/>
          </w:tcPr>
          <w:p>
            <w:pPr>
              <w:spacing w:before="0" w:after="0"/>
              <w:jc w:val="left"/>
              <w:rPr>
                <w:rFonts w:eastAsia="Times New Roman"/>
                <w:noProof/>
                <w:color w:val="000000"/>
                <w:sz w:val="22"/>
              </w:rPr>
            </w:pPr>
            <w:r>
              <w:rPr>
                <w:noProof/>
                <w:color w:val="000000"/>
                <w:sz w:val="22"/>
              </w:rPr>
              <w:t>Măsurile existente</w:t>
            </w:r>
          </w:p>
        </w:tc>
        <w:tc>
          <w:tcPr>
            <w:tcW w:w="4567"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color w:val="000000"/>
                <w:sz w:val="22"/>
              </w:rPr>
            </w:pPr>
            <w:r>
              <w:rPr>
                <w:b/>
                <w:noProof/>
                <w:color w:val="000000"/>
                <w:sz w:val="22"/>
              </w:rPr>
              <w:t>1 945,790</w:t>
            </w:r>
          </w:p>
        </w:tc>
        <w:tc>
          <w:tcPr>
            <w:tcW w:w="1560"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color w:val="000000"/>
                <w:sz w:val="22"/>
              </w:rPr>
            </w:pPr>
            <w:r>
              <w:rPr>
                <w:b/>
                <w:noProof/>
                <w:color w:val="000000"/>
                <w:sz w:val="22"/>
              </w:rPr>
              <w:t>1 226</w:t>
            </w:r>
          </w:p>
        </w:tc>
      </w:tr>
      <w:tr>
        <w:trPr>
          <w:trHeight w:val="300"/>
        </w:trPr>
        <w:tc>
          <w:tcPr>
            <w:tcW w:w="3085" w:type="dxa"/>
            <w:vMerge w:val="restart"/>
            <w:tcBorders>
              <w:top w:val="single" w:sz="4" w:space="0" w:color="auto"/>
              <w:left w:val="single" w:sz="4" w:space="0" w:color="auto"/>
              <w:right w:val="single" w:sz="4" w:space="0" w:color="auto"/>
            </w:tcBorders>
            <w:noWrap/>
            <w:vAlign w:val="center"/>
            <w:hideMark/>
          </w:tcPr>
          <w:p>
            <w:pPr>
              <w:spacing w:before="0" w:after="0"/>
              <w:jc w:val="left"/>
              <w:rPr>
                <w:rFonts w:eastAsia="Times New Roman"/>
                <w:b/>
                <w:noProof/>
                <w:color w:val="000000"/>
                <w:sz w:val="22"/>
              </w:rPr>
            </w:pPr>
            <w:r>
              <w:rPr>
                <w:b/>
                <w:noProof/>
                <w:color w:val="000000"/>
                <w:sz w:val="22"/>
              </w:rPr>
              <w:t>SO1</w:t>
            </w: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Modernizarea sistemelor și a instrumentelor existente</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130,070</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115</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Accesul la bazele de date naționale</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37,857</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53</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Integrarea în sistemele naționale</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25,400</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34</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Cloudul digital al poliției UE</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 xml:space="preserve">415,415 </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194</w:t>
            </w:r>
          </w:p>
        </w:tc>
      </w:tr>
      <w:tr>
        <w:trPr>
          <w:trHeight w:val="300"/>
        </w:trPr>
        <w:tc>
          <w:tcPr>
            <w:tcW w:w="3085" w:type="dxa"/>
            <w:vMerge w:val="restart"/>
            <w:tcBorders>
              <w:top w:val="single" w:sz="4" w:space="0" w:color="auto"/>
              <w:left w:val="single" w:sz="4" w:space="0" w:color="auto"/>
              <w:right w:val="single" w:sz="4" w:space="0" w:color="auto"/>
            </w:tcBorders>
            <w:noWrap/>
            <w:vAlign w:val="center"/>
            <w:hideMark/>
          </w:tcPr>
          <w:p>
            <w:pPr>
              <w:spacing w:before="0" w:after="0"/>
              <w:jc w:val="left"/>
              <w:rPr>
                <w:rFonts w:eastAsia="Times New Roman"/>
                <w:noProof/>
                <w:color w:val="000000"/>
                <w:sz w:val="22"/>
              </w:rPr>
            </w:pPr>
            <w:r>
              <w:rPr>
                <w:b/>
                <w:noProof/>
                <w:color w:val="000000"/>
                <w:sz w:val="22"/>
              </w:rPr>
              <w:t>SO2</w:t>
            </w:r>
          </w:p>
        </w:tc>
        <w:tc>
          <w:tcPr>
            <w:tcW w:w="4363" w:type="dxa"/>
            <w:tcBorders>
              <w:top w:val="single" w:sz="4" w:space="0" w:color="auto"/>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Birourile de sprijin Europol</w:t>
            </w:r>
          </w:p>
        </w:tc>
        <w:tc>
          <w:tcPr>
            <w:tcW w:w="4567"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 xml:space="preserve">112,163 </w:t>
            </w:r>
          </w:p>
        </w:tc>
        <w:tc>
          <w:tcPr>
            <w:tcW w:w="1560"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157</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themeColor="text1"/>
                <w:sz w:val="22"/>
              </w:rPr>
              <w:t>Centrele specializate ale Uniunii</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118,703</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171</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themeColor="text1"/>
                <w:sz w:val="22"/>
              </w:rPr>
              <w:t>Cooperarea inter-agenții</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 xml:space="preserve">18,801 </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26</w:t>
            </w:r>
          </w:p>
        </w:tc>
      </w:tr>
      <w:tr>
        <w:trPr>
          <w:trHeight w:val="300"/>
        </w:trPr>
        <w:tc>
          <w:tcPr>
            <w:tcW w:w="3085" w:type="dxa"/>
            <w:vMerge/>
            <w:tcBorders>
              <w:left w:val="single" w:sz="4" w:space="0" w:color="auto"/>
              <w:right w:val="single" w:sz="4" w:space="0" w:color="auto"/>
            </w:tcBorders>
            <w:noWrap/>
            <w:vAlign w:val="center"/>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single" w:sz="4" w:space="0" w:color="auto"/>
              <w:right w:val="nil"/>
            </w:tcBorders>
            <w:noWrap/>
            <w:vAlign w:val="bottom"/>
            <w:hideMark/>
          </w:tcPr>
          <w:p>
            <w:pPr>
              <w:spacing w:before="0" w:after="0"/>
              <w:jc w:val="left"/>
              <w:rPr>
                <w:rFonts w:eastAsia="Times New Roman"/>
                <w:noProof/>
                <w:color w:val="000000"/>
                <w:sz w:val="22"/>
              </w:rPr>
            </w:pPr>
            <w:r>
              <w:rPr>
                <w:noProof/>
                <w:color w:val="000000" w:themeColor="text1"/>
                <w:sz w:val="22"/>
              </w:rPr>
              <w:t>Sprijinul dedicat EPPO</w:t>
            </w:r>
          </w:p>
        </w:tc>
        <w:tc>
          <w:tcPr>
            <w:tcW w:w="4567" w:type="dxa"/>
            <w:tcBorders>
              <w:top w:val="nil"/>
              <w:left w:val="nil"/>
              <w:bottom w:val="single" w:sz="4" w:space="0" w:color="auto"/>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 xml:space="preserve">40,895 </w:t>
            </w:r>
          </w:p>
        </w:tc>
        <w:tc>
          <w:tcPr>
            <w:tcW w:w="1560" w:type="dxa"/>
            <w:tcBorders>
              <w:top w:val="nil"/>
              <w:left w:val="nil"/>
              <w:bottom w:val="single" w:sz="4" w:space="0" w:color="auto"/>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70</w:t>
            </w:r>
          </w:p>
        </w:tc>
      </w:tr>
      <w:tr>
        <w:trPr>
          <w:trHeight w:val="300"/>
        </w:trPr>
        <w:tc>
          <w:tcPr>
            <w:tcW w:w="3085" w:type="dxa"/>
            <w:vMerge w:val="restart"/>
            <w:tcBorders>
              <w:top w:val="single" w:sz="4" w:space="0" w:color="auto"/>
              <w:left w:val="single" w:sz="4" w:space="0" w:color="auto"/>
              <w:right w:val="single" w:sz="4" w:space="0" w:color="auto"/>
            </w:tcBorders>
            <w:noWrap/>
            <w:vAlign w:val="center"/>
            <w:hideMark/>
          </w:tcPr>
          <w:p>
            <w:pPr>
              <w:spacing w:before="0" w:after="0"/>
              <w:jc w:val="left"/>
              <w:rPr>
                <w:rFonts w:eastAsia="Times New Roman"/>
                <w:noProof/>
                <w:color w:val="000000"/>
                <w:sz w:val="22"/>
              </w:rPr>
            </w:pPr>
            <w:r>
              <w:rPr>
                <w:b/>
                <w:noProof/>
                <w:color w:val="000000"/>
                <w:sz w:val="22"/>
              </w:rPr>
              <w:t>SO3</w:t>
            </w:r>
          </w:p>
        </w:tc>
        <w:tc>
          <w:tcPr>
            <w:tcW w:w="4363" w:type="dxa"/>
            <w:tcBorders>
              <w:top w:val="single" w:sz="4" w:space="0" w:color="auto"/>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sz w:val="22"/>
              </w:rPr>
              <w:t>Capacități avansate</w:t>
            </w:r>
          </w:p>
        </w:tc>
        <w:tc>
          <w:tcPr>
            <w:tcW w:w="4567"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117,615</w:t>
            </w:r>
          </w:p>
        </w:tc>
        <w:tc>
          <w:tcPr>
            <w:tcW w:w="1560" w:type="dxa"/>
            <w:tcBorders>
              <w:top w:val="single" w:sz="4" w:space="0" w:color="auto"/>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50</w:t>
            </w:r>
          </w:p>
        </w:tc>
      </w:tr>
      <w:tr>
        <w:trPr>
          <w:trHeight w:val="300"/>
        </w:trPr>
        <w:tc>
          <w:tcPr>
            <w:tcW w:w="3085" w:type="dxa"/>
            <w:vMerge/>
            <w:tcBorders>
              <w:left w:val="single" w:sz="4" w:space="0" w:color="auto"/>
              <w:bottom w:val="single" w:sz="4" w:space="0" w:color="auto"/>
              <w:right w:val="single" w:sz="4" w:space="0" w:color="auto"/>
            </w:tcBorders>
            <w:noWrap/>
            <w:vAlign w:val="bottom"/>
            <w:hideMark/>
          </w:tcPr>
          <w:p>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pPr>
              <w:spacing w:before="0" w:after="0"/>
              <w:jc w:val="left"/>
              <w:rPr>
                <w:rFonts w:eastAsia="Times New Roman"/>
                <w:noProof/>
                <w:color w:val="000000"/>
                <w:sz w:val="22"/>
              </w:rPr>
            </w:pPr>
            <w:r>
              <w:rPr>
                <w:noProof/>
                <w:color w:val="000000" w:themeColor="text1"/>
                <w:sz w:val="22"/>
              </w:rPr>
              <w:t xml:space="preserve">Sprijin tehnic și achiziții </w:t>
            </w:r>
          </w:p>
        </w:tc>
        <w:tc>
          <w:tcPr>
            <w:tcW w:w="4567"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36,292</w:t>
            </w:r>
          </w:p>
        </w:tc>
        <w:tc>
          <w:tcPr>
            <w:tcW w:w="1560" w:type="dxa"/>
            <w:tcBorders>
              <w:top w:val="nil"/>
              <w:left w:val="nil"/>
              <w:bottom w:val="nil"/>
              <w:right w:val="single" w:sz="4" w:space="0" w:color="auto"/>
            </w:tcBorders>
            <w:noWrap/>
            <w:vAlign w:val="bottom"/>
            <w:hideMark/>
          </w:tcPr>
          <w:p>
            <w:pPr>
              <w:spacing w:before="0" w:after="0"/>
              <w:jc w:val="right"/>
              <w:rPr>
                <w:rFonts w:eastAsia="Times New Roman"/>
                <w:b/>
                <w:noProof/>
                <w:color w:val="000000"/>
                <w:sz w:val="22"/>
              </w:rPr>
            </w:pPr>
            <w:r>
              <w:rPr>
                <w:b/>
                <w:noProof/>
                <w:color w:val="000000"/>
                <w:sz w:val="22"/>
              </w:rPr>
              <w:t>40</w:t>
            </w:r>
          </w:p>
        </w:tc>
      </w:tr>
      <w:tr>
        <w:trPr>
          <w:trHeight w:val="300"/>
        </w:trPr>
        <w:tc>
          <w:tcPr>
            <w:tcW w:w="3085" w:type="dxa"/>
            <w:tcBorders>
              <w:top w:val="single" w:sz="4" w:space="0" w:color="auto"/>
              <w:right w:val="single" w:sz="4" w:space="0" w:color="auto"/>
            </w:tcBorders>
            <w:shd w:val="clear" w:color="auto" w:fill="FFFFFF" w:themeFill="background1"/>
            <w:noWrap/>
            <w:vAlign w:val="bottom"/>
            <w:hideMark/>
          </w:tcPr>
          <w:p>
            <w:pPr>
              <w:spacing w:before="0" w:after="0"/>
              <w:jc w:val="right"/>
              <w:rPr>
                <w:rFonts w:eastAsia="Times New Roman"/>
                <w:b/>
                <w:noProof/>
                <w:color w:val="000000"/>
                <w:sz w:val="22"/>
                <w:lang w:eastAsia="en-IE"/>
              </w:rPr>
            </w:pPr>
          </w:p>
        </w:tc>
        <w:tc>
          <w:tcPr>
            <w:tcW w:w="4363" w:type="dxa"/>
            <w:tcBorders>
              <w:top w:val="nil"/>
              <w:left w:val="single" w:sz="4" w:space="0" w:color="auto"/>
              <w:bottom w:val="single" w:sz="4" w:space="0" w:color="auto"/>
              <w:right w:val="nil"/>
            </w:tcBorders>
            <w:shd w:val="clear" w:color="auto" w:fill="BFBFBF" w:themeFill="background1" w:themeFillShade="BF"/>
            <w:noWrap/>
            <w:vAlign w:val="bottom"/>
            <w:hideMark/>
          </w:tcPr>
          <w:p>
            <w:pPr>
              <w:spacing w:before="0" w:after="0"/>
              <w:jc w:val="left"/>
              <w:rPr>
                <w:rFonts w:eastAsia="Times New Roman"/>
                <w:noProof/>
                <w:color w:val="000000"/>
                <w:sz w:val="22"/>
              </w:rPr>
            </w:pPr>
            <w:r>
              <w:rPr>
                <w:noProof/>
                <w:color w:val="000000"/>
                <w:sz w:val="22"/>
              </w:rPr>
              <w:t>Măsuri noi</w:t>
            </w:r>
          </w:p>
        </w:tc>
        <w:tc>
          <w:tcPr>
            <w:tcW w:w="4567"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color w:val="000000"/>
                <w:sz w:val="22"/>
              </w:rPr>
            </w:pPr>
            <w:r>
              <w:rPr>
                <w:b/>
                <w:noProof/>
                <w:color w:val="000000"/>
                <w:sz w:val="22"/>
              </w:rPr>
              <w:t>1 053,210</w:t>
            </w:r>
          </w:p>
        </w:tc>
        <w:tc>
          <w:tcPr>
            <w:tcW w:w="1560"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color w:val="000000"/>
                <w:sz w:val="22"/>
              </w:rPr>
            </w:pPr>
            <w:r>
              <w:rPr>
                <w:b/>
                <w:noProof/>
                <w:color w:val="000000"/>
                <w:sz w:val="22"/>
              </w:rPr>
              <w:t>910</w:t>
            </w:r>
          </w:p>
        </w:tc>
      </w:tr>
      <w:tr>
        <w:trPr>
          <w:trHeight w:val="300"/>
        </w:trPr>
        <w:tc>
          <w:tcPr>
            <w:tcW w:w="3085" w:type="dxa"/>
            <w:tcBorders>
              <w:left w:val="nil"/>
              <w:bottom w:val="nil"/>
              <w:right w:val="nil"/>
            </w:tcBorders>
            <w:noWrap/>
            <w:vAlign w:val="bottom"/>
            <w:hideMark/>
          </w:tcPr>
          <w:p>
            <w:pPr>
              <w:spacing w:before="0" w:after="0"/>
              <w:jc w:val="right"/>
              <w:rPr>
                <w:rFonts w:eastAsia="Times New Roman"/>
                <w:b/>
                <w:noProof/>
                <w:color w:val="000000"/>
                <w:sz w:val="22"/>
                <w:lang w:eastAsia="en-IE"/>
              </w:rPr>
            </w:pPr>
          </w:p>
        </w:tc>
        <w:tc>
          <w:tcPr>
            <w:tcW w:w="4363" w:type="dxa"/>
            <w:tcBorders>
              <w:top w:val="nil"/>
              <w:left w:val="single" w:sz="4" w:space="0" w:color="auto"/>
              <w:bottom w:val="single" w:sz="4" w:space="0" w:color="auto"/>
              <w:right w:val="nil"/>
            </w:tcBorders>
            <w:shd w:val="clear" w:color="auto" w:fill="BFBFBF" w:themeFill="background1" w:themeFillShade="BF"/>
            <w:noWrap/>
            <w:vAlign w:val="bottom"/>
            <w:hideMark/>
          </w:tcPr>
          <w:p>
            <w:pPr>
              <w:spacing w:before="0" w:after="0"/>
              <w:jc w:val="left"/>
              <w:rPr>
                <w:rFonts w:eastAsia="Times New Roman"/>
                <w:b/>
                <w:noProof/>
                <w:sz w:val="22"/>
              </w:rPr>
            </w:pPr>
            <w:r>
              <w:rPr>
                <w:b/>
                <w:noProof/>
                <w:sz w:val="22"/>
              </w:rPr>
              <w:t>TOTAL</w:t>
            </w:r>
          </w:p>
        </w:tc>
        <w:tc>
          <w:tcPr>
            <w:tcW w:w="4567"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sz w:val="22"/>
              </w:rPr>
            </w:pPr>
            <w:r>
              <w:rPr>
                <w:b/>
                <w:noProof/>
                <w:sz w:val="22"/>
              </w:rPr>
              <w:t>2 990,000</w:t>
            </w:r>
          </w:p>
        </w:tc>
        <w:tc>
          <w:tcPr>
            <w:tcW w:w="1560" w:type="dxa"/>
            <w:tcBorders>
              <w:top w:val="nil"/>
              <w:left w:val="nil"/>
              <w:bottom w:val="single" w:sz="4" w:space="0" w:color="auto"/>
              <w:right w:val="single" w:sz="4" w:space="0" w:color="auto"/>
            </w:tcBorders>
            <w:shd w:val="clear" w:color="auto" w:fill="BFBFBF" w:themeFill="background1" w:themeFillShade="BF"/>
            <w:noWrap/>
            <w:vAlign w:val="bottom"/>
            <w:hideMark/>
          </w:tcPr>
          <w:p>
            <w:pPr>
              <w:spacing w:before="0" w:after="0"/>
              <w:jc w:val="right"/>
              <w:rPr>
                <w:rFonts w:eastAsia="Times New Roman"/>
                <w:b/>
                <w:noProof/>
                <w:sz w:val="22"/>
              </w:rPr>
            </w:pPr>
            <w:r>
              <w:rPr>
                <w:b/>
                <w:noProof/>
                <w:sz w:val="22"/>
              </w:rPr>
              <w:t>2 136</w:t>
            </w:r>
          </w:p>
        </w:tc>
      </w:tr>
    </w:tbl>
    <w:p>
      <w:pPr>
        <w:pStyle w:val="Text1"/>
        <w:rPr>
          <w:noProof/>
        </w:rPr>
      </w:pPr>
    </w:p>
    <w:p>
      <w:pPr>
        <w:rPr>
          <w:noProof/>
          <w:u w:val="single"/>
        </w:rPr>
        <w:sectPr>
          <w:headerReference w:type="default" r:id="rId30"/>
          <w:footerReference w:type="default" r:id="rId31"/>
          <w:pgSz w:w="16839" w:h="11907" w:orient="landscape"/>
          <w:pgMar w:top="1417" w:right="1134" w:bottom="1417" w:left="1134" w:header="709" w:footer="709" w:gutter="0"/>
          <w:cols w:space="720"/>
          <w:docGrid w:linePitch="360"/>
        </w:sectPr>
      </w:pPr>
    </w:p>
    <w:p>
      <w:pPr>
        <w:pStyle w:val="ManualHeading3"/>
        <w:rPr>
          <w:noProof/>
          <w:szCs w:val="24"/>
        </w:rPr>
      </w:pPr>
      <w:bookmarkStart w:id="41" w:name="_Toc230120361"/>
      <w:r>
        <w:rPr>
          <w:noProof/>
        </w:rPr>
        <w:t>3.2.3</w:t>
      </w:r>
      <w:r>
        <w:rPr>
          <w:noProof/>
        </w:rPr>
        <w:tab/>
        <w:t xml:space="preserve">Sinteza impactului estimat asupra creditelor administrative </w:t>
      </w:r>
      <w:bookmarkEnd w:id="41"/>
    </w:p>
    <w:p>
      <w:pPr>
        <w:pStyle w:val="ListDash1"/>
        <w:tabs>
          <w:tab w:val="num" w:pos="1134"/>
        </w:tabs>
        <w:ind w:left="1134" w:hanging="283"/>
        <w:rPr>
          <w:noProof/>
        </w:rPr>
      </w:pPr>
      <w:r>
        <w:rPr>
          <w:rFonts w:ascii="Wingdings" w:hAnsi="Wingdings"/>
          <w:noProof/>
        </w:rPr>
        <w:t></w:t>
      </w:r>
      <w:r>
        <w:rPr>
          <w:noProof/>
        </w:rPr>
        <w:tab/>
        <w:t xml:space="preserve">Propunerea/inițiativa nu implică utilizarea de credite cu caracter administrativ </w:t>
      </w:r>
    </w:p>
    <w:p>
      <w:pPr>
        <w:pStyle w:val="ListDash1"/>
        <w:tabs>
          <w:tab w:val="num" w:pos="1134"/>
        </w:tabs>
        <w:ind w:left="1134" w:hanging="283"/>
        <w:rPr>
          <w:noProof/>
        </w:rPr>
      </w:pPr>
      <w:r>
        <w:rPr>
          <w:rFonts w:ascii="Wingdings" w:hAnsi="Wingdings"/>
          <w:noProof/>
        </w:rPr>
        <w:t></w:t>
      </w:r>
      <w:r>
        <w:rPr>
          <w:noProof/>
        </w:rPr>
        <w:tab/>
        <w:t>Propunerea/inițiativa implică utilizarea de credite cu caracter administrativ, conform explicațiilor de mai jos</w:t>
      </w:r>
    </w:p>
    <w:p>
      <w:pPr>
        <w:pStyle w:val="ManualHeading3"/>
        <w:rPr>
          <w:noProof/>
        </w:rPr>
      </w:pPr>
      <w:bookmarkStart w:id="42" w:name="_Toc167220291"/>
      <w:r>
        <w:rPr>
          <w:noProof/>
        </w:rPr>
        <w:t>3.2.3.1. Credite din bugetul votat</w:t>
      </w:r>
      <w:bookmarkEnd w:id="42"/>
    </w:p>
    <w:tbl>
      <w:tblPr>
        <w:tblW w:w="4484" w:type="pct"/>
        <w:tblInd w:w="959" w:type="dxa"/>
        <w:tblLook w:val="04A0" w:firstRow="1" w:lastRow="0" w:firstColumn="1" w:lastColumn="0" w:noHBand="0" w:noVBand="1"/>
      </w:tblPr>
      <w:tblGrid>
        <w:gridCol w:w="1930"/>
        <w:gridCol w:w="716"/>
        <w:gridCol w:w="715"/>
        <w:gridCol w:w="715"/>
        <w:gridCol w:w="715"/>
        <w:gridCol w:w="808"/>
        <w:gridCol w:w="806"/>
        <w:gridCol w:w="1075"/>
        <w:gridCol w:w="850"/>
      </w:tblGrid>
      <w:tr>
        <w:trPr>
          <w:trHeight w:val="300"/>
        </w:trPr>
        <w:tc>
          <w:tcPr>
            <w:tcW w:w="1159"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CREDITE VOTATE</w:t>
            </w:r>
          </w:p>
        </w:tc>
        <w:tc>
          <w:tcPr>
            <w:tcW w:w="43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29"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29"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29"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485"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484"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645"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51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TOTAL 2028-2034</w:t>
            </w:r>
          </w:p>
        </w:tc>
      </w:tr>
      <w:tr>
        <w:trPr>
          <w:trHeight w:val="300"/>
        </w:trPr>
        <w:tc>
          <w:tcPr>
            <w:tcW w:w="1159"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430"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2028</w:t>
            </w:r>
          </w:p>
        </w:tc>
        <w:tc>
          <w:tcPr>
            <w:tcW w:w="429"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2029</w:t>
            </w:r>
          </w:p>
        </w:tc>
        <w:tc>
          <w:tcPr>
            <w:tcW w:w="429"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2030</w:t>
            </w:r>
          </w:p>
        </w:tc>
        <w:tc>
          <w:tcPr>
            <w:tcW w:w="429" w:type="pct"/>
            <w:tcBorders>
              <w:top w:val="nil"/>
              <w:left w:val="nil"/>
              <w:bottom w:val="single" w:sz="8" w:space="0" w:color="auto"/>
              <w:right w:val="single" w:sz="8" w:space="0" w:color="auto"/>
            </w:tcBorders>
            <w:vAlign w:val="center"/>
            <w:hideMark/>
          </w:tcPr>
          <w:p>
            <w:pPr>
              <w:spacing w:before="0" w:after="0"/>
              <w:jc w:val="center"/>
              <w:rPr>
                <w:b/>
                <w:noProof/>
                <w:color w:val="000000"/>
                <w:sz w:val="18"/>
                <w:szCs w:val="18"/>
              </w:rPr>
            </w:pPr>
            <w:r>
              <w:rPr>
                <w:b/>
                <w:noProof/>
                <w:color w:val="000000"/>
                <w:sz w:val="18"/>
              </w:rPr>
              <w:t>2031</w:t>
            </w:r>
          </w:p>
        </w:tc>
        <w:tc>
          <w:tcPr>
            <w:tcW w:w="485"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rPr>
            </w:pPr>
            <w:r>
              <w:rPr>
                <w:b/>
                <w:noProof/>
                <w:color w:val="000000"/>
                <w:sz w:val="18"/>
              </w:rPr>
              <w:t>2032</w:t>
            </w:r>
          </w:p>
        </w:tc>
        <w:tc>
          <w:tcPr>
            <w:tcW w:w="484"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rPr>
            </w:pPr>
            <w:r>
              <w:rPr>
                <w:b/>
                <w:noProof/>
                <w:color w:val="000000"/>
                <w:sz w:val="18"/>
              </w:rPr>
              <w:t>2033</w:t>
            </w:r>
          </w:p>
        </w:tc>
        <w:tc>
          <w:tcPr>
            <w:tcW w:w="645"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szCs w:val="18"/>
              </w:rPr>
            </w:pPr>
            <w:r>
              <w:rPr>
                <w:b/>
                <w:noProof/>
                <w:color w:val="000000"/>
                <w:sz w:val="18"/>
              </w:rPr>
              <w:t>2034</w:t>
            </w:r>
          </w:p>
        </w:tc>
        <w:tc>
          <w:tcPr>
            <w:tcW w:w="51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szCs w:val="16"/>
              </w:rPr>
            </w:pPr>
            <w:r>
              <w:rPr>
                <w:b/>
                <w:noProof/>
                <w:sz w:val="16"/>
              </w:rPr>
              <w:t>RUBRICA 4</w:t>
            </w:r>
          </w:p>
        </w:tc>
      </w:tr>
      <w:tr>
        <w:trPr>
          <w:trHeight w:val="300"/>
        </w:trPr>
        <w:tc>
          <w:tcPr>
            <w:tcW w:w="1159"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0,496</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0,496</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0,690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0,690</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0,884</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0,884</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1,078</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5,218</w:t>
            </w:r>
          </w:p>
        </w:tc>
      </w:tr>
      <w:tr>
        <w:trPr>
          <w:trHeight w:val="300"/>
        </w:trPr>
        <w:tc>
          <w:tcPr>
            <w:tcW w:w="1159"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0,268</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0,518</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0,268</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0,518</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0,268</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0,518</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6"/>
              </w:rPr>
            </w:pPr>
            <w:r>
              <w:rPr>
                <w:noProof/>
                <w:color w:val="000000"/>
                <w:sz w:val="16"/>
              </w:rPr>
              <w:t>0,268</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2,626</w:t>
            </w:r>
          </w:p>
        </w:tc>
      </w:tr>
      <w:tr>
        <w:trPr>
          <w:trHeight w:val="300"/>
        </w:trPr>
        <w:tc>
          <w:tcPr>
            <w:tcW w:w="1159"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szCs w:val="16"/>
              </w:rPr>
            </w:pPr>
            <w:r>
              <w:rPr>
                <w:b/>
                <w:noProof/>
                <w:color w:val="000000"/>
                <w:sz w:val="16"/>
              </w:rPr>
              <w:t>Subtotal de la RUBRICA 4</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4"/>
              </w:rPr>
            </w:pPr>
            <w:r>
              <w:rPr>
                <w:b/>
                <w:noProof/>
                <w:sz w:val="16"/>
              </w:rPr>
              <w:t>0,764</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4"/>
              </w:rPr>
            </w:pPr>
            <w:r>
              <w:rPr>
                <w:b/>
                <w:noProof/>
                <w:sz w:val="16"/>
              </w:rPr>
              <w:t>1,014</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4"/>
              </w:rPr>
            </w:pPr>
            <w:r>
              <w:rPr>
                <w:b/>
                <w:noProof/>
                <w:sz w:val="16"/>
              </w:rPr>
              <w:t>0,958</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4"/>
              </w:rPr>
            </w:pPr>
            <w:r>
              <w:rPr>
                <w:b/>
                <w:noProof/>
                <w:sz w:val="16"/>
              </w:rPr>
              <w:t>1,208</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right"/>
              <w:rPr>
                <w:b/>
                <w:noProof/>
                <w:color w:val="000000"/>
                <w:sz w:val="16"/>
                <w:szCs w:val="14"/>
              </w:rPr>
            </w:pPr>
            <w:r>
              <w:rPr>
                <w:b/>
                <w:noProof/>
                <w:sz w:val="16"/>
              </w:rPr>
              <w:t>1,152</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4"/>
              </w:rPr>
            </w:pPr>
            <w:r>
              <w:rPr>
                <w:b/>
                <w:noProof/>
                <w:sz w:val="16"/>
              </w:rPr>
              <w:t>1,402</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right"/>
              <w:rPr>
                <w:b/>
                <w:noProof/>
                <w:color w:val="000000"/>
                <w:sz w:val="16"/>
                <w:szCs w:val="14"/>
              </w:rPr>
            </w:pPr>
            <w:r>
              <w:rPr>
                <w:b/>
                <w:noProof/>
                <w:sz w:val="16"/>
              </w:rPr>
              <w:t>1,346</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4"/>
              </w:rPr>
            </w:pPr>
            <w:r>
              <w:rPr>
                <w:b/>
                <w:noProof/>
                <w:sz w:val="16"/>
              </w:rPr>
              <w:t>7,844</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szCs w:val="16"/>
              </w:rPr>
            </w:pPr>
            <w:r>
              <w:rPr>
                <w:b/>
                <w:noProof/>
                <w:sz w:val="16"/>
              </w:rPr>
              <w:t>În afara RUBRICII 4</w:t>
            </w:r>
          </w:p>
        </w:tc>
      </w:tr>
      <w:tr>
        <w:trPr>
          <w:trHeight w:val="300"/>
        </w:trPr>
        <w:tc>
          <w:tcPr>
            <w:tcW w:w="1159"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r>
      <w:tr>
        <w:trPr>
          <w:trHeight w:val="300"/>
        </w:trPr>
        <w:tc>
          <w:tcPr>
            <w:tcW w:w="1159"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noProof/>
                <w:color w:val="000000"/>
                <w:sz w:val="16"/>
              </w:rPr>
              <w:t>0,000</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r>
      <w:tr>
        <w:trPr>
          <w:trHeight w:val="300"/>
        </w:trPr>
        <w:tc>
          <w:tcPr>
            <w:tcW w:w="1159"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szCs w:val="16"/>
              </w:rPr>
            </w:pPr>
            <w:r>
              <w:rPr>
                <w:b/>
                <w:noProof/>
                <w:color w:val="000000"/>
                <w:sz w:val="16"/>
              </w:rPr>
              <w:t>Subtotal în afara RUBRICII 4</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color w:val="000000"/>
                <w:sz w:val="16"/>
              </w:rPr>
              <w:t>0,000</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color w:val="000000"/>
                <w:sz w:val="16"/>
              </w:rPr>
              <w:t>0,000</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color w:val="000000"/>
                <w:sz w:val="16"/>
              </w:rPr>
              <w:t>0,000</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00"/>
        </w:trPr>
        <w:tc>
          <w:tcPr>
            <w:tcW w:w="1159"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16"/>
                <w:szCs w:val="16"/>
              </w:rPr>
            </w:pPr>
            <w:r>
              <w:rPr>
                <w:b/>
                <w:noProof/>
                <w:color w:val="000000"/>
                <w:sz w:val="16"/>
              </w:rPr>
              <w:t>TOTAL</w:t>
            </w:r>
          </w:p>
        </w:tc>
        <w:tc>
          <w:tcPr>
            <w:tcW w:w="43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sz w:val="16"/>
              </w:rPr>
              <w:t>0,764</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sz w:val="16"/>
              </w:rPr>
              <w:t>1,014</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sz w:val="16"/>
              </w:rPr>
              <w:t>0,958</w:t>
            </w:r>
          </w:p>
        </w:tc>
        <w:tc>
          <w:tcPr>
            <w:tcW w:w="429"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sz w:val="16"/>
              </w:rPr>
              <w:t>1,208</w:t>
            </w:r>
          </w:p>
        </w:tc>
        <w:tc>
          <w:tcPr>
            <w:tcW w:w="485" w:type="pct"/>
            <w:tcBorders>
              <w:top w:val="nil"/>
              <w:left w:val="nil"/>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sz w:val="16"/>
              </w:rPr>
              <w:t>1,152</w:t>
            </w:r>
          </w:p>
        </w:tc>
        <w:tc>
          <w:tcPr>
            <w:tcW w:w="484"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sz w:val="16"/>
              </w:rPr>
              <w:t>1,402</w:t>
            </w:r>
          </w:p>
        </w:tc>
        <w:tc>
          <w:tcPr>
            <w:tcW w:w="6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noProof/>
                <w:color w:val="000000"/>
                <w:sz w:val="16"/>
                <w:szCs w:val="16"/>
              </w:rPr>
            </w:pPr>
            <w:r>
              <w:rPr>
                <w:b/>
                <w:noProof/>
                <w:sz w:val="16"/>
              </w:rPr>
              <w:t>1,346</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noProof/>
                <w:color w:val="000000"/>
                <w:sz w:val="16"/>
                <w:szCs w:val="16"/>
              </w:rPr>
            </w:pPr>
            <w:r>
              <w:rPr>
                <w:b/>
                <w:noProof/>
                <w:sz w:val="16"/>
              </w:rPr>
              <w:t>7,844</w:t>
            </w:r>
          </w:p>
        </w:tc>
      </w:tr>
    </w:tbl>
    <w:p>
      <w:pPr>
        <w:pStyle w:val="Text1"/>
        <w:rPr>
          <w:noProof/>
          <w:szCs w:val="28"/>
        </w:rPr>
      </w:pPr>
      <w:r>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pPr>
        <w:pStyle w:val="Text1"/>
        <w:rPr>
          <w:noProof/>
          <w:szCs w:val="24"/>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ManualHeading3"/>
        <w:rPr>
          <w:noProof/>
          <w:szCs w:val="24"/>
        </w:rPr>
      </w:pPr>
      <w:bookmarkStart w:id="43" w:name="_Toc230120363"/>
      <w:r>
        <w:rPr>
          <w:noProof/>
        </w:rPr>
        <w:t>3.2.4.</w:t>
      </w:r>
      <w:r>
        <w:rPr>
          <w:noProof/>
        </w:rPr>
        <w:tab/>
        <w:t xml:space="preserve">Necesarul de resurse umane estimat </w:t>
      </w:r>
      <w:bookmarkEnd w:id="43"/>
    </w:p>
    <w:p>
      <w:pPr>
        <w:pStyle w:val="ListDash1"/>
        <w:tabs>
          <w:tab w:val="num" w:pos="1134"/>
        </w:tabs>
        <w:ind w:left="1134" w:hanging="283"/>
        <w:rPr>
          <w:noProof/>
        </w:rPr>
      </w:pPr>
      <w:r>
        <w:rPr>
          <w:rFonts w:ascii="Wingdings" w:hAnsi="Wingdings"/>
          <w:noProof/>
        </w:rPr>
        <w:t></w:t>
      </w:r>
      <w:r>
        <w:rPr>
          <w:noProof/>
        </w:rPr>
        <w:tab/>
        <w:t xml:space="preserve">Propunerea/inițiativa nu implică utilizarea de resurse umane </w:t>
      </w:r>
    </w:p>
    <w:p>
      <w:pPr>
        <w:pStyle w:val="ListDash1"/>
        <w:tabs>
          <w:tab w:val="num" w:pos="1134"/>
        </w:tabs>
        <w:ind w:left="1134" w:hanging="283"/>
        <w:rPr>
          <w:noProof/>
        </w:rPr>
      </w:pPr>
      <w:r>
        <w:rPr>
          <w:rFonts w:ascii="Wingdings" w:hAnsi="Wingdings"/>
          <w:noProof/>
        </w:rPr>
        <w:t></w:t>
      </w:r>
      <w:r>
        <w:rPr>
          <w:noProof/>
        </w:rPr>
        <w:tab/>
        <w:t>Propunerea/inițiativa implică utilizarea de resurse umane, conform explicațiilor de mai jos</w:t>
      </w:r>
    </w:p>
    <w:p>
      <w:pPr>
        <w:pStyle w:val="ManualHeading3"/>
        <w:rPr>
          <w:noProof/>
        </w:rPr>
      </w:pPr>
      <w:bookmarkStart w:id="44" w:name="_Toc167220295"/>
      <w:r>
        <w:rPr>
          <w:noProof/>
        </w:rPr>
        <w:t>3.2.4.1.</w:t>
      </w:r>
      <w:r>
        <w:rPr>
          <w:noProof/>
        </w:rPr>
        <w:tab/>
        <w:t>Finanțare din bugetul votat</w:t>
      </w:r>
      <w:bookmarkEnd w:id="44"/>
    </w:p>
    <w:p>
      <w:pPr>
        <w:spacing w:after="60"/>
        <w:jc w:val="right"/>
        <w:rPr>
          <w:i/>
          <w:noProof/>
          <w:sz w:val="20"/>
        </w:rPr>
      </w:pPr>
      <w:r>
        <w:rPr>
          <w:i/>
          <w:noProof/>
          <w:sz w:val="20"/>
        </w:rPr>
        <w:t>Estimări în echivalent normă întreagă (ENI)</w:t>
      </w:r>
    </w:p>
    <w:tbl>
      <w:tblPr>
        <w:tblW w:w="4942" w:type="pct"/>
        <w:tblInd w:w="108" w:type="dxa"/>
        <w:tblLook w:val="04A0" w:firstRow="1" w:lastRow="0" w:firstColumn="1" w:lastColumn="0" w:noHBand="0" w:noVBand="1"/>
      </w:tblPr>
      <w:tblGrid>
        <w:gridCol w:w="2146"/>
        <w:gridCol w:w="1121"/>
        <w:gridCol w:w="778"/>
        <w:gridCol w:w="858"/>
        <w:gridCol w:w="858"/>
        <w:gridCol w:w="858"/>
        <w:gridCol w:w="858"/>
        <w:gridCol w:w="858"/>
        <w:gridCol w:w="846"/>
      </w:tblGrid>
      <w:tr>
        <w:trPr>
          <w:trHeight w:val="290"/>
        </w:trPr>
        <w:tc>
          <w:tcPr>
            <w:tcW w:w="178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noProof/>
                <w:color w:val="000000"/>
                <w:sz w:val="18"/>
                <w:szCs w:val="18"/>
              </w:rPr>
            </w:pPr>
            <w:r>
              <w:rPr>
                <w:b/>
                <w:noProof/>
                <w:color w:val="000000"/>
                <w:sz w:val="18"/>
              </w:rPr>
              <w:t>CREDITE VOTATE</w:t>
            </w:r>
          </w:p>
        </w:tc>
        <w:tc>
          <w:tcPr>
            <w:tcW w:w="4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6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r>
      <w:tr>
        <w:trPr>
          <w:trHeight w:val="300"/>
        </w:trPr>
        <w:tc>
          <w:tcPr>
            <w:tcW w:w="178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424"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2028</w:t>
            </w:r>
          </w:p>
        </w:tc>
        <w:tc>
          <w:tcPr>
            <w:tcW w:w="46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2029</w:t>
            </w:r>
          </w:p>
        </w:tc>
        <w:tc>
          <w:tcPr>
            <w:tcW w:w="46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2030</w:t>
            </w:r>
          </w:p>
        </w:tc>
        <w:tc>
          <w:tcPr>
            <w:tcW w:w="46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2031</w:t>
            </w:r>
          </w:p>
        </w:tc>
        <w:tc>
          <w:tcPr>
            <w:tcW w:w="46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2032</w:t>
            </w:r>
          </w:p>
        </w:tc>
        <w:tc>
          <w:tcPr>
            <w:tcW w:w="467"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2033</w:t>
            </w:r>
          </w:p>
        </w:tc>
        <w:tc>
          <w:tcPr>
            <w:tcW w:w="46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noProof/>
                <w:color w:val="000000"/>
                <w:sz w:val="16"/>
                <w:szCs w:val="16"/>
              </w:rPr>
            </w:pPr>
            <w:r>
              <w:rPr>
                <w:rFonts w:ascii="Wingdings" w:hAnsi="Wingdings"/>
                <w:b/>
                <w:noProof/>
                <w:color w:val="000000"/>
                <w:sz w:val="16"/>
              </w:rPr>
              <w:t></w:t>
            </w:r>
            <w:r>
              <w:rPr>
                <w:b/>
                <w:noProof/>
                <w:color w:val="000000"/>
                <w:sz w:val="16"/>
              </w:rPr>
              <w:t xml:space="preserve"> Posturi din schema de personal (funcționari și agenți temporari)</w:t>
            </w:r>
          </w:p>
        </w:tc>
      </w:tr>
      <w:tr>
        <w:trPr>
          <w:trHeight w:val="55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(la sediu și în reprezentanțele Comisiei)</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2</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2</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4</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4</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5</w:t>
            </w:r>
          </w:p>
        </w:tc>
      </w:tr>
      <w:tr>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(delegațiile UE)</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(cercetare indirectă)</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(cercetare directă)</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noProof/>
                <w:color w:val="000000"/>
                <w:sz w:val="16"/>
                <w:szCs w:val="16"/>
              </w:rPr>
            </w:pPr>
            <w:r>
              <w:rPr>
                <w:rFonts w:ascii="Calibri" w:hAnsi="Calibri"/>
                <w:b/>
                <w:noProof/>
                <w:color w:val="000000"/>
                <w:sz w:val="16"/>
              </w:rPr>
              <w:t>•</w:t>
            </w:r>
            <w:r>
              <w:rPr>
                <w:b/>
                <w:noProof/>
                <w:color w:val="000000"/>
                <w:sz w:val="16"/>
              </w:rPr>
              <w:t xml:space="preserve"> Personal extern (în ENI)</w:t>
            </w:r>
          </w:p>
        </w:tc>
      </w:tr>
      <w:tr>
        <w:trPr>
          <w:trHeight w:val="41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din „pachetul global”)</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1</w:t>
            </w:r>
          </w:p>
        </w:tc>
      </w:tr>
      <w:tr>
        <w:trPr>
          <w:trHeight w:val="52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și JPD în delegațiile UE)</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1169"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Linia de sprijin administrativ</w:t>
            </w:r>
          </w:p>
        </w:tc>
        <w:tc>
          <w:tcPr>
            <w:tcW w:w="610" w:type="pct"/>
            <w:tcBorders>
              <w:top w:val="nil"/>
              <w:left w:val="nil"/>
              <w:bottom w:val="single" w:sz="8" w:space="0" w:color="auto"/>
              <w:right w:val="single" w:sz="8" w:space="0" w:color="auto"/>
            </w:tcBorders>
            <w:vAlign w:val="center"/>
            <w:hideMark/>
          </w:tcPr>
          <w:p>
            <w:pPr>
              <w:pStyle w:val="ListParagraph"/>
              <w:numPr>
                <w:ilvl w:val="0"/>
                <w:numId w:val="24"/>
              </w:numPr>
              <w:spacing w:before="0" w:after="0"/>
              <w:ind w:left="169" w:hanging="152"/>
              <w:jc w:val="left"/>
              <w:rPr>
                <w:noProof/>
                <w:color w:val="000000"/>
                <w:sz w:val="16"/>
                <w:szCs w:val="16"/>
              </w:rPr>
            </w:pPr>
            <w:r>
              <w:rPr>
                <w:noProof/>
                <w:color w:val="000000"/>
                <w:sz w:val="16"/>
              </w:rPr>
              <w:t>la sediu</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1169"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0" w:type="pct"/>
            <w:tcBorders>
              <w:top w:val="nil"/>
              <w:left w:val="nil"/>
              <w:bottom w:val="single" w:sz="8" w:space="0" w:color="auto"/>
              <w:right w:val="single" w:sz="8" w:space="0" w:color="auto"/>
            </w:tcBorders>
            <w:vAlign w:val="center"/>
            <w:hideMark/>
          </w:tcPr>
          <w:p>
            <w:pPr>
              <w:pStyle w:val="ListParagraph"/>
              <w:numPr>
                <w:ilvl w:val="0"/>
                <w:numId w:val="24"/>
              </w:numPr>
              <w:spacing w:before="0" w:after="0"/>
              <w:ind w:left="169" w:hanging="152"/>
              <w:jc w:val="left"/>
              <w:rPr>
                <w:noProof/>
                <w:color w:val="000000"/>
                <w:sz w:val="16"/>
                <w:szCs w:val="16"/>
              </w:rPr>
            </w:pPr>
            <w:r>
              <w:rPr>
                <w:noProof/>
                <w:color w:val="000000"/>
                <w:sz w:val="16"/>
              </w:rPr>
              <w:t xml:space="preserve">în delegațiile UE </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cercetare indirectă)</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(AC, END – cercetare directă)</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rubrica 4</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în afara rubricii 4</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noProof/>
                <w:color w:val="000000"/>
                <w:sz w:val="16"/>
                <w:szCs w:val="16"/>
              </w:rPr>
            </w:pPr>
            <w:r>
              <w:rPr>
                <w:b/>
                <w:noProof/>
                <w:color w:val="000000"/>
                <w:sz w:val="16"/>
              </w:rPr>
              <w:t>TOTAL</w:t>
            </w:r>
          </w:p>
        </w:tc>
        <w:tc>
          <w:tcPr>
            <w:tcW w:w="424"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3</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3</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4</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4</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5</w:t>
            </w:r>
          </w:p>
        </w:tc>
        <w:tc>
          <w:tcPr>
            <w:tcW w:w="467"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5</w:t>
            </w:r>
          </w:p>
        </w:tc>
        <w:tc>
          <w:tcPr>
            <w:tcW w:w="462"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noProof/>
                <w:color w:val="000000"/>
                <w:sz w:val="16"/>
                <w:szCs w:val="16"/>
              </w:rPr>
            </w:pPr>
            <w:r>
              <w:rPr>
                <w:b/>
                <w:noProof/>
                <w:color w:val="000000"/>
                <w:sz w:val="16"/>
              </w:rPr>
              <w:t>6</w:t>
            </w:r>
          </w:p>
        </w:tc>
      </w:tr>
    </w:tbl>
    <w:p>
      <w:pPr>
        <w:pStyle w:val="Text1"/>
        <w:ind w:left="0"/>
        <w:rPr>
          <w:noProof/>
        </w:rPr>
      </w:pPr>
      <w:r>
        <w:rPr>
          <w:noProof/>
        </w:rPr>
        <w:t>Având în vedere situația dificilă per ansamblu de la rubrica 4, atât în ceea ce privește personalul, cât și nivelul creditelor, necesarul de resurse umane va fi asigurat din efectivele de personal ale DG-ului în cauză alocate deja pentru gestionarea acțiunii și/sau redistribuite în cadrul DG-ului sau al altor servicii ale Comisiei.</w:t>
      </w:r>
    </w:p>
    <w:p>
      <w:pPr>
        <w:pStyle w:val="Text1"/>
        <w:rPr>
          <w:noProof/>
          <w:color w:val="000000" w:themeColor="text1"/>
        </w:rPr>
      </w:pPr>
      <w:r>
        <w:rPr>
          <w:noProof/>
          <w:color w:val="000000" w:themeColor="text1"/>
        </w:rPr>
        <w:t xml:space="preserve">Personalul necesar pentru punerea în aplicare a propunerii (în ENI): </w:t>
      </w:r>
    </w:p>
    <w:tbl>
      <w:tblPr>
        <w:tblStyle w:val="TableGrid"/>
        <w:tblW w:w="9214" w:type="dxa"/>
        <w:tblInd w:w="108" w:type="dxa"/>
        <w:tblLook w:val="04A0" w:firstRow="1" w:lastRow="0" w:firstColumn="1" w:lastColumn="0" w:noHBand="0" w:noVBand="1"/>
      </w:tblPr>
      <w:tblGrid>
        <w:gridCol w:w="2552"/>
        <w:gridCol w:w="1984"/>
        <w:gridCol w:w="1418"/>
        <w:gridCol w:w="1542"/>
        <w:gridCol w:w="1718"/>
      </w:tblGrid>
      <w:tr>
        <w:trPr>
          <w:trHeight w:val="300"/>
        </w:trPr>
        <w:tc>
          <w:tcPr>
            <w:tcW w:w="2552" w:type="dxa"/>
          </w:tcPr>
          <w:p>
            <w:pPr>
              <w:pStyle w:val="Text1"/>
              <w:ind w:left="0"/>
              <w:jc w:val="center"/>
              <w:rPr>
                <w:b/>
                <w:noProof/>
                <w:sz w:val="22"/>
                <w:szCs w:val="28"/>
              </w:rPr>
            </w:pPr>
          </w:p>
        </w:tc>
        <w:tc>
          <w:tcPr>
            <w:tcW w:w="1984" w:type="dxa"/>
          </w:tcPr>
          <w:p>
            <w:pPr>
              <w:pStyle w:val="Text1"/>
              <w:ind w:left="0"/>
              <w:jc w:val="center"/>
              <w:rPr>
                <w:b/>
                <w:noProof/>
                <w:sz w:val="22"/>
                <w:szCs w:val="22"/>
              </w:rPr>
            </w:pPr>
            <w:r>
              <w:rPr>
                <w:b/>
                <w:noProof/>
                <w:sz w:val="22"/>
              </w:rPr>
              <w:t xml:space="preserve">Personal ce urmează să fie acoperit de personalul actual disponibil în cadrul serviciilor Comisiei </w:t>
            </w:r>
          </w:p>
        </w:tc>
        <w:tc>
          <w:tcPr>
            <w:tcW w:w="4678" w:type="dxa"/>
            <w:gridSpan w:val="3"/>
          </w:tcPr>
          <w:p>
            <w:pPr>
              <w:pStyle w:val="Text1"/>
              <w:ind w:left="0"/>
              <w:jc w:val="center"/>
              <w:rPr>
                <w:b/>
                <w:noProof/>
                <w:sz w:val="22"/>
              </w:rPr>
            </w:pPr>
            <w:r>
              <w:rPr>
                <w:b/>
                <w:noProof/>
                <w:sz w:val="22"/>
              </w:rPr>
              <w:t>În mod excepțional, personal suplimentar*</w:t>
            </w:r>
          </w:p>
        </w:tc>
      </w:tr>
      <w:tr>
        <w:trPr>
          <w:trHeight w:val="300"/>
        </w:trPr>
        <w:tc>
          <w:tcPr>
            <w:tcW w:w="2552" w:type="dxa"/>
          </w:tcPr>
          <w:p>
            <w:pPr>
              <w:pStyle w:val="Text1"/>
              <w:ind w:left="0"/>
              <w:jc w:val="center"/>
              <w:rPr>
                <w:b/>
                <w:noProof/>
                <w:sz w:val="22"/>
                <w:szCs w:val="28"/>
              </w:rPr>
            </w:pPr>
          </w:p>
        </w:tc>
        <w:tc>
          <w:tcPr>
            <w:tcW w:w="1984" w:type="dxa"/>
          </w:tcPr>
          <w:p>
            <w:pPr>
              <w:pStyle w:val="Text1"/>
              <w:ind w:left="0"/>
              <w:jc w:val="center"/>
              <w:rPr>
                <w:b/>
                <w:noProof/>
                <w:sz w:val="22"/>
                <w:szCs w:val="28"/>
              </w:rPr>
            </w:pPr>
          </w:p>
        </w:tc>
        <w:tc>
          <w:tcPr>
            <w:tcW w:w="1418" w:type="dxa"/>
          </w:tcPr>
          <w:p>
            <w:pPr>
              <w:pStyle w:val="Text1"/>
              <w:ind w:left="0"/>
              <w:jc w:val="center"/>
              <w:rPr>
                <w:b/>
                <w:noProof/>
                <w:sz w:val="22"/>
              </w:rPr>
            </w:pPr>
            <w:r>
              <w:rPr>
                <w:b/>
                <w:noProof/>
                <w:sz w:val="22"/>
              </w:rPr>
              <w:t>Personal ce urmează să fie finanțat în cadrul rubricii 4 sau Cercetare</w:t>
            </w:r>
          </w:p>
        </w:tc>
        <w:tc>
          <w:tcPr>
            <w:tcW w:w="1542" w:type="dxa"/>
          </w:tcPr>
          <w:p>
            <w:pPr>
              <w:pStyle w:val="Text1"/>
              <w:ind w:left="0"/>
              <w:jc w:val="center"/>
              <w:rPr>
                <w:b/>
                <w:noProof/>
                <w:sz w:val="22"/>
                <w:szCs w:val="28"/>
              </w:rPr>
            </w:pPr>
            <w:r>
              <w:rPr>
                <w:b/>
                <w:noProof/>
                <w:sz w:val="22"/>
              </w:rPr>
              <w:t>Personal ce urmează să fie finanțat de la linia BA</w:t>
            </w:r>
          </w:p>
        </w:tc>
        <w:tc>
          <w:tcPr>
            <w:tcW w:w="1718" w:type="dxa"/>
          </w:tcPr>
          <w:p>
            <w:pPr>
              <w:pStyle w:val="Text1"/>
              <w:ind w:left="0"/>
              <w:jc w:val="center"/>
              <w:rPr>
                <w:b/>
                <w:noProof/>
                <w:sz w:val="22"/>
                <w:szCs w:val="28"/>
              </w:rPr>
            </w:pPr>
            <w:r>
              <w:rPr>
                <w:b/>
                <w:noProof/>
                <w:sz w:val="22"/>
              </w:rPr>
              <w:t>Personal ce urmează să fie finanțat din taxe</w:t>
            </w:r>
          </w:p>
        </w:tc>
      </w:tr>
      <w:tr>
        <w:trPr>
          <w:trHeight w:val="300"/>
        </w:trPr>
        <w:tc>
          <w:tcPr>
            <w:tcW w:w="2552" w:type="dxa"/>
          </w:tcPr>
          <w:p>
            <w:pPr>
              <w:pStyle w:val="Text1"/>
              <w:ind w:left="0"/>
              <w:rPr>
                <w:noProof/>
                <w:sz w:val="22"/>
                <w:szCs w:val="28"/>
              </w:rPr>
            </w:pPr>
            <w:r>
              <w:rPr>
                <w:noProof/>
                <w:sz w:val="22"/>
              </w:rPr>
              <w:t>Posturi din schema de personal</w:t>
            </w:r>
          </w:p>
        </w:tc>
        <w:tc>
          <w:tcPr>
            <w:tcW w:w="1984" w:type="dxa"/>
            <w:vAlign w:val="center"/>
          </w:tcPr>
          <w:p>
            <w:pPr>
              <w:pStyle w:val="Text1"/>
              <w:ind w:left="0"/>
              <w:jc w:val="center"/>
              <w:rPr>
                <w:noProof/>
                <w:sz w:val="22"/>
                <w:szCs w:val="28"/>
              </w:rPr>
            </w:pPr>
            <w:r>
              <w:rPr>
                <w:noProof/>
                <w:sz w:val="22"/>
              </w:rPr>
              <w:t>5</w:t>
            </w:r>
          </w:p>
        </w:tc>
        <w:tc>
          <w:tcPr>
            <w:tcW w:w="1418" w:type="dxa"/>
            <w:vAlign w:val="center"/>
          </w:tcPr>
          <w:p>
            <w:pPr>
              <w:pStyle w:val="Text1"/>
              <w:ind w:left="0"/>
              <w:jc w:val="center"/>
              <w:rPr>
                <w:noProof/>
                <w:sz w:val="22"/>
                <w:szCs w:val="28"/>
              </w:rPr>
            </w:pPr>
          </w:p>
        </w:tc>
        <w:tc>
          <w:tcPr>
            <w:tcW w:w="1542" w:type="dxa"/>
            <w:vAlign w:val="center"/>
          </w:tcPr>
          <w:p>
            <w:pPr>
              <w:pStyle w:val="Text1"/>
              <w:ind w:left="0"/>
              <w:jc w:val="center"/>
              <w:rPr>
                <w:noProof/>
                <w:sz w:val="22"/>
                <w:szCs w:val="28"/>
              </w:rPr>
            </w:pPr>
            <w:r>
              <w:rPr>
                <w:noProof/>
                <w:sz w:val="22"/>
              </w:rPr>
              <w:t>Nu se aplică</w:t>
            </w:r>
          </w:p>
        </w:tc>
        <w:tc>
          <w:tcPr>
            <w:tcW w:w="1718" w:type="dxa"/>
            <w:vAlign w:val="center"/>
          </w:tcPr>
          <w:p>
            <w:pPr>
              <w:pStyle w:val="Text1"/>
              <w:ind w:left="0"/>
              <w:jc w:val="center"/>
              <w:rPr>
                <w:noProof/>
                <w:sz w:val="22"/>
                <w:szCs w:val="28"/>
              </w:rPr>
            </w:pPr>
          </w:p>
        </w:tc>
      </w:tr>
      <w:tr>
        <w:trPr>
          <w:trHeight w:val="300"/>
        </w:trPr>
        <w:tc>
          <w:tcPr>
            <w:tcW w:w="2552" w:type="dxa"/>
          </w:tcPr>
          <w:p>
            <w:pPr>
              <w:pStyle w:val="Text1"/>
              <w:ind w:left="0"/>
              <w:rPr>
                <w:noProof/>
                <w:sz w:val="22"/>
                <w:szCs w:val="28"/>
              </w:rPr>
            </w:pPr>
            <w:r>
              <w:rPr>
                <w:noProof/>
                <w:sz w:val="22"/>
              </w:rPr>
              <w:t>Personal extern (AC, END, INT)</w:t>
            </w:r>
          </w:p>
        </w:tc>
        <w:tc>
          <w:tcPr>
            <w:tcW w:w="1984" w:type="dxa"/>
            <w:vAlign w:val="center"/>
          </w:tcPr>
          <w:p>
            <w:pPr>
              <w:pStyle w:val="Text1"/>
              <w:ind w:left="0"/>
              <w:jc w:val="center"/>
              <w:rPr>
                <w:noProof/>
                <w:sz w:val="22"/>
                <w:szCs w:val="28"/>
              </w:rPr>
            </w:pPr>
            <w:r>
              <w:rPr>
                <w:noProof/>
                <w:sz w:val="22"/>
              </w:rPr>
              <w:t>1</w:t>
            </w:r>
          </w:p>
        </w:tc>
        <w:tc>
          <w:tcPr>
            <w:tcW w:w="1418" w:type="dxa"/>
            <w:vAlign w:val="center"/>
          </w:tcPr>
          <w:p>
            <w:pPr>
              <w:pStyle w:val="Text1"/>
              <w:ind w:left="0"/>
              <w:jc w:val="center"/>
              <w:rPr>
                <w:noProof/>
                <w:sz w:val="22"/>
                <w:szCs w:val="28"/>
              </w:rPr>
            </w:pPr>
          </w:p>
        </w:tc>
        <w:tc>
          <w:tcPr>
            <w:tcW w:w="1542" w:type="dxa"/>
            <w:vAlign w:val="center"/>
          </w:tcPr>
          <w:p>
            <w:pPr>
              <w:pStyle w:val="Text1"/>
              <w:ind w:left="0"/>
              <w:jc w:val="center"/>
              <w:rPr>
                <w:noProof/>
                <w:sz w:val="22"/>
                <w:szCs w:val="28"/>
              </w:rPr>
            </w:pPr>
          </w:p>
        </w:tc>
        <w:tc>
          <w:tcPr>
            <w:tcW w:w="1718" w:type="dxa"/>
            <w:vAlign w:val="center"/>
          </w:tcPr>
          <w:p>
            <w:pPr>
              <w:pStyle w:val="Text1"/>
              <w:ind w:left="0"/>
              <w:jc w:val="center"/>
              <w:rPr>
                <w:noProof/>
                <w:sz w:val="22"/>
                <w:szCs w:val="28"/>
              </w:rPr>
            </w:pPr>
          </w:p>
        </w:tc>
      </w:tr>
    </w:tbl>
    <w:p>
      <w:pPr>
        <w:pStyle w:val="Text1"/>
        <w:keepNext/>
        <w:ind w:left="851"/>
        <w:rPr>
          <w:noProof/>
        </w:rPr>
      </w:pPr>
      <w:r>
        <w:rPr>
          <w:noProof/>
        </w:rPr>
        <w:t>Descrierea sarcinilor care trebuie efectuate de:</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560"/>
        <w:gridCol w:w="7512"/>
      </w:tblGrid>
      <w:tr>
        <w:tc>
          <w:tcPr>
            <w:tcW w:w="1560" w:type="dxa"/>
          </w:tcPr>
          <w:p>
            <w:pPr>
              <w:rPr>
                <w:noProof/>
              </w:rPr>
            </w:pPr>
            <w:r>
              <w:rPr>
                <w:noProof/>
              </w:rPr>
              <w:t>Funcționari și personal temporar</w:t>
            </w:r>
          </w:p>
        </w:tc>
        <w:tc>
          <w:tcPr>
            <w:tcW w:w="7512" w:type="dxa"/>
          </w:tcPr>
          <w:p>
            <w:pPr>
              <w:rPr>
                <w:noProof/>
                <w:szCs w:val="20"/>
              </w:rPr>
            </w:pPr>
            <w:r>
              <w:rPr>
                <w:noProof/>
              </w:rPr>
              <w:t>2 posturi AD în faza de configurare, alocate pentru perioada 2028­2029, responsabile cu adoptarea legislației secundare, menținute în faza „de funcționare”, pentru a ține seama de actele de punere în aplicare tot mai numeroase legate de platformele și sistemele de gestionare a informațiilor, care trebuie adaptate periodic în conformitate cu evoluția constantă a instrumentelor de aplicare a legii, în special în ceea ce privește criminalistica și analiza, precum și cu aspectele corespunzătoare legate de protecția datelor</w:t>
            </w:r>
          </w:p>
          <w:p>
            <w:pPr>
              <w:rPr>
                <w:noProof/>
              </w:rPr>
            </w:pPr>
            <w:r>
              <w:rPr>
                <w:noProof/>
              </w:rPr>
              <w:t>1 AD specialist în contabilitate analitică și strategia GI și C&amp;I, în legătură atât cu Comitetul executiv, cât și cu Grupul de coordonare GI și TIC</w:t>
            </w:r>
          </w:p>
          <w:p>
            <w:pPr>
              <w:rPr>
                <w:noProof/>
              </w:rPr>
            </w:pPr>
            <w:r>
              <w:rPr>
                <w:noProof/>
              </w:rPr>
              <w:t>1 AD cu competențe bugetare pentru a sprijini dublarea reprezentării în Consiliul de administrație, crearea Comitetului executiv și obligații suplimentare de monitorizare</w:t>
            </w:r>
          </w:p>
          <w:p>
            <w:pPr>
              <w:rPr>
                <w:noProof/>
              </w:rPr>
            </w:pPr>
            <w:r>
              <w:rPr>
                <w:noProof/>
              </w:rPr>
              <w:t>1 AST: sprijinirea și pregătirea reuniunilor și a informărilor suplimentare ale organismelor suplimentare (14+ pe an)</w:t>
            </w:r>
          </w:p>
        </w:tc>
      </w:tr>
      <w:tr>
        <w:tc>
          <w:tcPr>
            <w:tcW w:w="1560" w:type="dxa"/>
          </w:tcPr>
          <w:p>
            <w:pPr>
              <w:rPr>
                <w:noProof/>
              </w:rPr>
            </w:pPr>
            <w:r>
              <w:rPr>
                <w:noProof/>
              </w:rPr>
              <w:t>Personal extern</w:t>
            </w:r>
          </w:p>
        </w:tc>
        <w:tc>
          <w:tcPr>
            <w:tcW w:w="7512" w:type="dxa"/>
          </w:tcPr>
          <w:p>
            <w:pPr>
              <w:rPr>
                <w:i/>
                <w:noProof/>
                <w:szCs w:val="20"/>
              </w:rPr>
            </w:pPr>
            <w:r>
              <w:rPr>
                <w:noProof/>
              </w:rPr>
              <w:t>1 END: sprijin de specialitate în gestionarea informațiilor, protecția datelor, cercetare și inovare: participarea la Grupul consultativ pentru GI și TIC</w:t>
            </w:r>
          </w:p>
        </w:tc>
      </w:tr>
    </w:tbl>
    <w:p>
      <w:pPr>
        <w:pStyle w:val="Text1"/>
        <w:ind w:left="0"/>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ManualHeading3"/>
        <w:rPr>
          <w:noProof/>
        </w:rPr>
      </w:pPr>
      <w:bookmarkStart w:id="45" w:name="_Toc230120365"/>
      <w:r>
        <w:rPr>
          <w:noProof/>
        </w:rPr>
        <w:t>3.2.5.</w:t>
      </w:r>
      <w:r>
        <w:rPr>
          <w:noProof/>
        </w:rPr>
        <w:tab/>
        <w:t xml:space="preserve">Prezentare generală a impactului estimat asupra investițiilor legate de tehnologia digitală </w:t>
      </w:r>
      <w:bookmarkEnd w:id="45"/>
    </w:p>
    <w:p>
      <w:pPr>
        <w:pStyle w:val="ManualHeading3"/>
        <w:rPr>
          <w:noProof/>
        </w:rPr>
      </w:pPr>
      <w:bookmarkStart w:id="46" w:name="_Toc230120366"/>
      <w:r>
        <w:rPr>
          <w:noProof/>
        </w:rPr>
        <w:t>3.2.6.</w:t>
      </w:r>
      <w:r>
        <w:rPr>
          <w:noProof/>
        </w:rPr>
        <w:tab/>
        <w:t>Compatibilitatea cu cadrul financiar multianual actual (nu se completează pentru agențiile descentralizate)</w:t>
      </w:r>
      <w:bookmarkEnd w:id="46"/>
    </w:p>
    <w:p>
      <w:pPr>
        <w:pStyle w:val="ManualHeading3"/>
        <w:rPr>
          <w:noProof/>
        </w:rPr>
      </w:pPr>
      <w:bookmarkStart w:id="47" w:name="_Toc230120367"/>
      <w:r>
        <w:rPr>
          <w:noProof/>
        </w:rPr>
        <w:t>3.2.7.</w:t>
      </w:r>
      <w:r>
        <w:rPr>
          <w:noProof/>
        </w:rPr>
        <w:tab/>
        <w:t>Contribuțiile terților</w:t>
      </w:r>
      <w:bookmarkEnd w:id="47"/>
      <w:r>
        <w:rPr>
          <w:noProof/>
        </w:rPr>
        <w:t xml:space="preserve"> </w:t>
      </w:r>
    </w:p>
    <w:p>
      <w:pPr>
        <w:pStyle w:val="Text1"/>
        <w:rPr>
          <w:noProof/>
        </w:rPr>
      </w:pPr>
      <w:r>
        <w:rPr>
          <w:noProof/>
        </w:rPr>
        <w:t>Propunerea/inițiativa:</w:t>
      </w:r>
    </w:p>
    <w:p>
      <w:pPr>
        <w:pStyle w:val="ListDash1"/>
        <w:tabs>
          <w:tab w:val="num" w:pos="1134"/>
        </w:tabs>
        <w:ind w:left="1134" w:hanging="283"/>
        <w:rPr>
          <w:noProof/>
        </w:rPr>
      </w:pPr>
      <w:r>
        <w:rPr>
          <w:rFonts w:ascii="Wingdings" w:hAnsi="Wingdings"/>
          <w:noProof/>
        </w:rPr>
        <w:t></w:t>
      </w:r>
      <w:r>
        <w:rPr>
          <w:noProof/>
        </w:rPr>
        <w:tab/>
        <w:t>nu prevede cofinanțare din partea terților</w:t>
      </w:r>
    </w:p>
    <w:p>
      <w:pPr>
        <w:pStyle w:val="ListDash1"/>
        <w:tabs>
          <w:tab w:val="num" w:pos="1134"/>
        </w:tabs>
        <w:ind w:left="1134" w:hanging="283"/>
        <w:rPr>
          <w:noProof/>
        </w:rPr>
      </w:pPr>
      <w:r>
        <w:rPr>
          <w:rFonts w:ascii="Wingdings" w:hAnsi="Wingdings"/>
          <w:noProof/>
        </w:rPr>
        <w:t></w:t>
      </w:r>
      <w:r>
        <w:rPr>
          <w:noProof/>
        </w:rPr>
        <w:tab/>
        <w:t>prevede cofinanțare din partea terților, estimată mai jos:</w:t>
      </w:r>
    </w:p>
    <w:p>
      <w:pPr>
        <w:jc w:val="right"/>
        <w:rPr>
          <w:noProof/>
          <w:sz w:val="20"/>
        </w:rPr>
      </w:pPr>
      <w:r>
        <w:rPr>
          <w:noProof/>
          <w:sz w:val="20"/>
        </w:rPr>
        <w:t>Credite în milioane EUR (cu trei zecimale)</w:t>
      </w:r>
    </w:p>
    <w:tbl>
      <w:tblPr>
        <w:tblW w:w="5000" w:type="pct"/>
        <w:tblInd w:w="-318" w:type="dxa"/>
        <w:tblLook w:val="04A0" w:firstRow="1" w:lastRow="0" w:firstColumn="1" w:lastColumn="0" w:noHBand="0" w:noVBand="1"/>
      </w:tblPr>
      <w:tblGrid>
        <w:gridCol w:w="2561"/>
        <w:gridCol w:w="839"/>
        <w:gridCol w:w="840"/>
        <w:gridCol w:w="840"/>
        <w:gridCol w:w="840"/>
        <w:gridCol w:w="842"/>
        <w:gridCol w:w="842"/>
        <w:gridCol w:w="842"/>
        <w:gridCol w:w="843"/>
      </w:tblGrid>
      <w:tr>
        <w:trPr>
          <w:cantSplit/>
          <w:trHeight w:val="290"/>
        </w:trPr>
        <w:tc>
          <w:tcPr>
            <w:tcW w:w="1379"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lang w:eastAsia="en-IE"/>
              </w:rPr>
            </w:pPr>
          </w:p>
        </w:tc>
        <w:tc>
          <w:tcPr>
            <w:tcW w:w="45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45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45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45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45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45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45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45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Total</w:t>
            </w:r>
          </w:p>
        </w:tc>
      </w:tr>
      <w:tr>
        <w:trPr>
          <w:trHeight w:val="300"/>
        </w:trPr>
        <w:tc>
          <w:tcPr>
            <w:tcW w:w="1379"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2028</w:t>
            </w: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2029</w:t>
            </w: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2030</w:t>
            </w: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2031</w:t>
            </w: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2032</w:t>
            </w: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2033</w:t>
            </w: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b/>
                <w:noProof/>
                <w:color w:val="000000"/>
                <w:sz w:val="20"/>
                <w:szCs w:val="20"/>
              </w:rPr>
            </w:pPr>
            <w:r>
              <w:rPr>
                <w:b/>
                <w:noProof/>
                <w:color w:val="000000"/>
                <w:sz w:val="20"/>
              </w:rPr>
              <w:t>2034</w:t>
            </w:r>
          </w:p>
        </w:tc>
        <w:tc>
          <w:tcPr>
            <w:tcW w:w="45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r>
      <w:tr>
        <w:trPr>
          <w:cantSplit/>
          <w:trHeight w:val="1050"/>
        </w:trPr>
        <w:tc>
          <w:tcPr>
            <w:tcW w:w="1379"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A se preciza organismul care asigură cofinanțarea</w:t>
            </w:r>
            <w:r>
              <w:rPr>
                <w:i/>
                <w:noProof/>
                <w:color w:val="000000"/>
                <w:sz w:val="20"/>
              </w:rPr>
              <w:t xml:space="preserve"> </w:t>
            </w: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r>
      <w:tr>
        <w:trPr>
          <w:cantSplit/>
          <w:trHeight w:val="1050"/>
        </w:trPr>
        <w:tc>
          <w:tcPr>
            <w:tcW w:w="1379"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rPr>
            </w:pPr>
            <w:r>
              <w:rPr>
                <w:noProof/>
                <w:color w:val="000000"/>
                <w:sz w:val="20"/>
              </w:rPr>
              <w:t xml:space="preserve">TOTAL credite cofinanțate </w:t>
            </w: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c>
          <w:tcPr>
            <w:tcW w:w="45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p>
        </w:tc>
      </w:tr>
    </w:tbl>
    <w:p>
      <w:pPr>
        <w:pStyle w:val="ManualHeading3"/>
        <w:rPr>
          <w:noProof/>
          <w:szCs w:val="24"/>
        </w:rPr>
      </w:pPr>
      <w:bookmarkStart w:id="48" w:name="_Toc230120368"/>
      <w:r>
        <w:rPr>
          <w:noProof/>
        </w:rPr>
        <w:t>3.2.8.</w:t>
      </w:r>
      <w:r>
        <w:rPr>
          <w:noProof/>
        </w:rPr>
        <w:tab/>
        <w:t>Estimarea resurselor umane și utilizarea creditelor necesare în cadrul unei agenții descentralizate</w:t>
      </w:r>
      <w:bookmarkEnd w:id="48"/>
      <w:r>
        <w:rPr>
          <w:noProof/>
        </w:rPr>
        <w:t xml:space="preserve"> </w:t>
      </w:r>
    </w:p>
    <w:bookmarkEnd w:id="40"/>
    <w:p>
      <w:pPr>
        <w:pStyle w:val="Text1"/>
        <w:rPr>
          <w:noProof/>
        </w:rPr>
      </w:pPr>
    </w:p>
    <w:p>
      <w:pPr>
        <w:pStyle w:val="Text1"/>
        <w:ind w:left="0"/>
        <w:rPr>
          <w:noProof/>
        </w:rPr>
      </w:pPr>
      <w:r>
        <w:rPr>
          <w:noProof/>
        </w:rPr>
        <w:t>Cuantumul creditelor care urmează să fie alocate agențiilor în următorul CFM este orientativ și face obiectul acordului privind CFM. Ar trebui integrat în subvenția agențiilor ca urmare a caracterului permanent al sarcinilor alocate prin prezenta propunere și va fi compensat, după caz, printr-o reducere echivalentă a bugetului unui program relevant din cadrul aceleiași rubrici a CFM. În cazul în care este necesară o reducere compensatorie, este posibil ca resursele alocate agențiilor să trebuiască, de asemenea, să fie revizuite prin intermediul procedurii bugetare anuale.</w:t>
      </w:r>
    </w:p>
    <w:p>
      <w:pPr>
        <w:pStyle w:val="Text1"/>
        <w:ind w:left="0"/>
        <w:rPr>
          <w:noProof/>
        </w:rPr>
      </w:pPr>
      <w:r>
        <w:rPr>
          <w:noProof/>
        </w:rPr>
        <w:t>Cerințe privind personalul (unități echivalent normă întreagă)</w:t>
      </w:r>
    </w:p>
    <w:tbl>
      <w:tblPr>
        <w:tblW w:w="97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747"/>
        <w:gridCol w:w="996"/>
        <w:gridCol w:w="996"/>
        <w:gridCol w:w="996"/>
        <w:gridCol w:w="996"/>
        <w:gridCol w:w="996"/>
        <w:gridCol w:w="996"/>
        <w:gridCol w:w="996"/>
      </w:tblGrid>
      <w:tr>
        <w:trPr>
          <w:trHeight w:val="521"/>
          <w:jc w:val="center"/>
        </w:trPr>
        <w:tc>
          <w:tcPr>
            <w:tcW w:w="2747" w:type="dxa"/>
            <w:vAlign w:val="center"/>
          </w:tcPr>
          <w:p>
            <w:pPr>
              <w:spacing w:before="60" w:after="60"/>
              <w:jc w:val="center"/>
              <w:rPr>
                <w:b/>
                <w:noProof/>
                <w:sz w:val="20"/>
                <w:szCs w:val="20"/>
              </w:rPr>
            </w:pPr>
            <w:r>
              <w:rPr>
                <w:b/>
                <w:noProof/>
                <w:color w:val="444444"/>
                <w:sz w:val="20"/>
                <w:shd w:val="clear" w:color="auto" w:fill="FFFFFF"/>
              </w:rPr>
              <w:t>Agenția: Europol</w:t>
            </w:r>
          </w:p>
        </w:tc>
        <w:tc>
          <w:tcPr>
            <w:tcW w:w="996" w:type="dxa"/>
            <w:vAlign w:val="center"/>
          </w:tcPr>
          <w:p>
            <w:pPr>
              <w:spacing w:before="60" w:after="60"/>
              <w:jc w:val="center"/>
              <w:rPr>
                <w:noProof/>
                <w:sz w:val="20"/>
                <w:szCs w:val="20"/>
              </w:rPr>
            </w:pPr>
            <w:r>
              <w:rPr>
                <w:noProof/>
                <w:sz w:val="20"/>
              </w:rPr>
              <w:t xml:space="preserve">Anul </w:t>
            </w:r>
            <w:r>
              <w:rPr>
                <w:b/>
                <w:noProof/>
                <w:sz w:val="20"/>
              </w:rPr>
              <w:t>2028</w:t>
            </w:r>
          </w:p>
        </w:tc>
        <w:tc>
          <w:tcPr>
            <w:tcW w:w="996" w:type="dxa"/>
          </w:tcPr>
          <w:p>
            <w:pPr>
              <w:spacing w:before="60" w:after="60"/>
              <w:jc w:val="center"/>
              <w:rPr>
                <w:noProof/>
                <w:sz w:val="20"/>
                <w:szCs w:val="20"/>
              </w:rPr>
            </w:pPr>
            <w:r>
              <w:rPr>
                <w:noProof/>
                <w:sz w:val="20"/>
              </w:rPr>
              <w:t xml:space="preserve">Anul </w:t>
            </w:r>
            <w:r>
              <w:rPr>
                <w:b/>
                <w:noProof/>
                <w:sz w:val="20"/>
              </w:rPr>
              <w:t>2029</w:t>
            </w:r>
          </w:p>
        </w:tc>
        <w:tc>
          <w:tcPr>
            <w:tcW w:w="996" w:type="dxa"/>
          </w:tcPr>
          <w:p>
            <w:pPr>
              <w:spacing w:before="60" w:after="60"/>
              <w:jc w:val="center"/>
              <w:rPr>
                <w:noProof/>
                <w:sz w:val="20"/>
                <w:szCs w:val="20"/>
              </w:rPr>
            </w:pPr>
            <w:r>
              <w:rPr>
                <w:noProof/>
                <w:sz w:val="20"/>
              </w:rPr>
              <w:t xml:space="preserve">Anul </w:t>
            </w:r>
            <w:r>
              <w:rPr>
                <w:b/>
                <w:noProof/>
                <w:sz w:val="20"/>
              </w:rPr>
              <w:t>2030</w:t>
            </w:r>
          </w:p>
        </w:tc>
        <w:tc>
          <w:tcPr>
            <w:tcW w:w="996" w:type="dxa"/>
          </w:tcPr>
          <w:p>
            <w:pPr>
              <w:spacing w:before="60" w:after="60"/>
              <w:jc w:val="center"/>
              <w:rPr>
                <w:noProof/>
                <w:sz w:val="20"/>
                <w:szCs w:val="20"/>
              </w:rPr>
            </w:pPr>
            <w:r>
              <w:rPr>
                <w:noProof/>
                <w:sz w:val="20"/>
              </w:rPr>
              <w:t xml:space="preserve">Anul </w:t>
            </w:r>
            <w:r>
              <w:rPr>
                <w:b/>
                <w:noProof/>
                <w:sz w:val="20"/>
              </w:rPr>
              <w:t>2031</w:t>
            </w:r>
          </w:p>
        </w:tc>
        <w:tc>
          <w:tcPr>
            <w:tcW w:w="996" w:type="dxa"/>
            <w:vAlign w:val="center"/>
          </w:tcPr>
          <w:p>
            <w:pPr>
              <w:spacing w:before="60" w:after="60"/>
              <w:jc w:val="center"/>
              <w:rPr>
                <w:noProof/>
                <w:sz w:val="20"/>
                <w:szCs w:val="20"/>
              </w:rPr>
            </w:pPr>
            <w:r>
              <w:rPr>
                <w:noProof/>
                <w:sz w:val="20"/>
              </w:rPr>
              <w:t xml:space="preserve">Anul </w:t>
            </w:r>
            <w:r>
              <w:rPr>
                <w:b/>
                <w:noProof/>
                <w:sz w:val="20"/>
              </w:rPr>
              <w:t>2032</w:t>
            </w:r>
          </w:p>
        </w:tc>
        <w:tc>
          <w:tcPr>
            <w:tcW w:w="996" w:type="dxa"/>
            <w:vAlign w:val="center"/>
          </w:tcPr>
          <w:p>
            <w:pPr>
              <w:spacing w:before="60" w:after="60"/>
              <w:jc w:val="center"/>
              <w:rPr>
                <w:noProof/>
                <w:sz w:val="20"/>
                <w:szCs w:val="20"/>
              </w:rPr>
            </w:pPr>
            <w:r>
              <w:rPr>
                <w:noProof/>
                <w:sz w:val="20"/>
              </w:rPr>
              <w:t xml:space="preserve">Anul </w:t>
            </w:r>
            <w:r>
              <w:rPr>
                <w:b/>
                <w:noProof/>
                <w:sz w:val="20"/>
              </w:rPr>
              <w:t>2033</w:t>
            </w:r>
          </w:p>
        </w:tc>
        <w:tc>
          <w:tcPr>
            <w:tcW w:w="996" w:type="dxa"/>
            <w:vAlign w:val="center"/>
          </w:tcPr>
          <w:p>
            <w:pPr>
              <w:spacing w:before="60" w:after="60"/>
              <w:jc w:val="center"/>
              <w:rPr>
                <w:noProof/>
                <w:sz w:val="20"/>
                <w:szCs w:val="20"/>
              </w:rPr>
            </w:pPr>
            <w:r>
              <w:rPr>
                <w:noProof/>
                <w:sz w:val="20"/>
              </w:rPr>
              <w:t xml:space="preserve">Anul </w:t>
            </w:r>
            <w:r>
              <w:rPr>
                <w:b/>
                <w:noProof/>
                <w:sz w:val="20"/>
              </w:rPr>
              <w:t>2034</w:t>
            </w:r>
          </w:p>
        </w:tc>
      </w:tr>
      <w:tr>
        <w:trPr>
          <w:trHeight w:val="521"/>
          <w:jc w:val="center"/>
        </w:trPr>
        <w:tc>
          <w:tcPr>
            <w:tcW w:w="2747" w:type="dxa"/>
            <w:shd w:val="clear" w:color="auto" w:fill="FFFFFF" w:themeFill="background1"/>
            <w:vAlign w:val="center"/>
          </w:tcPr>
          <w:p>
            <w:pPr>
              <w:spacing w:before="60" w:after="60"/>
              <w:jc w:val="left"/>
              <w:rPr>
                <w:noProof/>
                <w:sz w:val="20"/>
                <w:szCs w:val="20"/>
              </w:rPr>
            </w:pPr>
            <w:r>
              <w:rPr>
                <w:noProof/>
                <w:sz w:val="20"/>
              </w:rPr>
              <w:t xml:space="preserve">Agenți temporari </w:t>
            </w:r>
          </w:p>
          <w:p>
            <w:pPr>
              <w:spacing w:before="60" w:after="60"/>
              <w:jc w:val="left"/>
              <w:rPr>
                <w:noProof/>
                <w:sz w:val="20"/>
                <w:szCs w:val="20"/>
              </w:rPr>
            </w:pPr>
            <w:r>
              <w:rPr>
                <w:noProof/>
                <w:sz w:val="20"/>
              </w:rPr>
              <w:t>(gradele AD)</w:t>
            </w:r>
          </w:p>
        </w:tc>
        <w:tc>
          <w:tcPr>
            <w:tcW w:w="996" w:type="dxa"/>
            <w:vAlign w:val="center"/>
          </w:tcPr>
          <w:p>
            <w:pPr>
              <w:spacing w:before="60" w:after="60"/>
              <w:jc w:val="right"/>
              <w:rPr>
                <w:noProof/>
                <w:sz w:val="20"/>
                <w:szCs w:val="20"/>
              </w:rPr>
            </w:pPr>
            <w:r>
              <w:rPr>
                <w:noProof/>
                <w:sz w:val="20"/>
              </w:rPr>
              <w:t>109</w:t>
            </w:r>
          </w:p>
        </w:tc>
        <w:tc>
          <w:tcPr>
            <w:tcW w:w="996" w:type="dxa"/>
            <w:vAlign w:val="center"/>
          </w:tcPr>
          <w:p>
            <w:pPr>
              <w:spacing w:before="60" w:after="60"/>
              <w:jc w:val="right"/>
              <w:rPr>
                <w:noProof/>
                <w:sz w:val="20"/>
                <w:szCs w:val="20"/>
              </w:rPr>
            </w:pPr>
            <w:r>
              <w:rPr>
                <w:noProof/>
                <w:sz w:val="20"/>
              </w:rPr>
              <w:t>216</w:t>
            </w:r>
          </w:p>
        </w:tc>
        <w:tc>
          <w:tcPr>
            <w:tcW w:w="996" w:type="dxa"/>
            <w:vAlign w:val="center"/>
          </w:tcPr>
          <w:p>
            <w:pPr>
              <w:spacing w:before="60" w:after="60"/>
              <w:jc w:val="right"/>
              <w:rPr>
                <w:noProof/>
                <w:sz w:val="20"/>
                <w:szCs w:val="20"/>
              </w:rPr>
            </w:pPr>
            <w:r>
              <w:rPr>
                <w:noProof/>
                <w:sz w:val="20"/>
              </w:rPr>
              <w:t>322</w:t>
            </w:r>
          </w:p>
        </w:tc>
        <w:tc>
          <w:tcPr>
            <w:tcW w:w="996" w:type="dxa"/>
            <w:vAlign w:val="center"/>
          </w:tcPr>
          <w:p>
            <w:pPr>
              <w:spacing w:before="60" w:after="60"/>
              <w:jc w:val="right"/>
              <w:rPr>
                <w:noProof/>
                <w:sz w:val="20"/>
                <w:szCs w:val="20"/>
              </w:rPr>
            </w:pPr>
            <w:r>
              <w:rPr>
                <w:noProof/>
                <w:sz w:val="20"/>
              </w:rPr>
              <w:t>429</w:t>
            </w:r>
          </w:p>
        </w:tc>
        <w:tc>
          <w:tcPr>
            <w:tcW w:w="996" w:type="dxa"/>
            <w:vAlign w:val="center"/>
          </w:tcPr>
          <w:p>
            <w:pPr>
              <w:spacing w:before="60" w:after="60"/>
              <w:jc w:val="right"/>
              <w:rPr>
                <w:noProof/>
                <w:sz w:val="20"/>
                <w:szCs w:val="20"/>
              </w:rPr>
            </w:pPr>
            <w:r>
              <w:rPr>
                <w:noProof/>
                <w:sz w:val="20"/>
              </w:rPr>
              <w:t>535</w:t>
            </w:r>
          </w:p>
        </w:tc>
        <w:tc>
          <w:tcPr>
            <w:tcW w:w="996" w:type="dxa"/>
            <w:vAlign w:val="center"/>
          </w:tcPr>
          <w:p>
            <w:pPr>
              <w:spacing w:before="60" w:after="60"/>
              <w:jc w:val="right"/>
              <w:rPr>
                <w:noProof/>
                <w:sz w:val="20"/>
                <w:szCs w:val="20"/>
              </w:rPr>
            </w:pPr>
            <w:r>
              <w:rPr>
                <w:noProof/>
                <w:sz w:val="20"/>
              </w:rPr>
              <w:t>637</w:t>
            </w:r>
          </w:p>
        </w:tc>
        <w:tc>
          <w:tcPr>
            <w:tcW w:w="996" w:type="dxa"/>
            <w:vAlign w:val="center"/>
          </w:tcPr>
          <w:p>
            <w:pPr>
              <w:spacing w:before="60" w:after="60"/>
              <w:jc w:val="right"/>
              <w:rPr>
                <w:noProof/>
                <w:sz w:val="20"/>
                <w:szCs w:val="20"/>
              </w:rPr>
            </w:pPr>
            <w:r>
              <w:rPr>
                <w:noProof/>
                <w:sz w:val="20"/>
              </w:rPr>
              <w:t>749</w:t>
            </w:r>
          </w:p>
        </w:tc>
      </w:tr>
      <w:tr>
        <w:trPr>
          <w:trHeight w:val="521"/>
          <w:jc w:val="center"/>
        </w:trPr>
        <w:tc>
          <w:tcPr>
            <w:tcW w:w="2747" w:type="dxa"/>
            <w:vAlign w:val="center"/>
          </w:tcPr>
          <w:p>
            <w:pPr>
              <w:spacing w:before="60" w:after="60"/>
              <w:jc w:val="left"/>
              <w:rPr>
                <w:noProof/>
                <w:sz w:val="20"/>
                <w:szCs w:val="20"/>
              </w:rPr>
            </w:pPr>
            <w:r>
              <w:rPr>
                <w:noProof/>
                <w:sz w:val="20"/>
              </w:rPr>
              <w:t xml:space="preserve">Agenți temporari </w:t>
            </w:r>
          </w:p>
          <w:p>
            <w:pPr>
              <w:spacing w:before="60" w:after="60"/>
              <w:jc w:val="left"/>
              <w:rPr>
                <w:noProof/>
                <w:sz w:val="20"/>
                <w:szCs w:val="20"/>
              </w:rPr>
            </w:pPr>
            <w:r>
              <w:rPr>
                <w:noProof/>
                <w:sz w:val="20"/>
              </w:rPr>
              <w:t>(gradele AST)</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r>
      <w:tr>
        <w:trPr>
          <w:trHeight w:val="521"/>
          <w:jc w:val="center"/>
        </w:trPr>
        <w:tc>
          <w:tcPr>
            <w:tcW w:w="2747" w:type="dxa"/>
            <w:shd w:val="clear" w:color="auto" w:fill="D9D9D9" w:themeFill="background1" w:themeFillShade="D9"/>
            <w:vAlign w:val="center"/>
          </w:tcPr>
          <w:p>
            <w:pPr>
              <w:spacing w:before="60" w:after="60"/>
              <w:jc w:val="left"/>
              <w:rPr>
                <w:b/>
                <w:i/>
                <w:noProof/>
                <w:sz w:val="20"/>
                <w:szCs w:val="20"/>
              </w:rPr>
            </w:pPr>
            <w:r>
              <w:rPr>
                <w:b/>
                <w:i/>
                <w:noProof/>
                <w:sz w:val="20"/>
              </w:rPr>
              <w:t>Subtotal agenți temporari (AD+AST)</w:t>
            </w:r>
          </w:p>
        </w:tc>
        <w:tc>
          <w:tcPr>
            <w:tcW w:w="996" w:type="dxa"/>
            <w:shd w:val="clear" w:color="auto" w:fill="D9D9D9" w:themeFill="background1" w:themeFillShade="D9"/>
            <w:vAlign w:val="center"/>
          </w:tcPr>
          <w:p>
            <w:pPr>
              <w:spacing w:before="60" w:after="60"/>
              <w:jc w:val="right"/>
              <w:rPr>
                <w:b/>
                <w:i/>
                <w:noProof/>
                <w:sz w:val="20"/>
                <w:szCs w:val="20"/>
              </w:rPr>
            </w:pPr>
            <w:r>
              <w:rPr>
                <w:b/>
                <w:i/>
                <w:noProof/>
                <w:sz w:val="20"/>
              </w:rPr>
              <w:t>109</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216</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322</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429</w:t>
            </w:r>
          </w:p>
        </w:tc>
        <w:tc>
          <w:tcPr>
            <w:tcW w:w="996" w:type="dxa"/>
            <w:shd w:val="clear" w:color="auto" w:fill="D9D9D9" w:themeFill="background1" w:themeFillShade="D9"/>
            <w:vAlign w:val="center"/>
          </w:tcPr>
          <w:p>
            <w:pPr>
              <w:spacing w:before="60" w:after="60"/>
              <w:jc w:val="right"/>
              <w:rPr>
                <w:b/>
                <w:i/>
                <w:noProof/>
                <w:sz w:val="20"/>
                <w:szCs w:val="20"/>
              </w:rPr>
            </w:pPr>
            <w:r>
              <w:rPr>
                <w:b/>
                <w:i/>
                <w:noProof/>
                <w:sz w:val="20"/>
              </w:rPr>
              <w:t>535</w:t>
            </w:r>
          </w:p>
        </w:tc>
        <w:tc>
          <w:tcPr>
            <w:tcW w:w="996" w:type="dxa"/>
            <w:shd w:val="clear" w:color="auto" w:fill="D9D9D9" w:themeFill="background1" w:themeFillShade="D9"/>
            <w:vAlign w:val="center"/>
          </w:tcPr>
          <w:p>
            <w:pPr>
              <w:spacing w:before="60" w:after="60"/>
              <w:jc w:val="right"/>
              <w:rPr>
                <w:b/>
                <w:i/>
                <w:noProof/>
                <w:sz w:val="20"/>
                <w:szCs w:val="20"/>
              </w:rPr>
            </w:pPr>
            <w:r>
              <w:rPr>
                <w:b/>
                <w:i/>
                <w:noProof/>
                <w:sz w:val="20"/>
              </w:rPr>
              <w:t>637</w:t>
            </w:r>
          </w:p>
        </w:tc>
        <w:tc>
          <w:tcPr>
            <w:tcW w:w="996" w:type="dxa"/>
            <w:shd w:val="clear" w:color="auto" w:fill="D9D9D9" w:themeFill="background1" w:themeFillShade="D9"/>
            <w:vAlign w:val="center"/>
          </w:tcPr>
          <w:p>
            <w:pPr>
              <w:spacing w:before="60" w:after="60"/>
              <w:jc w:val="right"/>
              <w:rPr>
                <w:b/>
                <w:i/>
                <w:noProof/>
                <w:sz w:val="20"/>
                <w:szCs w:val="20"/>
              </w:rPr>
            </w:pPr>
            <w:r>
              <w:rPr>
                <w:b/>
                <w:i/>
                <w:noProof/>
                <w:sz w:val="20"/>
              </w:rPr>
              <w:t>749</w:t>
            </w:r>
          </w:p>
        </w:tc>
      </w:tr>
      <w:tr>
        <w:trPr>
          <w:trHeight w:val="521"/>
          <w:jc w:val="center"/>
        </w:trPr>
        <w:tc>
          <w:tcPr>
            <w:tcW w:w="2747" w:type="dxa"/>
            <w:vAlign w:val="center"/>
          </w:tcPr>
          <w:p>
            <w:pPr>
              <w:spacing w:before="60" w:after="60"/>
              <w:jc w:val="left"/>
              <w:rPr>
                <w:noProof/>
                <w:sz w:val="20"/>
                <w:szCs w:val="20"/>
              </w:rPr>
            </w:pPr>
            <w:r>
              <w:rPr>
                <w:noProof/>
                <w:sz w:val="20"/>
              </w:rPr>
              <w:t>Agenți contractuali</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10</w:t>
            </w:r>
          </w:p>
        </w:tc>
        <w:tc>
          <w:tcPr>
            <w:tcW w:w="996" w:type="dxa"/>
            <w:vAlign w:val="center"/>
          </w:tcPr>
          <w:p>
            <w:pPr>
              <w:spacing w:before="60" w:after="60"/>
              <w:jc w:val="right"/>
              <w:rPr>
                <w:noProof/>
                <w:sz w:val="20"/>
                <w:szCs w:val="20"/>
              </w:rPr>
            </w:pPr>
            <w:r>
              <w:rPr>
                <w:noProof/>
                <w:sz w:val="20"/>
              </w:rPr>
              <w:t>19</w:t>
            </w:r>
          </w:p>
        </w:tc>
        <w:tc>
          <w:tcPr>
            <w:tcW w:w="996" w:type="dxa"/>
            <w:vAlign w:val="center"/>
          </w:tcPr>
          <w:p>
            <w:pPr>
              <w:spacing w:before="60" w:after="60"/>
              <w:jc w:val="right"/>
              <w:rPr>
                <w:noProof/>
                <w:sz w:val="20"/>
                <w:szCs w:val="20"/>
              </w:rPr>
            </w:pPr>
            <w:r>
              <w:rPr>
                <w:noProof/>
                <w:sz w:val="20"/>
              </w:rPr>
              <w:t>36</w:t>
            </w:r>
          </w:p>
        </w:tc>
        <w:tc>
          <w:tcPr>
            <w:tcW w:w="996" w:type="dxa"/>
            <w:vAlign w:val="center"/>
          </w:tcPr>
          <w:p>
            <w:pPr>
              <w:spacing w:before="60" w:after="60"/>
              <w:jc w:val="right"/>
              <w:rPr>
                <w:noProof/>
                <w:sz w:val="20"/>
                <w:szCs w:val="20"/>
              </w:rPr>
            </w:pPr>
            <w:r>
              <w:rPr>
                <w:noProof/>
                <w:sz w:val="20"/>
              </w:rPr>
              <w:t>51</w:t>
            </w:r>
          </w:p>
        </w:tc>
        <w:tc>
          <w:tcPr>
            <w:tcW w:w="996" w:type="dxa"/>
            <w:vAlign w:val="center"/>
          </w:tcPr>
          <w:p>
            <w:pPr>
              <w:spacing w:before="60" w:after="60"/>
              <w:jc w:val="right"/>
              <w:rPr>
                <w:noProof/>
                <w:sz w:val="20"/>
                <w:szCs w:val="20"/>
              </w:rPr>
            </w:pPr>
            <w:r>
              <w:rPr>
                <w:noProof/>
                <w:sz w:val="20"/>
              </w:rPr>
              <w:t>64</w:t>
            </w:r>
          </w:p>
        </w:tc>
        <w:tc>
          <w:tcPr>
            <w:tcW w:w="996" w:type="dxa"/>
            <w:vAlign w:val="center"/>
          </w:tcPr>
          <w:p>
            <w:pPr>
              <w:spacing w:before="60" w:after="60"/>
              <w:jc w:val="right"/>
              <w:rPr>
                <w:noProof/>
                <w:sz w:val="20"/>
                <w:szCs w:val="20"/>
              </w:rPr>
            </w:pPr>
            <w:r>
              <w:rPr>
                <w:noProof/>
                <w:sz w:val="20"/>
              </w:rPr>
              <w:t>77</w:t>
            </w:r>
          </w:p>
        </w:tc>
      </w:tr>
      <w:tr>
        <w:trPr>
          <w:trHeight w:val="521"/>
          <w:jc w:val="center"/>
        </w:trPr>
        <w:tc>
          <w:tcPr>
            <w:tcW w:w="2747" w:type="dxa"/>
            <w:vAlign w:val="center"/>
          </w:tcPr>
          <w:p>
            <w:pPr>
              <w:spacing w:before="60" w:after="60"/>
              <w:jc w:val="left"/>
              <w:rPr>
                <w:noProof/>
                <w:sz w:val="20"/>
                <w:szCs w:val="20"/>
              </w:rPr>
            </w:pPr>
            <w:r>
              <w:rPr>
                <w:noProof/>
                <w:sz w:val="20"/>
              </w:rPr>
              <w:t>Experți naționali detașați</w:t>
            </w:r>
          </w:p>
        </w:tc>
        <w:tc>
          <w:tcPr>
            <w:tcW w:w="996" w:type="dxa"/>
            <w:vAlign w:val="center"/>
          </w:tcPr>
          <w:p>
            <w:pPr>
              <w:spacing w:before="60" w:after="60"/>
              <w:jc w:val="right"/>
              <w:rPr>
                <w:noProof/>
                <w:sz w:val="20"/>
                <w:szCs w:val="20"/>
              </w:rPr>
            </w:pPr>
            <w:r>
              <w:rPr>
                <w:noProof/>
                <w:sz w:val="20"/>
              </w:rPr>
              <w:t>12</w:t>
            </w:r>
          </w:p>
        </w:tc>
        <w:tc>
          <w:tcPr>
            <w:tcW w:w="996" w:type="dxa"/>
            <w:vAlign w:val="center"/>
          </w:tcPr>
          <w:p>
            <w:pPr>
              <w:spacing w:before="60" w:after="60"/>
              <w:jc w:val="right"/>
              <w:rPr>
                <w:noProof/>
                <w:sz w:val="20"/>
                <w:szCs w:val="20"/>
              </w:rPr>
            </w:pPr>
            <w:r>
              <w:rPr>
                <w:noProof/>
                <w:sz w:val="20"/>
              </w:rPr>
              <w:t>22</w:t>
            </w:r>
          </w:p>
        </w:tc>
        <w:tc>
          <w:tcPr>
            <w:tcW w:w="996" w:type="dxa"/>
            <w:vAlign w:val="center"/>
          </w:tcPr>
          <w:p>
            <w:pPr>
              <w:spacing w:before="60" w:after="60"/>
              <w:jc w:val="right"/>
              <w:rPr>
                <w:noProof/>
                <w:sz w:val="20"/>
                <w:szCs w:val="20"/>
              </w:rPr>
            </w:pPr>
            <w:r>
              <w:rPr>
                <w:noProof/>
                <w:sz w:val="20"/>
              </w:rPr>
              <w:t>34</w:t>
            </w:r>
          </w:p>
        </w:tc>
        <w:tc>
          <w:tcPr>
            <w:tcW w:w="996" w:type="dxa"/>
            <w:vAlign w:val="center"/>
          </w:tcPr>
          <w:p>
            <w:pPr>
              <w:spacing w:before="60" w:after="60"/>
              <w:jc w:val="right"/>
              <w:rPr>
                <w:noProof/>
                <w:sz w:val="20"/>
                <w:szCs w:val="20"/>
              </w:rPr>
            </w:pPr>
            <w:r>
              <w:rPr>
                <w:noProof/>
                <w:sz w:val="20"/>
              </w:rPr>
              <w:t>45</w:t>
            </w:r>
          </w:p>
        </w:tc>
        <w:tc>
          <w:tcPr>
            <w:tcW w:w="996" w:type="dxa"/>
            <w:vAlign w:val="center"/>
          </w:tcPr>
          <w:p>
            <w:pPr>
              <w:spacing w:before="60" w:after="60"/>
              <w:jc w:val="right"/>
              <w:rPr>
                <w:noProof/>
                <w:sz w:val="20"/>
                <w:szCs w:val="20"/>
              </w:rPr>
            </w:pPr>
            <w:r>
              <w:rPr>
                <w:noProof/>
                <w:sz w:val="20"/>
              </w:rPr>
              <w:t>53</w:t>
            </w:r>
          </w:p>
        </w:tc>
        <w:tc>
          <w:tcPr>
            <w:tcW w:w="996" w:type="dxa"/>
            <w:vAlign w:val="center"/>
          </w:tcPr>
          <w:p>
            <w:pPr>
              <w:spacing w:before="60" w:after="60"/>
              <w:jc w:val="right"/>
              <w:rPr>
                <w:noProof/>
                <w:sz w:val="20"/>
                <w:szCs w:val="20"/>
              </w:rPr>
            </w:pPr>
            <w:r>
              <w:rPr>
                <w:noProof/>
                <w:sz w:val="20"/>
              </w:rPr>
              <w:t>64</w:t>
            </w:r>
          </w:p>
        </w:tc>
        <w:tc>
          <w:tcPr>
            <w:tcW w:w="996" w:type="dxa"/>
            <w:vAlign w:val="center"/>
          </w:tcPr>
          <w:p>
            <w:pPr>
              <w:spacing w:before="60" w:after="60"/>
              <w:jc w:val="right"/>
              <w:rPr>
                <w:noProof/>
                <w:sz w:val="20"/>
                <w:szCs w:val="20"/>
              </w:rPr>
            </w:pPr>
            <w:r>
              <w:rPr>
                <w:noProof/>
                <w:sz w:val="20"/>
              </w:rPr>
              <w:t>74</w:t>
            </w:r>
          </w:p>
        </w:tc>
      </w:tr>
      <w:tr>
        <w:trPr>
          <w:trHeight w:val="521"/>
          <w:jc w:val="center"/>
        </w:trPr>
        <w:tc>
          <w:tcPr>
            <w:tcW w:w="2747" w:type="dxa"/>
            <w:tcBorders>
              <w:bottom w:val="single" w:sz="4" w:space="0" w:color="auto"/>
            </w:tcBorders>
            <w:shd w:val="clear" w:color="auto" w:fill="D9D9D9" w:themeFill="background1" w:themeFillShade="D9"/>
            <w:vAlign w:val="center"/>
          </w:tcPr>
          <w:p>
            <w:pPr>
              <w:spacing w:before="60" w:after="60"/>
              <w:jc w:val="left"/>
              <w:rPr>
                <w:b/>
                <w:i/>
                <w:noProof/>
                <w:sz w:val="20"/>
                <w:szCs w:val="20"/>
              </w:rPr>
            </w:pPr>
            <w:r>
              <w:rPr>
                <w:b/>
                <w:i/>
                <w:noProof/>
                <w:sz w:val="20"/>
              </w:rPr>
              <w:t>Subtotal agenți contractuali și experți naționali detașați</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b/>
                <w:i/>
                <w:noProof/>
                <w:color w:val="000000"/>
                <w:sz w:val="20"/>
              </w:rPr>
              <w:t>12</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32</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53</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b/>
                <w:i/>
                <w:noProof/>
                <w:color w:val="000000"/>
                <w:sz w:val="20"/>
              </w:rPr>
              <w:t>81</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b/>
                <w:i/>
                <w:noProof/>
                <w:color w:val="000000"/>
                <w:sz w:val="20"/>
              </w:rPr>
              <w:t>104</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b/>
                <w:i/>
                <w:noProof/>
                <w:color w:val="000000"/>
                <w:sz w:val="20"/>
              </w:rPr>
              <w:t>128</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b/>
                <w:i/>
                <w:noProof/>
                <w:color w:val="000000"/>
                <w:sz w:val="20"/>
              </w:rPr>
              <w:t>151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personal</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121</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248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375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510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639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765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900</w:t>
            </w:r>
          </w:p>
        </w:tc>
      </w:tr>
    </w:tbl>
    <w:p>
      <w:pPr>
        <w:pStyle w:val="Text1"/>
        <w:ind w:left="0"/>
        <w:rPr>
          <w:noProof/>
        </w:rPr>
      </w:pPr>
      <w:r>
        <w:rPr>
          <w:noProof/>
        </w:rPr>
        <w:t>Credite acoperite de contribuția de la bugetul UE în milioane EUR (cu trei zecimale)</w:t>
      </w:r>
      <w:r>
        <w:rPr>
          <w:rStyle w:val="FootnoteReference"/>
          <w:noProof/>
        </w:rPr>
        <w:footnoteReference w:id="97"/>
      </w:r>
      <w:r>
        <w:rPr>
          <w:noProof/>
        </w:rPr>
        <w:t>:</w:t>
      </w:r>
    </w:p>
    <w:tbl>
      <w:tblPr>
        <w:tblW w:w="9782" w:type="dxa"/>
        <w:tblInd w:w="-3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75"/>
        <w:gridCol w:w="840"/>
        <w:gridCol w:w="841"/>
        <w:gridCol w:w="841"/>
        <w:gridCol w:w="841"/>
        <w:gridCol w:w="841"/>
        <w:gridCol w:w="841"/>
        <w:gridCol w:w="841"/>
        <w:gridCol w:w="1121"/>
      </w:tblGrid>
      <w:tr>
        <w:trPr>
          <w:cantSplit/>
          <w:trHeight w:val="571"/>
        </w:trPr>
        <w:tc>
          <w:tcPr>
            <w:tcW w:w="2775" w:type="dxa"/>
            <w:vAlign w:val="center"/>
          </w:tcPr>
          <w:p>
            <w:pPr>
              <w:spacing w:before="60" w:after="60"/>
              <w:jc w:val="center"/>
              <w:rPr>
                <w:b/>
                <w:noProof/>
                <w:color w:val="444444"/>
                <w:sz w:val="20"/>
                <w:szCs w:val="20"/>
                <w:shd w:val="clear" w:color="auto" w:fill="FFFFFF"/>
              </w:rPr>
            </w:pPr>
            <w:r>
              <w:rPr>
                <w:b/>
                <w:noProof/>
                <w:color w:val="444444"/>
                <w:sz w:val="20"/>
                <w:shd w:val="clear" w:color="auto" w:fill="FFFFFF"/>
              </w:rPr>
              <w:t>Agenția: Europol</w:t>
            </w:r>
          </w:p>
        </w:tc>
        <w:tc>
          <w:tcPr>
            <w:tcW w:w="840" w:type="dxa"/>
            <w:vAlign w:val="center"/>
          </w:tcPr>
          <w:p>
            <w:pPr>
              <w:jc w:val="center"/>
              <w:rPr>
                <w:noProof/>
                <w:sz w:val="20"/>
              </w:rPr>
            </w:pPr>
            <w:r>
              <w:rPr>
                <w:noProof/>
                <w:sz w:val="20"/>
              </w:rPr>
              <w:t xml:space="preserve">Anul </w:t>
            </w:r>
            <w:r>
              <w:rPr>
                <w:b/>
                <w:noProof/>
                <w:sz w:val="20"/>
              </w:rPr>
              <w:t>2028</w:t>
            </w:r>
          </w:p>
        </w:tc>
        <w:tc>
          <w:tcPr>
            <w:tcW w:w="841" w:type="dxa"/>
            <w:vAlign w:val="center"/>
          </w:tcPr>
          <w:p>
            <w:pPr>
              <w:jc w:val="center"/>
              <w:rPr>
                <w:noProof/>
                <w:sz w:val="20"/>
              </w:rPr>
            </w:pPr>
            <w:r>
              <w:rPr>
                <w:noProof/>
                <w:sz w:val="20"/>
              </w:rPr>
              <w:t xml:space="preserve">Anul </w:t>
            </w:r>
            <w:r>
              <w:rPr>
                <w:b/>
                <w:noProof/>
                <w:sz w:val="20"/>
              </w:rPr>
              <w:t>2029</w:t>
            </w:r>
          </w:p>
        </w:tc>
        <w:tc>
          <w:tcPr>
            <w:tcW w:w="841" w:type="dxa"/>
            <w:vAlign w:val="center"/>
          </w:tcPr>
          <w:p>
            <w:pPr>
              <w:jc w:val="center"/>
              <w:rPr>
                <w:noProof/>
                <w:sz w:val="20"/>
              </w:rPr>
            </w:pPr>
            <w:r>
              <w:rPr>
                <w:noProof/>
                <w:sz w:val="20"/>
              </w:rPr>
              <w:t xml:space="preserve">Anul </w:t>
            </w:r>
            <w:r>
              <w:rPr>
                <w:b/>
                <w:noProof/>
                <w:sz w:val="20"/>
              </w:rPr>
              <w:t>2030</w:t>
            </w:r>
          </w:p>
        </w:tc>
        <w:tc>
          <w:tcPr>
            <w:tcW w:w="841" w:type="dxa"/>
            <w:vAlign w:val="center"/>
          </w:tcPr>
          <w:p>
            <w:pPr>
              <w:jc w:val="center"/>
              <w:rPr>
                <w:noProof/>
                <w:sz w:val="20"/>
              </w:rPr>
            </w:pPr>
            <w:r>
              <w:rPr>
                <w:noProof/>
                <w:sz w:val="20"/>
              </w:rPr>
              <w:t xml:space="preserve">Anul </w:t>
            </w:r>
            <w:r>
              <w:rPr>
                <w:b/>
                <w:noProof/>
                <w:sz w:val="20"/>
              </w:rPr>
              <w:t>2031</w:t>
            </w:r>
          </w:p>
        </w:tc>
        <w:tc>
          <w:tcPr>
            <w:tcW w:w="841" w:type="dxa"/>
            <w:vAlign w:val="center"/>
          </w:tcPr>
          <w:p>
            <w:pPr>
              <w:jc w:val="center"/>
              <w:rPr>
                <w:noProof/>
                <w:sz w:val="20"/>
              </w:rPr>
            </w:pPr>
            <w:r>
              <w:rPr>
                <w:noProof/>
                <w:sz w:val="20"/>
              </w:rPr>
              <w:t xml:space="preserve">Anul </w:t>
            </w:r>
            <w:r>
              <w:rPr>
                <w:b/>
                <w:noProof/>
                <w:sz w:val="20"/>
              </w:rPr>
              <w:t>2032</w:t>
            </w:r>
          </w:p>
        </w:tc>
        <w:tc>
          <w:tcPr>
            <w:tcW w:w="841" w:type="dxa"/>
            <w:vAlign w:val="center"/>
          </w:tcPr>
          <w:p>
            <w:pPr>
              <w:jc w:val="center"/>
              <w:rPr>
                <w:noProof/>
                <w:sz w:val="20"/>
              </w:rPr>
            </w:pPr>
            <w:r>
              <w:rPr>
                <w:noProof/>
                <w:sz w:val="20"/>
              </w:rPr>
              <w:t xml:space="preserve">Anul </w:t>
            </w:r>
            <w:r>
              <w:rPr>
                <w:b/>
                <w:noProof/>
                <w:sz w:val="20"/>
              </w:rPr>
              <w:t>2033</w:t>
            </w:r>
          </w:p>
        </w:tc>
        <w:tc>
          <w:tcPr>
            <w:tcW w:w="841" w:type="dxa"/>
            <w:vAlign w:val="center"/>
          </w:tcPr>
          <w:p>
            <w:pPr>
              <w:jc w:val="center"/>
              <w:rPr>
                <w:noProof/>
                <w:sz w:val="20"/>
              </w:rPr>
            </w:pPr>
            <w:r>
              <w:rPr>
                <w:noProof/>
                <w:sz w:val="20"/>
              </w:rPr>
              <w:t xml:space="preserve">Anul </w:t>
            </w:r>
            <w:r>
              <w:rPr>
                <w:b/>
                <w:noProof/>
                <w:sz w:val="20"/>
              </w:rPr>
              <w:t>2034</w:t>
            </w:r>
          </w:p>
        </w:tc>
        <w:tc>
          <w:tcPr>
            <w:tcW w:w="1121" w:type="dxa"/>
            <w:vAlign w:val="center"/>
          </w:tcPr>
          <w:p>
            <w:pPr>
              <w:spacing w:before="60" w:after="60"/>
              <w:jc w:val="center"/>
              <w:rPr>
                <w:noProof/>
                <w:sz w:val="20"/>
                <w:szCs w:val="20"/>
              </w:rPr>
            </w:pPr>
            <w:r>
              <w:rPr>
                <w:b/>
                <w:noProof/>
                <w:color w:val="000000"/>
                <w:sz w:val="20"/>
              </w:rPr>
              <w:t>TOTAL 2028-2034</w:t>
            </w:r>
          </w:p>
        </w:tc>
      </w:tr>
      <w:tr>
        <w:trPr>
          <w:cantSplit/>
          <w:trHeight w:val="683"/>
        </w:trPr>
        <w:tc>
          <w:tcPr>
            <w:tcW w:w="2775" w:type="dxa"/>
            <w:vAlign w:val="center"/>
          </w:tcPr>
          <w:p>
            <w:pPr>
              <w:jc w:val="left"/>
              <w:rPr>
                <w:noProof/>
              </w:rPr>
            </w:pPr>
            <w:r>
              <w:rPr>
                <w:noProof/>
                <w:sz w:val="20"/>
              </w:rPr>
              <w:t>Titlul 1: Cheltuieli cu personalul</w:t>
            </w:r>
          </w:p>
        </w:tc>
        <w:tc>
          <w:tcPr>
            <w:tcW w:w="840" w:type="dxa"/>
            <w:vAlign w:val="center"/>
          </w:tcPr>
          <w:p>
            <w:pPr>
              <w:spacing w:before="60" w:after="60"/>
              <w:jc w:val="right"/>
              <w:rPr>
                <w:noProof/>
                <w:sz w:val="20"/>
                <w:szCs w:val="20"/>
              </w:rPr>
            </w:pPr>
            <w:r>
              <w:rPr>
                <w:noProof/>
                <w:sz w:val="20"/>
              </w:rPr>
              <w:t>12 491</w:t>
            </w:r>
          </w:p>
        </w:tc>
        <w:tc>
          <w:tcPr>
            <w:tcW w:w="841" w:type="dxa"/>
            <w:vAlign w:val="center"/>
          </w:tcPr>
          <w:p>
            <w:pPr>
              <w:spacing w:before="60" w:after="60"/>
              <w:jc w:val="right"/>
              <w:rPr>
                <w:noProof/>
                <w:sz w:val="20"/>
                <w:szCs w:val="20"/>
              </w:rPr>
            </w:pPr>
            <w:r>
              <w:rPr>
                <w:noProof/>
                <w:sz w:val="20"/>
              </w:rPr>
              <w:t>37 722</w:t>
            </w:r>
          </w:p>
        </w:tc>
        <w:tc>
          <w:tcPr>
            <w:tcW w:w="841" w:type="dxa"/>
            <w:vAlign w:val="center"/>
          </w:tcPr>
          <w:p>
            <w:pPr>
              <w:spacing w:before="60" w:after="60"/>
              <w:jc w:val="right"/>
              <w:rPr>
                <w:noProof/>
                <w:sz w:val="20"/>
                <w:szCs w:val="20"/>
              </w:rPr>
            </w:pPr>
            <w:r>
              <w:rPr>
                <w:noProof/>
                <w:sz w:val="20"/>
              </w:rPr>
              <w:t>63 154</w:t>
            </w:r>
          </w:p>
        </w:tc>
        <w:tc>
          <w:tcPr>
            <w:tcW w:w="841" w:type="dxa"/>
            <w:vAlign w:val="center"/>
          </w:tcPr>
          <w:p>
            <w:pPr>
              <w:spacing w:before="60" w:after="60"/>
              <w:jc w:val="right"/>
              <w:rPr>
                <w:noProof/>
                <w:sz w:val="20"/>
                <w:szCs w:val="20"/>
              </w:rPr>
            </w:pPr>
            <w:r>
              <w:rPr>
                <w:noProof/>
                <w:sz w:val="20"/>
              </w:rPr>
              <w:t>89 056</w:t>
            </w:r>
          </w:p>
        </w:tc>
        <w:tc>
          <w:tcPr>
            <w:tcW w:w="841" w:type="dxa"/>
            <w:vAlign w:val="center"/>
          </w:tcPr>
          <w:p>
            <w:pPr>
              <w:spacing w:before="60" w:after="60"/>
              <w:jc w:val="right"/>
              <w:rPr>
                <w:noProof/>
                <w:sz w:val="20"/>
                <w:szCs w:val="20"/>
              </w:rPr>
            </w:pPr>
            <w:r>
              <w:rPr>
                <w:noProof/>
                <w:sz w:val="20"/>
              </w:rPr>
              <w:t>115 069</w:t>
            </w:r>
          </w:p>
        </w:tc>
        <w:tc>
          <w:tcPr>
            <w:tcW w:w="841" w:type="dxa"/>
            <w:vAlign w:val="center"/>
          </w:tcPr>
          <w:p>
            <w:pPr>
              <w:spacing w:before="60" w:after="60"/>
              <w:jc w:val="right"/>
              <w:rPr>
                <w:noProof/>
                <w:sz w:val="20"/>
                <w:szCs w:val="20"/>
              </w:rPr>
            </w:pPr>
            <w:r>
              <w:rPr>
                <w:noProof/>
                <w:sz w:val="20"/>
              </w:rPr>
              <w:t>140 307</w:t>
            </w:r>
          </w:p>
        </w:tc>
        <w:tc>
          <w:tcPr>
            <w:tcW w:w="841" w:type="dxa"/>
            <w:vAlign w:val="center"/>
          </w:tcPr>
          <w:p>
            <w:pPr>
              <w:spacing w:before="60" w:after="60"/>
              <w:jc w:val="right"/>
              <w:rPr>
                <w:noProof/>
                <w:sz w:val="20"/>
                <w:szCs w:val="20"/>
              </w:rPr>
            </w:pPr>
            <w:r>
              <w:rPr>
                <w:noProof/>
                <w:sz w:val="20"/>
              </w:rPr>
              <w:t>166 197</w:t>
            </w:r>
          </w:p>
        </w:tc>
        <w:tc>
          <w:tcPr>
            <w:tcW w:w="1121" w:type="dxa"/>
            <w:vAlign w:val="center"/>
          </w:tcPr>
          <w:p>
            <w:pPr>
              <w:spacing w:before="60" w:after="60"/>
              <w:jc w:val="right"/>
              <w:rPr>
                <w:noProof/>
                <w:sz w:val="20"/>
                <w:szCs w:val="20"/>
              </w:rPr>
            </w:pPr>
            <w:r>
              <w:rPr>
                <w:b/>
                <w:noProof/>
                <w:sz w:val="20"/>
              </w:rPr>
              <w:t>623 996</w:t>
            </w:r>
          </w:p>
        </w:tc>
      </w:tr>
      <w:tr>
        <w:trPr>
          <w:cantSplit/>
          <w:trHeight w:val="683"/>
        </w:trPr>
        <w:tc>
          <w:tcPr>
            <w:tcW w:w="2775" w:type="dxa"/>
            <w:vAlign w:val="center"/>
          </w:tcPr>
          <w:p>
            <w:pPr>
              <w:jc w:val="left"/>
              <w:rPr>
                <w:noProof/>
                <w:sz w:val="20"/>
              </w:rPr>
            </w:pPr>
            <w:r>
              <w:rPr>
                <w:noProof/>
                <w:sz w:val="20"/>
              </w:rPr>
              <w:t>Titlul 2: Cheltuieli cu infrastructura și cheltuieli operaționale</w:t>
            </w:r>
          </w:p>
        </w:tc>
        <w:tc>
          <w:tcPr>
            <w:tcW w:w="840"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1121" w:type="dxa"/>
            <w:vAlign w:val="center"/>
          </w:tcPr>
          <w:p>
            <w:pPr>
              <w:spacing w:before="60" w:after="60"/>
              <w:jc w:val="right"/>
              <w:rPr>
                <w:noProof/>
                <w:sz w:val="20"/>
                <w:szCs w:val="20"/>
              </w:rPr>
            </w:pPr>
          </w:p>
        </w:tc>
      </w:tr>
      <w:tr>
        <w:trPr>
          <w:cantSplit/>
          <w:trHeight w:val="683"/>
        </w:trPr>
        <w:tc>
          <w:tcPr>
            <w:tcW w:w="2775" w:type="dxa"/>
            <w:vAlign w:val="center"/>
          </w:tcPr>
          <w:p>
            <w:pPr>
              <w:jc w:val="left"/>
              <w:rPr>
                <w:noProof/>
                <w:sz w:val="20"/>
              </w:rPr>
            </w:pPr>
            <w:r>
              <w:rPr>
                <w:noProof/>
                <w:sz w:val="20"/>
              </w:rPr>
              <w:t>Titlul 3: Cheltuieli operaționale</w:t>
            </w:r>
          </w:p>
        </w:tc>
        <w:tc>
          <w:tcPr>
            <w:tcW w:w="840" w:type="dxa"/>
          </w:tcPr>
          <w:p>
            <w:pPr>
              <w:spacing w:before="60" w:after="60"/>
              <w:jc w:val="right"/>
              <w:rPr>
                <w:noProof/>
                <w:sz w:val="20"/>
                <w:szCs w:val="20"/>
              </w:rPr>
            </w:pPr>
            <w:r>
              <w:rPr>
                <w:noProof/>
                <w:sz w:val="20"/>
              </w:rPr>
              <w:t>45 021</w:t>
            </w:r>
          </w:p>
        </w:tc>
        <w:tc>
          <w:tcPr>
            <w:tcW w:w="841" w:type="dxa"/>
          </w:tcPr>
          <w:p>
            <w:pPr>
              <w:spacing w:before="60" w:after="60"/>
              <w:jc w:val="right"/>
              <w:rPr>
                <w:noProof/>
                <w:sz w:val="20"/>
                <w:szCs w:val="20"/>
              </w:rPr>
            </w:pPr>
            <w:r>
              <w:rPr>
                <w:noProof/>
                <w:sz w:val="20"/>
              </w:rPr>
              <w:t>54 624</w:t>
            </w:r>
          </w:p>
        </w:tc>
        <w:tc>
          <w:tcPr>
            <w:tcW w:w="841" w:type="dxa"/>
          </w:tcPr>
          <w:p>
            <w:pPr>
              <w:spacing w:before="60" w:after="60"/>
              <w:jc w:val="right"/>
              <w:rPr>
                <w:noProof/>
                <w:sz w:val="20"/>
                <w:szCs w:val="20"/>
              </w:rPr>
            </w:pPr>
            <w:r>
              <w:rPr>
                <w:noProof/>
                <w:sz w:val="20"/>
              </w:rPr>
              <w:t>57 677</w:t>
            </w:r>
          </w:p>
        </w:tc>
        <w:tc>
          <w:tcPr>
            <w:tcW w:w="841" w:type="dxa"/>
          </w:tcPr>
          <w:p>
            <w:pPr>
              <w:spacing w:before="60" w:after="60"/>
              <w:jc w:val="right"/>
              <w:rPr>
                <w:noProof/>
                <w:sz w:val="20"/>
                <w:szCs w:val="20"/>
              </w:rPr>
            </w:pPr>
            <w:r>
              <w:rPr>
                <w:noProof/>
                <w:sz w:val="20"/>
              </w:rPr>
              <w:t>61 329</w:t>
            </w:r>
          </w:p>
        </w:tc>
        <w:tc>
          <w:tcPr>
            <w:tcW w:w="841" w:type="dxa"/>
          </w:tcPr>
          <w:p>
            <w:pPr>
              <w:spacing w:before="60" w:after="60"/>
              <w:jc w:val="right"/>
              <w:rPr>
                <w:noProof/>
                <w:sz w:val="20"/>
                <w:szCs w:val="20"/>
              </w:rPr>
            </w:pPr>
            <w:r>
              <w:rPr>
                <w:noProof/>
                <w:sz w:val="20"/>
              </w:rPr>
              <w:t>63 761</w:t>
            </w:r>
          </w:p>
        </w:tc>
        <w:tc>
          <w:tcPr>
            <w:tcW w:w="841" w:type="dxa"/>
          </w:tcPr>
          <w:p>
            <w:pPr>
              <w:spacing w:before="60" w:after="60"/>
              <w:jc w:val="right"/>
              <w:rPr>
                <w:noProof/>
                <w:sz w:val="20"/>
                <w:szCs w:val="20"/>
              </w:rPr>
            </w:pPr>
            <w:r>
              <w:rPr>
                <w:noProof/>
                <w:sz w:val="20"/>
              </w:rPr>
              <w:t>66 857</w:t>
            </w:r>
          </w:p>
        </w:tc>
        <w:tc>
          <w:tcPr>
            <w:tcW w:w="841" w:type="dxa"/>
          </w:tcPr>
          <w:p>
            <w:pPr>
              <w:spacing w:before="60" w:after="60"/>
              <w:jc w:val="right"/>
              <w:rPr>
                <w:noProof/>
                <w:sz w:val="20"/>
                <w:szCs w:val="20"/>
              </w:rPr>
            </w:pPr>
            <w:r>
              <w:rPr>
                <w:noProof/>
                <w:sz w:val="20"/>
              </w:rPr>
              <w:t>68 187</w:t>
            </w:r>
          </w:p>
        </w:tc>
        <w:tc>
          <w:tcPr>
            <w:tcW w:w="1121" w:type="dxa"/>
          </w:tcPr>
          <w:p>
            <w:pPr>
              <w:spacing w:before="60" w:after="60"/>
              <w:jc w:val="right"/>
              <w:rPr>
                <w:noProof/>
                <w:sz w:val="20"/>
                <w:szCs w:val="20"/>
              </w:rPr>
            </w:pPr>
            <w:r>
              <w:rPr>
                <w:noProof/>
                <w:sz w:val="20"/>
              </w:rPr>
              <w:t>417 456</w:t>
            </w:r>
          </w:p>
        </w:tc>
      </w:tr>
      <w:tr>
        <w:trPr>
          <w:cantSplit/>
          <w:trHeight w:val="683"/>
        </w:trPr>
        <w:tc>
          <w:tcPr>
            <w:tcW w:w="2775" w:type="dxa"/>
            <w:shd w:val="clear" w:color="auto" w:fill="D9D9D9" w:themeFill="background1" w:themeFillShade="D9"/>
            <w:vAlign w:val="center"/>
          </w:tcPr>
          <w:p>
            <w:pPr>
              <w:spacing w:before="60" w:after="60"/>
              <w:jc w:val="left"/>
              <w:rPr>
                <w:b/>
                <w:noProof/>
                <w:sz w:val="20"/>
              </w:rPr>
            </w:pPr>
            <w:r>
              <w:rPr>
                <w:b/>
                <w:noProof/>
                <w:sz w:val="20"/>
              </w:rPr>
              <w:t xml:space="preserve">TOTAL credite acoperite de bugetul UE </w:t>
            </w:r>
          </w:p>
        </w:tc>
        <w:tc>
          <w:tcPr>
            <w:tcW w:w="840" w:type="dxa"/>
            <w:shd w:val="clear" w:color="auto" w:fill="D9D9D9" w:themeFill="background1" w:themeFillShade="D9"/>
            <w:vAlign w:val="center"/>
          </w:tcPr>
          <w:p>
            <w:pPr>
              <w:spacing w:before="60" w:after="60"/>
              <w:jc w:val="right"/>
              <w:rPr>
                <w:b/>
                <w:noProof/>
                <w:sz w:val="20"/>
                <w:szCs w:val="20"/>
              </w:rPr>
            </w:pPr>
            <w:r>
              <w:rPr>
                <w:b/>
                <w:noProof/>
                <w:sz w:val="20"/>
              </w:rPr>
              <w:t>57 512</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92 346</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120 831</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150 385</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178 830</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207 164</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234 384</w:t>
            </w:r>
          </w:p>
        </w:tc>
        <w:tc>
          <w:tcPr>
            <w:tcW w:w="1121" w:type="dxa"/>
            <w:shd w:val="clear" w:color="auto" w:fill="D9D9D9" w:themeFill="background1" w:themeFillShade="D9"/>
            <w:vAlign w:val="center"/>
          </w:tcPr>
          <w:p>
            <w:pPr>
              <w:spacing w:before="60" w:after="60"/>
              <w:jc w:val="right"/>
              <w:rPr>
                <w:b/>
                <w:noProof/>
                <w:sz w:val="20"/>
                <w:szCs w:val="20"/>
              </w:rPr>
            </w:pPr>
            <w:r>
              <w:rPr>
                <w:b/>
                <w:noProof/>
                <w:sz w:val="20"/>
              </w:rPr>
              <w:t>1 041 452</w:t>
            </w:r>
          </w:p>
        </w:tc>
      </w:tr>
    </w:tbl>
    <w:p>
      <w:pPr>
        <w:pStyle w:val="Text1"/>
        <w:rPr>
          <w:noProof/>
        </w:rPr>
      </w:pPr>
      <w:r>
        <w:rPr>
          <w:noProof/>
        </w:rPr>
        <w:br w:type="page"/>
      </w:r>
    </w:p>
    <w:p>
      <w:pPr>
        <w:pStyle w:val="Text1"/>
        <w:ind w:left="0"/>
        <w:rPr>
          <w:noProof/>
        </w:rPr>
      </w:pPr>
      <w:r>
        <w:rPr>
          <w:noProof/>
        </w:rPr>
        <w:t>Prezentare generală/sinteză a resurselor umane și a creditelor (în milioane EUR) necesare pentru propunere/inițiativă în cadrul unei agenții descentralizate</w:t>
      </w:r>
      <w:r>
        <w:rPr>
          <w:rStyle w:val="FootnoteReference"/>
          <w:noProof/>
        </w:rPr>
        <w:footnoteReference w:id="98"/>
      </w:r>
      <w:r>
        <w:rPr>
          <w:noProof/>
        </w:rPr>
        <w:t>:</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91"/>
        <w:gridCol w:w="868"/>
        <w:gridCol w:w="869"/>
        <w:gridCol w:w="869"/>
        <w:gridCol w:w="869"/>
        <w:gridCol w:w="869"/>
        <w:gridCol w:w="869"/>
        <w:gridCol w:w="869"/>
        <w:gridCol w:w="971"/>
      </w:tblGrid>
      <w:tr>
        <w:trPr>
          <w:cantSplit/>
          <w:trHeight w:val="592"/>
        </w:trPr>
        <w:tc>
          <w:tcPr>
            <w:tcW w:w="2791" w:type="dxa"/>
            <w:vAlign w:val="center"/>
          </w:tcPr>
          <w:p>
            <w:pPr>
              <w:spacing w:before="60" w:after="60"/>
              <w:jc w:val="center"/>
              <w:rPr>
                <w:b/>
                <w:noProof/>
                <w:sz w:val="20"/>
              </w:rPr>
            </w:pPr>
            <w:r>
              <w:rPr>
                <w:b/>
                <w:noProof/>
                <w:color w:val="444444"/>
                <w:sz w:val="20"/>
                <w:shd w:val="clear" w:color="auto" w:fill="FFFFFF"/>
              </w:rPr>
              <w:t>Agenția: Europol</w:t>
            </w:r>
          </w:p>
        </w:tc>
        <w:tc>
          <w:tcPr>
            <w:tcW w:w="868" w:type="dxa"/>
            <w:vAlign w:val="center"/>
          </w:tcPr>
          <w:p>
            <w:pPr>
              <w:jc w:val="center"/>
              <w:rPr>
                <w:noProof/>
                <w:sz w:val="20"/>
              </w:rPr>
            </w:pPr>
            <w:r>
              <w:rPr>
                <w:noProof/>
                <w:sz w:val="20"/>
              </w:rPr>
              <w:t xml:space="preserve">Anul </w:t>
            </w:r>
            <w:r>
              <w:rPr>
                <w:b/>
                <w:noProof/>
                <w:sz w:val="20"/>
              </w:rPr>
              <w:t>2028</w:t>
            </w:r>
          </w:p>
        </w:tc>
        <w:tc>
          <w:tcPr>
            <w:tcW w:w="869" w:type="dxa"/>
            <w:vAlign w:val="center"/>
          </w:tcPr>
          <w:p>
            <w:pPr>
              <w:jc w:val="center"/>
              <w:rPr>
                <w:noProof/>
                <w:sz w:val="20"/>
              </w:rPr>
            </w:pPr>
            <w:r>
              <w:rPr>
                <w:noProof/>
                <w:sz w:val="20"/>
              </w:rPr>
              <w:t xml:space="preserve">Anul </w:t>
            </w:r>
            <w:r>
              <w:rPr>
                <w:b/>
                <w:noProof/>
                <w:sz w:val="20"/>
              </w:rPr>
              <w:t>2029</w:t>
            </w:r>
          </w:p>
        </w:tc>
        <w:tc>
          <w:tcPr>
            <w:tcW w:w="869" w:type="dxa"/>
            <w:vAlign w:val="center"/>
          </w:tcPr>
          <w:p>
            <w:pPr>
              <w:jc w:val="center"/>
              <w:rPr>
                <w:noProof/>
                <w:sz w:val="20"/>
              </w:rPr>
            </w:pPr>
            <w:r>
              <w:rPr>
                <w:noProof/>
                <w:sz w:val="20"/>
              </w:rPr>
              <w:t xml:space="preserve">Anul </w:t>
            </w:r>
            <w:r>
              <w:rPr>
                <w:b/>
                <w:noProof/>
                <w:sz w:val="20"/>
              </w:rPr>
              <w:t>2030</w:t>
            </w:r>
          </w:p>
        </w:tc>
        <w:tc>
          <w:tcPr>
            <w:tcW w:w="869" w:type="dxa"/>
            <w:vAlign w:val="center"/>
          </w:tcPr>
          <w:p>
            <w:pPr>
              <w:jc w:val="center"/>
              <w:rPr>
                <w:noProof/>
                <w:sz w:val="20"/>
              </w:rPr>
            </w:pPr>
            <w:r>
              <w:rPr>
                <w:noProof/>
                <w:sz w:val="20"/>
              </w:rPr>
              <w:t xml:space="preserve">Anul </w:t>
            </w:r>
            <w:r>
              <w:rPr>
                <w:b/>
                <w:noProof/>
                <w:sz w:val="20"/>
              </w:rPr>
              <w:t>2031</w:t>
            </w:r>
          </w:p>
        </w:tc>
        <w:tc>
          <w:tcPr>
            <w:tcW w:w="869" w:type="dxa"/>
            <w:vAlign w:val="center"/>
          </w:tcPr>
          <w:p>
            <w:pPr>
              <w:jc w:val="center"/>
              <w:rPr>
                <w:noProof/>
                <w:sz w:val="20"/>
              </w:rPr>
            </w:pPr>
            <w:r>
              <w:rPr>
                <w:noProof/>
                <w:sz w:val="20"/>
              </w:rPr>
              <w:t xml:space="preserve">Anul </w:t>
            </w:r>
            <w:r>
              <w:rPr>
                <w:b/>
                <w:noProof/>
                <w:sz w:val="20"/>
              </w:rPr>
              <w:t>2032</w:t>
            </w:r>
          </w:p>
        </w:tc>
        <w:tc>
          <w:tcPr>
            <w:tcW w:w="869" w:type="dxa"/>
            <w:vAlign w:val="center"/>
          </w:tcPr>
          <w:p>
            <w:pPr>
              <w:jc w:val="center"/>
              <w:rPr>
                <w:noProof/>
                <w:sz w:val="20"/>
              </w:rPr>
            </w:pPr>
            <w:r>
              <w:rPr>
                <w:noProof/>
                <w:sz w:val="20"/>
              </w:rPr>
              <w:t xml:space="preserve">Anul </w:t>
            </w:r>
            <w:r>
              <w:rPr>
                <w:b/>
                <w:noProof/>
                <w:sz w:val="20"/>
              </w:rPr>
              <w:t>2033</w:t>
            </w:r>
          </w:p>
        </w:tc>
        <w:tc>
          <w:tcPr>
            <w:tcW w:w="869" w:type="dxa"/>
            <w:vAlign w:val="center"/>
          </w:tcPr>
          <w:p>
            <w:pPr>
              <w:jc w:val="center"/>
              <w:rPr>
                <w:noProof/>
                <w:sz w:val="20"/>
              </w:rPr>
            </w:pPr>
            <w:r>
              <w:rPr>
                <w:noProof/>
                <w:sz w:val="20"/>
              </w:rPr>
              <w:t xml:space="preserve">Anul </w:t>
            </w:r>
            <w:r>
              <w:rPr>
                <w:b/>
                <w:noProof/>
                <w:sz w:val="20"/>
              </w:rPr>
              <w:t>2034</w:t>
            </w:r>
          </w:p>
        </w:tc>
        <w:tc>
          <w:tcPr>
            <w:tcW w:w="971" w:type="dxa"/>
            <w:vAlign w:val="center"/>
          </w:tcPr>
          <w:p>
            <w:pPr>
              <w:spacing w:before="60" w:after="60"/>
              <w:jc w:val="center"/>
              <w:rPr>
                <w:noProof/>
                <w:sz w:val="20"/>
                <w:szCs w:val="20"/>
              </w:rPr>
            </w:pPr>
            <w:r>
              <w:rPr>
                <w:b/>
                <w:noProof/>
                <w:color w:val="000000"/>
                <w:sz w:val="20"/>
              </w:rPr>
              <w:t>TOTAL 2028-2034</w:t>
            </w:r>
          </w:p>
        </w:tc>
      </w:tr>
      <w:tr>
        <w:trPr>
          <w:cantSplit/>
          <w:trHeight w:val="710"/>
        </w:trPr>
        <w:tc>
          <w:tcPr>
            <w:tcW w:w="2791" w:type="dxa"/>
            <w:vAlign w:val="center"/>
          </w:tcPr>
          <w:p>
            <w:pPr>
              <w:jc w:val="left"/>
              <w:rPr>
                <w:noProof/>
              </w:rPr>
            </w:pPr>
            <w:r>
              <w:rPr>
                <w:noProof/>
                <w:sz w:val="20"/>
              </w:rPr>
              <w:t>Agenți temporari (AD+AST)</w:t>
            </w:r>
          </w:p>
        </w:tc>
        <w:tc>
          <w:tcPr>
            <w:tcW w:w="868" w:type="dxa"/>
            <w:vAlign w:val="center"/>
          </w:tcPr>
          <w:p>
            <w:pPr>
              <w:spacing w:before="60" w:after="60"/>
              <w:jc w:val="right"/>
              <w:rPr>
                <w:noProof/>
                <w:sz w:val="20"/>
                <w:szCs w:val="20"/>
              </w:rPr>
            </w:pPr>
            <w:r>
              <w:rPr>
                <w:noProof/>
                <w:sz w:val="20"/>
              </w:rPr>
              <w:t>109</w:t>
            </w:r>
          </w:p>
        </w:tc>
        <w:tc>
          <w:tcPr>
            <w:tcW w:w="869" w:type="dxa"/>
            <w:vAlign w:val="center"/>
          </w:tcPr>
          <w:p>
            <w:pPr>
              <w:spacing w:before="60" w:after="60"/>
              <w:jc w:val="right"/>
              <w:rPr>
                <w:b/>
                <w:noProof/>
                <w:color w:val="000000"/>
                <w:sz w:val="16"/>
                <w:szCs w:val="16"/>
              </w:rPr>
            </w:pPr>
            <w:r>
              <w:rPr>
                <w:noProof/>
                <w:sz w:val="20"/>
              </w:rPr>
              <w:t>216</w:t>
            </w:r>
          </w:p>
        </w:tc>
        <w:tc>
          <w:tcPr>
            <w:tcW w:w="869" w:type="dxa"/>
            <w:vAlign w:val="center"/>
          </w:tcPr>
          <w:p>
            <w:pPr>
              <w:spacing w:before="60" w:after="60"/>
              <w:jc w:val="right"/>
              <w:rPr>
                <w:b/>
                <w:noProof/>
                <w:color w:val="000000"/>
                <w:sz w:val="16"/>
                <w:szCs w:val="16"/>
              </w:rPr>
            </w:pPr>
            <w:r>
              <w:rPr>
                <w:noProof/>
                <w:sz w:val="20"/>
              </w:rPr>
              <w:t>322</w:t>
            </w:r>
          </w:p>
        </w:tc>
        <w:tc>
          <w:tcPr>
            <w:tcW w:w="869" w:type="dxa"/>
            <w:vAlign w:val="center"/>
          </w:tcPr>
          <w:p>
            <w:pPr>
              <w:spacing w:before="60" w:after="60"/>
              <w:jc w:val="right"/>
              <w:rPr>
                <w:b/>
                <w:noProof/>
                <w:color w:val="000000"/>
                <w:sz w:val="16"/>
                <w:szCs w:val="16"/>
              </w:rPr>
            </w:pPr>
            <w:r>
              <w:rPr>
                <w:noProof/>
                <w:sz w:val="20"/>
              </w:rPr>
              <w:t>429</w:t>
            </w:r>
          </w:p>
        </w:tc>
        <w:tc>
          <w:tcPr>
            <w:tcW w:w="869" w:type="dxa"/>
            <w:vAlign w:val="center"/>
          </w:tcPr>
          <w:p>
            <w:pPr>
              <w:spacing w:before="60" w:after="60"/>
              <w:jc w:val="right"/>
              <w:rPr>
                <w:noProof/>
                <w:sz w:val="20"/>
                <w:szCs w:val="20"/>
              </w:rPr>
            </w:pPr>
            <w:r>
              <w:rPr>
                <w:noProof/>
                <w:sz w:val="20"/>
              </w:rPr>
              <w:t>535</w:t>
            </w:r>
          </w:p>
        </w:tc>
        <w:tc>
          <w:tcPr>
            <w:tcW w:w="869" w:type="dxa"/>
            <w:vAlign w:val="center"/>
          </w:tcPr>
          <w:p>
            <w:pPr>
              <w:spacing w:before="60" w:after="60"/>
              <w:jc w:val="right"/>
              <w:rPr>
                <w:noProof/>
                <w:sz w:val="20"/>
                <w:szCs w:val="20"/>
              </w:rPr>
            </w:pPr>
            <w:r>
              <w:rPr>
                <w:noProof/>
                <w:sz w:val="20"/>
              </w:rPr>
              <w:t>637</w:t>
            </w:r>
          </w:p>
        </w:tc>
        <w:tc>
          <w:tcPr>
            <w:tcW w:w="869" w:type="dxa"/>
            <w:vAlign w:val="center"/>
          </w:tcPr>
          <w:p>
            <w:pPr>
              <w:spacing w:before="60" w:after="60"/>
              <w:jc w:val="right"/>
              <w:rPr>
                <w:noProof/>
                <w:sz w:val="20"/>
                <w:szCs w:val="20"/>
              </w:rPr>
            </w:pPr>
            <w:r>
              <w:rPr>
                <w:noProof/>
                <w:sz w:val="20"/>
              </w:rPr>
              <w:t>749</w:t>
            </w:r>
          </w:p>
        </w:tc>
        <w:tc>
          <w:tcPr>
            <w:tcW w:w="971" w:type="dxa"/>
            <w:vAlign w:val="center"/>
          </w:tcPr>
          <w:p>
            <w:pPr>
              <w:spacing w:before="60" w:after="60"/>
              <w:jc w:val="center"/>
              <w:rPr>
                <w:b/>
                <w:noProof/>
                <w:sz w:val="20"/>
                <w:szCs w:val="20"/>
              </w:rPr>
            </w:pPr>
            <w:r>
              <w:rPr>
                <w:noProof/>
                <w:sz w:val="20"/>
              </w:rPr>
              <w:t>749</w:t>
            </w:r>
          </w:p>
        </w:tc>
      </w:tr>
      <w:tr>
        <w:trPr>
          <w:cantSplit/>
          <w:trHeight w:val="710"/>
        </w:trPr>
        <w:tc>
          <w:tcPr>
            <w:tcW w:w="2791" w:type="dxa"/>
            <w:vAlign w:val="center"/>
          </w:tcPr>
          <w:p>
            <w:pPr>
              <w:jc w:val="left"/>
              <w:rPr>
                <w:noProof/>
                <w:sz w:val="20"/>
              </w:rPr>
            </w:pPr>
            <w:r>
              <w:rPr>
                <w:noProof/>
                <w:sz w:val="20"/>
              </w:rPr>
              <w:t>Agenți contractuali</w:t>
            </w:r>
          </w:p>
        </w:tc>
        <w:tc>
          <w:tcPr>
            <w:tcW w:w="868" w:type="dxa"/>
            <w:vAlign w:val="center"/>
          </w:tcPr>
          <w:p>
            <w:pPr>
              <w:spacing w:before="60" w:after="60"/>
              <w:jc w:val="right"/>
              <w:rPr>
                <w:noProof/>
                <w:sz w:val="20"/>
                <w:szCs w:val="20"/>
              </w:rPr>
            </w:pPr>
            <w:r>
              <w:rPr>
                <w:noProof/>
                <w:sz w:val="20"/>
              </w:rPr>
              <w:t>0</w:t>
            </w:r>
          </w:p>
        </w:tc>
        <w:tc>
          <w:tcPr>
            <w:tcW w:w="869" w:type="dxa"/>
            <w:vAlign w:val="center"/>
          </w:tcPr>
          <w:p>
            <w:pPr>
              <w:spacing w:before="60" w:after="60"/>
              <w:jc w:val="right"/>
              <w:rPr>
                <w:b/>
                <w:noProof/>
                <w:color w:val="000000"/>
                <w:sz w:val="16"/>
                <w:szCs w:val="16"/>
              </w:rPr>
            </w:pPr>
            <w:r>
              <w:rPr>
                <w:noProof/>
                <w:sz w:val="20"/>
              </w:rPr>
              <w:t>10</w:t>
            </w:r>
          </w:p>
        </w:tc>
        <w:tc>
          <w:tcPr>
            <w:tcW w:w="869" w:type="dxa"/>
            <w:vAlign w:val="center"/>
          </w:tcPr>
          <w:p>
            <w:pPr>
              <w:spacing w:before="60" w:after="60"/>
              <w:jc w:val="right"/>
              <w:rPr>
                <w:b/>
                <w:noProof/>
                <w:color w:val="000000"/>
                <w:sz w:val="16"/>
                <w:szCs w:val="16"/>
              </w:rPr>
            </w:pPr>
            <w:r>
              <w:rPr>
                <w:noProof/>
                <w:sz w:val="20"/>
              </w:rPr>
              <w:t>19</w:t>
            </w:r>
          </w:p>
        </w:tc>
        <w:tc>
          <w:tcPr>
            <w:tcW w:w="869" w:type="dxa"/>
            <w:vAlign w:val="center"/>
          </w:tcPr>
          <w:p>
            <w:pPr>
              <w:spacing w:before="60" w:after="60"/>
              <w:jc w:val="right"/>
              <w:rPr>
                <w:b/>
                <w:noProof/>
                <w:color w:val="000000"/>
                <w:sz w:val="16"/>
                <w:szCs w:val="16"/>
              </w:rPr>
            </w:pPr>
            <w:r>
              <w:rPr>
                <w:noProof/>
                <w:sz w:val="20"/>
              </w:rPr>
              <w:t>36</w:t>
            </w:r>
          </w:p>
        </w:tc>
        <w:tc>
          <w:tcPr>
            <w:tcW w:w="869" w:type="dxa"/>
            <w:vAlign w:val="center"/>
          </w:tcPr>
          <w:p>
            <w:pPr>
              <w:spacing w:before="60" w:after="60"/>
              <w:jc w:val="right"/>
              <w:rPr>
                <w:noProof/>
                <w:sz w:val="20"/>
                <w:szCs w:val="20"/>
              </w:rPr>
            </w:pPr>
            <w:r>
              <w:rPr>
                <w:noProof/>
                <w:sz w:val="20"/>
              </w:rPr>
              <w:t>51</w:t>
            </w:r>
          </w:p>
        </w:tc>
        <w:tc>
          <w:tcPr>
            <w:tcW w:w="869" w:type="dxa"/>
            <w:vAlign w:val="center"/>
          </w:tcPr>
          <w:p>
            <w:pPr>
              <w:spacing w:before="60" w:after="60"/>
              <w:jc w:val="right"/>
              <w:rPr>
                <w:noProof/>
                <w:sz w:val="20"/>
                <w:szCs w:val="20"/>
              </w:rPr>
            </w:pPr>
            <w:r>
              <w:rPr>
                <w:noProof/>
                <w:sz w:val="20"/>
              </w:rPr>
              <w:t>64</w:t>
            </w:r>
          </w:p>
        </w:tc>
        <w:tc>
          <w:tcPr>
            <w:tcW w:w="869" w:type="dxa"/>
            <w:vAlign w:val="center"/>
          </w:tcPr>
          <w:p>
            <w:pPr>
              <w:spacing w:before="60" w:after="60"/>
              <w:jc w:val="right"/>
              <w:rPr>
                <w:noProof/>
                <w:sz w:val="20"/>
                <w:szCs w:val="20"/>
              </w:rPr>
            </w:pPr>
            <w:r>
              <w:rPr>
                <w:noProof/>
                <w:sz w:val="20"/>
              </w:rPr>
              <w:t>77</w:t>
            </w:r>
          </w:p>
        </w:tc>
        <w:tc>
          <w:tcPr>
            <w:tcW w:w="971" w:type="dxa"/>
            <w:vAlign w:val="center"/>
          </w:tcPr>
          <w:p>
            <w:pPr>
              <w:spacing w:before="60" w:after="60"/>
              <w:jc w:val="center"/>
              <w:rPr>
                <w:b/>
                <w:noProof/>
                <w:sz w:val="20"/>
                <w:szCs w:val="20"/>
              </w:rPr>
            </w:pPr>
            <w:r>
              <w:rPr>
                <w:noProof/>
                <w:sz w:val="20"/>
              </w:rPr>
              <w:t>77</w:t>
            </w:r>
          </w:p>
        </w:tc>
      </w:tr>
      <w:tr>
        <w:trPr>
          <w:cantSplit/>
          <w:trHeight w:val="710"/>
        </w:trPr>
        <w:tc>
          <w:tcPr>
            <w:tcW w:w="2791" w:type="dxa"/>
            <w:vAlign w:val="center"/>
          </w:tcPr>
          <w:p>
            <w:pPr>
              <w:jc w:val="left"/>
              <w:rPr>
                <w:noProof/>
                <w:sz w:val="20"/>
              </w:rPr>
            </w:pPr>
            <w:r>
              <w:rPr>
                <w:noProof/>
                <w:sz w:val="20"/>
              </w:rPr>
              <w:t>Experți naționali detașați</w:t>
            </w:r>
          </w:p>
        </w:tc>
        <w:tc>
          <w:tcPr>
            <w:tcW w:w="868" w:type="dxa"/>
            <w:vAlign w:val="center"/>
          </w:tcPr>
          <w:p>
            <w:pPr>
              <w:spacing w:before="60" w:after="60"/>
              <w:jc w:val="right"/>
              <w:rPr>
                <w:noProof/>
                <w:sz w:val="20"/>
                <w:szCs w:val="20"/>
              </w:rPr>
            </w:pPr>
            <w:r>
              <w:rPr>
                <w:noProof/>
                <w:sz w:val="20"/>
              </w:rPr>
              <w:t>12</w:t>
            </w:r>
          </w:p>
        </w:tc>
        <w:tc>
          <w:tcPr>
            <w:tcW w:w="869" w:type="dxa"/>
            <w:vAlign w:val="center"/>
          </w:tcPr>
          <w:p>
            <w:pPr>
              <w:spacing w:before="60" w:after="60"/>
              <w:jc w:val="right"/>
              <w:rPr>
                <w:b/>
                <w:noProof/>
                <w:color w:val="000000"/>
                <w:sz w:val="16"/>
                <w:szCs w:val="16"/>
              </w:rPr>
            </w:pPr>
            <w:r>
              <w:rPr>
                <w:noProof/>
                <w:sz w:val="20"/>
              </w:rPr>
              <w:t>22</w:t>
            </w:r>
          </w:p>
        </w:tc>
        <w:tc>
          <w:tcPr>
            <w:tcW w:w="869" w:type="dxa"/>
            <w:vAlign w:val="center"/>
          </w:tcPr>
          <w:p>
            <w:pPr>
              <w:spacing w:before="60" w:after="60"/>
              <w:jc w:val="right"/>
              <w:rPr>
                <w:b/>
                <w:noProof/>
                <w:color w:val="000000"/>
                <w:sz w:val="16"/>
                <w:szCs w:val="16"/>
              </w:rPr>
            </w:pPr>
            <w:r>
              <w:rPr>
                <w:noProof/>
                <w:sz w:val="20"/>
              </w:rPr>
              <w:t>34</w:t>
            </w:r>
          </w:p>
        </w:tc>
        <w:tc>
          <w:tcPr>
            <w:tcW w:w="869" w:type="dxa"/>
            <w:vAlign w:val="center"/>
          </w:tcPr>
          <w:p>
            <w:pPr>
              <w:spacing w:before="60" w:after="60"/>
              <w:jc w:val="right"/>
              <w:rPr>
                <w:b/>
                <w:noProof/>
                <w:color w:val="000000"/>
                <w:sz w:val="16"/>
                <w:szCs w:val="16"/>
              </w:rPr>
            </w:pPr>
            <w:r>
              <w:rPr>
                <w:noProof/>
                <w:sz w:val="20"/>
              </w:rPr>
              <w:t>45</w:t>
            </w:r>
          </w:p>
        </w:tc>
        <w:tc>
          <w:tcPr>
            <w:tcW w:w="869" w:type="dxa"/>
            <w:vAlign w:val="center"/>
          </w:tcPr>
          <w:p>
            <w:pPr>
              <w:spacing w:before="60" w:after="60"/>
              <w:jc w:val="right"/>
              <w:rPr>
                <w:noProof/>
                <w:sz w:val="20"/>
                <w:szCs w:val="20"/>
              </w:rPr>
            </w:pPr>
            <w:r>
              <w:rPr>
                <w:noProof/>
                <w:sz w:val="20"/>
              </w:rPr>
              <w:t>53</w:t>
            </w:r>
          </w:p>
        </w:tc>
        <w:tc>
          <w:tcPr>
            <w:tcW w:w="869" w:type="dxa"/>
            <w:vAlign w:val="center"/>
          </w:tcPr>
          <w:p>
            <w:pPr>
              <w:spacing w:before="60" w:after="60"/>
              <w:jc w:val="right"/>
              <w:rPr>
                <w:noProof/>
                <w:sz w:val="20"/>
                <w:szCs w:val="20"/>
              </w:rPr>
            </w:pPr>
            <w:r>
              <w:rPr>
                <w:noProof/>
                <w:sz w:val="20"/>
              </w:rPr>
              <w:t>64</w:t>
            </w:r>
          </w:p>
        </w:tc>
        <w:tc>
          <w:tcPr>
            <w:tcW w:w="869" w:type="dxa"/>
            <w:vAlign w:val="center"/>
          </w:tcPr>
          <w:p>
            <w:pPr>
              <w:spacing w:before="60" w:after="60"/>
              <w:jc w:val="right"/>
              <w:rPr>
                <w:noProof/>
                <w:sz w:val="20"/>
                <w:szCs w:val="20"/>
              </w:rPr>
            </w:pPr>
            <w:r>
              <w:rPr>
                <w:noProof/>
                <w:sz w:val="20"/>
              </w:rPr>
              <w:t>74</w:t>
            </w:r>
          </w:p>
        </w:tc>
        <w:tc>
          <w:tcPr>
            <w:tcW w:w="971" w:type="dxa"/>
            <w:vAlign w:val="center"/>
          </w:tcPr>
          <w:p>
            <w:pPr>
              <w:spacing w:before="60" w:after="60"/>
              <w:jc w:val="center"/>
              <w:rPr>
                <w:b/>
                <w:noProof/>
                <w:sz w:val="20"/>
                <w:szCs w:val="20"/>
              </w:rPr>
            </w:pPr>
            <w:r>
              <w:rPr>
                <w:noProof/>
                <w:sz w:val="20"/>
              </w:rPr>
              <w:t>74</w:t>
            </w:r>
          </w:p>
        </w:tc>
      </w:tr>
      <w:tr>
        <w:trPr>
          <w:cantSplit/>
          <w:trHeight w:val="710"/>
        </w:trPr>
        <w:tc>
          <w:tcPr>
            <w:tcW w:w="2791" w:type="dxa"/>
            <w:shd w:val="clear" w:color="auto" w:fill="D9D9D9" w:themeFill="background1" w:themeFillShade="D9"/>
            <w:vAlign w:val="center"/>
          </w:tcPr>
          <w:p>
            <w:pPr>
              <w:spacing w:before="60" w:after="60"/>
              <w:jc w:val="left"/>
              <w:rPr>
                <w:b/>
                <w:noProof/>
                <w:sz w:val="20"/>
              </w:rPr>
            </w:pPr>
            <w:r>
              <w:rPr>
                <w:b/>
                <w:noProof/>
                <w:sz w:val="20"/>
              </w:rPr>
              <w:t>Total personal</w:t>
            </w:r>
          </w:p>
        </w:tc>
        <w:tc>
          <w:tcPr>
            <w:tcW w:w="868" w:type="dxa"/>
            <w:shd w:val="clear" w:color="auto" w:fill="D9D9D9" w:themeFill="background1" w:themeFillShade="D9"/>
            <w:vAlign w:val="center"/>
          </w:tcPr>
          <w:p>
            <w:pPr>
              <w:spacing w:before="60" w:after="60"/>
              <w:jc w:val="right"/>
              <w:rPr>
                <w:noProof/>
                <w:sz w:val="20"/>
              </w:rPr>
            </w:pPr>
            <w:r>
              <w:rPr>
                <w:b/>
                <w:noProof/>
                <w:color w:val="000000"/>
                <w:sz w:val="20"/>
              </w:rPr>
              <w:t>121</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248</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375</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510</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639</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765</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900</w:t>
            </w:r>
          </w:p>
        </w:tc>
        <w:tc>
          <w:tcPr>
            <w:tcW w:w="971" w:type="dxa"/>
            <w:shd w:val="clear" w:color="auto" w:fill="BFBFBF" w:themeFill="background1" w:themeFillShade="BF"/>
            <w:vAlign w:val="center"/>
          </w:tcPr>
          <w:p>
            <w:pPr>
              <w:spacing w:before="60" w:after="60"/>
              <w:jc w:val="center"/>
              <w:rPr>
                <w:b/>
                <w:noProof/>
                <w:sz w:val="20"/>
                <w:szCs w:val="20"/>
              </w:rPr>
            </w:pPr>
            <w:r>
              <w:rPr>
                <w:b/>
                <w:noProof/>
                <w:color w:val="000000"/>
                <w:sz w:val="20"/>
              </w:rPr>
              <w:t>900</w:t>
            </w:r>
          </w:p>
        </w:tc>
      </w:tr>
      <w:tr>
        <w:trPr>
          <w:cantSplit/>
          <w:trHeight w:val="710"/>
        </w:trPr>
        <w:tc>
          <w:tcPr>
            <w:tcW w:w="2791" w:type="dxa"/>
            <w:vAlign w:val="center"/>
          </w:tcPr>
          <w:p>
            <w:pPr>
              <w:spacing w:before="60" w:after="60"/>
              <w:jc w:val="left"/>
              <w:rPr>
                <w:noProof/>
                <w:sz w:val="20"/>
              </w:rPr>
            </w:pPr>
            <w:r>
              <w:rPr>
                <w:noProof/>
                <w:sz w:val="20"/>
              </w:rPr>
              <w:t>Credite acoperite de bugetul UE</w:t>
            </w:r>
          </w:p>
        </w:tc>
        <w:tc>
          <w:tcPr>
            <w:tcW w:w="868" w:type="dxa"/>
            <w:vAlign w:val="center"/>
          </w:tcPr>
          <w:p>
            <w:pPr>
              <w:spacing w:before="60" w:after="60"/>
              <w:jc w:val="right"/>
              <w:rPr>
                <w:noProof/>
                <w:sz w:val="20"/>
              </w:rPr>
            </w:pPr>
            <w:r>
              <w:rPr>
                <w:noProof/>
                <w:sz w:val="20"/>
              </w:rPr>
              <w:t>57 512</w:t>
            </w:r>
          </w:p>
        </w:tc>
        <w:tc>
          <w:tcPr>
            <w:tcW w:w="869" w:type="dxa"/>
            <w:vAlign w:val="center"/>
          </w:tcPr>
          <w:p>
            <w:pPr>
              <w:spacing w:before="60" w:after="60"/>
              <w:jc w:val="right"/>
              <w:rPr>
                <w:noProof/>
                <w:sz w:val="20"/>
                <w:szCs w:val="20"/>
              </w:rPr>
            </w:pPr>
            <w:r>
              <w:rPr>
                <w:noProof/>
                <w:sz w:val="20"/>
              </w:rPr>
              <w:t>92 346</w:t>
            </w:r>
          </w:p>
        </w:tc>
        <w:tc>
          <w:tcPr>
            <w:tcW w:w="869" w:type="dxa"/>
            <w:vAlign w:val="center"/>
          </w:tcPr>
          <w:p>
            <w:pPr>
              <w:spacing w:before="60" w:after="60"/>
              <w:jc w:val="right"/>
              <w:rPr>
                <w:noProof/>
                <w:sz w:val="20"/>
                <w:szCs w:val="20"/>
              </w:rPr>
            </w:pPr>
            <w:r>
              <w:rPr>
                <w:noProof/>
                <w:sz w:val="20"/>
              </w:rPr>
              <w:t>120 831</w:t>
            </w:r>
          </w:p>
        </w:tc>
        <w:tc>
          <w:tcPr>
            <w:tcW w:w="869" w:type="dxa"/>
            <w:vAlign w:val="center"/>
          </w:tcPr>
          <w:p>
            <w:pPr>
              <w:spacing w:before="60" w:after="60"/>
              <w:jc w:val="right"/>
              <w:rPr>
                <w:noProof/>
                <w:sz w:val="20"/>
                <w:szCs w:val="20"/>
              </w:rPr>
            </w:pPr>
            <w:r>
              <w:rPr>
                <w:noProof/>
                <w:sz w:val="20"/>
              </w:rPr>
              <w:t>150 385</w:t>
            </w:r>
          </w:p>
        </w:tc>
        <w:tc>
          <w:tcPr>
            <w:tcW w:w="869" w:type="dxa"/>
            <w:vAlign w:val="center"/>
          </w:tcPr>
          <w:p>
            <w:pPr>
              <w:spacing w:before="60" w:after="60"/>
              <w:jc w:val="right"/>
              <w:rPr>
                <w:noProof/>
                <w:sz w:val="20"/>
              </w:rPr>
            </w:pPr>
            <w:r>
              <w:rPr>
                <w:noProof/>
                <w:sz w:val="20"/>
              </w:rPr>
              <w:t>178 830</w:t>
            </w:r>
          </w:p>
        </w:tc>
        <w:tc>
          <w:tcPr>
            <w:tcW w:w="869" w:type="dxa"/>
            <w:vAlign w:val="center"/>
          </w:tcPr>
          <w:p>
            <w:pPr>
              <w:spacing w:before="60" w:after="60"/>
              <w:jc w:val="right"/>
              <w:rPr>
                <w:noProof/>
                <w:sz w:val="20"/>
              </w:rPr>
            </w:pPr>
            <w:r>
              <w:rPr>
                <w:noProof/>
                <w:sz w:val="20"/>
              </w:rPr>
              <w:t>207 164</w:t>
            </w:r>
          </w:p>
        </w:tc>
        <w:tc>
          <w:tcPr>
            <w:tcW w:w="869" w:type="dxa"/>
            <w:vAlign w:val="center"/>
          </w:tcPr>
          <w:p>
            <w:pPr>
              <w:spacing w:before="60" w:after="60"/>
              <w:jc w:val="right"/>
              <w:rPr>
                <w:noProof/>
                <w:sz w:val="20"/>
              </w:rPr>
            </w:pPr>
            <w:r>
              <w:rPr>
                <w:noProof/>
                <w:sz w:val="20"/>
              </w:rPr>
              <w:t>234 384</w:t>
            </w:r>
          </w:p>
        </w:tc>
        <w:tc>
          <w:tcPr>
            <w:tcW w:w="971" w:type="dxa"/>
            <w:vAlign w:val="center"/>
          </w:tcPr>
          <w:p>
            <w:pPr>
              <w:spacing w:before="60" w:after="60"/>
              <w:jc w:val="right"/>
              <w:rPr>
                <w:noProof/>
                <w:sz w:val="20"/>
                <w:szCs w:val="20"/>
              </w:rPr>
            </w:pPr>
            <w:r>
              <w:rPr>
                <w:noProof/>
                <w:sz w:val="20"/>
              </w:rPr>
              <w:t>1 041 452</w:t>
            </w:r>
          </w:p>
        </w:tc>
      </w:tr>
      <w:tr>
        <w:trPr>
          <w:cantSplit/>
          <w:trHeight w:val="710"/>
        </w:trPr>
        <w:tc>
          <w:tcPr>
            <w:tcW w:w="2791" w:type="dxa"/>
            <w:vAlign w:val="center"/>
          </w:tcPr>
          <w:p>
            <w:pPr>
              <w:spacing w:before="60" w:after="60"/>
              <w:jc w:val="left"/>
              <w:rPr>
                <w:noProof/>
                <w:sz w:val="20"/>
              </w:rPr>
            </w:pPr>
            <w:r>
              <w:rPr>
                <w:noProof/>
                <w:sz w:val="20"/>
              </w:rPr>
              <w:t xml:space="preserve">Credite acoperite de taxe </w:t>
            </w:r>
          </w:p>
          <w:p>
            <w:pPr>
              <w:spacing w:before="60" w:after="60"/>
              <w:jc w:val="left"/>
              <w:rPr>
                <w:noProof/>
                <w:sz w:val="20"/>
              </w:rPr>
            </w:pPr>
            <w:r>
              <w:rPr>
                <w:noProof/>
                <w:sz w:val="20"/>
              </w:rPr>
              <w:t>(dacă este cazul)</w:t>
            </w:r>
          </w:p>
        </w:tc>
        <w:tc>
          <w:tcPr>
            <w:tcW w:w="868"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971" w:type="dxa"/>
            <w:vAlign w:val="center"/>
          </w:tcPr>
          <w:p>
            <w:pPr>
              <w:spacing w:before="60" w:after="60"/>
              <w:jc w:val="right"/>
              <w:rPr>
                <w:b/>
                <w:noProof/>
                <w:sz w:val="20"/>
                <w:szCs w:val="20"/>
              </w:rPr>
            </w:pPr>
            <w:r>
              <w:rPr>
                <w:b/>
                <w:noProof/>
                <w:sz w:val="20"/>
              </w:rPr>
              <w:t>0,000</w:t>
            </w:r>
          </w:p>
        </w:tc>
      </w:tr>
      <w:tr>
        <w:trPr>
          <w:cantSplit/>
          <w:trHeight w:val="710"/>
        </w:trPr>
        <w:tc>
          <w:tcPr>
            <w:tcW w:w="2791" w:type="dxa"/>
            <w:vAlign w:val="center"/>
          </w:tcPr>
          <w:p>
            <w:pPr>
              <w:spacing w:before="60" w:after="60"/>
              <w:jc w:val="left"/>
              <w:rPr>
                <w:noProof/>
                <w:sz w:val="20"/>
              </w:rPr>
            </w:pPr>
            <w:r>
              <w:rPr>
                <w:noProof/>
                <w:sz w:val="20"/>
              </w:rPr>
              <w:t xml:space="preserve">Credite cofinanțate </w:t>
            </w:r>
          </w:p>
          <w:p>
            <w:pPr>
              <w:spacing w:before="60" w:after="60"/>
              <w:jc w:val="left"/>
              <w:rPr>
                <w:noProof/>
                <w:sz w:val="20"/>
              </w:rPr>
            </w:pPr>
            <w:r>
              <w:rPr>
                <w:noProof/>
                <w:sz w:val="20"/>
              </w:rPr>
              <w:t>(dacă este cazul)</w:t>
            </w:r>
          </w:p>
        </w:tc>
        <w:tc>
          <w:tcPr>
            <w:tcW w:w="868"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971" w:type="dxa"/>
            <w:vAlign w:val="center"/>
          </w:tcPr>
          <w:p>
            <w:pPr>
              <w:spacing w:before="60" w:after="60"/>
              <w:jc w:val="right"/>
              <w:rPr>
                <w:b/>
                <w:noProof/>
                <w:sz w:val="20"/>
                <w:szCs w:val="20"/>
              </w:rPr>
            </w:pPr>
            <w:r>
              <w:rPr>
                <w:b/>
                <w:noProof/>
                <w:sz w:val="20"/>
              </w:rPr>
              <w:t>0,000</w:t>
            </w:r>
          </w:p>
        </w:tc>
      </w:tr>
      <w:tr>
        <w:trPr>
          <w:cantSplit/>
          <w:trHeight w:val="710"/>
        </w:trPr>
        <w:tc>
          <w:tcPr>
            <w:tcW w:w="2791" w:type="dxa"/>
            <w:shd w:val="clear" w:color="auto" w:fill="D9D9D9" w:themeFill="background1" w:themeFillShade="D9"/>
            <w:vAlign w:val="center"/>
          </w:tcPr>
          <w:p>
            <w:pPr>
              <w:spacing w:before="60" w:after="60"/>
              <w:jc w:val="left"/>
              <w:rPr>
                <w:b/>
                <w:noProof/>
                <w:sz w:val="20"/>
              </w:rPr>
            </w:pPr>
            <w:r>
              <w:rPr>
                <w:b/>
                <w:noProof/>
                <w:sz w:val="20"/>
              </w:rPr>
              <w:t>TOTAL credite</w:t>
            </w:r>
          </w:p>
        </w:tc>
        <w:tc>
          <w:tcPr>
            <w:tcW w:w="868" w:type="dxa"/>
            <w:shd w:val="clear" w:color="auto" w:fill="D9D9D9" w:themeFill="background1" w:themeFillShade="D9"/>
            <w:vAlign w:val="center"/>
          </w:tcPr>
          <w:p>
            <w:pPr>
              <w:spacing w:before="60" w:after="60"/>
              <w:jc w:val="right"/>
              <w:rPr>
                <w:b/>
                <w:noProof/>
                <w:sz w:val="20"/>
              </w:rPr>
            </w:pPr>
            <w:r>
              <w:rPr>
                <w:b/>
                <w:noProof/>
                <w:sz w:val="20"/>
              </w:rPr>
              <w:t>57 512</w:t>
            </w:r>
          </w:p>
        </w:tc>
        <w:tc>
          <w:tcPr>
            <w:tcW w:w="869" w:type="dxa"/>
            <w:shd w:val="clear" w:color="auto" w:fill="D9D9D9" w:themeFill="background1" w:themeFillShade="D9"/>
            <w:vAlign w:val="center"/>
          </w:tcPr>
          <w:p>
            <w:pPr>
              <w:spacing w:before="60" w:after="60"/>
              <w:jc w:val="right"/>
              <w:rPr>
                <w:b/>
                <w:noProof/>
                <w:sz w:val="20"/>
              </w:rPr>
            </w:pPr>
            <w:r>
              <w:rPr>
                <w:b/>
                <w:noProof/>
                <w:sz w:val="20"/>
              </w:rPr>
              <w:t>92 346</w:t>
            </w:r>
          </w:p>
        </w:tc>
        <w:tc>
          <w:tcPr>
            <w:tcW w:w="869" w:type="dxa"/>
            <w:shd w:val="clear" w:color="auto" w:fill="D9D9D9" w:themeFill="background1" w:themeFillShade="D9"/>
            <w:vAlign w:val="center"/>
          </w:tcPr>
          <w:p>
            <w:pPr>
              <w:spacing w:before="60" w:after="60"/>
              <w:jc w:val="right"/>
              <w:rPr>
                <w:b/>
                <w:noProof/>
                <w:sz w:val="20"/>
              </w:rPr>
            </w:pPr>
            <w:r>
              <w:rPr>
                <w:b/>
                <w:noProof/>
                <w:sz w:val="20"/>
              </w:rPr>
              <w:t>120 831</w:t>
            </w:r>
          </w:p>
        </w:tc>
        <w:tc>
          <w:tcPr>
            <w:tcW w:w="869" w:type="dxa"/>
            <w:shd w:val="clear" w:color="auto" w:fill="D9D9D9" w:themeFill="background1" w:themeFillShade="D9"/>
            <w:vAlign w:val="center"/>
          </w:tcPr>
          <w:p>
            <w:pPr>
              <w:spacing w:before="60" w:after="60"/>
              <w:jc w:val="right"/>
              <w:rPr>
                <w:b/>
                <w:noProof/>
                <w:sz w:val="20"/>
              </w:rPr>
            </w:pPr>
            <w:r>
              <w:rPr>
                <w:b/>
                <w:noProof/>
                <w:sz w:val="20"/>
              </w:rPr>
              <w:t>150 385</w:t>
            </w:r>
          </w:p>
        </w:tc>
        <w:tc>
          <w:tcPr>
            <w:tcW w:w="869" w:type="dxa"/>
            <w:shd w:val="clear" w:color="auto" w:fill="D9D9D9" w:themeFill="background1" w:themeFillShade="D9"/>
            <w:vAlign w:val="center"/>
          </w:tcPr>
          <w:p>
            <w:pPr>
              <w:spacing w:before="60" w:after="60"/>
              <w:jc w:val="right"/>
              <w:rPr>
                <w:b/>
                <w:noProof/>
                <w:sz w:val="20"/>
              </w:rPr>
            </w:pPr>
            <w:r>
              <w:rPr>
                <w:b/>
                <w:noProof/>
                <w:sz w:val="20"/>
              </w:rPr>
              <w:t>178 830</w:t>
            </w:r>
          </w:p>
        </w:tc>
        <w:tc>
          <w:tcPr>
            <w:tcW w:w="869" w:type="dxa"/>
            <w:shd w:val="clear" w:color="auto" w:fill="D9D9D9" w:themeFill="background1" w:themeFillShade="D9"/>
            <w:vAlign w:val="center"/>
          </w:tcPr>
          <w:p>
            <w:pPr>
              <w:spacing w:before="60" w:after="60"/>
              <w:jc w:val="right"/>
              <w:rPr>
                <w:b/>
                <w:noProof/>
                <w:sz w:val="20"/>
              </w:rPr>
            </w:pPr>
            <w:r>
              <w:rPr>
                <w:b/>
                <w:noProof/>
                <w:sz w:val="20"/>
              </w:rPr>
              <w:t>207 164</w:t>
            </w:r>
          </w:p>
        </w:tc>
        <w:tc>
          <w:tcPr>
            <w:tcW w:w="869" w:type="dxa"/>
            <w:shd w:val="clear" w:color="auto" w:fill="D9D9D9" w:themeFill="background1" w:themeFillShade="D9"/>
            <w:vAlign w:val="center"/>
          </w:tcPr>
          <w:p>
            <w:pPr>
              <w:spacing w:before="60" w:after="60"/>
              <w:jc w:val="right"/>
              <w:rPr>
                <w:b/>
                <w:noProof/>
                <w:sz w:val="20"/>
              </w:rPr>
            </w:pPr>
            <w:r>
              <w:rPr>
                <w:b/>
                <w:noProof/>
                <w:sz w:val="20"/>
              </w:rPr>
              <w:t>234 384</w:t>
            </w:r>
          </w:p>
        </w:tc>
        <w:tc>
          <w:tcPr>
            <w:tcW w:w="971" w:type="dxa"/>
            <w:shd w:val="clear" w:color="auto" w:fill="D9D9D9" w:themeFill="background1" w:themeFillShade="D9"/>
            <w:vAlign w:val="center"/>
          </w:tcPr>
          <w:p>
            <w:pPr>
              <w:spacing w:before="60" w:after="60"/>
              <w:jc w:val="right"/>
              <w:rPr>
                <w:b/>
                <w:noProof/>
                <w:sz w:val="20"/>
              </w:rPr>
            </w:pPr>
            <w:r>
              <w:rPr>
                <w:b/>
                <w:noProof/>
                <w:sz w:val="20"/>
              </w:rPr>
              <w:t>1 041 452</w:t>
            </w:r>
          </w:p>
        </w:tc>
      </w:tr>
    </w:tbl>
    <w:p>
      <w:pPr>
        <w:outlineLvl w:val="1"/>
        <w:rPr>
          <w:noProof/>
          <w:szCs w:val="24"/>
        </w:rPr>
      </w:pPr>
      <w:bookmarkStart w:id="49" w:name="_Hlk166860179"/>
    </w:p>
    <w:p>
      <w:pPr>
        <w:pStyle w:val="Text1"/>
        <w:ind w:left="0"/>
        <w:rPr>
          <w:noProof/>
        </w:rPr>
      </w:pPr>
      <w:r>
        <w:rPr>
          <w:noProof/>
        </w:rPr>
        <w:t>Cerințe privind personalul (unități echivalent normă întreagă)</w:t>
      </w:r>
    </w:p>
    <w:tbl>
      <w:tblPr>
        <w:tblW w:w="97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747"/>
        <w:gridCol w:w="996"/>
        <w:gridCol w:w="996"/>
        <w:gridCol w:w="996"/>
        <w:gridCol w:w="996"/>
        <w:gridCol w:w="996"/>
        <w:gridCol w:w="996"/>
        <w:gridCol w:w="996"/>
      </w:tblGrid>
      <w:tr>
        <w:trPr>
          <w:trHeight w:val="521"/>
          <w:jc w:val="center"/>
        </w:trPr>
        <w:tc>
          <w:tcPr>
            <w:tcW w:w="2747" w:type="dxa"/>
            <w:vAlign w:val="center"/>
          </w:tcPr>
          <w:p>
            <w:pPr>
              <w:spacing w:before="60" w:after="60"/>
              <w:jc w:val="center"/>
              <w:rPr>
                <w:b/>
                <w:noProof/>
                <w:sz w:val="20"/>
                <w:szCs w:val="20"/>
              </w:rPr>
            </w:pPr>
            <w:r>
              <w:rPr>
                <w:b/>
                <w:noProof/>
                <w:color w:val="444444"/>
                <w:sz w:val="20"/>
                <w:shd w:val="clear" w:color="auto" w:fill="FFFFFF"/>
              </w:rPr>
              <w:t>Agenția: eu-LISA</w:t>
            </w:r>
          </w:p>
        </w:tc>
        <w:tc>
          <w:tcPr>
            <w:tcW w:w="996" w:type="dxa"/>
            <w:vAlign w:val="center"/>
          </w:tcPr>
          <w:p>
            <w:pPr>
              <w:spacing w:before="60" w:after="60"/>
              <w:jc w:val="center"/>
              <w:rPr>
                <w:noProof/>
                <w:sz w:val="20"/>
                <w:szCs w:val="20"/>
              </w:rPr>
            </w:pPr>
            <w:r>
              <w:rPr>
                <w:noProof/>
                <w:sz w:val="20"/>
              </w:rPr>
              <w:t xml:space="preserve">Anul </w:t>
            </w:r>
            <w:r>
              <w:rPr>
                <w:b/>
                <w:noProof/>
                <w:sz w:val="20"/>
              </w:rPr>
              <w:t>2028</w:t>
            </w:r>
          </w:p>
        </w:tc>
        <w:tc>
          <w:tcPr>
            <w:tcW w:w="996" w:type="dxa"/>
          </w:tcPr>
          <w:p>
            <w:pPr>
              <w:spacing w:before="60" w:after="60"/>
              <w:jc w:val="center"/>
              <w:rPr>
                <w:noProof/>
                <w:sz w:val="20"/>
                <w:szCs w:val="20"/>
              </w:rPr>
            </w:pPr>
            <w:r>
              <w:rPr>
                <w:noProof/>
                <w:sz w:val="20"/>
              </w:rPr>
              <w:t xml:space="preserve">Anul </w:t>
            </w:r>
            <w:r>
              <w:rPr>
                <w:b/>
                <w:noProof/>
                <w:sz w:val="20"/>
              </w:rPr>
              <w:t>2029</w:t>
            </w:r>
          </w:p>
        </w:tc>
        <w:tc>
          <w:tcPr>
            <w:tcW w:w="996" w:type="dxa"/>
          </w:tcPr>
          <w:p>
            <w:pPr>
              <w:spacing w:before="60" w:after="60"/>
              <w:jc w:val="center"/>
              <w:rPr>
                <w:noProof/>
                <w:sz w:val="20"/>
                <w:szCs w:val="20"/>
              </w:rPr>
            </w:pPr>
            <w:r>
              <w:rPr>
                <w:noProof/>
                <w:sz w:val="20"/>
              </w:rPr>
              <w:t xml:space="preserve">Anul </w:t>
            </w:r>
            <w:r>
              <w:rPr>
                <w:b/>
                <w:noProof/>
                <w:sz w:val="20"/>
              </w:rPr>
              <w:t>2030</w:t>
            </w:r>
          </w:p>
        </w:tc>
        <w:tc>
          <w:tcPr>
            <w:tcW w:w="996" w:type="dxa"/>
          </w:tcPr>
          <w:p>
            <w:pPr>
              <w:spacing w:before="60" w:after="60"/>
              <w:jc w:val="center"/>
              <w:rPr>
                <w:noProof/>
                <w:sz w:val="20"/>
                <w:szCs w:val="20"/>
              </w:rPr>
            </w:pPr>
            <w:r>
              <w:rPr>
                <w:noProof/>
                <w:sz w:val="20"/>
              </w:rPr>
              <w:t xml:space="preserve">Anul </w:t>
            </w:r>
            <w:r>
              <w:rPr>
                <w:b/>
                <w:noProof/>
                <w:sz w:val="20"/>
              </w:rPr>
              <w:t>2031</w:t>
            </w:r>
          </w:p>
        </w:tc>
        <w:tc>
          <w:tcPr>
            <w:tcW w:w="996" w:type="dxa"/>
            <w:vAlign w:val="center"/>
          </w:tcPr>
          <w:p>
            <w:pPr>
              <w:spacing w:before="60" w:after="60"/>
              <w:jc w:val="center"/>
              <w:rPr>
                <w:noProof/>
                <w:sz w:val="20"/>
                <w:szCs w:val="20"/>
              </w:rPr>
            </w:pPr>
            <w:r>
              <w:rPr>
                <w:noProof/>
                <w:sz w:val="20"/>
              </w:rPr>
              <w:t xml:space="preserve">Anul </w:t>
            </w:r>
            <w:r>
              <w:rPr>
                <w:b/>
                <w:noProof/>
                <w:sz w:val="20"/>
              </w:rPr>
              <w:t>2032</w:t>
            </w:r>
          </w:p>
        </w:tc>
        <w:tc>
          <w:tcPr>
            <w:tcW w:w="996" w:type="dxa"/>
            <w:vAlign w:val="center"/>
          </w:tcPr>
          <w:p>
            <w:pPr>
              <w:spacing w:before="60" w:after="60"/>
              <w:jc w:val="center"/>
              <w:rPr>
                <w:noProof/>
                <w:sz w:val="20"/>
                <w:szCs w:val="20"/>
              </w:rPr>
            </w:pPr>
            <w:r>
              <w:rPr>
                <w:noProof/>
                <w:sz w:val="20"/>
              </w:rPr>
              <w:t xml:space="preserve">Anul </w:t>
            </w:r>
            <w:r>
              <w:rPr>
                <w:b/>
                <w:noProof/>
                <w:sz w:val="20"/>
              </w:rPr>
              <w:t>2033</w:t>
            </w:r>
          </w:p>
        </w:tc>
        <w:tc>
          <w:tcPr>
            <w:tcW w:w="996" w:type="dxa"/>
            <w:vAlign w:val="center"/>
          </w:tcPr>
          <w:p>
            <w:pPr>
              <w:spacing w:before="60" w:after="60"/>
              <w:jc w:val="center"/>
              <w:rPr>
                <w:noProof/>
                <w:sz w:val="20"/>
                <w:szCs w:val="20"/>
              </w:rPr>
            </w:pPr>
            <w:r>
              <w:rPr>
                <w:noProof/>
                <w:sz w:val="20"/>
              </w:rPr>
              <w:t xml:space="preserve">Anul </w:t>
            </w:r>
            <w:r>
              <w:rPr>
                <w:b/>
                <w:noProof/>
                <w:sz w:val="20"/>
              </w:rPr>
              <w:t>2034</w:t>
            </w:r>
          </w:p>
        </w:tc>
      </w:tr>
      <w:tr>
        <w:trPr>
          <w:trHeight w:val="521"/>
          <w:jc w:val="center"/>
        </w:trPr>
        <w:tc>
          <w:tcPr>
            <w:tcW w:w="2747" w:type="dxa"/>
            <w:shd w:val="clear" w:color="auto" w:fill="FFFFFF" w:themeFill="background1"/>
            <w:vAlign w:val="center"/>
          </w:tcPr>
          <w:p>
            <w:pPr>
              <w:spacing w:before="60" w:after="60"/>
              <w:jc w:val="left"/>
              <w:rPr>
                <w:noProof/>
                <w:sz w:val="20"/>
                <w:szCs w:val="20"/>
              </w:rPr>
            </w:pPr>
            <w:r>
              <w:rPr>
                <w:noProof/>
                <w:sz w:val="20"/>
              </w:rPr>
              <w:t xml:space="preserve">Agenți temporari </w:t>
            </w:r>
          </w:p>
          <w:p>
            <w:pPr>
              <w:spacing w:before="60" w:after="60"/>
              <w:jc w:val="left"/>
              <w:rPr>
                <w:noProof/>
                <w:sz w:val="20"/>
                <w:szCs w:val="20"/>
              </w:rPr>
            </w:pPr>
            <w:r>
              <w:rPr>
                <w:noProof/>
                <w:sz w:val="20"/>
              </w:rPr>
              <w:t>(gradele AD)</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c>
          <w:tcPr>
            <w:tcW w:w="996" w:type="dxa"/>
            <w:vAlign w:val="center"/>
          </w:tcPr>
          <w:p>
            <w:pPr>
              <w:spacing w:before="60" w:after="60"/>
              <w:jc w:val="right"/>
              <w:rPr>
                <w:noProof/>
                <w:sz w:val="20"/>
                <w:szCs w:val="20"/>
              </w:rPr>
            </w:pPr>
            <w:r>
              <w:rPr>
                <w:noProof/>
                <w:sz w:val="20"/>
              </w:rPr>
              <w:t>7</w:t>
            </w:r>
          </w:p>
        </w:tc>
      </w:tr>
      <w:tr>
        <w:trPr>
          <w:trHeight w:val="521"/>
          <w:jc w:val="center"/>
        </w:trPr>
        <w:tc>
          <w:tcPr>
            <w:tcW w:w="2747" w:type="dxa"/>
            <w:vAlign w:val="center"/>
          </w:tcPr>
          <w:p>
            <w:pPr>
              <w:spacing w:before="60" w:after="60"/>
              <w:jc w:val="left"/>
              <w:rPr>
                <w:noProof/>
                <w:sz w:val="20"/>
                <w:szCs w:val="20"/>
              </w:rPr>
            </w:pPr>
            <w:r>
              <w:rPr>
                <w:noProof/>
                <w:sz w:val="20"/>
              </w:rPr>
              <w:t xml:space="preserve">Agenți temporari </w:t>
            </w:r>
          </w:p>
          <w:p>
            <w:pPr>
              <w:spacing w:before="60" w:after="60"/>
              <w:jc w:val="left"/>
              <w:rPr>
                <w:noProof/>
                <w:sz w:val="20"/>
                <w:szCs w:val="20"/>
              </w:rPr>
            </w:pPr>
            <w:r>
              <w:rPr>
                <w:noProof/>
                <w:sz w:val="20"/>
              </w:rPr>
              <w:t>(gradele AST)</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r>
      <w:tr>
        <w:trPr>
          <w:trHeight w:val="521"/>
          <w:jc w:val="center"/>
        </w:trPr>
        <w:tc>
          <w:tcPr>
            <w:tcW w:w="2747" w:type="dxa"/>
            <w:shd w:val="clear" w:color="auto" w:fill="D9D9D9" w:themeFill="background1" w:themeFillShade="D9"/>
            <w:vAlign w:val="center"/>
          </w:tcPr>
          <w:p>
            <w:pPr>
              <w:spacing w:before="60" w:after="60"/>
              <w:jc w:val="left"/>
              <w:rPr>
                <w:b/>
                <w:i/>
                <w:noProof/>
                <w:sz w:val="20"/>
                <w:szCs w:val="20"/>
              </w:rPr>
            </w:pPr>
            <w:r>
              <w:rPr>
                <w:b/>
                <w:i/>
                <w:noProof/>
                <w:sz w:val="20"/>
              </w:rPr>
              <w:t>Subtotal agenți temporari (AD+AST)</w:t>
            </w:r>
          </w:p>
        </w:tc>
        <w:tc>
          <w:tcPr>
            <w:tcW w:w="996" w:type="dxa"/>
            <w:shd w:val="clear" w:color="auto" w:fill="D9D9D9" w:themeFill="background1" w:themeFillShade="D9"/>
            <w:vAlign w:val="center"/>
          </w:tcPr>
          <w:p>
            <w:pPr>
              <w:spacing w:before="60" w:after="60"/>
              <w:jc w:val="right"/>
              <w:rPr>
                <w:b/>
                <w:i/>
                <w:noProof/>
                <w:sz w:val="20"/>
                <w:szCs w:val="20"/>
              </w:rPr>
            </w:pPr>
            <w:r>
              <w:rPr>
                <w:b/>
                <w:noProof/>
                <w:sz w:val="20"/>
              </w:rPr>
              <w:t>7</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noProof/>
                <w:sz w:val="20"/>
              </w:rPr>
              <w:t>7</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noProof/>
                <w:sz w:val="20"/>
              </w:rPr>
              <w:t>7</w:t>
            </w:r>
          </w:p>
        </w:tc>
        <w:tc>
          <w:tcPr>
            <w:tcW w:w="996" w:type="dxa"/>
            <w:shd w:val="clear" w:color="auto" w:fill="D9D9D9" w:themeFill="background1" w:themeFillShade="D9"/>
            <w:vAlign w:val="center"/>
          </w:tcPr>
          <w:p>
            <w:pPr>
              <w:spacing w:before="60" w:after="60"/>
              <w:jc w:val="right"/>
              <w:rPr>
                <w:b/>
                <w:i/>
                <w:noProof/>
                <w:color w:val="000000"/>
                <w:sz w:val="16"/>
                <w:szCs w:val="16"/>
              </w:rPr>
            </w:pPr>
            <w:r>
              <w:rPr>
                <w:b/>
                <w:noProof/>
                <w:sz w:val="20"/>
              </w:rPr>
              <w:t>7</w:t>
            </w:r>
          </w:p>
        </w:tc>
        <w:tc>
          <w:tcPr>
            <w:tcW w:w="996" w:type="dxa"/>
            <w:shd w:val="clear" w:color="auto" w:fill="D9D9D9" w:themeFill="background1" w:themeFillShade="D9"/>
            <w:vAlign w:val="center"/>
          </w:tcPr>
          <w:p>
            <w:pPr>
              <w:spacing w:before="60" w:after="60"/>
              <w:jc w:val="right"/>
              <w:rPr>
                <w:b/>
                <w:i/>
                <w:noProof/>
                <w:sz w:val="20"/>
                <w:szCs w:val="20"/>
              </w:rPr>
            </w:pPr>
            <w:r>
              <w:rPr>
                <w:b/>
                <w:noProof/>
                <w:sz w:val="20"/>
              </w:rPr>
              <w:t>7</w:t>
            </w:r>
          </w:p>
        </w:tc>
        <w:tc>
          <w:tcPr>
            <w:tcW w:w="996" w:type="dxa"/>
            <w:shd w:val="clear" w:color="auto" w:fill="D9D9D9" w:themeFill="background1" w:themeFillShade="D9"/>
            <w:vAlign w:val="center"/>
          </w:tcPr>
          <w:p>
            <w:pPr>
              <w:spacing w:before="60" w:after="60"/>
              <w:jc w:val="right"/>
              <w:rPr>
                <w:b/>
                <w:i/>
                <w:noProof/>
                <w:sz w:val="20"/>
                <w:szCs w:val="20"/>
              </w:rPr>
            </w:pPr>
            <w:r>
              <w:rPr>
                <w:b/>
                <w:noProof/>
                <w:sz w:val="20"/>
              </w:rPr>
              <w:t>7</w:t>
            </w:r>
          </w:p>
        </w:tc>
        <w:tc>
          <w:tcPr>
            <w:tcW w:w="996" w:type="dxa"/>
            <w:shd w:val="clear" w:color="auto" w:fill="D9D9D9" w:themeFill="background1" w:themeFillShade="D9"/>
            <w:vAlign w:val="center"/>
          </w:tcPr>
          <w:p>
            <w:pPr>
              <w:spacing w:before="60" w:after="60"/>
              <w:jc w:val="right"/>
              <w:rPr>
                <w:b/>
                <w:i/>
                <w:noProof/>
                <w:sz w:val="20"/>
                <w:szCs w:val="20"/>
              </w:rPr>
            </w:pPr>
            <w:r>
              <w:rPr>
                <w:b/>
                <w:noProof/>
                <w:sz w:val="20"/>
              </w:rPr>
              <w:t>7</w:t>
            </w:r>
          </w:p>
        </w:tc>
      </w:tr>
      <w:tr>
        <w:trPr>
          <w:trHeight w:val="521"/>
          <w:jc w:val="center"/>
        </w:trPr>
        <w:tc>
          <w:tcPr>
            <w:tcW w:w="2747" w:type="dxa"/>
            <w:vAlign w:val="center"/>
          </w:tcPr>
          <w:p>
            <w:pPr>
              <w:spacing w:before="60" w:after="60"/>
              <w:jc w:val="left"/>
              <w:rPr>
                <w:noProof/>
                <w:sz w:val="20"/>
                <w:szCs w:val="20"/>
              </w:rPr>
            </w:pPr>
            <w:r>
              <w:rPr>
                <w:noProof/>
                <w:sz w:val="20"/>
              </w:rPr>
              <w:t>Agenți contractuali</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3</w:t>
            </w:r>
          </w:p>
        </w:tc>
        <w:tc>
          <w:tcPr>
            <w:tcW w:w="996" w:type="dxa"/>
            <w:vAlign w:val="center"/>
          </w:tcPr>
          <w:p>
            <w:pPr>
              <w:spacing w:before="60" w:after="60"/>
              <w:jc w:val="right"/>
              <w:rPr>
                <w:noProof/>
                <w:sz w:val="20"/>
                <w:szCs w:val="20"/>
              </w:rPr>
            </w:pPr>
            <w:r>
              <w:rPr>
                <w:noProof/>
                <w:sz w:val="20"/>
              </w:rPr>
              <w:t>3</w:t>
            </w:r>
          </w:p>
        </w:tc>
        <w:tc>
          <w:tcPr>
            <w:tcW w:w="996" w:type="dxa"/>
            <w:vAlign w:val="center"/>
          </w:tcPr>
          <w:p>
            <w:pPr>
              <w:spacing w:before="60" w:after="60"/>
              <w:jc w:val="right"/>
              <w:rPr>
                <w:noProof/>
                <w:sz w:val="20"/>
                <w:szCs w:val="20"/>
              </w:rPr>
            </w:pPr>
            <w:r>
              <w:rPr>
                <w:noProof/>
                <w:sz w:val="20"/>
              </w:rPr>
              <w:t>3</w:t>
            </w:r>
          </w:p>
        </w:tc>
        <w:tc>
          <w:tcPr>
            <w:tcW w:w="996" w:type="dxa"/>
            <w:vAlign w:val="center"/>
          </w:tcPr>
          <w:p>
            <w:pPr>
              <w:spacing w:before="60" w:after="60"/>
              <w:jc w:val="right"/>
              <w:rPr>
                <w:noProof/>
                <w:sz w:val="20"/>
                <w:szCs w:val="20"/>
              </w:rPr>
            </w:pPr>
            <w:r>
              <w:rPr>
                <w:noProof/>
                <w:sz w:val="20"/>
              </w:rPr>
              <w:t>3</w:t>
            </w:r>
          </w:p>
        </w:tc>
        <w:tc>
          <w:tcPr>
            <w:tcW w:w="996" w:type="dxa"/>
            <w:vAlign w:val="center"/>
          </w:tcPr>
          <w:p>
            <w:pPr>
              <w:spacing w:before="60" w:after="60"/>
              <w:jc w:val="right"/>
              <w:rPr>
                <w:noProof/>
                <w:sz w:val="20"/>
                <w:szCs w:val="20"/>
              </w:rPr>
            </w:pPr>
            <w:r>
              <w:rPr>
                <w:noProof/>
                <w:sz w:val="20"/>
              </w:rPr>
              <w:t>3</w:t>
            </w:r>
          </w:p>
        </w:tc>
        <w:tc>
          <w:tcPr>
            <w:tcW w:w="996" w:type="dxa"/>
            <w:vAlign w:val="center"/>
          </w:tcPr>
          <w:p>
            <w:pPr>
              <w:spacing w:before="60" w:after="60"/>
              <w:jc w:val="right"/>
              <w:rPr>
                <w:noProof/>
                <w:sz w:val="20"/>
                <w:szCs w:val="20"/>
              </w:rPr>
            </w:pPr>
            <w:r>
              <w:rPr>
                <w:noProof/>
                <w:sz w:val="20"/>
              </w:rPr>
              <w:t>3</w:t>
            </w:r>
          </w:p>
        </w:tc>
      </w:tr>
      <w:tr>
        <w:trPr>
          <w:trHeight w:val="521"/>
          <w:jc w:val="center"/>
        </w:trPr>
        <w:tc>
          <w:tcPr>
            <w:tcW w:w="2747" w:type="dxa"/>
            <w:vAlign w:val="center"/>
          </w:tcPr>
          <w:p>
            <w:pPr>
              <w:spacing w:before="60" w:after="60"/>
              <w:jc w:val="left"/>
              <w:rPr>
                <w:noProof/>
                <w:sz w:val="20"/>
                <w:szCs w:val="20"/>
              </w:rPr>
            </w:pPr>
            <w:r>
              <w:rPr>
                <w:noProof/>
                <w:sz w:val="20"/>
              </w:rPr>
              <w:t>Experți naționali detașați</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c>
          <w:tcPr>
            <w:tcW w:w="996" w:type="dxa"/>
            <w:vAlign w:val="center"/>
          </w:tcPr>
          <w:p>
            <w:pPr>
              <w:spacing w:before="60" w:after="60"/>
              <w:jc w:val="right"/>
              <w:rPr>
                <w:noProof/>
                <w:sz w:val="20"/>
                <w:szCs w:val="20"/>
              </w:rPr>
            </w:pPr>
            <w:r>
              <w:rPr>
                <w:noProof/>
                <w:sz w:val="20"/>
              </w:rPr>
              <w:t>0</w:t>
            </w:r>
          </w:p>
        </w:tc>
      </w:tr>
      <w:tr>
        <w:trPr>
          <w:trHeight w:val="521"/>
          <w:jc w:val="center"/>
        </w:trPr>
        <w:tc>
          <w:tcPr>
            <w:tcW w:w="2747" w:type="dxa"/>
            <w:tcBorders>
              <w:bottom w:val="single" w:sz="4" w:space="0" w:color="auto"/>
            </w:tcBorders>
            <w:shd w:val="clear" w:color="auto" w:fill="D9D9D9" w:themeFill="background1" w:themeFillShade="D9"/>
            <w:vAlign w:val="center"/>
          </w:tcPr>
          <w:p>
            <w:pPr>
              <w:spacing w:before="60" w:after="60"/>
              <w:jc w:val="left"/>
              <w:rPr>
                <w:b/>
                <w:i/>
                <w:noProof/>
                <w:sz w:val="20"/>
                <w:szCs w:val="20"/>
              </w:rPr>
            </w:pPr>
            <w:r>
              <w:rPr>
                <w:b/>
                <w:i/>
                <w:noProof/>
                <w:sz w:val="20"/>
              </w:rPr>
              <w:t>Subtotal agenți contractuali și experți naționali detașați</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noProof/>
                <w:sz w:val="20"/>
              </w:rPr>
              <w:t>0</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noProof/>
                <w:sz w:val="20"/>
              </w:rPr>
              <w:t>3</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noProof/>
                <w:sz w:val="20"/>
              </w:rPr>
              <w:t>3</w:t>
            </w:r>
          </w:p>
        </w:tc>
        <w:tc>
          <w:tcPr>
            <w:tcW w:w="996" w:type="dxa"/>
            <w:tcBorders>
              <w:bottom w:val="single" w:sz="4" w:space="0" w:color="auto"/>
            </w:tcBorders>
            <w:shd w:val="clear" w:color="auto" w:fill="D9D9D9" w:themeFill="background1" w:themeFillShade="D9"/>
            <w:vAlign w:val="center"/>
          </w:tcPr>
          <w:p>
            <w:pPr>
              <w:spacing w:before="60" w:after="60"/>
              <w:jc w:val="right"/>
              <w:rPr>
                <w:b/>
                <w:i/>
                <w:noProof/>
                <w:color w:val="000000"/>
                <w:sz w:val="16"/>
                <w:szCs w:val="16"/>
              </w:rPr>
            </w:pPr>
            <w:r>
              <w:rPr>
                <w:noProof/>
                <w:sz w:val="20"/>
              </w:rPr>
              <w:t>3</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noProof/>
                <w:sz w:val="20"/>
              </w:rPr>
              <w:t>3</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noProof/>
                <w:sz w:val="20"/>
              </w:rPr>
              <w:t>3</w:t>
            </w:r>
          </w:p>
        </w:tc>
        <w:tc>
          <w:tcPr>
            <w:tcW w:w="996" w:type="dxa"/>
            <w:tcBorders>
              <w:bottom w:val="single" w:sz="4" w:space="0" w:color="auto"/>
            </w:tcBorders>
            <w:shd w:val="clear" w:color="auto" w:fill="D9D9D9" w:themeFill="background1" w:themeFillShade="D9"/>
            <w:vAlign w:val="center"/>
          </w:tcPr>
          <w:p>
            <w:pPr>
              <w:spacing w:before="60" w:after="60"/>
              <w:jc w:val="right"/>
              <w:rPr>
                <w:i/>
                <w:noProof/>
                <w:sz w:val="20"/>
                <w:szCs w:val="20"/>
              </w:rPr>
            </w:pPr>
            <w:r>
              <w:rPr>
                <w:noProof/>
                <w:sz w:val="20"/>
              </w:rPr>
              <w:t>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personal</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color w:val="000000"/>
                <w:sz w:val="16"/>
                <w:szCs w:val="16"/>
              </w:rPr>
            </w:pPr>
            <w:r>
              <w:rPr>
                <w:b/>
                <w:noProof/>
                <w:color w:val="000000"/>
                <w:sz w:val="20"/>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10</w:t>
            </w:r>
          </w:p>
        </w:tc>
      </w:tr>
    </w:tbl>
    <w:p>
      <w:pPr>
        <w:pStyle w:val="Text1"/>
        <w:ind w:left="0"/>
        <w:rPr>
          <w:noProof/>
        </w:rPr>
      </w:pPr>
      <w:r>
        <w:rPr>
          <w:noProof/>
        </w:rPr>
        <w:t>Credite acoperite de contribuția de la bugetul UE în milioane EUR (cu trei zecimale)</w:t>
      </w:r>
      <w:r>
        <w:rPr>
          <w:rStyle w:val="FootnoteReference"/>
          <w:noProof/>
        </w:rPr>
        <w:footnoteReference w:id="99"/>
      </w:r>
      <w:r>
        <w:rPr>
          <w:noProof/>
        </w:rPr>
        <w:t>:</w:t>
      </w:r>
    </w:p>
    <w:tbl>
      <w:tblPr>
        <w:tblW w:w="9782" w:type="dxa"/>
        <w:tblInd w:w="-3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75"/>
        <w:gridCol w:w="840"/>
        <w:gridCol w:w="841"/>
        <w:gridCol w:w="841"/>
        <w:gridCol w:w="841"/>
        <w:gridCol w:w="841"/>
        <w:gridCol w:w="841"/>
        <w:gridCol w:w="841"/>
        <w:gridCol w:w="1121"/>
      </w:tblGrid>
      <w:tr>
        <w:trPr>
          <w:cantSplit/>
          <w:trHeight w:val="571"/>
        </w:trPr>
        <w:tc>
          <w:tcPr>
            <w:tcW w:w="2775" w:type="dxa"/>
            <w:vAlign w:val="center"/>
          </w:tcPr>
          <w:p>
            <w:pPr>
              <w:spacing w:before="60" w:after="60"/>
              <w:jc w:val="center"/>
              <w:rPr>
                <w:b/>
                <w:noProof/>
                <w:color w:val="444444"/>
                <w:sz w:val="20"/>
                <w:szCs w:val="20"/>
                <w:shd w:val="clear" w:color="auto" w:fill="FFFFFF"/>
              </w:rPr>
            </w:pPr>
            <w:r>
              <w:rPr>
                <w:b/>
                <w:noProof/>
                <w:color w:val="444444"/>
                <w:sz w:val="20"/>
                <w:shd w:val="clear" w:color="auto" w:fill="FFFFFF"/>
              </w:rPr>
              <w:t>Agenția: eu-LISA</w:t>
            </w:r>
          </w:p>
        </w:tc>
        <w:tc>
          <w:tcPr>
            <w:tcW w:w="840" w:type="dxa"/>
            <w:vAlign w:val="center"/>
          </w:tcPr>
          <w:p>
            <w:pPr>
              <w:jc w:val="center"/>
              <w:rPr>
                <w:noProof/>
                <w:sz w:val="20"/>
              </w:rPr>
            </w:pPr>
            <w:r>
              <w:rPr>
                <w:noProof/>
                <w:sz w:val="20"/>
              </w:rPr>
              <w:t xml:space="preserve">Anul </w:t>
            </w:r>
            <w:r>
              <w:rPr>
                <w:b/>
                <w:noProof/>
                <w:sz w:val="20"/>
              </w:rPr>
              <w:t>2028</w:t>
            </w:r>
          </w:p>
        </w:tc>
        <w:tc>
          <w:tcPr>
            <w:tcW w:w="841" w:type="dxa"/>
            <w:vAlign w:val="center"/>
          </w:tcPr>
          <w:p>
            <w:pPr>
              <w:jc w:val="center"/>
              <w:rPr>
                <w:noProof/>
                <w:sz w:val="20"/>
              </w:rPr>
            </w:pPr>
            <w:r>
              <w:rPr>
                <w:noProof/>
                <w:sz w:val="20"/>
              </w:rPr>
              <w:t xml:space="preserve">Anul </w:t>
            </w:r>
            <w:r>
              <w:rPr>
                <w:b/>
                <w:noProof/>
                <w:sz w:val="20"/>
              </w:rPr>
              <w:t>2029</w:t>
            </w:r>
          </w:p>
        </w:tc>
        <w:tc>
          <w:tcPr>
            <w:tcW w:w="841" w:type="dxa"/>
            <w:vAlign w:val="center"/>
          </w:tcPr>
          <w:p>
            <w:pPr>
              <w:jc w:val="center"/>
              <w:rPr>
                <w:noProof/>
                <w:sz w:val="20"/>
              </w:rPr>
            </w:pPr>
            <w:r>
              <w:rPr>
                <w:noProof/>
                <w:sz w:val="20"/>
              </w:rPr>
              <w:t xml:space="preserve">Anul </w:t>
            </w:r>
            <w:r>
              <w:rPr>
                <w:b/>
                <w:noProof/>
                <w:sz w:val="20"/>
              </w:rPr>
              <w:t>2030</w:t>
            </w:r>
          </w:p>
        </w:tc>
        <w:tc>
          <w:tcPr>
            <w:tcW w:w="841" w:type="dxa"/>
            <w:vAlign w:val="center"/>
          </w:tcPr>
          <w:p>
            <w:pPr>
              <w:jc w:val="center"/>
              <w:rPr>
                <w:noProof/>
                <w:sz w:val="20"/>
              </w:rPr>
            </w:pPr>
            <w:r>
              <w:rPr>
                <w:noProof/>
                <w:sz w:val="20"/>
              </w:rPr>
              <w:t xml:space="preserve">Anul </w:t>
            </w:r>
            <w:r>
              <w:rPr>
                <w:b/>
                <w:noProof/>
                <w:sz w:val="20"/>
              </w:rPr>
              <w:t>2031</w:t>
            </w:r>
          </w:p>
        </w:tc>
        <w:tc>
          <w:tcPr>
            <w:tcW w:w="841" w:type="dxa"/>
            <w:vAlign w:val="center"/>
          </w:tcPr>
          <w:p>
            <w:pPr>
              <w:jc w:val="center"/>
              <w:rPr>
                <w:noProof/>
                <w:sz w:val="20"/>
              </w:rPr>
            </w:pPr>
            <w:r>
              <w:rPr>
                <w:noProof/>
                <w:sz w:val="20"/>
              </w:rPr>
              <w:t xml:space="preserve">Anul </w:t>
            </w:r>
            <w:r>
              <w:rPr>
                <w:b/>
                <w:noProof/>
                <w:sz w:val="20"/>
              </w:rPr>
              <w:t>2032</w:t>
            </w:r>
          </w:p>
        </w:tc>
        <w:tc>
          <w:tcPr>
            <w:tcW w:w="841" w:type="dxa"/>
            <w:vAlign w:val="center"/>
          </w:tcPr>
          <w:p>
            <w:pPr>
              <w:jc w:val="center"/>
              <w:rPr>
                <w:noProof/>
                <w:sz w:val="20"/>
              </w:rPr>
            </w:pPr>
            <w:r>
              <w:rPr>
                <w:noProof/>
                <w:sz w:val="20"/>
              </w:rPr>
              <w:t xml:space="preserve">Anul </w:t>
            </w:r>
            <w:r>
              <w:rPr>
                <w:b/>
                <w:noProof/>
                <w:sz w:val="20"/>
              </w:rPr>
              <w:t>2033</w:t>
            </w:r>
          </w:p>
        </w:tc>
        <w:tc>
          <w:tcPr>
            <w:tcW w:w="841" w:type="dxa"/>
            <w:vAlign w:val="center"/>
          </w:tcPr>
          <w:p>
            <w:pPr>
              <w:jc w:val="center"/>
              <w:rPr>
                <w:noProof/>
                <w:sz w:val="20"/>
              </w:rPr>
            </w:pPr>
            <w:r>
              <w:rPr>
                <w:noProof/>
                <w:sz w:val="20"/>
              </w:rPr>
              <w:t xml:space="preserve">Anul </w:t>
            </w:r>
            <w:r>
              <w:rPr>
                <w:b/>
                <w:noProof/>
                <w:sz w:val="20"/>
              </w:rPr>
              <w:t>2034</w:t>
            </w:r>
          </w:p>
        </w:tc>
        <w:tc>
          <w:tcPr>
            <w:tcW w:w="1121" w:type="dxa"/>
            <w:vAlign w:val="center"/>
          </w:tcPr>
          <w:p>
            <w:pPr>
              <w:spacing w:before="60" w:after="60"/>
              <w:jc w:val="center"/>
              <w:rPr>
                <w:noProof/>
                <w:sz w:val="20"/>
                <w:szCs w:val="20"/>
              </w:rPr>
            </w:pPr>
            <w:r>
              <w:rPr>
                <w:b/>
                <w:noProof/>
                <w:color w:val="000000"/>
                <w:sz w:val="20"/>
              </w:rPr>
              <w:t>TOTAL 2028-2034</w:t>
            </w:r>
          </w:p>
        </w:tc>
      </w:tr>
      <w:tr>
        <w:trPr>
          <w:cantSplit/>
          <w:trHeight w:val="683"/>
        </w:trPr>
        <w:tc>
          <w:tcPr>
            <w:tcW w:w="2775" w:type="dxa"/>
            <w:vAlign w:val="center"/>
          </w:tcPr>
          <w:p>
            <w:pPr>
              <w:jc w:val="left"/>
              <w:rPr>
                <w:noProof/>
              </w:rPr>
            </w:pPr>
            <w:r>
              <w:rPr>
                <w:noProof/>
                <w:sz w:val="20"/>
              </w:rPr>
              <w:t>Titlul 1: Cheltuieli cu personalul</w:t>
            </w:r>
          </w:p>
        </w:tc>
        <w:tc>
          <w:tcPr>
            <w:tcW w:w="840" w:type="dxa"/>
            <w:vAlign w:val="center"/>
          </w:tcPr>
          <w:p>
            <w:pPr>
              <w:spacing w:before="60" w:after="60"/>
              <w:jc w:val="right"/>
              <w:rPr>
                <w:noProof/>
                <w:sz w:val="20"/>
                <w:szCs w:val="20"/>
              </w:rPr>
            </w:pPr>
            <w:r>
              <w:rPr>
                <w:noProof/>
                <w:sz w:val="20"/>
              </w:rPr>
              <w:t>0,756</w:t>
            </w:r>
          </w:p>
        </w:tc>
        <w:tc>
          <w:tcPr>
            <w:tcW w:w="841" w:type="dxa"/>
            <w:vAlign w:val="center"/>
          </w:tcPr>
          <w:p>
            <w:pPr>
              <w:spacing w:before="60" w:after="60"/>
              <w:jc w:val="right"/>
              <w:rPr>
                <w:noProof/>
                <w:sz w:val="20"/>
                <w:szCs w:val="20"/>
              </w:rPr>
            </w:pPr>
            <w:r>
              <w:rPr>
                <w:noProof/>
                <w:sz w:val="20"/>
              </w:rPr>
              <w:t>1,687</w:t>
            </w:r>
          </w:p>
        </w:tc>
        <w:tc>
          <w:tcPr>
            <w:tcW w:w="841" w:type="dxa"/>
            <w:vAlign w:val="center"/>
          </w:tcPr>
          <w:p>
            <w:pPr>
              <w:spacing w:before="60" w:after="60"/>
              <w:jc w:val="right"/>
              <w:rPr>
                <w:noProof/>
                <w:sz w:val="20"/>
                <w:szCs w:val="20"/>
              </w:rPr>
            </w:pPr>
            <w:r>
              <w:rPr>
                <w:noProof/>
                <w:sz w:val="20"/>
              </w:rPr>
              <w:t>1,863</w:t>
            </w:r>
          </w:p>
        </w:tc>
        <w:tc>
          <w:tcPr>
            <w:tcW w:w="841" w:type="dxa"/>
            <w:vAlign w:val="center"/>
          </w:tcPr>
          <w:p>
            <w:pPr>
              <w:spacing w:before="60" w:after="60"/>
              <w:jc w:val="right"/>
              <w:rPr>
                <w:noProof/>
                <w:sz w:val="20"/>
                <w:szCs w:val="20"/>
              </w:rPr>
            </w:pPr>
            <w:r>
              <w:rPr>
                <w:noProof/>
                <w:sz w:val="20"/>
              </w:rPr>
              <w:t>1,863</w:t>
            </w:r>
          </w:p>
        </w:tc>
        <w:tc>
          <w:tcPr>
            <w:tcW w:w="841" w:type="dxa"/>
            <w:vAlign w:val="center"/>
          </w:tcPr>
          <w:p>
            <w:pPr>
              <w:spacing w:before="60" w:after="60"/>
              <w:jc w:val="right"/>
              <w:rPr>
                <w:noProof/>
                <w:sz w:val="20"/>
                <w:szCs w:val="20"/>
              </w:rPr>
            </w:pPr>
            <w:r>
              <w:rPr>
                <w:noProof/>
                <w:sz w:val="20"/>
              </w:rPr>
              <w:t>1,863</w:t>
            </w:r>
          </w:p>
        </w:tc>
        <w:tc>
          <w:tcPr>
            <w:tcW w:w="841" w:type="dxa"/>
            <w:vAlign w:val="center"/>
          </w:tcPr>
          <w:p>
            <w:pPr>
              <w:spacing w:before="60" w:after="60"/>
              <w:jc w:val="right"/>
              <w:rPr>
                <w:noProof/>
                <w:sz w:val="20"/>
                <w:szCs w:val="20"/>
              </w:rPr>
            </w:pPr>
            <w:r>
              <w:rPr>
                <w:noProof/>
                <w:sz w:val="20"/>
              </w:rPr>
              <w:t>1,863</w:t>
            </w:r>
          </w:p>
        </w:tc>
        <w:tc>
          <w:tcPr>
            <w:tcW w:w="841" w:type="dxa"/>
            <w:vAlign w:val="center"/>
          </w:tcPr>
          <w:p>
            <w:pPr>
              <w:spacing w:before="60" w:after="60"/>
              <w:jc w:val="right"/>
              <w:rPr>
                <w:noProof/>
                <w:sz w:val="20"/>
                <w:szCs w:val="20"/>
              </w:rPr>
            </w:pPr>
            <w:r>
              <w:rPr>
                <w:noProof/>
                <w:sz w:val="20"/>
              </w:rPr>
              <w:t>1,863</w:t>
            </w:r>
          </w:p>
        </w:tc>
        <w:tc>
          <w:tcPr>
            <w:tcW w:w="1121" w:type="dxa"/>
            <w:vAlign w:val="center"/>
          </w:tcPr>
          <w:p>
            <w:pPr>
              <w:spacing w:before="60" w:after="60"/>
              <w:jc w:val="right"/>
              <w:rPr>
                <w:noProof/>
                <w:sz w:val="20"/>
                <w:szCs w:val="20"/>
              </w:rPr>
            </w:pPr>
            <w:r>
              <w:rPr>
                <w:b/>
                <w:noProof/>
                <w:sz w:val="20"/>
              </w:rPr>
              <w:t>11,758</w:t>
            </w:r>
          </w:p>
        </w:tc>
      </w:tr>
      <w:tr>
        <w:trPr>
          <w:cantSplit/>
          <w:trHeight w:val="683"/>
        </w:trPr>
        <w:tc>
          <w:tcPr>
            <w:tcW w:w="2775" w:type="dxa"/>
            <w:vAlign w:val="center"/>
          </w:tcPr>
          <w:p>
            <w:pPr>
              <w:jc w:val="left"/>
              <w:rPr>
                <w:noProof/>
                <w:sz w:val="20"/>
              </w:rPr>
            </w:pPr>
            <w:r>
              <w:rPr>
                <w:noProof/>
                <w:sz w:val="20"/>
              </w:rPr>
              <w:t>Titlul 2: Cheltuieli cu infrastructura și cheltuieli operaționale</w:t>
            </w:r>
          </w:p>
        </w:tc>
        <w:tc>
          <w:tcPr>
            <w:tcW w:w="840"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841" w:type="dxa"/>
            <w:vAlign w:val="center"/>
          </w:tcPr>
          <w:p>
            <w:pPr>
              <w:spacing w:before="60" w:after="60"/>
              <w:jc w:val="right"/>
              <w:rPr>
                <w:noProof/>
                <w:sz w:val="20"/>
                <w:szCs w:val="20"/>
              </w:rPr>
            </w:pPr>
          </w:p>
        </w:tc>
        <w:tc>
          <w:tcPr>
            <w:tcW w:w="1121" w:type="dxa"/>
            <w:vAlign w:val="center"/>
          </w:tcPr>
          <w:p>
            <w:pPr>
              <w:spacing w:before="60" w:after="60"/>
              <w:jc w:val="right"/>
              <w:rPr>
                <w:noProof/>
                <w:sz w:val="20"/>
                <w:szCs w:val="20"/>
              </w:rPr>
            </w:pPr>
          </w:p>
        </w:tc>
      </w:tr>
      <w:tr>
        <w:trPr>
          <w:cantSplit/>
          <w:trHeight w:val="683"/>
        </w:trPr>
        <w:tc>
          <w:tcPr>
            <w:tcW w:w="2775" w:type="dxa"/>
            <w:vAlign w:val="center"/>
          </w:tcPr>
          <w:p>
            <w:pPr>
              <w:jc w:val="left"/>
              <w:rPr>
                <w:noProof/>
                <w:sz w:val="20"/>
              </w:rPr>
            </w:pPr>
            <w:r>
              <w:rPr>
                <w:noProof/>
                <w:sz w:val="20"/>
              </w:rPr>
              <w:t>Titlul 3: Cheltuieli operaționale</w:t>
            </w:r>
          </w:p>
        </w:tc>
        <w:tc>
          <w:tcPr>
            <w:tcW w:w="840"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841" w:type="dxa"/>
          </w:tcPr>
          <w:p>
            <w:pPr>
              <w:spacing w:before="60" w:after="60"/>
              <w:jc w:val="right"/>
              <w:rPr>
                <w:noProof/>
                <w:sz w:val="20"/>
                <w:szCs w:val="20"/>
              </w:rPr>
            </w:pPr>
            <w:r>
              <w:rPr>
                <w:noProof/>
                <w:sz w:val="20"/>
              </w:rPr>
              <w:t>p.m.</w:t>
            </w:r>
          </w:p>
        </w:tc>
        <w:tc>
          <w:tcPr>
            <w:tcW w:w="1121" w:type="dxa"/>
          </w:tcPr>
          <w:p>
            <w:pPr>
              <w:spacing w:before="60" w:after="60"/>
              <w:jc w:val="right"/>
              <w:rPr>
                <w:noProof/>
                <w:sz w:val="20"/>
                <w:szCs w:val="20"/>
              </w:rPr>
            </w:pPr>
            <w:r>
              <w:rPr>
                <w:noProof/>
                <w:sz w:val="20"/>
              </w:rPr>
              <w:t>p.m.</w:t>
            </w:r>
          </w:p>
        </w:tc>
      </w:tr>
      <w:tr>
        <w:trPr>
          <w:cantSplit/>
          <w:trHeight w:val="683"/>
        </w:trPr>
        <w:tc>
          <w:tcPr>
            <w:tcW w:w="2775" w:type="dxa"/>
            <w:shd w:val="clear" w:color="auto" w:fill="D9D9D9" w:themeFill="background1" w:themeFillShade="D9"/>
            <w:vAlign w:val="center"/>
          </w:tcPr>
          <w:p>
            <w:pPr>
              <w:spacing w:before="60" w:after="60"/>
              <w:jc w:val="left"/>
              <w:rPr>
                <w:b/>
                <w:noProof/>
                <w:sz w:val="20"/>
              </w:rPr>
            </w:pPr>
            <w:r>
              <w:rPr>
                <w:b/>
                <w:noProof/>
                <w:sz w:val="20"/>
              </w:rPr>
              <w:t xml:space="preserve">TOTAL credite acoperite de bugetul UE </w:t>
            </w:r>
          </w:p>
        </w:tc>
        <w:tc>
          <w:tcPr>
            <w:tcW w:w="840" w:type="dxa"/>
            <w:shd w:val="clear" w:color="auto" w:fill="D9D9D9" w:themeFill="background1" w:themeFillShade="D9"/>
            <w:vAlign w:val="center"/>
          </w:tcPr>
          <w:p>
            <w:pPr>
              <w:spacing w:before="60" w:after="60"/>
              <w:jc w:val="right"/>
              <w:rPr>
                <w:b/>
                <w:noProof/>
                <w:sz w:val="20"/>
                <w:szCs w:val="20"/>
              </w:rPr>
            </w:pPr>
            <w:r>
              <w:rPr>
                <w:b/>
                <w:noProof/>
                <w:sz w:val="20"/>
              </w:rPr>
              <w:t>0,756</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1,687</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1,863</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1,863</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1,863</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1,863</w:t>
            </w:r>
          </w:p>
        </w:tc>
        <w:tc>
          <w:tcPr>
            <w:tcW w:w="841" w:type="dxa"/>
            <w:shd w:val="clear" w:color="auto" w:fill="D9D9D9" w:themeFill="background1" w:themeFillShade="D9"/>
            <w:vAlign w:val="center"/>
          </w:tcPr>
          <w:p>
            <w:pPr>
              <w:spacing w:before="60" w:after="60"/>
              <w:jc w:val="right"/>
              <w:rPr>
                <w:b/>
                <w:noProof/>
                <w:sz w:val="20"/>
                <w:szCs w:val="20"/>
              </w:rPr>
            </w:pPr>
            <w:r>
              <w:rPr>
                <w:b/>
                <w:noProof/>
                <w:sz w:val="20"/>
              </w:rPr>
              <w:t>1,863</w:t>
            </w:r>
          </w:p>
        </w:tc>
        <w:tc>
          <w:tcPr>
            <w:tcW w:w="1121" w:type="dxa"/>
            <w:shd w:val="clear" w:color="auto" w:fill="D9D9D9" w:themeFill="background1" w:themeFillShade="D9"/>
            <w:vAlign w:val="center"/>
          </w:tcPr>
          <w:p>
            <w:pPr>
              <w:spacing w:before="60" w:after="60"/>
              <w:jc w:val="right"/>
              <w:rPr>
                <w:b/>
                <w:noProof/>
                <w:sz w:val="20"/>
                <w:szCs w:val="20"/>
              </w:rPr>
            </w:pPr>
            <w:r>
              <w:rPr>
                <w:b/>
                <w:noProof/>
                <w:sz w:val="20"/>
              </w:rPr>
              <w:t>11,758</w:t>
            </w:r>
          </w:p>
        </w:tc>
      </w:tr>
    </w:tbl>
    <w:p>
      <w:pPr>
        <w:pStyle w:val="Text1"/>
        <w:spacing w:before="240"/>
        <w:ind w:left="0"/>
        <w:rPr>
          <w:noProof/>
        </w:rPr>
      </w:pPr>
      <w:r>
        <w:rPr>
          <w:noProof/>
        </w:rPr>
        <w:t xml:space="preserve">Toate nevoile bugetare suplimentare pentru eu-LISA legate de punerea în aplicare a atribuțiilor delegate agenției în prezentul regulament vor fi compensate din creditele alocate Europol în cadrul acestei fișe financiare legislative și digitale. </w:t>
      </w:r>
      <w:r>
        <w:rPr>
          <w:noProof/>
        </w:rPr>
        <w:br w:type="page"/>
      </w:r>
    </w:p>
    <w:p>
      <w:pPr>
        <w:pStyle w:val="Text1"/>
        <w:ind w:left="0"/>
        <w:rPr>
          <w:noProof/>
        </w:rPr>
      </w:pPr>
      <w:r>
        <w:rPr>
          <w:noProof/>
        </w:rPr>
        <w:t>Prezentare generală/sinteză a resurselor umane și a creditelor (în milioane EUR) necesare pentru propunere/inițiativă în cadrul unei agenții descentralizate</w:t>
      </w:r>
      <w:r>
        <w:rPr>
          <w:rStyle w:val="FootnoteReference"/>
          <w:noProof/>
        </w:rPr>
        <w:footnoteReference w:id="100"/>
      </w:r>
      <w:r>
        <w:rPr>
          <w:noProof/>
        </w:rPr>
        <w:t>:</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91"/>
        <w:gridCol w:w="868"/>
        <w:gridCol w:w="869"/>
        <w:gridCol w:w="869"/>
        <w:gridCol w:w="869"/>
        <w:gridCol w:w="869"/>
        <w:gridCol w:w="869"/>
        <w:gridCol w:w="869"/>
        <w:gridCol w:w="971"/>
      </w:tblGrid>
      <w:tr>
        <w:trPr>
          <w:cantSplit/>
          <w:trHeight w:val="592"/>
        </w:trPr>
        <w:tc>
          <w:tcPr>
            <w:tcW w:w="2791" w:type="dxa"/>
            <w:vAlign w:val="center"/>
          </w:tcPr>
          <w:p>
            <w:pPr>
              <w:spacing w:before="60" w:after="60"/>
              <w:jc w:val="center"/>
              <w:rPr>
                <w:b/>
                <w:noProof/>
                <w:sz w:val="20"/>
              </w:rPr>
            </w:pPr>
            <w:r>
              <w:rPr>
                <w:b/>
                <w:noProof/>
                <w:color w:val="444444"/>
                <w:sz w:val="20"/>
                <w:shd w:val="clear" w:color="auto" w:fill="FFFFFF"/>
              </w:rPr>
              <w:t>Agenția: eu-LISA</w:t>
            </w:r>
          </w:p>
        </w:tc>
        <w:tc>
          <w:tcPr>
            <w:tcW w:w="868" w:type="dxa"/>
            <w:vAlign w:val="center"/>
          </w:tcPr>
          <w:p>
            <w:pPr>
              <w:jc w:val="center"/>
              <w:rPr>
                <w:noProof/>
                <w:sz w:val="20"/>
              </w:rPr>
            </w:pPr>
            <w:r>
              <w:rPr>
                <w:noProof/>
                <w:sz w:val="20"/>
              </w:rPr>
              <w:t xml:space="preserve">Anul </w:t>
            </w:r>
            <w:r>
              <w:rPr>
                <w:b/>
                <w:noProof/>
                <w:sz w:val="20"/>
              </w:rPr>
              <w:t>2028</w:t>
            </w:r>
          </w:p>
        </w:tc>
        <w:tc>
          <w:tcPr>
            <w:tcW w:w="869" w:type="dxa"/>
            <w:vAlign w:val="center"/>
          </w:tcPr>
          <w:p>
            <w:pPr>
              <w:jc w:val="center"/>
              <w:rPr>
                <w:noProof/>
                <w:sz w:val="20"/>
              </w:rPr>
            </w:pPr>
            <w:r>
              <w:rPr>
                <w:noProof/>
                <w:sz w:val="20"/>
              </w:rPr>
              <w:t xml:space="preserve">Anul </w:t>
            </w:r>
            <w:r>
              <w:rPr>
                <w:b/>
                <w:noProof/>
                <w:sz w:val="20"/>
              </w:rPr>
              <w:t>2029</w:t>
            </w:r>
          </w:p>
        </w:tc>
        <w:tc>
          <w:tcPr>
            <w:tcW w:w="869" w:type="dxa"/>
            <w:vAlign w:val="center"/>
          </w:tcPr>
          <w:p>
            <w:pPr>
              <w:jc w:val="center"/>
              <w:rPr>
                <w:noProof/>
                <w:sz w:val="20"/>
              </w:rPr>
            </w:pPr>
            <w:r>
              <w:rPr>
                <w:noProof/>
                <w:sz w:val="20"/>
              </w:rPr>
              <w:t xml:space="preserve">Anul </w:t>
            </w:r>
            <w:r>
              <w:rPr>
                <w:b/>
                <w:noProof/>
                <w:sz w:val="20"/>
              </w:rPr>
              <w:t>2030</w:t>
            </w:r>
          </w:p>
        </w:tc>
        <w:tc>
          <w:tcPr>
            <w:tcW w:w="869" w:type="dxa"/>
            <w:vAlign w:val="center"/>
          </w:tcPr>
          <w:p>
            <w:pPr>
              <w:jc w:val="center"/>
              <w:rPr>
                <w:noProof/>
                <w:sz w:val="20"/>
              </w:rPr>
            </w:pPr>
            <w:r>
              <w:rPr>
                <w:noProof/>
                <w:sz w:val="20"/>
              </w:rPr>
              <w:t xml:space="preserve">Anul </w:t>
            </w:r>
            <w:r>
              <w:rPr>
                <w:b/>
                <w:noProof/>
                <w:sz w:val="20"/>
              </w:rPr>
              <w:t>2031</w:t>
            </w:r>
          </w:p>
        </w:tc>
        <w:tc>
          <w:tcPr>
            <w:tcW w:w="869" w:type="dxa"/>
            <w:vAlign w:val="center"/>
          </w:tcPr>
          <w:p>
            <w:pPr>
              <w:jc w:val="center"/>
              <w:rPr>
                <w:noProof/>
                <w:sz w:val="20"/>
              </w:rPr>
            </w:pPr>
            <w:r>
              <w:rPr>
                <w:noProof/>
                <w:sz w:val="20"/>
              </w:rPr>
              <w:t xml:space="preserve">Anul </w:t>
            </w:r>
            <w:r>
              <w:rPr>
                <w:b/>
                <w:noProof/>
                <w:sz w:val="20"/>
              </w:rPr>
              <w:t>2032</w:t>
            </w:r>
          </w:p>
        </w:tc>
        <w:tc>
          <w:tcPr>
            <w:tcW w:w="869" w:type="dxa"/>
            <w:vAlign w:val="center"/>
          </w:tcPr>
          <w:p>
            <w:pPr>
              <w:jc w:val="center"/>
              <w:rPr>
                <w:noProof/>
                <w:sz w:val="20"/>
              </w:rPr>
            </w:pPr>
            <w:r>
              <w:rPr>
                <w:noProof/>
                <w:sz w:val="20"/>
              </w:rPr>
              <w:t xml:space="preserve">Anul </w:t>
            </w:r>
            <w:r>
              <w:rPr>
                <w:b/>
                <w:noProof/>
                <w:sz w:val="20"/>
              </w:rPr>
              <w:t>2033</w:t>
            </w:r>
          </w:p>
        </w:tc>
        <w:tc>
          <w:tcPr>
            <w:tcW w:w="869" w:type="dxa"/>
            <w:vAlign w:val="center"/>
          </w:tcPr>
          <w:p>
            <w:pPr>
              <w:jc w:val="center"/>
              <w:rPr>
                <w:noProof/>
                <w:sz w:val="20"/>
              </w:rPr>
            </w:pPr>
            <w:r>
              <w:rPr>
                <w:noProof/>
                <w:sz w:val="20"/>
              </w:rPr>
              <w:t xml:space="preserve">Anul </w:t>
            </w:r>
            <w:r>
              <w:rPr>
                <w:b/>
                <w:noProof/>
                <w:sz w:val="20"/>
              </w:rPr>
              <w:t>2034</w:t>
            </w:r>
          </w:p>
        </w:tc>
        <w:tc>
          <w:tcPr>
            <w:tcW w:w="971" w:type="dxa"/>
            <w:vAlign w:val="center"/>
          </w:tcPr>
          <w:p>
            <w:pPr>
              <w:spacing w:before="60" w:after="60"/>
              <w:jc w:val="center"/>
              <w:rPr>
                <w:b/>
                <w:noProof/>
                <w:sz w:val="20"/>
                <w:szCs w:val="20"/>
              </w:rPr>
            </w:pPr>
            <w:r>
              <w:rPr>
                <w:b/>
                <w:noProof/>
                <w:color w:val="000000"/>
                <w:sz w:val="20"/>
              </w:rPr>
              <w:t>TOTAL 2028-2034</w:t>
            </w:r>
          </w:p>
        </w:tc>
      </w:tr>
      <w:tr>
        <w:trPr>
          <w:cantSplit/>
          <w:trHeight w:val="710"/>
        </w:trPr>
        <w:tc>
          <w:tcPr>
            <w:tcW w:w="2791" w:type="dxa"/>
            <w:vAlign w:val="center"/>
          </w:tcPr>
          <w:p>
            <w:pPr>
              <w:jc w:val="left"/>
              <w:rPr>
                <w:noProof/>
              </w:rPr>
            </w:pPr>
            <w:r>
              <w:rPr>
                <w:noProof/>
                <w:sz w:val="20"/>
              </w:rPr>
              <w:t>Agenți temporari (AD+AST)</w:t>
            </w:r>
          </w:p>
        </w:tc>
        <w:tc>
          <w:tcPr>
            <w:tcW w:w="868" w:type="dxa"/>
            <w:vAlign w:val="center"/>
          </w:tcPr>
          <w:p>
            <w:pPr>
              <w:spacing w:before="60" w:after="60"/>
              <w:jc w:val="right"/>
              <w:rPr>
                <w:noProof/>
                <w:sz w:val="20"/>
                <w:szCs w:val="20"/>
              </w:rPr>
            </w:pPr>
            <w:r>
              <w:rPr>
                <w:noProof/>
                <w:sz w:val="20"/>
              </w:rPr>
              <w:t>7</w:t>
            </w:r>
          </w:p>
        </w:tc>
        <w:tc>
          <w:tcPr>
            <w:tcW w:w="869" w:type="dxa"/>
            <w:vAlign w:val="center"/>
          </w:tcPr>
          <w:p>
            <w:pPr>
              <w:spacing w:before="60" w:after="60"/>
              <w:jc w:val="right"/>
              <w:rPr>
                <w:b/>
                <w:noProof/>
                <w:color w:val="000000"/>
                <w:sz w:val="16"/>
                <w:szCs w:val="16"/>
              </w:rPr>
            </w:pPr>
            <w:r>
              <w:rPr>
                <w:noProof/>
                <w:sz w:val="20"/>
              </w:rPr>
              <w:t>7</w:t>
            </w:r>
          </w:p>
        </w:tc>
        <w:tc>
          <w:tcPr>
            <w:tcW w:w="869" w:type="dxa"/>
            <w:vAlign w:val="center"/>
          </w:tcPr>
          <w:p>
            <w:pPr>
              <w:spacing w:before="60" w:after="60"/>
              <w:jc w:val="right"/>
              <w:rPr>
                <w:b/>
                <w:noProof/>
                <w:color w:val="000000"/>
                <w:sz w:val="16"/>
                <w:szCs w:val="16"/>
              </w:rPr>
            </w:pPr>
            <w:r>
              <w:rPr>
                <w:noProof/>
                <w:sz w:val="20"/>
              </w:rPr>
              <w:t>7</w:t>
            </w:r>
          </w:p>
        </w:tc>
        <w:tc>
          <w:tcPr>
            <w:tcW w:w="869" w:type="dxa"/>
            <w:vAlign w:val="center"/>
          </w:tcPr>
          <w:p>
            <w:pPr>
              <w:spacing w:before="60" w:after="60"/>
              <w:jc w:val="right"/>
              <w:rPr>
                <w:b/>
                <w:noProof/>
                <w:color w:val="000000"/>
                <w:sz w:val="16"/>
                <w:szCs w:val="16"/>
              </w:rPr>
            </w:pPr>
            <w:r>
              <w:rPr>
                <w:noProof/>
                <w:sz w:val="20"/>
              </w:rPr>
              <w:t>7</w:t>
            </w:r>
          </w:p>
        </w:tc>
        <w:tc>
          <w:tcPr>
            <w:tcW w:w="869" w:type="dxa"/>
            <w:vAlign w:val="center"/>
          </w:tcPr>
          <w:p>
            <w:pPr>
              <w:spacing w:before="60" w:after="60"/>
              <w:jc w:val="right"/>
              <w:rPr>
                <w:noProof/>
                <w:sz w:val="20"/>
                <w:szCs w:val="20"/>
              </w:rPr>
            </w:pPr>
            <w:r>
              <w:rPr>
                <w:noProof/>
                <w:sz w:val="20"/>
              </w:rPr>
              <w:t>7</w:t>
            </w:r>
          </w:p>
        </w:tc>
        <w:tc>
          <w:tcPr>
            <w:tcW w:w="869" w:type="dxa"/>
            <w:vAlign w:val="center"/>
          </w:tcPr>
          <w:p>
            <w:pPr>
              <w:spacing w:before="60" w:after="60"/>
              <w:jc w:val="right"/>
              <w:rPr>
                <w:noProof/>
                <w:sz w:val="20"/>
                <w:szCs w:val="20"/>
              </w:rPr>
            </w:pPr>
            <w:r>
              <w:rPr>
                <w:noProof/>
                <w:sz w:val="20"/>
              </w:rPr>
              <w:t>7</w:t>
            </w:r>
          </w:p>
        </w:tc>
        <w:tc>
          <w:tcPr>
            <w:tcW w:w="869" w:type="dxa"/>
            <w:vAlign w:val="center"/>
          </w:tcPr>
          <w:p>
            <w:pPr>
              <w:spacing w:before="60" w:after="60"/>
              <w:jc w:val="right"/>
              <w:rPr>
                <w:noProof/>
                <w:sz w:val="20"/>
                <w:szCs w:val="20"/>
              </w:rPr>
            </w:pPr>
            <w:r>
              <w:rPr>
                <w:noProof/>
                <w:sz w:val="20"/>
              </w:rPr>
              <w:t>7</w:t>
            </w:r>
          </w:p>
        </w:tc>
        <w:tc>
          <w:tcPr>
            <w:tcW w:w="971" w:type="dxa"/>
            <w:vAlign w:val="center"/>
          </w:tcPr>
          <w:p>
            <w:pPr>
              <w:spacing w:before="60" w:after="60"/>
              <w:jc w:val="center"/>
              <w:rPr>
                <w:b/>
                <w:noProof/>
                <w:sz w:val="20"/>
                <w:szCs w:val="20"/>
              </w:rPr>
            </w:pPr>
            <w:r>
              <w:rPr>
                <w:b/>
                <w:noProof/>
                <w:sz w:val="20"/>
              </w:rPr>
              <w:t>7</w:t>
            </w:r>
          </w:p>
        </w:tc>
      </w:tr>
      <w:tr>
        <w:trPr>
          <w:cantSplit/>
          <w:trHeight w:val="710"/>
        </w:trPr>
        <w:tc>
          <w:tcPr>
            <w:tcW w:w="2791" w:type="dxa"/>
            <w:vAlign w:val="center"/>
          </w:tcPr>
          <w:p>
            <w:pPr>
              <w:jc w:val="left"/>
              <w:rPr>
                <w:noProof/>
                <w:sz w:val="20"/>
              </w:rPr>
            </w:pPr>
            <w:r>
              <w:rPr>
                <w:noProof/>
                <w:sz w:val="20"/>
              </w:rPr>
              <w:t>Agenți contractuali</w:t>
            </w:r>
          </w:p>
        </w:tc>
        <w:tc>
          <w:tcPr>
            <w:tcW w:w="868" w:type="dxa"/>
            <w:vAlign w:val="center"/>
          </w:tcPr>
          <w:p>
            <w:pPr>
              <w:spacing w:before="60" w:after="60"/>
              <w:jc w:val="right"/>
              <w:rPr>
                <w:noProof/>
                <w:sz w:val="20"/>
                <w:szCs w:val="20"/>
              </w:rPr>
            </w:pPr>
            <w:r>
              <w:rPr>
                <w:noProof/>
                <w:sz w:val="20"/>
              </w:rPr>
              <w:t>0</w:t>
            </w:r>
          </w:p>
        </w:tc>
        <w:tc>
          <w:tcPr>
            <w:tcW w:w="869" w:type="dxa"/>
            <w:vAlign w:val="center"/>
          </w:tcPr>
          <w:p>
            <w:pPr>
              <w:spacing w:before="60" w:after="60"/>
              <w:jc w:val="right"/>
              <w:rPr>
                <w:b/>
                <w:noProof/>
                <w:color w:val="000000"/>
                <w:sz w:val="16"/>
                <w:szCs w:val="16"/>
              </w:rPr>
            </w:pPr>
            <w:r>
              <w:rPr>
                <w:noProof/>
                <w:sz w:val="20"/>
              </w:rPr>
              <w:t>3</w:t>
            </w:r>
          </w:p>
        </w:tc>
        <w:tc>
          <w:tcPr>
            <w:tcW w:w="869" w:type="dxa"/>
            <w:vAlign w:val="center"/>
          </w:tcPr>
          <w:p>
            <w:pPr>
              <w:spacing w:before="60" w:after="60"/>
              <w:jc w:val="right"/>
              <w:rPr>
                <w:b/>
                <w:noProof/>
                <w:color w:val="000000"/>
                <w:sz w:val="16"/>
                <w:szCs w:val="16"/>
              </w:rPr>
            </w:pPr>
            <w:r>
              <w:rPr>
                <w:noProof/>
                <w:sz w:val="20"/>
              </w:rPr>
              <w:t>3</w:t>
            </w:r>
          </w:p>
        </w:tc>
        <w:tc>
          <w:tcPr>
            <w:tcW w:w="869" w:type="dxa"/>
            <w:vAlign w:val="center"/>
          </w:tcPr>
          <w:p>
            <w:pPr>
              <w:spacing w:before="60" w:after="60"/>
              <w:jc w:val="right"/>
              <w:rPr>
                <w:b/>
                <w:noProof/>
                <w:color w:val="000000"/>
                <w:sz w:val="16"/>
                <w:szCs w:val="16"/>
              </w:rPr>
            </w:pPr>
            <w:r>
              <w:rPr>
                <w:noProof/>
                <w:sz w:val="20"/>
              </w:rPr>
              <w:t>3</w:t>
            </w:r>
          </w:p>
        </w:tc>
        <w:tc>
          <w:tcPr>
            <w:tcW w:w="869" w:type="dxa"/>
            <w:vAlign w:val="center"/>
          </w:tcPr>
          <w:p>
            <w:pPr>
              <w:spacing w:before="60" w:after="60"/>
              <w:jc w:val="right"/>
              <w:rPr>
                <w:noProof/>
                <w:sz w:val="20"/>
                <w:szCs w:val="20"/>
              </w:rPr>
            </w:pPr>
            <w:r>
              <w:rPr>
                <w:noProof/>
                <w:sz w:val="20"/>
              </w:rPr>
              <w:t>3</w:t>
            </w:r>
          </w:p>
        </w:tc>
        <w:tc>
          <w:tcPr>
            <w:tcW w:w="869" w:type="dxa"/>
            <w:vAlign w:val="center"/>
          </w:tcPr>
          <w:p>
            <w:pPr>
              <w:spacing w:before="60" w:after="60"/>
              <w:jc w:val="right"/>
              <w:rPr>
                <w:noProof/>
                <w:sz w:val="20"/>
                <w:szCs w:val="20"/>
              </w:rPr>
            </w:pPr>
            <w:r>
              <w:rPr>
                <w:noProof/>
                <w:sz w:val="20"/>
              </w:rPr>
              <w:t>3</w:t>
            </w:r>
          </w:p>
        </w:tc>
        <w:tc>
          <w:tcPr>
            <w:tcW w:w="869" w:type="dxa"/>
            <w:vAlign w:val="center"/>
          </w:tcPr>
          <w:p>
            <w:pPr>
              <w:spacing w:before="60" w:after="60"/>
              <w:jc w:val="right"/>
              <w:rPr>
                <w:noProof/>
                <w:sz w:val="20"/>
                <w:szCs w:val="20"/>
              </w:rPr>
            </w:pPr>
            <w:r>
              <w:rPr>
                <w:noProof/>
                <w:sz w:val="20"/>
              </w:rPr>
              <w:t>3</w:t>
            </w:r>
          </w:p>
        </w:tc>
        <w:tc>
          <w:tcPr>
            <w:tcW w:w="971" w:type="dxa"/>
            <w:vAlign w:val="center"/>
          </w:tcPr>
          <w:p>
            <w:pPr>
              <w:spacing w:before="60" w:after="60"/>
              <w:jc w:val="center"/>
              <w:rPr>
                <w:b/>
                <w:noProof/>
                <w:sz w:val="20"/>
                <w:szCs w:val="20"/>
              </w:rPr>
            </w:pPr>
            <w:r>
              <w:rPr>
                <w:b/>
                <w:noProof/>
                <w:sz w:val="20"/>
              </w:rPr>
              <w:t>3</w:t>
            </w:r>
          </w:p>
        </w:tc>
      </w:tr>
      <w:tr>
        <w:trPr>
          <w:cantSplit/>
          <w:trHeight w:val="710"/>
        </w:trPr>
        <w:tc>
          <w:tcPr>
            <w:tcW w:w="2791" w:type="dxa"/>
            <w:vAlign w:val="center"/>
          </w:tcPr>
          <w:p>
            <w:pPr>
              <w:jc w:val="left"/>
              <w:rPr>
                <w:noProof/>
                <w:sz w:val="20"/>
              </w:rPr>
            </w:pPr>
            <w:r>
              <w:rPr>
                <w:noProof/>
                <w:sz w:val="20"/>
              </w:rPr>
              <w:t>Experți naționali detașați</w:t>
            </w:r>
          </w:p>
        </w:tc>
        <w:tc>
          <w:tcPr>
            <w:tcW w:w="868" w:type="dxa"/>
            <w:vAlign w:val="center"/>
          </w:tcPr>
          <w:p>
            <w:pPr>
              <w:spacing w:before="60" w:after="60"/>
              <w:jc w:val="right"/>
              <w:rPr>
                <w:noProof/>
                <w:sz w:val="20"/>
                <w:szCs w:val="20"/>
              </w:rPr>
            </w:pPr>
            <w:r>
              <w:rPr>
                <w:noProof/>
                <w:sz w:val="20"/>
              </w:rPr>
              <w:t>0</w:t>
            </w:r>
          </w:p>
        </w:tc>
        <w:tc>
          <w:tcPr>
            <w:tcW w:w="869" w:type="dxa"/>
            <w:vAlign w:val="center"/>
          </w:tcPr>
          <w:p>
            <w:pPr>
              <w:spacing w:before="60" w:after="60"/>
              <w:jc w:val="right"/>
              <w:rPr>
                <w:b/>
                <w:noProof/>
                <w:color w:val="000000"/>
                <w:sz w:val="16"/>
                <w:szCs w:val="16"/>
              </w:rPr>
            </w:pPr>
            <w:r>
              <w:rPr>
                <w:noProof/>
                <w:sz w:val="20"/>
              </w:rPr>
              <w:t>0</w:t>
            </w:r>
          </w:p>
        </w:tc>
        <w:tc>
          <w:tcPr>
            <w:tcW w:w="869" w:type="dxa"/>
            <w:vAlign w:val="center"/>
          </w:tcPr>
          <w:p>
            <w:pPr>
              <w:spacing w:before="60" w:after="60"/>
              <w:jc w:val="right"/>
              <w:rPr>
                <w:b/>
                <w:noProof/>
                <w:color w:val="000000"/>
                <w:sz w:val="16"/>
                <w:szCs w:val="16"/>
              </w:rPr>
            </w:pPr>
            <w:r>
              <w:rPr>
                <w:noProof/>
                <w:sz w:val="20"/>
              </w:rPr>
              <w:t>0</w:t>
            </w:r>
          </w:p>
        </w:tc>
        <w:tc>
          <w:tcPr>
            <w:tcW w:w="869" w:type="dxa"/>
            <w:vAlign w:val="center"/>
          </w:tcPr>
          <w:p>
            <w:pPr>
              <w:spacing w:before="60" w:after="60"/>
              <w:jc w:val="right"/>
              <w:rPr>
                <w:b/>
                <w:noProof/>
                <w:color w:val="000000"/>
                <w:sz w:val="16"/>
                <w:szCs w:val="16"/>
              </w:rPr>
            </w:pPr>
            <w:r>
              <w:rPr>
                <w:noProof/>
                <w:sz w:val="20"/>
              </w:rPr>
              <w:t>0</w:t>
            </w:r>
          </w:p>
        </w:tc>
        <w:tc>
          <w:tcPr>
            <w:tcW w:w="869" w:type="dxa"/>
            <w:vAlign w:val="center"/>
          </w:tcPr>
          <w:p>
            <w:pPr>
              <w:spacing w:before="60" w:after="60"/>
              <w:jc w:val="right"/>
              <w:rPr>
                <w:noProof/>
                <w:sz w:val="20"/>
                <w:szCs w:val="20"/>
              </w:rPr>
            </w:pPr>
            <w:r>
              <w:rPr>
                <w:noProof/>
                <w:sz w:val="20"/>
              </w:rPr>
              <w:t>0</w:t>
            </w:r>
          </w:p>
        </w:tc>
        <w:tc>
          <w:tcPr>
            <w:tcW w:w="869" w:type="dxa"/>
            <w:vAlign w:val="center"/>
          </w:tcPr>
          <w:p>
            <w:pPr>
              <w:spacing w:before="60" w:after="60"/>
              <w:jc w:val="right"/>
              <w:rPr>
                <w:noProof/>
                <w:sz w:val="20"/>
                <w:szCs w:val="20"/>
              </w:rPr>
            </w:pPr>
            <w:r>
              <w:rPr>
                <w:noProof/>
                <w:sz w:val="20"/>
              </w:rPr>
              <w:t>0</w:t>
            </w:r>
          </w:p>
        </w:tc>
        <w:tc>
          <w:tcPr>
            <w:tcW w:w="869" w:type="dxa"/>
            <w:vAlign w:val="center"/>
          </w:tcPr>
          <w:p>
            <w:pPr>
              <w:spacing w:before="60" w:after="60"/>
              <w:jc w:val="right"/>
              <w:rPr>
                <w:noProof/>
                <w:sz w:val="20"/>
                <w:szCs w:val="20"/>
              </w:rPr>
            </w:pPr>
            <w:r>
              <w:rPr>
                <w:noProof/>
                <w:sz w:val="20"/>
              </w:rPr>
              <w:t>0</w:t>
            </w:r>
          </w:p>
        </w:tc>
        <w:tc>
          <w:tcPr>
            <w:tcW w:w="971" w:type="dxa"/>
            <w:vAlign w:val="center"/>
          </w:tcPr>
          <w:p>
            <w:pPr>
              <w:spacing w:before="60" w:after="60"/>
              <w:jc w:val="center"/>
              <w:rPr>
                <w:b/>
                <w:noProof/>
                <w:sz w:val="20"/>
                <w:szCs w:val="20"/>
              </w:rPr>
            </w:pPr>
            <w:r>
              <w:rPr>
                <w:b/>
                <w:noProof/>
                <w:sz w:val="20"/>
              </w:rPr>
              <w:t>0</w:t>
            </w:r>
          </w:p>
        </w:tc>
      </w:tr>
      <w:tr>
        <w:trPr>
          <w:cantSplit/>
          <w:trHeight w:val="710"/>
        </w:trPr>
        <w:tc>
          <w:tcPr>
            <w:tcW w:w="2791" w:type="dxa"/>
            <w:shd w:val="clear" w:color="auto" w:fill="D9D9D9" w:themeFill="background1" w:themeFillShade="D9"/>
            <w:vAlign w:val="center"/>
          </w:tcPr>
          <w:p>
            <w:pPr>
              <w:spacing w:before="60" w:after="60"/>
              <w:jc w:val="left"/>
              <w:rPr>
                <w:b/>
                <w:noProof/>
                <w:sz w:val="20"/>
              </w:rPr>
            </w:pPr>
            <w:r>
              <w:rPr>
                <w:b/>
                <w:noProof/>
                <w:sz w:val="20"/>
              </w:rPr>
              <w:t>Total personal</w:t>
            </w:r>
          </w:p>
        </w:tc>
        <w:tc>
          <w:tcPr>
            <w:tcW w:w="868" w:type="dxa"/>
            <w:shd w:val="clear" w:color="auto" w:fill="D9D9D9" w:themeFill="background1" w:themeFillShade="D9"/>
            <w:vAlign w:val="center"/>
          </w:tcPr>
          <w:p>
            <w:pPr>
              <w:spacing w:before="60" w:after="60"/>
              <w:jc w:val="right"/>
              <w:rPr>
                <w:noProof/>
                <w:sz w:val="20"/>
              </w:rPr>
            </w:pPr>
            <w:r>
              <w:rPr>
                <w:b/>
                <w:noProof/>
                <w:color w:val="000000"/>
                <w:sz w:val="20"/>
              </w:rPr>
              <w:t>7</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10</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10</w:t>
            </w:r>
          </w:p>
        </w:tc>
        <w:tc>
          <w:tcPr>
            <w:tcW w:w="869" w:type="dxa"/>
            <w:shd w:val="clear" w:color="auto" w:fill="D9D9D9" w:themeFill="background1" w:themeFillShade="D9"/>
            <w:vAlign w:val="center"/>
          </w:tcPr>
          <w:p>
            <w:pPr>
              <w:spacing w:before="60" w:after="60"/>
              <w:jc w:val="right"/>
              <w:rPr>
                <w:b/>
                <w:noProof/>
                <w:color w:val="000000"/>
                <w:sz w:val="16"/>
                <w:szCs w:val="16"/>
              </w:rPr>
            </w:pPr>
            <w:r>
              <w:rPr>
                <w:b/>
                <w:noProof/>
                <w:color w:val="000000"/>
                <w:sz w:val="20"/>
              </w:rPr>
              <w:t>10</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10</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10</w:t>
            </w:r>
          </w:p>
        </w:tc>
        <w:tc>
          <w:tcPr>
            <w:tcW w:w="869" w:type="dxa"/>
            <w:shd w:val="clear" w:color="auto" w:fill="D9D9D9" w:themeFill="background1" w:themeFillShade="D9"/>
            <w:vAlign w:val="center"/>
          </w:tcPr>
          <w:p>
            <w:pPr>
              <w:spacing w:before="60" w:after="60"/>
              <w:jc w:val="right"/>
              <w:rPr>
                <w:noProof/>
                <w:sz w:val="20"/>
              </w:rPr>
            </w:pPr>
            <w:r>
              <w:rPr>
                <w:b/>
                <w:noProof/>
                <w:color w:val="000000"/>
                <w:sz w:val="20"/>
              </w:rPr>
              <w:t>10</w:t>
            </w:r>
          </w:p>
        </w:tc>
        <w:tc>
          <w:tcPr>
            <w:tcW w:w="971" w:type="dxa"/>
            <w:shd w:val="clear" w:color="auto" w:fill="BFBFBF" w:themeFill="background1" w:themeFillShade="BF"/>
            <w:vAlign w:val="center"/>
          </w:tcPr>
          <w:p>
            <w:pPr>
              <w:spacing w:before="60" w:after="60"/>
              <w:jc w:val="center"/>
              <w:rPr>
                <w:b/>
                <w:noProof/>
                <w:sz w:val="20"/>
                <w:szCs w:val="20"/>
              </w:rPr>
            </w:pPr>
            <w:r>
              <w:rPr>
                <w:b/>
                <w:noProof/>
                <w:color w:val="000000"/>
                <w:sz w:val="20"/>
              </w:rPr>
              <w:t>10</w:t>
            </w:r>
          </w:p>
        </w:tc>
      </w:tr>
      <w:tr>
        <w:trPr>
          <w:cantSplit/>
          <w:trHeight w:val="710"/>
        </w:trPr>
        <w:tc>
          <w:tcPr>
            <w:tcW w:w="2791" w:type="dxa"/>
            <w:vAlign w:val="center"/>
          </w:tcPr>
          <w:p>
            <w:pPr>
              <w:spacing w:before="60" w:after="60"/>
              <w:jc w:val="left"/>
              <w:rPr>
                <w:noProof/>
                <w:sz w:val="20"/>
              </w:rPr>
            </w:pPr>
            <w:r>
              <w:rPr>
                <w:noProof/>
                <w:sz w:val="20"/>
              </w:rPr>
              <w:t>Credite acoperite de bugetul UE</w:t>
            </w:r>
          </w:p>
        </w:tc>
        <w:tc>
          <w:tcPr>
            <w:tcW w:w="868" w:type="dxa"/>
            <w:vAlign w:val="center"/>
          </w:tcPr>
          <w:p>
            <w:pPr>
              <w:spacing w:before="60" w:after="60"/>
              <w:jc w:val="right"/>
              <w:rPr>
                <w:noProof/>
                <w:sz w:val="20"/>
              </w:rPr>
            </w:pPr>
            <w:r>
              <w:rPr>
                <w:noProof/>
                <w:sz w:val="20"/>
              </w:rPr>
              <w:t>0,756</w:t>
            </w:r>
          </w:p>
        </w:tc>
        <w:tc>
          <w:tcPr>
            <w:tcW w:w="869" w:type="dxa"/>
            <w:vAlign w:val="center"/>
          </w:tcPr>
          <w:p>
            <w:pPr>
              <w:spacing w:before="60" w:after="60"/>
              <w:jc w:val="right"/>
              <w:rPr>
                <w:noProof/>
                <w:sz w:val="20"/>
                <w:szCs w:val="20"/>
              </w:rPr>
            </w:pPr>
            <w:r>
              <w:rPr>
                <w:noProof/>
                <w:sz w:val="20"/>
              </w:rPr>
              <w:t>1,687</w:t>
            </w:r>
          </w:p>
        </w:tc>
        <w:tc>
          <w:tcPr>
            <w:tcW w:w="869" w:type="dxa"/>
            <w:vAlign w:val="center"/>
          </w:tcPr>
          <w:p>
            <w:pPr>
              <w:spacing w:before="60" w:after="60"/>
              <w:jc w:val="right"/>
              <w:rPr>
                <w:noProof/>
                <w:sz w:val="20"/>
                <w:szCs w:val="20"/>
              </w:rPr>
            </w:pPr>
            <w:r>
              <w:rPr>
                <w:noProof/>
                <w:sz w:val="20"/>
              </w:rPr>
              <w:t>1,863</w:t>
            </w:r>
          </w:p>
        </w:tc>
        <w:tc>
          <w:tcPr>
            <w:tcW w:w="869" w:type="dxa"/>
            <w:vAlign w:val="center"/>
          </w:tcPr>
          <w:p>
            <w:pPr>
              <w:spacing w:before="60" w:after="60"/>
              <w:jc w:val="right"/>
              <w:rPr>
                <w:noProof/>
                <w:sz w:val="20"/>
                <w:szCs w:val="20"/>
              </w:rPr>
            </w:pPr>
            <w:r>
              <w:rPr>
                <w:noProof/>
                <w:sz w:val="20"/>
              </w:rPr>
              <w:t>1,863</w:t>
            </w:r>
          </w:p>
        </w:tc>
        <w:tc>
          <w:tcPr>
            <w:tcW w:w="869" w:type="dxa"/>
            <w:vAlign w:val="center"/>
          </w:tcPr>
          <w:p>
            <w:pPr>
              <w:spacing w:before="60" w:after="60"/>
              <w:jc w:val="right"/>
              <w:rPr>
                <w:noProof/>
                <w:sz w:val="20"/>
              </w:rPr>
            </w:pPr>
            <w:r>
              <w:rPr>
                <w:noProof/>
                <w:sz w:val="20"/>
              </w:rPr>
              <w:t>1,863</w:t>
            </w:r>
          </w:p>
        </w:tc>
        <w:tc>
          <w:tcPr>
            <w:tcW w:w="869" w:type="dxa"/>
            <w:vAlign w:val="center"/>
          </w:tcPr>
          <w:p>
            <w:pPr>
              <w:spacing w:before="60" w:after="60"/>
              <w:jc w:val="right"/>
              <w:rPr>
                <w:noProof/>
                <w:sz w:val="20"/>
              </w:rPr>
            </w:pPr>
            <w:r>
              <w:rPr>
                <w:noProof/>
                <w:sz w:val="20"/>
              </w:rPr>
              <w:t>1,863</w:t>
            </w:r>
          </w:p>
        </w:tc>
        <w:tc>
          <w:tcPr>
            <w:tcW w:w="869" w:type="dxa"/>
            <w:vAlign w:val="center"/>
          </w:tcPr>
          <w:p>
            <w:pPr>
              <w:spacing w:before="60" w:after="60"/>
              <w:jc w:val="right"/>
              <w:rPr>
                <w:noProof/>
                <w:sz w:val="20"/>
              </w:rPr>
            </w:pPr>
            <w:r>
              <w:rPr>
                <w:noProof/>
                <w:sz w:val="20"/>
              </w:rPr>
              <w:t>1,863</w:t>
            </w:r>
          </w:p>
        </w:tc>
        <w:tc>
          <w:tcPr>
            <w:tcW w:w="971" w:type="dxa"/>
            <w:vAlign w:val="center"/>
          </w:tcPr>
          <w:p>
            <w:pPr>
              <w:spacing w:before="60" w:after="60"/>
              <w:jc w:val="right"/>
              <w:rPr>
                <w:b/>
                <w:noProof/>
                <w:sz w:val="20"/>
                <w:szCs w:val="20"/>
              </w:rPr>
            </w:pPr>
            <w:r>
              <w:rPr>
                <w:b/>
                <w:noProof/>
                <w:sz w:val="20"/>
              </w:rPr>
              <w:t>11,758</w:t>
            </w:r>
          </w:p>
        </w:tc>
      </w:tr>
      <w:tr>
        <w:trPr>
          <w:cantSplit/>
          <w:trHeight w:val="710"/>
        </w:trPr>
        <w:tc>
          <w:tcPr>
            <w:tcW w:w="2791" w:type="dxa"/>
            <w:vAlign w:val="center"/>
          </w:tcPr>
          <w:p>
            <w:pPr>
              <w:spacing w:before="60" w:after="60"/>
              <w:jc w:val="left"/>
              <w:rPr>
                <w:noProof/>
                <w:sz w:val="20"/>
              </w:rPr>
            </w:pPr>
            <w:r>
              <w:rPr>
                <w:noProof/>
                <w:sz w:val="20"/>
              </w:rPr>
              <w:t xml:space="preserve">Credite acoperite de taxe </w:t>
            </w:r>
          </w:p>
          <w:p>
            <w:pPr>
              <w:spacing w:before="60" w:after="60"/>
              <w:jc w:val="left"/>
              <w:rPr>
                <w:noProof/>
                <w:sz w:val="20"/>
              </w:rPr>
            </w:pPr>
            <w:r>
              <w:rPr>
                <w:noProof/>
                <w:sz w:val="20"/>
              </w:rPr>
              <w:t>(dacă este cazul)</w:t>
            </w:r>
          </w:p>
        </w:tc>
        <w:tc>
          <w:tcPr>
            <w:tcW w:w="868"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971" w:type="dxa"/>
            <w:vAlign w:val="center"/>
          </w:tcPr>
          <w:p>
            <w:pPr>
              <w:spacing w:before="60" w:after="60"/>
              <w:jc w:val="right"/>
              <w:rPr>
                <w:b/>
                <w:noProof/>
                <w:sz w:val="20"/>
                <w:szCs w:val="20"/>
              </w:rPr>
            </w:pPr>
            <w:r>
              <w:rPr>
                <w:b/>
                <w:noProof/>
                <w:sz w:val="20"/>
              </w:rPr>
              <w:t>0,000</w:t>
            </w:r>
          </w:p>
        </w:tc>
      </w:tr>
      <w:tr>
        <w:trPr>
          <w:cantSplit/>
          <w:trHeight w:val="710"/>
        </w:trPr>
        <w:tc>
          <w:tcPr>
            <w:tcW w:w="2791" w:type="dxa"/>
            <w:vAlign w:val="center"/>
          </w:tcPr>
          <w:p>
            <w:pPr>
              <w:spacing w:before="60" w:after="60"/>
              <w:jc w:val="left"/>
              <w:rPr>
                <w:noProof/>
                <w:sz w:val="20"/>
              </w:rPr>
            </w:pPr>
            <w:r>
              <w:rPr>
                <w:noProof/>
                <w:sz w:val="20"/>
              </w:rPr>
              <w:t xml:space="preserve">Credite cofinanțate </w:t>
            </w:r>
          </w:p>
          <w:p>
            <w:pPr>
              <w:spacing w:before="60" w:after="60"/>
              <w:jc w:val="left"/>
              <w:rPr>
                <w:noProof/>
                <w:sz w:val="20"/>
              </w:rPr>
            </w:pPr>
            <w:r>
              <w:rPr>
                <w:noProof/>
                <w:sz w:val="20"/>
              </w:rPr>
              <w:t>(dacă este cazul)</w:t>
            </w:r>
          </w:p>
        </w:tc>
        <w:tc>
          <w:tcPr>
            <w:tcW w:w="868"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szCs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869" w:type="dxa"/>
            <w:vAlign w:val="center"/>
          </w:tcPr>
          <w:p>
            <w:pPr>
              <w:spacing w:before="60" w:after="60"/>
              <w:jc w:val="right"/>
              <w:rPr>
                <w:noProof/>
                <w:sz w:val="20"/>
              </w:rPr>
            </w:pPr>
            <w:r>
              <w:rPr>
                <w:noProof/>
                <w:sz w:val="20"/>
              </w:rPr>
              <w:t>0,000</w:t>
            </w:r>
          </w:p>
        </w:tc>
        <w:tc>
          <w:tcPr>
            <w:tcW w:w="971" w:type="dxa"/>
            <w:vAlign w:val="center"/>
          </w:tcPr>
          <w:p>
            <w:pPr>
              <w:spacing w:before="60" w:after="60"/>
              <w:jc w:val="right"/>
              <w:rPr>
                <w:b/>
                <w:noProof/>
                <w:sz w:val="20"/>
                <w:szCs w:val="20"/>
              </w:rPr>
            </w:pPr>
            <w:r>
              <w:rPr>
                <w:b/>
                <w:noProof/>
                <w:sz w:val="20"/>
              </w:rPr>
              <w:t>0,000</w:t>
            </w:r>
          </w:p>
        </w:tc>
      </w:tr>
      <w:tr>
        <w:trPr>
          <w:cantSplit/>
          <w:trHeight w:val="710"/>
        </w:trPr>
        <w:tc>
          <w:tcPr>
            <w:tcW w:w="2791" w:type="dxa"/>
            <w:shd w:val="clear" w:color="auto" w:fill="D9D9D9" w:themeFill="background1" w:themeFillShade="D9"/>
            <w:vAlign w:val="center"/>
          </w:tcPr>
          <w:p>
            <w:pPr>
              <w:spacing w:before="60" w:after="60"/>
              <w:jc w:val="left"/>
              <w:rPr>
                <w:b/>
                <w:noProof/>
                <w:sz w:val="20"/>
              </w:rPr>
            </w:pPr>
            <w:r>
              <w:rPr>
                <w:b/>
                <w:noProof/>
                <w:sz w:val="20"/>
              </w:rPr>
              <w:t>TOTAL credite</w:t>
            </w:r>
          </w:p>
        </w:tc>
        <w:tc>
          <w:tcPr>
            <w:tcW w:w="868" w:type="dxa"/>
            <w:shd w:val="clear" w:color="auto" w:fill="D9D9D9" w:themeFill="background1" w:themeFillShade="D9"/>
            <w:vAlign w:val="center"/>
          </w:tcPr>
          <w:p>
            <w:pPr>
              <w:spacing w:before="60" w:after="60"/>
              <w:jc w:val="right"/>
              <w:rPr>
                <w:b/>
                <w:noProof/>
                <w:sz w:val="20"/>
              </w:rPr>
            </w:pPr>
            <w:r>
              <w:rPr>
                <w:b/>
                <w:noProof/>
                <w:sz w:val="20"/>
              </w:rPr>
              <w:t>0,756</w:t>
            </w:r>
          </w:p>
        </w:tc>
        <w:tc>
          <w:tcPr>
            <w:tcW w:w="869" w:type="dxa"/>
            <w:shd w:val="clear" w:color="auto" w:fill="D9D9D9" w:themeFill="background1" w:themeFillShade="D9"/>
            <w:vAlign w:val="center"/>
          </w:tcPr>
          <w:p>
            <w:pPr>
              <w:spacing w:before="60" w:after="60"/>
              <w:jc w:val="right"/>
              <w:rPr>
                <w:b/>
                <w:noProof/>
                <w:sz w:val="20"/>
              </w:rPr>
            </w:pPr>
            <w:r>
              <w:rPr>
                <w:b/>
                <w:noProof/>
                <w:sz w:val="20"/>
              </w:rPr>
              <w:t>1,687</w:t>
            </w:r>
          </w:p>
        </w:tc>
        <w:tc>
          <w:tcPr>
            <w:tcW w:w="869" w:type="dxa"/>
            <w:shd w:val="clear" w:color="auto" w:fill="D9D9D9" w:themeFill="background1" w:themeFillShade="D9"/>
            <w:vAlign w:val="center"/>
          </w:tcPr>
          <w:p>
            <w:pPr>
              <w:spacing w:before="60" w:after="60"/>
              <w:jc w:val="right"/>
              <w:rPr>
                <w:b/>
                <w:noProof/>
                <w:sz w:val="20"/>
              </w:rPr>
            </w:pPr>
            <w:r>
              <w:rPr>
                <w:b/>
                <w:noProof/>
                <w:sz w:val="20"/>
              </w:rPr>
              <w:t>1,863</w:t>
            </w:r>
          </w:p>
        </w:tc>
        <w:tc>
          <w:tcPr>
            <w:tcW w:w="869" w:type="dxa"/>
            <w:shd w:val="clear" w:color="auto" w:fill="D9D9D9" w:themeFill="background1" w:themeFillShade="D9"/>
            <w:vAlign w:val="center"/>
          </w:tcPr>
          <w:p>
            <w:pPr>
              <w:spacing w:before="60" w:after="60"/>
              <w:jc w:val="right"/>
              <w:rPr>
                <w:b/>
                <w:noProof/>
                <w:sz w:val="20"/>
              </w:rPr>
            </w:pPr>
            <w:r>
              <w:rPr>
                <w:b/>
                <w:noProof/>
                <w:sz w:val="20"/>
              </w:rPr>
              <w:t>1,863</w:t>
            </w:r>
          </w:p>
        </w:tc>
        <w:tc>
          <w:tcPr>
            <w:tcW w:w="869" w:type="dxa"/>
            <w:shd w:val="clear" w:color="auto" w:fill="D9D9D9" w:themeFill="background1" w:themeFillShade="D9"/>
            <w:vAlign w:val="center"/>
          </w:tcPr>
          <w:p>
            <w:pPr>
              <w:spacing w:before="60" w:after="60"/>
              <w:jc w:val="right"/>
              <w:rPr>
                <w:b/>
                <w:noProof/>
                <w:sz w:val="20"/>
              </w:rPr>
            </w:pPr>
            <w:r>
              <w:rPr>
                <w:b/>
                <w:noProof/>
                <w:sz w:val="20"/>
              </w:rPr>
              <w:t>1,863</w:t>
            </w:r>
          </w:p>
        </w:tc>
        <w:tc>
          <w:tcPr>
            <w:tcW w:w="869" w:type="dxa"/>
            <w:shd w:val="clear" w:color="auto" w:fill="D9D9D9" w:themeFill="background1" w:themeFillShade="D9"/>
            <w:vAlign w:val="center"/>
          </w:tcPr>
          <w:p>
            <w:pPr>
              <w:spacing w:before="60" w:after="60"/>
              <w:jc w:val="right"/>
              <w:rPr>
                <w:b/>
                <w:noProof/>
                <w:sz w:val="20"/>
              </w:rPr>
            </w:pPr>
            <w:r>
              <w:rPr>
                <w:b/>
                <w:noProof/>
                <w:sz w:val="20"/>
              </w:rPr>
              <w:t>1,863</w:t>
            </w:r>
          </w:p>
        </w:tc>
        <w:tc>
          <w:tcPr>
            <w:tcW w:w="869" w:type="dxa"/>
            <w:shd w:val="clear" w:color="auto" w:fill="D9D9D9" w:themeFill="background1" w:themeFillShade="D9"/>
            <w:vAlign w:val="center"/>
          </w:tcPr>
          <w:p>
            <w:pPr>
              <w:spacing w:before="60" w:after="60"/>
              <w:jc w:val="right"/>
              <w:rPr>
                <w:b/>
                <w:noProof/>
                <w:sz w:val="20"/>
              </w:rPr>
            </w:pPr>
            <w:r>
              <w:rPr>
                <w:b/>
                <w:noProof/>
                <w:sz w:val="20"/>
              </w:rPr>
              <w:t>1,863</w:t>
            </w:r>
          </w:p>
        </w:tc>
        <w:tc>
          <w:tcPr>
            <w:tcW w:w="971" w:type="dxa"/>
            <w:shd w:val="clear" w:color="auto" w:fill="D9D9D9" w:themeFill="background1" w:themeFillShade="D9"/>
            <w:vAlign w:val="center"/>
          </w:tcPr>
          <w:p>
            <w:pPr>
              <w:spacing w:before="60" w:after="60"/>
              <w:jc w:val="right"/>
              <w:rPr>
                <w:b/>
                <w:noProof/>
                <w:sz w:val="20"/>
              </w:rPr>
            </w:pPr>
            <w:r>
              <w:rPr>
                <w:b/>
                <w:noProof/>
                <w:sz w:val="20"/>
              </w:rPr>
              <w:t>11,758</w:t>
            </w:r>
          </w:p>
        </w:tc>
      </w:tr>
    </w:tbl>
    <w:p>
      <w:pPr>
        <w:outlineLvl w:val="1"/>
        <w:rPr>
          <w:noProof/>
          <w:szCs w:val="24"/>
        </w:rPr>
        <w:sectPr>
          <w:headerReference w:type="default" r:id="rId32"/>
          <w:footerReference w:type="default" r:id="rId33"/>
          <w:pgSz w:w="11907" w:h="16839"/>
          <w:pgMar w:top="1134" w:right="1417" w:bottom="1134" w:left="1417" w:header="709" w:footer="709" w:gutter="0"/>
          <w:cols w:space="720"/>
          <w:docGrid w:linePitch="360"/>
        </w:sectPr>
      </w:pPr>
      <w:r>
        <w:rPr>
          <w:noProof/>
        </w:rPr>
        <w:t xml:space="preserve">Toate nevoile bugetare suplimentare pentru eu-LISA legate de punerea în aplicare a atribuțiilor delegate agenției în prezentul regulament vor fi compensate din creditele alocate Europol în cadrul acestei fișe financiare legislative și digitale. </w:t>
      </w:r>
    </w:p>
    <w:bookmarkEnd w:id="49"/>
    <w:p>
      <w:pPr>
        <w:keepNext/>
        <w:spacing w:before="360"/>
        <w:rPr>
          <w:rFonts w:eastAsia="Times New Roman"/>
          <w:b/>
          <w:smallCaps/>
          <w:noProof/>
          <w:color w:val="000000" w:themeColor="text1"/>
        </w:rPr>
      </w:pPr>
      <w:r>
        <w:rPr>
          <w:b/>
          <w:caps/>
          <w:noProof/>
          <w:color w:val="000000" w:themeColor="text1"/>
        </w:rPr>
        <w:t xml:space="preserve">Dimensiunile digitale </w:t>
      </w:r>
    </w:p>
    <w:p>
      <w:pPr>
        <w:pStyle w:val="ManualHeading2"/>
        <w:rPr>
          <w:rFonts w:eastAsia="Times New Roman"/>
          <w:noProof/>
          <w:color w:val="000000" w:themeColor="text1"/>
        </w:rPr>
      </w:pPr>
      <w:bookmarkStart w:id="50" w:name="_Toc84D3B61DED78468B80CE7D3E5BDDAC27"/>
      <w:r>
        <w:rPr>
          <w:noProof/>
          <w:color w:val="000000" w:themeColor="text1"/>
        </w:rPr>
        <w:t>4.1.</w:t>
      </w:r>
      <w:r>
        <w:rPr>
          <w:noProof/>
        </w:rPr>
        <w:tab/>
      </w:r>
      <w:r>
        <w:rPr>
          <w:noProof/>
          <w:color w:val="000000" w:themeColor="text1"/>
        </w:rPr>
        <w:t>Cerințe cu relevanță digitală</w:t>
      </w:r>
      <w:bookmarkEnd w:id="50"/>
    </w:p>
    <w:tbl>
      <w:tblPr>
        <w:tblStyle w:val="TableGrid"/>
        <w:tblW w:w="13455" w:type="dxa"/>
        <w:tblInd w:w="10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2068"/>
        <w:gridCol w:w="4135"/>
        <w:gridCol w:w="2156"/>
        <w:gridCol w:w="2669"/>
        <w:gridCol w:w="2318"/>
        <w:gridCol w:w="109"/>
      </w:tblGrid>
      <w:tr>
        <w:trPr>
          <w:gridAfter w:val="1"/>
          <w:wAfter w:w="109" w:type="dxa"/>
          <w:trHeight w:val="285"/>
        </w:trPr>
        <w:tc>
          <w:tcPr>
            <w:tcW w:w="2068" w:type="dxa"/>
            <w:tcMar>
              <w:left w:w="105" w:type="dxa"/>
              <w:right w:w="105" w:type="dxa"/>
            </w:tcMar>
          </w:tcPr>
          <w:p>
            <w:pPr>
              <w:rPr>
                <w:noProof/>
              </w:rPr>
            </w:pPr>
            <w:bookmarkStart w:id="51" w:name="_Hlk231838894"/>
            <w:r>
              <w:rPr>
                <w:b/>
                <w:noProof/>
              </w:rPr>
              <w:t>Trimiterea la cerință</w:t>
            </w:r>
          </w:p>
        </w:tc>
        <w:tc>
          <w:tcPr>
            <w:tcW w:w="4135" w:type="dxa"/>
            <w:tcMar>
              <w:left w:w="105" w:type="dxa"/>
              <w:right w:w="105" w:type="dxa"/>
            </w:tcMar>
          </w:tcPr>
          <w:p>
            <w:pPr>
              <w:rPr>
                <w:noProof/>
              </w:rPr>
            </w:pPr>
            <w:r>
              <w:rPr>
                <w:b/>
                <w:noProof/>
              </w:rPr>
              <w:t>Descrierea cerinței</w:t>
            </w:r>
          </w:p>
        </w:tc>
        <w:tc>
          <w:tcPr>
            <w:tcW w:w="2156" w:type="dxa"/>
            <w:tcMar>
              <w:left w:w="105" w:type="dxa"/>
              <w:right w:w="105" w:type="dxa"/>
            </w:tcMar>
          </w:tcPr>
          <w:p>
            <w:pPr>
              <w:rPr>
                <w:noProof/>
              </w:rPr>
            </w:pPr>
            <w:r>
              <w:rPr>
                <w:b/>
                <w:noProof/>
              </w:rPr>
              <w:t>Actori afectați sau vizați de cerință</w:t>
            </w:r>
          </w:p>
        </w:tc>
        <w:tc>
          <w:tcPr>
            <w:tcW w:w="2669" w:type="dxa"/>
            <w:tcMar>
              <w:left w:w="105" w:type="dxa"/>
              <w:right w:w="105" w:type="dxa"/>
            </w:tcMar>
          </w:tcPr>
          <w:p>
            <w:pPr>
              <w:rPr>
                <w:noProof/>
              </w:rPr>
            </w:pPr>
            <w:r>
              <w:rPr>
                <w:b/>
                <w:noProof/>
              </w:rPr>
              <w:t>Procese la nivel înalt</w:t>
            </w:r>
          </w:p>
        </w:tc>
        <w:tc>
          <w:tcPr>
            <w:tcW w:w="2318" w:type="dxa"/>
            <w:tcMar>
              <w:left w:w="105" w:type="dxa"/>
              <w:right w:w="105" w:type="dxa"/>
            </w:tcMar>
          </w:tcPr>
          <w:p>
            <w:pPr>
              <w:rPr>
                <w:noProof/>
              </w:rPr>
            </w:pPr>
            <w:r>
              <w:rPr>
                <w:b/>
                <w:noProof/>
              </w:rPr>
              <w:t>Categorii</w:t>
            </w:r>
          </w:p>
        </w:tc>
      </w:tr>
      <w:tr>
        <w:trPr>
          <w:gridAfter w:val="1"/>
          <w:wAfter w:w="109" w:type="dxa"/>
          <w:trHeight w:val="285"/>
        </w:trPr>
        <w:tc>
          <w:tcPr>
            <w:tcW w:w="2068" w:type="dxa"/>
            <w:tcMar>
              <w:left w:w="105" w:type="dxa"/>
              <w:right w:w="105" w:type="dxa"/>
            </w:tcMar>
          </w:tcPr>
          <w:p>
            <w:pPr>
              <w:rPr>
                <w:noProof/>
              </w:rPr>
            </w:pPr>
            <w:r>
              <w:rPr>
                <w:noProof/>
              </w:rPr>
              <w:t>Articolul 8 alineatul (7)</w:t>
            </w:r>
          </w:p>
        </w:tc>
        <w:tc>
          <w:tcPr>
            <w:tcW w:w="4135" w:type="dxa"/>
            <w:tcMar>
              <w:left w:w="105" w:type="dxa"/>
              <w:right w:w="105" w:type="dxa"/>
            </w:tcMar>
          </w:tcPr>
          <w:p>
            <w:pPr>
              <w:rPr>
                <w:noProof/>
              </w:rPr>
            </w:pPr>
            <w:r>
              <w:rPr>
                <w:noProof/>
              </w:rPr>
              <w:t>Statele membre răspund solicitării Europol de informații și date operative în materie penală pentru a contribui la măsurile de coordonare.</w:t>
            </w:r>
          </w:p>
        </w:tc>
        <w:tc>
          <w:tcPr>
            <w:tcW w:w="2156" w:type="dxa"/>
            <w:tcMar>
              <w:left w:w="105" w:type="dxa"/>
              <w:right w:w="105" w:type="dxa"/>
            </w:tcMar>
          </w:tcPr>
          <w:p>
            <w:pPr>
              <w:rPr>
                <w:noProof/>
              </w:rPr>
            </w:pPr>
            <w:r>
              <w:rPr>
                <w:noProof/>
              </w:rPr>
              <w:t>Europol</w:t>
            </w:r>
          </w:p>
          <w:p>
            <w:pPr>
              <w:rPr>
                <w:noProof/>
              </w:rPr>
            </w:pPr>
            <w:r>
              <w:rPr>
                <w:noProof/>
              </w:rPr>
              <w:t>AC SM</w:t>
            </w:r>
          </w:p>
        </w:tc>
        <w:tc>
          <w:tcPr>
            <w:tcW w:w="2669" w:type="dxa"/>
            <w:tcMar>
              <w:left w:w="105" w:type="dxa"/>
              <w:right w:w="105" w:type="dxa"/>
            </w:tcMar>
          </w:tcPr>
          <w:p>
            <w:pPr>
              <w:rPr>
                <w:noProof/>
              </w:rPr>
            </w:pPr>
            <w:r>
              <w:rPr>
                <w:noProof/>
              </w:rPr>
              <w:t>Schimb de informații</w:t>
            </w:r>
          </w:p>
          <w:p>
            <w:pPr>
              <w:rPr>
                <w:noProof/>
              </w:rPr>
            </w:pPr>
            <w:r>
              <w:rPr>
                <w:noProof/>
              </w:rPr>
              <w:t>Accesul la informațiile SM</w:t>
            </w:r>
          </w:p>
        </w:tc>
        <w:tc>
          <w:tcPr>
            <w:tcW w:w="2318" w:type="dxa"/>
            <w:tcMar>
              <w:left w:w="105" w:type="dxa"/>
              <w:right w:w="105" w:type="dxa"/>
            </w:tcMar>
          </w:tcPr>
          <w:p>
            <w:pPr>
              <w:rPr>
                <w:noProof/>
              </w:rPr>
            </w:pPr>
            <w:r>
              <w:rPr>
                <w:noProof/>
              </w:rPr>
              <w:t>Digitalizarea și automatizarea proceselor</w:t>
            </w:r>
          </w:p>
          <w:p>
            <w:pPr>
              <w:rPr>
                <w:noProof/>
              </w:rPr>
            </w:pPr>
            <w:r>
              <w:rPr>
                <w:noProof/>
              </w:rPr>
              <w:t>Date</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9 alineatul (2)</w:t>
            </w:r>
          </w:p>
        </w:tc>
        <w:tc>
          <w:tcPr>
            <w:tcW w:w="4135" w:type="dxa"/>
            <w:tcMar>
              <w:left w:w="105" w:type="dxa"/>
              <w:right w:w="105" w:type="dxa"/>
            </w:tcMar>
          </w:tcPr>
          <w:p>
            <w:pPr>
              <w:rPr>
                <w:noProof/>
              </w:rPr>
            </w:pPr>
            <w:r>
              <w:rPr>
                <w:noProof/>
              </w:rPr>
              <w:t>Statele membre asigură accesul Europol la informațiile accesibile birourilor de recuperare a activelor (ARO) și mențin un nivel de accesibilitate directă.</w:t>
            </w:r>
          </w:p>
        </w:tc>
        <w:tc>
          <w:tcPr>
            <w:tcW w:w="2156" w:type="dxa"/>
            <w:tcMar>
              <w:left w:w="105" w:type="dxa"/>
              <w:right w:w="105" w:type="dxa"/>
            </w:tcMar>
          </w:tcPr>
          <w:p>
            <w:pPr>
              <w:rPr>
                <w:noProof/>
              </w:rPr>
            </w:pPr>
            <w:r>
              <w:rPr>
                <w:noProof/>
              </w:rPr>
              <w:t>Europol</w:t>
            </w:r>
          </w:p>
          <w:p>
            <w:pPr>
              <w:rPr>
                <w:noProof/>
              </w:rPr>
            </w:pPr>
            <w:r>
              <w:rPr>
                <w:noProof/>
              </w:rPr>
              <w:t>ARO SM</w:t>
            </w:r>
          </w:p>
        </w:tc>
        <w:tc>
          <w:tcPr>
            <w:tcW w:w="2669" w:type="dxa"/>
            <w:tcMar>
              <w:left w:w="105" w:type="dxa"/>
              <w:right w:w="105" w:type="dxa"/>
            </w:tcMar>
          </w:tcPr>
          <w:p>
            <w:pPr>
              <w:rPr>
                <w:noProof/>
              </w:rPr>
            </w:pPr>
            <w:r>
              <w:rPr>
                <w:noProof/>
              </w:rPr>
              <w:t>Schimb de informații</w:t>
            </w:r>
          </w:p>
          <w:p>
            <w:pPr>
              <w:rPr>
                <w:noProof/>
              </w:rPr>
            </w:pPr>
            <w:r>
              <w:rPr>
                <w:noProof/>
              </w:rPr>
              <w:t>Accesul la informațiile SM</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9 alineatul (3)</w:t>
            </w:r>
          </w:p>
        </w:tc>
        <w:tc>
          <w:tcPr>
            <w:tcW w:w="4135" w:type="dxa"/>
            <w:tcMar>
              <w:left w:w="105" w:type="dxa"/>
              <w:right w:w="105" w:type="dxa"/>
            </w:tcMar>
          </w:tcPr>
          <w:p>
            <w:pPr>
              <w:rPr>
                <w:noProof/>
              </w:rPr>
            </w:pPr>
            <w:r>
              <w:rPr>
                <w:noProof/>
              </w:rPr>
              <w:t>Statele membre trebuie să informeze Europol cu privire la decizia de a nu indisponibiliza bunurile, la cererea Europol; AAL SM trebuie să ia măsuri imediate în cazul în care există riscul dispariției bunurilor.</w:t>
            </w:r>
          </w:p>
        </w:tc>
        <w:tc>
          <w:tcPr>
            <w:tcW w:w="2156" w:type="dxa"/>
            <w:tcMar>
              <w:left w:w="105" w:type="dxa"/>
              <w:right w:w="105" w:type="dxa"/>
            </w:tcMar>
          </w:tcPr>
          <w:p>
            <w:pPr>
              <w:rPr>
                <w:noProof/>
              </w:rPr>
            </w:pPr>
            <w:r>
              <w:rPr>
                <w:noProof/>
              </w:rPr>
              <w:t xml:space="preserve">Europol </w:t>
            </w:r>
            <w:r>
              <w:rPr>
                <w:noProof/>
              </w:rPr>
              <w:br/>
              <w:t>AAL SM</w:t>
            </w:r>
          </w:p>
        </w:tc>
        <w:tc>
          <w:tcPr>
            <w:tcW w:w="2669" w:type="dxa"/>
            <w:tcMar>
              <w:left w:w="105" w:type="dxa"/>
              <w:right w:w="105" w:type="dxa"/>
            </w:tcMar>
          </w:tcPr>
          <w:p>
            <w:pPr>
              <w:rPr>
                <w:noProof/>
              </w:rPr>
            </w:pPr>
            <w:r>
              <w:rPr>
                <w:noProof/>
              </w:rPr>
              <w:t>Schimb de informații</w:t>
            </w:r>
          </w:p>
          <w:p>
            <w:pPr>
              <w:rPr>
                <w:noProof/>
              </w:rPr>
            </w:pPr>
            <w:r>
              <w:rPr>
                <w:noProof/>
              </w:rPr>
              <w:t>Cerere de indisponibilizare</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9 alineatele (4) și (5)</w:t>
            </w:r>
          </w:p>
        </w:tc>
        <w:tc>
          <w:tcPr>
            <w:tcW w:w="4135" w:type="dxa"/>
            <w:tcMar>
              <w:left w:w="105" w:type="dxa"/>
              <w:right w:w="105" w:type="dxa"/>
            </w:tcMar>
          </w:tcPr>
          <w:p>
            <w:pPr>
              <w:rPr>
                <w:noProof/>
              </w:rPr>
            </w:pPr>
            <w:r>
              <w:rPr>
                <w:noProof/>
              </w:rPr>
              <w:t>Unitățile de investigare financiară (FIU) din statele membre trebuie să răspundă solicitărilor Europol (în conformitate cu articolul 12 din Directiva 2019/1153).</w:t>
            </w:r>
          </w:p>
        </w:tc>
        <w:tc>
          <w:tcPr>
            <w:tcW w:w="2156" w:type="dxa"/>
            <w:tcMar>
              <w:left w:w="105" w:type="dxa"/>
              <w:right w:w="105" w:type="dxa"/>
            </w:tcMar>
          </w:tcPr>
          <w:p>
            <w:pPr>
              <w:rPr>
                <w:noProof/>
              </w:rPr>
            </w:pPr>
            <w:r>
              <w:rPr>
                <w:noProof/>
              </w:rPr>
              <w:t xml:space="preserve">Europol </w:t>
            </w:r>
            <w:r>
              <w:rPr>
                <w:noProof/>
              </w:rPr>
              <w:br/>
              <w:t xml:space="preserve">FIU SM </w:t>
            </w:r>
            <w:r>
              <w:rPr>
                <w:noProof/>
              </w:rPr>
              <w:br/>
              <w:t>ENU SM</w:t>
            </w:r>
          </w:p>
        </w:tc>
        <w:tc>
          <w:tcPr>
            <w:tcW w:w="2669" w:type="dxa"/>
            <w:tcMar>
              <w:left w:w="105" w:type="dxa"/>
              <w:right w:w="105" w:type="dxa"/>
            </w:tcMar>
          </w:tcPr>
          <w:p>
            <w:pPr>
              <w:rPr>
                <w:noProof/>
              </w:rPr>
            </w:pPr>
            <w:r>
              <w:rPr>
                <w:noProof/>
              </w:rPr>
              <w:t>Schimb de informații între Europol și FIU</w:t>
            </w:r>
          </w:p>
          <w:p>
            <w:pPr>
              <w:rPr>
                <w:noProof/>
              </w:rPr>
            </w:pPr>
            <w:r>
              <w:rPr>
                <w:noProof/>
              </w:rPr>
              <w:t>Analiză</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7 alineatele (1) și (2)</w:t>
            </w:r>
          </w:p>
        </w:tc>
        <w:tc>
          <w:tcPr>
            <w:tcW w:w="4135" w:type="dxa"/>
            <w:tcMar>
              <w:left w:w="105" w:type="dxa"/>
              <w:right w:w="105" w:type="dxa"/>
            </w:tcMar>
          </w:tcPr>
          <w:p>
            <w:pPr>
              <w:rPr>
                <w:noProof/>
              </w:rPr>
            </w:pPr>
            <w:r>
              <w:rPr>
                <w:noProof/>
              </w:rPr>
              <w:t>Produse analitice de natură operațională și strategică ale Europol, pe baza informațiilor furnizate de statele membre, de organele relevante ale Uniunii și din OSINT.</w:t>
            </w:r>
          </w:p>
        </w:tc>
        <w:tc>
          <w:tcPr>
            <w:tcW w:w="2156" w:type="dxa"/>
            <w:tcMar>
              <w:left w:w="105" w:type="dxa"/>
              <w:right w:w="105" w:type="dxa"/>
            </w:tcMar>
          </w:tcPr>
          <w:p>
            <w:pPr>
              <w:rPr>
                <w:noProof/>
              </w:rPr>
            </w:pPr>
            <w:r>
              <w:rPr>
                <w:noProof/>
              </w:rPr>
              <w:t>Europol, Comisia, AAL SM, Consiliul</w:t>
            </w:r>
          </w:p>
        </w:tc>
        <w:tc>
          <w:tcPr>
            <w:tcW w:w="2669" w:type="dxa"/>
            <w:tcMar>
              <w:left w:w="105" w:type="dxa"/>
              <w:right w:w="105" w:type="dxa"/>
            </w:tcMar>
          </w:tcPr>
          <w:p>
            <w:pPr>
              <w:rPr>
                <w:noProof/>
              </w:rPr>
            </w:pPr>
            <w:r>
              <w:rPr>
                <w:noProof/>
              </w:rPr>
              <w:t>Analiză</w:t>
            </w:r>
          </w:p>
          <w:p>
            <w:pPr>
              <w:rPr>
                <w:noProof/>
              </w:rPr>
            </w:pPr>
            <w:r>
              <w:rPr>
                <w:noProof/>
              </w:rPr>
              <w:t>Raport</w:t>
            </w:r>
          </w:p>
        </w:tc>
        <w:tc>
          <w:tcPr>
            <w:tcW w:w="2318" w:type="dxa"/>
            <w:tcMar>
              <w:left w:w="105" w:type="dxa"/>
              <w:right w:w="105" w:type="dxa"/>
            </w:tcMar>
          </w:tcPr>
          <w:p>
            <w:pPr>
              <w:rPr>
                <w:noProof/>
              </w:rPr>
            </w:pPr>
            <w:r>
              <w:rPr>
                <w:noProof/>
              </w:rPr>
              <w:t>Digitalizarea și automatizarea proceselor</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7 alineatul (2)</w:t>
            </w:r>
          </w:p>
        </w:tc>
        <w:tc>
          <w:tcPr>
            <w:tcW w:w="4135" w:type="dxa"/>
            <w:tcMar>
              <w:left w:w="105" w:type="dxa"/>
              <w:right w:w="105" w:type="dxa"/>
            </w:tcMar>
          </w:tcPr>
          <w:p>
            <w:pPr>
              <w:rPr>
                <w:noProof/>
              </w:rPr>
            </w:pPr>
            <w:r>
              <w:rPr>
                <w:noProof/>
              </w:rPr>
              <w:t>Sprijinul acordat de Europol metodologiilor și standardelor comune privind produsele analitice.</w:t>
            </w:r>
          </w:p>
        </w:tc>
        <w:tc>
          <w:tcPr>
            <w:tcW w:w="2156" w:type="dxa"/>
            <w:tcMar>
              <w:left w:w="105" w:type="dxa"/>
              <w:right w:w="105" w:type="dxa"/>
            </w:tcMar>
          </w:tcPr>
          <w:p>
            <w:pPr>
              <w:rPr>
                <w:noProof/>
              </w:rPr>
            </w:pPr>
            <w:r>
              <w:rPr>
                <w:noProof/>
              </w:rPr>
              <w:t>Europol</w:t>
            </w:r>
          </w:p>
          <w:p>
            <w:pPr>
              <w:rPr>
                <w:noProof/>
              </w:rPr>
            </w:pPr>
            <w:r>
              <w:rPr>
                <w:noProof/>
              </w:rPr>
              <w:t>Și beneficiarii: AAL SM, Consiliul, Comisia, Eurojust/EUBOA</w:t>
            </w:r>
          </w:p>
        </w:tc>
        <w:tc>
          <w:tcPr>
            <w:tcW w:w="2669" w:type="dxa"/>
            <w:tcMar>
              <w:left w:w="105" w:type="dxa"/>
              <w:right w:w="105" w:type="dxa"/>
            </w:tcMar>
          </w:tcPr>
          <w:p>
            <w:pPr>
              <w:rPr>
                <w:noProof/>
              </w:rPr>
            </w:pPr>
            <w:r>
              <w:rPr>
                <w:noProof/>
              </w:rPr>
              <w:t>Standardizare</w:t>
            </w:r>
          </w:p>
          <w:p>
            <w:pPr>
              <w:rPr>
                <w:noProof/>
              </w:rPr>
            </w:pPr>
            <w:r>
              <w:rPr>
                <w:noProof/>
              </w:rPr>
              <w:t>Analiză</w:t>
            </w:r>
          </w:p>
        </w:tc>
        <w:tc>
          <w:tcPr>
            <w:tcW w:w="2318" w:type="dxa"/>
            <w:tcMar>
              <w:left w:w="105" w:type="dxa"/>
              <w:right w:w="105" w:type="dxa"/>
            </w:tcMar>
          </w:tcPr>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7 alineatele (3) și (4)</w:t>
            </w:r>
          </w:p>
        </w:tc>
        <w:tc>
          <w:tcPr>
            <w:tcW w:w="4135" w:type="dxa"/>
            <w:tcMar>
              <w:left w:w="105" w:type="dxa"/>
              <w:right w:w="105" w:type="dxa"/>
            </w:tcMar>
          </w:tcPr>
          <w:p>
            <w:pPr>
              <w:rPr>
                <w:noProof/>
              </w:rPr>
            </w:pPr>
            <w:r>
              <w:rPr>
                <w:noProof/>
              </w:rPr>
              <w:t xml:space="preserve">Statele membre, EUBOA furnizează Europol informații privind produsele </w:t>
            </w:r>
            <w:bookmarkStart w:id="52" w:name="_Int_lzvMbyEM"/>
            <w:r>
              <w:rPr>
                <w:noProof/>
              </w:rPr>
              <w:t>analitice strategice și operaționale</w:t>
            </w:r>
            <w:bookmarkEnd w:id="52"/>
            <w:r>
              <w:rPr>
                <w:noProof/>
              </w:rPr>
              <w:t>.</w:t>
            </w:r>
          </w:p>
        </w:tc>
        <w:tc>
          <w:tcPr>
            <w:tcW w:w="2156" w:type="dxa"/>
            <w:tcMar>
              <w:left w:w="105" w:type="dxa"/>
              <w:right w:w="105" w:type="dxa"/>
            </w:tcMar>
          </w:tcPr>
          <w:p>
            <w:pPr>
              <w:rPr>
                <w:noProof/>
              </w:rPr>
            </w:pPr>
            <w:r>
              <w:rPr>
                <w:noProof/>
              </w:rPr>
              <w:t xml:space="preserve">Europol </w:t>
            </w:r>
            <w:r>
              <w:rPr>
                <w:noProof/>
              </w:rPr>
              <w:br/>
              <w:t xml:space="preserve">SM (în general) </w:t>
            </w:r>
            <w:r>
              <w:rPr>
                <w:noProof/>
              </w:rPr>
              <w:br/>
              <w:t>EUBOA</w:t>
            </w:r>
          </w:p>
        </w:tc>
        <w:tc>
          <w:tcPr>
            <w:tcW w:w="2669" w:type="dxa"/>
            <w:tcMar>
              <w:left w:w="105" w:type="dxa"/>
              <w:right w:w="105" w:type="dxa"/>
            </w:tcMar>
          </w:tcPr>
          <w:p>
            <w:pPr>
              <w:rPr>
                <w:noProof/>
              </w:rPr>
            </w:pPr>
            <w:r>
              <w:rPr>
                <w:noProof/>
              </w:rPr>
              <w:t>Analiză</w:t>
            </w:r>
          </w:p>
          <w:p>
            <w:pPr>
              <w:rPr>
                <w:noProof/>
              </w:rPr>
            </w:pPr>
            <w:r>
              <w:rPr>
                <w:noProof/>
              </w:rPr>
              <w:t>Schimb de informații</w:t>
            </w:r>
          </w:p>
          <w:p>
            <w:pPr>
              <w:rPr>
                <w:noProof/>
              </w:rPr>
            </w:pPr>
            <w:r>
              <w:rPr>
                <w:noProof/>
              </w:rPr>
              <w:t>partajare către Europol</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 xml:space="preserve">Articolul 11 </w:t>
            </w:r>
          </w:p>
        </w:tc>
        <w:tc>
          <w:tcPr>
            <w:tcW w:w="4135" w:type="dxa"/>
            <w:tcMar>
              <w:left w:w="105" w:type="dxa"/>
              <w:right w:w="105" w:type="dxa"/>
            </w:tcMar>
          </w:tcPr>
          <w:p>
            <w:pPr>
              <w:rPr>
                <w:noProof/>
              </w:rPr>
            </w:pPr>
            <w:r>
              <w:rPr>
                <w:noProof/>
              </w:rPr>
              <w:t>Fluxurile de date în contextul cererilor Europol de inițiere a unei anchete penale.</w:t>
            </w:r>
          </w:p>
        </w:tc>
        <w:tc>
          <w:tcPr>
            <w:tcW w:w="2156" w:type="dxa"/>
            <w:tcMar>
              <w:left w:w="105" w:type="dxa"/>
              <w:right w:w="105" w:type="dxa"/>
            </w:tcMar>
          </w:tcPr>
          <w:p>
            <w:pPr>
              <w:rPr>
                <w:noProof/>
              </w:rPr>
            </w:pPr>
            <w:r>
              <w:rPr>
                <w:noProof/>
              </w:rPr>
              <w:t>Europol</w:t>
            </w:r>
          </w:p>
          <w:p>
            <w:pPr>
              <w:rPr>
                <w:noProof/>
              </w:rPr>
            </w:pPr>
            <w:r>
              <w:rPr>
                <w:noProof/>
              </w:rPr>
              <w:t>State membre (unități naționale)</w:t>
            </w:r>
          </w:p>
          <w:p>
            <w:pPr>
              <w:rPr>
                <w:noProof/>
              </w:rPr>
            </w:pPr>
            <w:r>
              <w:rPr>
                <w:noProof/>
              </w:rPr>
              <w:t>Eurojust</w:t>
            </w:r>
          </w:p>
          <w:p>
            <w:pPr>
              <w:rPr>
                <w:noProof/>
              </w:rPr>
            </w:pPr>
            <w:r>
              <w:rPr>
                <w:noProof/>
              </w:rPr>
              <w:t>EPPO</w:t>
            </w:r>
          </w:p>
        </w:tc>
        <w:tc>
          <w:tcPr>
            <w:tcW w:w="2669" w:type="dxa"/>
            <w:tcMar>
              <w:left w:w="105" w:type="dxa"/>
              <w:right w:w="105" w:type="dxa"/>
            </w:tcMar>
          </w:tcPr>
          <w:p>
            <w:pPr>
              <w:rPr>
                <w:noProof/>
              </w:rPr>
            </w:pPr>
            <w:r>
              <w:rPr>
                <w:noProof/>
              </w:rPr>
              <w:t>Cooperare operațională</w:t>
            </w:r>
          </w:p>
        </w:tc>
        <w:tc>
          <w:tcPr>
            <w:tcW w:w="2318" w:type="dxa"/>
            <w:tcMar>
              <w:left w:w="105" w:type="dxa"/>
              <w:right w:w="105" w:type="dxa"/>
            </w:tcMar>
          </w:tcPr>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Articolele 12 și 13</w:t>
            </w:r>
          </w:p>
        </w:tc>
        <w:tc>
          <w:tcPr>
            <w:tcW w:w="4135" w:type="dxa"/>
            <w:tcMar>
              <w:left w:w="105" w:type="dxa"/>
              <w:right w:w="105" w:type="dxa"/>
            </w:tcMar>
          </w:tcPr>
          <w:p>
            <w:pPr>
              <w:rPr>
                <w:noProof/>
              </w:rPr>
            </w:pPr>
            <w:r>
              <w:rPr>
                <w:noProof/>
              </w:rPr>
              <w:t>Coordonarea de către Europol a gestionării furnizării și solicitărilor de informații primite și transmise.</w:t>
            </w:r>
          </w:p>
        </w:tc>
        <w:tc>
          <w:tcPr>
            <w:tcW w:w="2156" w:type="dxa"/>
            <w:tcMar>
              <w:left w:w="105" w:type="dxa"/>
              <w:right w:w="105" w:type="dxa"/>
            </w:tcMar>
          </w:tcPr>
          <w:p>
            <w:pPr>
              <w:rPr>
                <w:noProof/>
              </w:rPr>
            </w:pPr>
            <w:r>
              <w:rPr>
                <w:noProof/>
              </w:rPr>
              <w:t>Europol</w:t>
            </w:r>
          </w:p>
          <w:p>
            <w:pPr>
              <w:rPr>
                <w:noProof/>
              </w:rPr>
            </w:pPr>
            <w:r>
              <w:rPr>
                <w:noProof/>
              </w:rPr>
              <w:t>AC SM, TC, IO, EUBOA</w:t>
            </w:r>
          </w:p>
        </w:tc>
        <w:tc>
          <w:tcPr>
            <w:tcW w:w="2669" w:type="dxa"/>
            <w:tcMar>
              <w:left w:w="105" w:type="dxa"/>
              <w:right w:w="105" w:type="dxa"/>
            </w:tcMar>
          </w:tcPr>
          <w:p>
            <w:pPr>
              <w:rPr>
                <w:noProof/>
              </w:rPr>
            </w:pPr>
            <w:r>
              <w:rPr>
                <w:noProof/>
              </w:rPr>
              <w:t>Schimb de informații</w:t>
            </w:r>
          </w:p>
          <w:p>
            <w:pPr>
              <w:rPr>
                <w:noProof/>
              </w:rPr>
            </w:pPr>
            <w:r>
              <w:rPr>
                <w:noProof/>
              </w:rPr>
              <w:t>Analiză</w:t>
            </w:r>
          </w:p>
        </w:tc>
        <w:tc>
          <w:tcPr>
            <w:tcW w:w="2318" w:type="dxa"/>
            <w:tcMar>
              <w:left w:w="105" w:type="dxa"/>
              <w:right w:w="105" w:type="dxa"/>
            </w:tcMar>
          </w:tcPr>
          <w:p>
            <w:pPr>
              <w:rPr>
                <w:noProof/>
              </w:rPr>
            </w:pPr>
            <w:r>
              <w:rPr>
                <w:noProof/>
              </w:rPr>
              <w:t>Digitalizarea și automatizarea proceselor</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18 litera (a)</w:t>
            </w:r>
          </w:p>
        </w:tc>
        <w:tc>
          <w:tcPr>
            <w:tcW w:w="4135" w:type="dxa"/>
            <w:tcMar>
              <w:left w:w="105" w:type="dxa"/>
              <w:right w:w="105" w:type="dxa"/>
            </w:tcMar>
          </w:tcPr>
          <w:p>
            <w:pPr>
              <w:rPr>
                <w:noProof/>
              </w:rPr>
            </w:pPr>
            <w:r>
              <w:rPr>
                <w:noProof/>
              </w:rPr>
              <w:t>Cooperarea Europol cu autoritățile competente în contextul ordinului de eliminare a conținutului online cu caracter terorist.</w:t>
            </w:r>
          </w:p>
        </w:tc>
        <w:tc>
          <w:tcPr>
            <w:tcW w:w="2156" w:type="dxa"/>
            <w:tcMar>
              <w:left w:w="105" w:type="dxa"/>
              <w:right w:w="105" w:type="dxa"/>
            </w:tcMar>
          </w:tcPr>
          <w:p>
            <w:pPr>
              <w:rPr>
                <w:noProof/>
              </w:rPr>
            </w:pPr>
            <w:r>
              <w:rPr>
                <w:noProof/>
              </w:rPr>
              <w:t xml:space="preserve">Europol </w:t>
            </w:r>
            <w:r>
              <w:rPr>
                <w:noProof/>
              </w:rPr>
              <w:br/>
              <w:t xml:space="preserve">AC SM </w:t>
            </w:r>
            <w:r>
              <w:rPr>
                <w:noProof/>
              </w:rPr>
              <w:br/>
              <w:t>Părți private</w:t>
            </w:r>
          </w:p>
        </w:tc>
        <w:tc>
          <w:tcPr>
            <w:tcW w:w="2669" w:type="dxa"/>
            <w:tcMar>
              <w:left w:w="105" w:type="dxa"/>
              <w:right w:w="105" w:type="dxa"/>
            </w:tcMar>
          </w:tcPr>
          <w:p>
            <w:pPr>
              <w:rPr>
                <w:noProof/>
              </w:rPr>
            </w:pPr>
            <w:r>
              <w:rPr>
                <w:noProof/>
              </w:rPr>
              <w:t>Schimbul de informații cu AC și PP</w:t>
            </w:r>
          </w:p>
          <w:p>
            <w:pPr>
              <w:rPr>
                <w:noProof/>
              </w:rPr>
            </w:pPr>
            <w:r>
              <w:rPr>
                <w:noProof/>
              </w:rPr>
              <w:t>Ordine de eliminare TCO</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18 litera (a)</w:t>
            </w:r>
          </w:p>
        </w:tc>
        <w:tc>
          <w:tcPr>
            <w:tcW w:w="4135" w:type="dxa"/>
            <w:tcMar>
              <w:left w:w="105" w:type="dxa"/>
              <w:right w:w="105" w:type="dxa"/>
            </w:tcMar>
          </w:tcPr>
          <w:p>
            <w:pPr>
              <w:rPr>
                <w:noProof/>
              </w:rPr>
            </w:pPr>
            <w:r>
              <w:rPr>
                <w:noProof/>
              </w:rPr>
              <w:t>Semnalările Europol către furnizorii de servicii online.</w:t>
            </w:r>
          </w:p>
        </w:tc>
        <w:tc>
          <w:tcPr>
            <w:tcW w:w="2156" w:type="dxa"/>
            <w:tcMar>
              <w:left w:w="105" w:type="dxa"/>
              <w:right w:w="105" w:type="dxa"/>
            </w:tcMar>
          </w:tcPr>
          <w:p>
            <w:pPr>
              <w:rPr>
                <w:noProof/>
              </w:rPr>
            </w:pPr>
            <w:r>
              <w:rPr>
                <w:noProof/>
              </w:rPr>
              <w:t xml:space="preserve">Europol </w:t>
            </w:r>
            <w:r>
              <w:rPr>
                <w:noProof/>
              </w:rPr>
              <w:br/>
              <w:t xml:space="preserve">AC SM </w:t>
            </w:r>
            <w:r>
              <w:rPr>
                <w:noProof/>
              </w:rPr>
              <w:br/>
              <w:t>Părți private</w:t>
            </w:r>
          </w:p>
        </w:tc>
        <w:tc>
          <w:tcPr>
            <w:tcW w:w="2669" w:type="dxa"/>
            <w:tcMar>
              <w:left w:w="105" w:type="dxa"/>
              <w:right w:w="105" w:type="dxa"/>
            </w:tcMar>
          </w:tcPr>
          <w:p>
            <w:pPr>
              <w:rPr>
                <w:noProof/>
              </w:rPr>
            </w:pPr>
            <w:r>
              <w:rPr>
                <w:noProof/>
              </w:rPr>
              <w:t>Schimbul de informații cu PP</w:t>
            </w:r>
          </w:p>
          <w:p>
            <w:pPr>
              <w:rPr>
                <w:noProof/>
              </w:rPr>
            </w:pPr>
            <w:r>
              <w:rPr>
                <w:noProof/>
              </w:rPr>
              <w:t>Semnalarea TCO</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18 litera (c)</w:t>
            </w:r>
          </w:p>
        </w:tc>
        <w:tc>
          <w:tcPr>
            <w:tcW w:w="4135" w:type="dxa"/>
            <w:tcMar>
              <w:left w:w="105" w:type="dxa"/>
              <w:right w:w="105" w:type="dxa"/>
            </w:tcMar>
          </w:tcPr>
          <w:p>
            <w:pPr>
              <w:rPr>
                <w:noProof/>
              </w:rPr>
            </w:pPr>
            <w:r>
              <w:rPr>
                <w:noProof/>
              </w:rPr>
              <w:t>Sprijinul acordat de Europol pentru răspunsul în situații de criză.</w:t>
            </w:r>
          </w:p>
        </w:tc>
        <w:tc>
          <w:tcPr>
            <w:tcW w:w="2156" w:type="dxa"/>
            <w:tcMar>
              <w:left w:w="105" w:type="dxa"/>
              <w:right w:w="105" w:type="dxa"/>
            </w:tcMar>
          </w:tcPr>
          <w:p>
            <w:pPr>
              <w:rPr>
                <w:noProof/>
              </w:rPr>
            </w:pPr>
            <w:r>
              <w:rPr>
                <w:noProof/>
              </w:rPr>
              <w:t xml:space="preserve">Europol </w:t>
            </w:r>
            <w:r>
              <w:rPr>
                <w:noProof/>
              </w:rPr>
              <w:br/>
              <w:t xml:space="preserve">AC SM </w:t>
            </w:r>
            <w:r>
              <w:rPr>
                <w:noProof/>
              </w:rPr>
              <w:br/>
              <w:t>Părți private</w:t>
            </w:r>
          </w:p>
        </w:tc>
        <w:tc>
          <w:tcPr>
            <w:tcW w:w="2669" w:type="dxa"/>
            <w:tcMar>
              <w:left w:w="105" w:type="dxa"/>
              <w:right w:w="105" w:type="dxa"/>
            </w:tcMar>
          </w:tcPr>
          <w:p>
            <w:pPr>
              <w:rPr>
                <w:noProof/>
              </w:rPr>
            </w:pPr>
            <w:r>
              <w:rPr>
                <w:noProof/>
              </w:rPr>
              <w:t>Schimb de informații</w:t>
            </w:r>
          </w:p>
          <w:p>
            <w:pPr>
              <w:rPr>
                <w:noProof/>
              </w:rPr>
            </w:pPr>
            <w:r>
              <w:rPr>
                <w:noProof/>
              </w:rPr>
              <w:t>Răspunsul în situații de criză</w:t>
            </w:r>
          </w:p>
        </w:tc>
        <w:tc>
          <w:tcPr>
            <w:tcW w:w="2318" w:type="dxa"/>
            <w:tcMar>
              <w:left w:w="105" w:type="dxa"/>
              <w:right w:w="105" w:type="dxa"/>
            </w:tcMar>
          </w:tcPr>
          <w:p>
            <w:pPr>
              <w:rPr>
                <w:noProof/>
              </w:rPr>
            </w:pPr>
            <w:r>
              <w:rPr>
                <w:noProof/>
              </w:rPr>
              <w:t>Serviciul public digital</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16 litera (a)</w:t>
            </w:r>
          </w:p>
        </w:tc>
        <w:tc>
          <w:tcPr>
            <w:tcW w:w="4135" w:type="dxa"/>
            <w:tcMar>
              <w:left w:w="105" w:type="dxa"/>
              <w:right w:w="105" w:type="dxa"/>
            </w:tcMar>
          </w:tcPr>
          <w:p>
            <w:pPr>
              <w:rPr>
                <w:noProof/>
              </w:rPr>
            </w:pPr>
            <w:r>
              <w:rPr>
                <w:noProof/>
              </w:rPr>
              <w:t>Europol sprijină ARO în ceea ce privește urmărirea și identificarea instrumentelor, a produselor și a bunurilor care fac sau care ar putea face obiectul unui ordin de indisponibilizare sau de confiscare, în conformitate cu articolul 6.</w:t>
            </w:r>
          </w:p>
        </w:tc>
        <w:tc>
          <w:tcPr>
            <w:tcW w:w="2156" w:type="dxa"/>
            <w:tcMar>
              <w:left w:w="105" w:type="dxa"/>
              <w:right w:w="105" w:type="dxa"/>
            </w:tcMar>
          </w:tcPr>
          <w:p>
            <w:pPr>
              <w:rPr>
                <w:noProof/>
              </w:rPr>
            </w:pPr>
            <w:r>
              <w:rPr>
                <w:noProof/>
              </w:rPr>
              <w:t xml:space="preserve">Europol </w:t>
            </w:r>
            <w:r>
              <w:rPr>
                <w:noProof/>
              </w:rPr>
              <w:br/>
              <w:t>ARO SM</w:t>
            </w:r>
          </w:p>
        </w:tc>
        <w:tc>
          <w:tcPr>
            <w:tcW w:w="2669" w:type="dxa"/>
            <w:tcMar>
              <w:left w:w="105" w:type="dxa"/>
              <w:right w:w="105" w:type="dxa"/>
            </w:tcMar>
          </w:tcPr>
          <w:p>
            <w:pPr>
              <w:rPr>
                <w:noProof/>
              </w:rPr>
            </w:pPr>
            <w:r>
              <w:rPr>
                <w:noProof/>
              </w:rPr>
              <w:t>Schimb de informații</w:t>
            </w:r>
          </w:p>
          <w:p>
            <w:pPr>
              <w:rPr>
                <w:noProof/>
              </w:rPr>
            </w:pPr>
            <w:r>
              <w:rPr>
                <w:noProof/>
              </w:rPr>
              <w:t>Procedura de indisponibilizare</w:t>
            </w:r>
          </w:p>
        </w:tc>
        <w:tc>
          <w:tcPr>
            <w:tcW w:w="2318" w:type="dxa"/>
            <w:tcMar>
              <w:left w:w="105" w:type="dxa"/>
              <w:right w:w="105" w:type="dxa"/>
            </w:tcMar>
          </w:tcPr>
          <w:p>
            <w:pPr>
              <w:rPr>
                <w:noProof/>
              </w:rPr>
            </w:pPr>
            <w:r>
              <w:rPr>
                <w:noProof/>
              </w:rPr>
              <w:t>Serviciul public digital</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16 litera (c)</w:t>
            </w:r>
          </w:p>
        </w:tc>
        <w:tc>
          <w:tcPr>
            <w:tcW w:w="4135" w:type="dxa"/>
            <w:tcMar>
              <w:left w:w="105" w:type="dxa"/>
              <w:right w:w="105" w:type="dxa"/>
            </w:tcMar>
          </w:tcPr>
          <w:p>
            <w:pPr>
              <w:rPr>
                <w:noProof/>
              </w:rPr>
            </w:pPr>
            <w:r>
              <w:rPr>
                <w:noProof/>
              </w:rPr>
              <w:t>Sprijinul operațional și analitic acordat EPPO de către Europol.</w:t>
            </w:r>
          </w:p>
        </w:tc>
        <w:tc>
          <w:tcPr>
            <w:tcW w:w="2156" w:type="dxa"/>
            <w:tcMar>
              <w:left w:w="105" w:type="dxa"/>
              <w:right w:w="105" w:type="dxa"/>
            </w:tcMar>
          </w:tcPr>
          <w:p>
            <w:pPr>
              <w:rPr>
                <w:noProof/>
              </w:rPr>
            </w:pPr>
            <w:r>
              <w:rPr>
                <w:noProof/>
              </w:rPr>
              <w:t xml:space="preserve">Europol </w:t>
            </w:r>
            <w:r>
              <w:rPr>
                <w:noProof/>
              </w:rPr>
              <w:br/>
              <w:t>EPPO</w:t>
            </w:r>
          </w:p>
        </w:tc>
        <w:tc>
          <w:tcPr>
            <w:tcW w:w="2669" w:type="dxa"/>
            <w:tcMar>
              <w:left w:w="105" w:type="dxa"/>
              <w:right w:w="105" w:type="dxa"/>
            </w:tcMar>
          </w:tcPr>
          <w:p>
            <w:pPr>
              <w:rPr>
                <w:noProof/>
              </w:rPr>
            </w:pPr>
            <w:r>
              <w:rPr>
                <w:noProof/>
              </w:rPr>
              <w:t>Schimb de informații</w:t>
            </w:r>
          </w:p>
          <w:p>
            <w:pPr>
              <w:rPr>
                <w:noProof/>
              </w:rPr>
            </w:pPr>
            <w:r>
              <w:rPr>
                <w:noProof/>
              </w:rPr>
              <w:t>Analiză</w:t>
            </w:r>
          </w:p>
        </w:tc>
        <w:tc>
          <w:tcPr>
            <w:tcW w:w="2318" w:type="dxa"/>
            <w:tcMar>
              <w:left w:w="105" w:type="dxa"/>
              <w:right w:w="105" w:type="dxa"/>
            </w:tcMar>
          </w:tcPr>
          <w:p>
            <w:pPr>
              <w:rPr>
                <w:noProof/>
              </w:rPr>
            </w:pPr>
            <w:r>
              <w:rPr>
                <w:noProof/>
              </w:rPr>
              <w:t>Serviciul public digital</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21 alineatul (4)</w:t>
            </w:r>
          </w:p>
        </w:tc>
        <w:tc>
          <w:tcPr>
            <w:tcW w:w="4135" w:type="dxa"/>
            <w:tcMar>
              <w:left w:w="105" w:type="dxa"/>
              <w:right w:w="105" w:type="dxa"/>
            </w:tcMar>
          </w:tcPr>
          <w:p>
            <w:pPr>
              <w:rPr>
                <w:noProof/>
              </w:rPr>
            </w:pPr>
            <w:r>
              <w:rPr>
                <w:noProof/>
              </w:rPr>
              <w:t>Europol poate prelucra informații în timp ce face parte din JIT</w:t>
            </w:r>
          </w:p>
        </w:tc>
        <w:tc>
          <w:tcPr>
            <w:tcW w:w="2156" w:type="dxa"/>
            <w:tcMar>
              <w:left w:w="105" w:type="dxa"/>
              <w:right w:w="105" w:type="dxa"/>
            </w:tcMar>
          </w:tcPr>
          <w:p>
            <w:pPr>
              <w:rPr>
                <w:noProof/>
              </w:rPr>
            </w:pPr>
            <w:r>
              <w:rPr>
                <w:noProof/>
              </w:rPr>
              <w:t xml:space="preserve">Europol </w:t>
            </w:r>
            <w:r>
              <w:rPr>
                <w:noProof/>
              </w:rPr>
              <w:br/>
              <w:t>AC SM</w:t>
            </w:r>
          </w:p>
        </w:tc>
        <w:tc>
          <w:tcPr>
            <w:tcW w:w="2669" w:type="dxa"/>
            <w:tcMar>
              <w:left w:w="105" w:type="dxa"/>
              <w:right w:w="105" w:type="dxa"/>
            </w:tcMar>
          </w:tcPr>
          <w:p>
            <w:pPr>
              <w:rPr>
                <w:noProof/>
              </w:rPr>
            </w:pPr>
            <w:r>
              <w:rPr>
                <w:noProof/>
              </w:rPr>
              <w:t xml:space="preserve">Colectare </w:t>
            </w:r>
            <w:r>
              <w:rPr>
                <w:noProof/>
              </w:rPr>
              <w:br/>
              <w:t>Analiza informațiilor</w:t>
            </w:r>
          </w:p>
        </w:tc>
        <w:tc>
          <w:tcPr>
            <w:tcW w:w="2318" w:type="dxa"/>
            <w:tcMar>
              <w:left w:w="105" w:type="dxa"/>
              <w:right w:w="105" w:type="dxa"/>
            </w:tcMar>
          </w:tcPr>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22 alineatul (5) litera (a)</w:t>
            </w:r>
          </w:p>
        </w:tc>
        <w:tc>
          <w:tcPr>
            <w:tcW w:w="4135" w:type="dxa"/>
            <w:tcMar>
              <w:left w:w="105" w:type="dxa"/>
              <w:right w:w="105" w:type="dxa"/>
            </w:tcMar>
          </w:tcPr>
          <w:p>
            <w:pPr>
              <w:rPr>
                <w:noProof/>
              </w:rPr>
            </w:pPr>
            <w:r>
              <w:rPr>
                <w:noProof/>
              </w:rPr>
              <w:t>ENU primește mesajele schimbate între Europol și autoritățile sale competente.</w:t>
            </w:r>
          </w:p>
        </w:tc>
        <w:tc>
          <w:tcPr>
            <w:tcW w:w="2156" w:type="dxa"/>
            <w:tcMar>
              <w:left w:w="105" w:type="dxa"/>
              <w:right w:w="105" w:type="dxa"/>
            </w:tcMar>
          </w:tcPr>
          <w:p>
            <w:pPr>
              <w:rPr>
                <w:noProof/>
              </w:rPr>
            </w:pPr>
            <w:r>
              <w:rPr>
                <w:noProof/>
              </w:rPr>
              <w:t xml:space="preserve">ENU SM </w:t>
            </w:r>
            <w:r>
              <w:rPr>
                <w:noProof/>
              </w:rPr>
              <w:br/>
              <w:t xml:space="preserve">AC SM </w:t>
            </w:r>
            <w:r>
              <w:rPr>
                <w:noProof/>
              </w:rPr>
              <w:br/>
              <w:t>Europol</w:t>
            </w:r>
          </w:p>
        </w:tc>
        <w:tc>
          <w:tcPr>
            <w:tcW w:w="2669" w:type="dxa"/>
            <w:tcMar>
              <w:left w:w="105" w:type="dxa"/>
              <w:right w:w="105" w:type="dxa"/>
            </w:tcMar>
          </w:tcPr>
          <w:p>
            <w:pPr>
              <w:rPr>
                <w:noProof/>
              </w:rPr>
            </w:pPr>
            <w:r>
              <w:rPr>
                <w:noProof/>
              </w:rPr>
              <w:t>Schimbul de informații între Europol și SM</w:t>
            </w:r>
          </w:p>
        </w:tc>
        <w:tc>
          <w:tcPr>
            <w:tcW w:w="2318" w:type="dxa"/>
            <w:tcMar>
              <w:left w:w="105" w:type="dxa"/>
              <w:right w:w="105" w:type="dxa"/>
            </w:tcMar>
          </w:tcPr>
          <w:p>
            <w:pPr>
              <w:rPr>
                <w:noProof/>
              </w:rPr>
            </w:pPr>
            <w:r>
              <w:rPr>
                <w:noProof/>
              </w:rPr>
              <w:t>Digitalizarea și automatizarea proceselor</w:t>
            </w:r>
          </w:p>
          <w:p>
            <w:pPr>
              <w:rPr>
                <w:noProof/>
              </w:rPr>
            </w:pPr>
            <w:r>
              <w:rPr>
                <w:noProof/>
              </w:rPr>
              <w:t>Date</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22 alineatul (5) litera (b)</w:t>
            </w:r>
          </w:p>
        </w:tc>
        <w:tc>
          <w:tcPr>
            <w:tcW w:w="4135" w:type="dxa"/>
            <w:tcMar>
              <w:left w:w="105" w:type="dxa"/>
              <w:right w:w="105" w:type="dxa"/>
            </w:tcMar>
          </w:tcPr>
          <w:p>
            <w:pPr>
              <w:rPr>
                <w:noProof/>
              </w:rPr>
            </w:pPr>
            <w:r>
              <w:rPr>
                <w:noProof/>
              </w:rPr>
              <w:t>ENU au acces la datele naționale privind aplicarea legii și la alte date relevante necesare pentru cooperarea cu Europol.</w:t>
            </w:r>
          </w:p>
        </w:tc>
        <w:tc>
          <w:tcPr>
            <w:tcW w:w="2156" w:type="dxa"/>
            <w:tcMar>
              <w:left w:w="105" w:type="dxa"/>
              <w:right w:w="105" w:type="dxa"/>
            </w:tcMar>
          </w:tcPr>
          <w:p>
            <w:pPr>
              <w:rPr>
                <w:noProof/>
              </w:rPr>
            </w:pPr>
            <w:r>
              <w:rPr>
                <w:noProof/>
              </w:rPr>
              <w:t xml:space="preserve">ENU SM </w:t>
            </w:r>
            <w:r>
              <w:rPr>
                <w:noProof/>
              </w:rPr>
              <w:br/>
              <w:t>Europol</w:t>
            </w:r>
          </w:p>
        </w:tc>
        <w:tc>
          <w:tcPr>
            <w:tcW w:w="2669" w:type="dxa"/>
            <w:tcMar>
              <w:left w:w="105" w:type="dxa"/>
              <w:right w:w="105" w:type="dxa"/>
            </w:tcMar>
          </w:tcPr>
          <w:p>
            <w:pPr>
              <w:rPr>
                <w:noProof/>
              </w:rPr>
            </w:pPr>
            <w:r>
              <w:rPr>
                <w:noProof/>
              </w:rPr>
              <w:t>Accesul la datele SM</w:t>
            </w:r>
          </w:p>
        </w:tc>
        <w:tc>
          <w:tcPr>
            <w:tcW w:w="2318" w:type="dxa"/>
            <w:tcMar>
              <w:left w:w="105" w:type="dxa"/>
              <w:right w:w="105" w:type="dxa"/>
            </w:tcMar>
          </w:tcPr>
          <w:p>
            <w:pPr>
              <w:rPr>
                <w:noProof/>
              </w:rPr>
            </w:pPr>
            <w:r>
              <w:rPr>
                <w:noProof/>
              </w:rPr>
              <w:t>Date</w:t>
            </w:r>
          </w:p>
          <w:p>
            <w:pPr>
              <w:rPr>
                <w:noProof/>
              </w:rPr>
            </w:pPr>
            <w:r>
              <w:rPr>
                <w:noProof/>
              </w:rPr>
              <w:t>Digitalizarea și automatizarea proceselor</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22 alineatul (8), articolul 25 alineatul (6) și articolul 26</w:t>
            </w:r>
          </w:p>
        </w:tc>
        <w:tc>
          <w:tcPr>
            <w:tcW w:w="4135" w:type="dxa"/>
            <w:tcMar>
              <w:left w:w="105" w:type="dxa"/>
              <w:right w:w="105" w:type="dxa"/>
            </w:tcMar>
          </w:tcPr>
          <w:p>
            <w:pPr>
              <w:rPr>
                <w:noProof/>
              </w:rPr>
            </w:pPr>
            <w:r>
              <w:rPr>
                <w:noProof/>
              </w:rPr>
              <w:t>Adoptarea tehnică și operațională a sistemelor și instrumentelor Europol la nivel național de către ENU și de către birourile de sprijin Europol (ESO).</w:t>
            </w:r>
          </w:p>
          <w:p>
            <w:pPr>
              <w:rPr>
                <w:noProof/>
              </w:rPr>
            </w:pPr>
            <w:r>
              <w:rPr>
                <w:noProof/>
              </w:rPr>
              <w:t>Europol asigură personalul pentru ESO, acoperă costurile legate de conectarea ENU și oferă sprijin tehnic și financiar pentru ENU.</w:t>
            </w:r>
          </w:p>
        </w:tc>
        <w:tc>
          <w:tcPr>
            <w:tcW w:w="2156" w:type="dxa"/>
            <w:tcMar>
              <w:left w:w="105" w:type="dxa"/>
              <w:right w:w="105" w:type="dxa"/>
            </w:tcMar>
          </w:tcPr>
          <w:p>
            <w:pPr>
              <w:rPr>
                <w:noProof/>
              </w:rPr>
            </w:pPr>
            <w:r>
              <w:rPr>
                <w:noProof/>
              </w:rPr>
              <w:t xml:space="preserve">Europol </w:t>
            </w:r>
            <w:r>
              <w:rPr>
                <w:noProof/>
              </w:rPr>
              <w:br/>
              <w:t xml:space="preserve">ENU SM </w:t>
            </w:r>
            <w:r>
              <w:rPr>
                <w:noProof/>
              </w:rPr>
              <w:br/>
              <w:t>AAL SM</w:t>
            </w:r>
          </w:p>
        </w:tc>
        <w:tc>
          <w:tcPr>
            <w:tcW w:w="2669" w:type="dxa"/>
            <w:tcMar>
              <w:left w:w="105" w:type="dxa"/>
              <w:right w:w="105" w:type="dxa"/>
            </w:tcMar>
          </w:tcPr>
          <w:p>
            <w:pPr>
              <w:rPr>
                <w:noProof/>
              </w:rPr>
            </w:pPr>
            <w:r>
              <w:rPr>
                <w:noProof/>
              </w:rPr>
              <w:t>Asimilare</w:t>
            </w:r>
          </w:p>
        </w:tc>
        <w:tc>
          <w:tcPr>
            <w:tcW w:w="2318" w:type="dxa"/>
            <w:tcMar>
              <w:left w:w="105" w:type="dxa"/>
              <w:right w:w="105" w:type="dxa"/>
            </w:tcMar>
          </w:tcPr>
          <w:p>
            <w:pPr>
              <w:rPr>
                <w:noProof/>
              </w:rPr>
            </w:pPr>
            <w:r>
              <w:rPr>
                <w:noProof/>
              </w:rPr>
              <w:t>Digitalizarea și automatizarea proceselor</w:t>
            </w:r>
          </w:p>
        </w:tc>
      </w:tr>
      <w:tr>
        <w:trPr>
          <w:gridAfter w:val="1"/>
          <w:wAfter w:w="109" w:type="dxa"/>
          <w:trHeight w:val="285"/>
        </w:trPr>
        <w:tc>
          <w:tcPr>
            <w:tcW w:w="2068" w:type="dxa"/>
            <w:tcMar>
              <w:left w:w="105" w:type="dxa"/>
              <w:right w:w="105" w:type="dxa"/>
            </w:tcMar>
          </w:tcPr>
          <w:p>
            <w:pPr>
              <w:rPr>
                <w:noProof/>
              </w:rPr>
            </w:pPr>
            <w:r>
              <w:rPr>
                <w:noProof/>
              </w:rPr>
              <w:t xml:space="preserve">Articolul 28 </w:t>
            </w:r>
          </w:p>
        </w:tc>
        <w:tc>
          <w:tcPr>
            <w:tcW w:w="4135" w:type="dxa"/>
            <w:tcMar>
              <w:left w:w="105" w:type="dxa"/>
              <w:right w:w="105" w:type="dxa"/>
            </w:tcMar>
          </w:tcPr>
          <w:p>
            <w:pPr>
              <w:rPr>
                <w:noProof/>
              </w:rPr>
            </w:pPr>
            <w:r>
              <w:rPr>
                <w:noProof/>
              </w:rPr>
              <w:t>Surse de informații aflate la dispoziția Europol.</w:t>
            </w:r>
          </w:p>
        </w:tc>
        <w:tc>
          <w:tcPr>
            <w:tcW w:w="2156" w:type="dxa"/>
            <w:tcMar>
              <w:left w:w="105" w:type="dxa"/>
              <w:right w:w="105" w:type="dxa"/>
            </w:tcMar>
          </w:tcPr>
          <w:p>
            <w:pPr>
              <w:rPr>
                <w:noProof/>
              </w:rPr>
            </w:pPr>
            <w:r>
              <w:rPr>
                <w:noProof/>
              </w:rPr>
              <w:t xml:space="preserve">Europol, </w:t>
            </w:r>
            <w:r>
              <w:rPr>
                <w:noProof/>
              </w:rPr>
              <w:br/>
              <w:t xml:space="preserve">EPPO, </w:t>
            </w:r>
            <w:r>
              <w:rPr>
                <w:noProof/>
              </w:rPr>
              <w:br/>
              <w:t xml:space="preserve">Autoritățile de aplicare a legii (AAL) din SM </w:t>
            </w:r>
            <w:r>
              <w:rPr>
                <w:noProof/>
              </w:rPr>
              <w:br/>
              <w:t xml:space="preserve">Părți private </w:t>
            </w:r>
            <w:r>
              <w:rPr>
                <w:noProof/>
              </w:rPr>
              <w:br/>
              <w:t>Țări terțe și organizații internaționale</w:t>
            </w:r>
          </w:p>
        </w:tc>
        <w:tc>
          <w:tcPr>
            <w:tcW w:w="2669" w:type="dxa"/>
            <w:tcMar>
              <w:left w:w="105" w:type="dxa"/>
              <w:right w:w="105" w:type="dxa"/>
            </w:tcMar>
          </w:tcPr>
          <w:p>
            <w:pPr>
              <w:rPr>
                <w:noProof/>
              </w:rPr>
            </w:pPr>
            <w:r>
              <w:rPr>
                <w:noProof/>
              </w:rPr>
              <w:t>Colectarea informațiilor</w:t>
            </w:r>
          </w:p>
        </w:tc>
        <w:tc>
          <w:tcPr>
            <w:tcW w:w="2318" w:type="dxa"/>
            <w:tcMar>
              <w:left w:w="105" w:type="dxa"/>
              <w:right w:w="105" w:type="dxa"/>
            </w:tcMar>
          </w:tcPr>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29</w:t>
            </w:r>
          </w:p>
        </w:tc>
        <w:tc>
          <w:tcPr>
            <w:tcW w:w="4135" w:type="dxa"/>
            <w:tcMar>
              <w:left w:w="105" w:type="dxa"/>
              <w:right w:w="105" w:type="dxa"/>
            </w:tcMar>
          </w:tcPr>
          <w:p>
            <w:pPr>
              <w:rPr>
                <w:noProof/>
              </w:rPr>
            </w:pPr>
            <w:r>
              <w:rPr>
                <w:noProof/>
              </w:rPr>
              <w:t>Obligația statelor membre de a furniza informații către Europol prin canalul SIENA, inclusiv prin intermediul ofițerilor de legătură în materie de imigrație.</w:t>
            </w:r>
          </w:p>
        </w:tc>
        <w:tc>
          <w:tcPr>
            <w:tcW w:w="2156" w:type="dxa"/>
            <w:tcMar>
              <w:left w:w="105" w:type="dxa"/>
              <w:right w:w="105" w:type="dxa"/>
            </w:tcMar>
          </w:tcPr>
          <w:p>
            <w:pPr>
              <w:rPr>
                <w:noProof/>
              </w:rPr>
            </w:pPr>
            <w:r>
              <w:rPr>
                <w:noProof/>
              </w:rPr>
              <w:t>AC SM</w:t>
            </w:r>
          </w:p>
          <w:p>
            <w:pPr>
              <w:rPr>
                <w:noProof/>
              </w:rPr>
            </w:pPr>
            <w:r>
              <w:rPr>
                <w:noProof/>
              </w:rPr>
              <w:t>Europol</w:t>
            </w:r>
          </w:p>
          <w:p>
            <w:pPr>
              <w:rPr>
                <w:noProof/>
              </w:rPr>
            </w:pPr>
            <w:r>
              <w:rPr>
                <w:noProof/>
              </w:rPr>
              <w:t>Ofițeri de legătură în materie de imigrație</w:t>
            </w:r>
          </w:p>
        </w:tc>
        <w:tc>
          <w:tcPr>
            <w:tcW w:w="2669" w:type="dxa"/>
            <w:tcMar>
              <w:left w:w="105" w:type="dxa"/>
              <w:right w:w="105" w:type="dxa"/>
            </w:tcMar>
          </w:tcPr>
          <w:p>
            <w:pPr>
              <w:rPr>
                <w:noProof/>
              </w:rPr>
            </w:pPr>
            <w:r>
              <w:rPr>
                <w:noProof/>
              </w:rPr>
              <w:t>partajare către Europol</w:t>
            </w:r>
          </w:p>
        </w:tc>
        <w:tc>
          <w:tcPr>
            <w:tcW w:w="2318" w:type="dxa"/>
            <w:tcMar>
              <w:left w:w="105" w:type="dxa"/>
              <w:right w:w="105" w:type="dxa"/>
            </w:tcMar>
          </w:tcPr>
          <w:p>
            <w:pPr>
              <w:rPr>
                <w:noProof/>
              </w:rPr>
            </w:pPr>
            <w:r>
              <w:rPr>
                <w:noProof/>
              </w:rPr>
              <w:t>Date</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29 alineatul (3)</w:t>
            </w:r>
          </w:p>
        </w:tc>
        <w:tc>
          <w:tcPr>
            <w:tcW w:w="4135" w:type="dxa"/>
            <w:tcMar>
              <w:left w:w="105" w:type="dxa"/>
              <w:right w:w="105" w:type="dxa"/>
            </w:tcMar>
          </w:tcPr>
          <w:p>
            <w:pPr>
              <w:rPr>
                <w:noProof/>
              </w:rPr>
            </w:pPr>
            <w:r>
              <w:rPr>
                <w:noProof/>
              </w:rPr>
              <w:t>Utilizarea canalului SIENA de către statele membre.</w:t>
            </w:r>
          </w:p>
        </w:tc>
        <w:tc>
          <w:tcPr>
            <w:tcW w:w="2156" w:type="dxa"/>
            <w:tcMar>
              <w:left w:w="105" w:type="dxa"/>
              <w:right w:w="105" w:type="dxa"/>
            </w:tcMar>
          </w:tcPr>
          <w:p>
            <w:pPr>
              <w:rPr>
                <w:noProof/>
              </w:rPr>
            </w:pPr>
            <w:r>
              <w:rPr>
                <w:noProof/>
              </w:rPr>
              <w:t xml:space="preserve">AC SM </w:t>
            </w:r>
            <w:r>
              <w:rPr>
                <w:noProof/>
              </w:rPr>
              <w:br/>
              <w:t>Europol</w:t>
            </w:r>
          </w:p>
        </w:tc>
        <w:tc>
          <w:tcPr>
            <w:tcW w:w="2669" w:type="dxa"/>
            <w:tcMar>
              <w:left w:w="105" w:type="dxa"/>
              <w:right w:w="105" w:type="dxa"/>
            </w:tcMar>
          </w:tcPr>
          <w:p>
            <w:pPr>
              <w:rPr>
                <w:noProof/>
              </w:rPr>
            </w:pPr>
            <w:r>
              <w:rPr>
                <w:noProof/>
              </w:rPr>
              <w:t>partajare către Europol</w:t>
            </w:r>
          </w:p>
          <w:p>
            <w:pPr>
              <w:rPr>
                <w:noProof/>
              </w:rPr>
            </w:pPr>
            <w:r>
              <w:rPr>
                <w:noProof/>
              </w:rPr>
              <w:t>Accesul Europol la datele SM</w:t>
            </w:r>
          </w:p>
        </w:tc>
        <w:tc>
          <w:tcPr>
            <w:tcW w:w="2318" w:type="dxa"/>
            <w:tcMar>
              <w:left w:w="105" w:type="dxa"/>
              <w:right w:w="105" w:type="dxa"/>
            </w:tcMar>
          </w:tcPr>
          <w:p>
            <w:pPr>
              <w:rPr>
                <w:noProof/>
              </w:rPr>
            </w:pPr>
            <w:r>
              <w:rPr>
                <w:noProof/>
              </w:rPr>
              <w:t>Digitalizarea și automatizarea proceselor</w:t>
            </w:r>
          </w:p>
        </w:tc>
      </w:tr>
      <w:tr>
        <w:trPr>
          <w:gridAfter w:val="1"/>
          <w:wAfter w:w="109" w:type="dxa"/>
          <w:trHeight w:val="285"/>
        </w:trPr>
        <w:tc>
          <w:tcPr>
            <w:tcW w:w="2068" w:type="dxa"/>
            <w:tcMar>
              <w:left w:w="105" w:type="dxa"/>
              <w:right w:w="105" w:type="dxa"/>
            </w:tcMar>
          </w:tcPr>
          <w:p>
            <w:pPr>
              <w:rPr>
                <w:noProof/>
              </w:rPr>
            </w:pPr>
            <w:r>
              <w:rPr>
                <w:noProof/>
              </w:rPr>
              <w:t>Articolul 29 alineatul (6)</w:t>
            </w:r>
          </w:p>
        </w:tc>
        <w:tc>
          <w:tcPr>
            <w:tcW w:w="4135" w:type="dxa"/>
            <w:tcMar>
              <w:left w:w="105" w:type="dxa"/>
              <w:right w:w="105" w:type="dxa"/>
            </w:tcMar>
          </w:tcPr>
          <w:p>
            <w:pPr>
              <w:rPr>
                <w:noProof/>
              </w:rPr>
            </w:pPr>
            <w:r>
              <w:rPr>
                <w:noProof/>
              </w:rPr>
              <w:t>Raportul Europol privind informațiile furnizate de statele membre.</w:t>
            </w:r>
          </w:p>
        </w:tc>
        <w:tc>
          <w:tcPr>
            <w:tcW w:w="2156" w:type="dxa"/>
            <w:tcMar>
              <w:left w:w="105" w:type="dxa"/>
              <w:right w:w="105" w:type="dxa"/>
            </w:tcMar>
          </w:tcPr>
          <w:p>
            <w:pPr>
              <w:rPr>
                <w:noProof/>
              </w:rPr>
            </w:pPr>
            <w:r>
              <w:rPr>
                <w:noProof/>
              </w:rPr>
              <w:t xml:space="preserve">Europol </w:t>
            </w:r>
            <w:r>
              <w:rPr>
                <w:noProof/>
              </w:rPr>
              <w:br/>
              <w:t xml:space="preserve">Consiliul </w:t>
            </w:r>
            <w:r>
              <w:rPr>
                <w:noProof/>
              </w:rPr>
              <w:br/>
              <w:t>Parlamentul European</w:t>
            </w:r>
          </w:p>
        </w:tc>
        <w:tc>
          <w:tcPr>
            <w:tcW w:w="2669" w:type="dxa"/>
            <w:tcMar>
              <w:left w:w="105" w:type="dxa"/>
              <w:right w:w="105" w:type="dxa"/>
            </w:tcMar>
          </w:tcPr>
          <w:p>
            <w:pPr>
              <w:rPr>
                <w:noProof/>
              </w:rPr>
            </w:pPr>
            <w:r>
              <w:rPr>
                <w:noProof/>
              </w:rPr>
              <w:t>Raport</w:t>
            </w:r>
          </w:p>
        </w:tc>
        <w:tc>
          <w:tcPr>
            <w:tcW w:w="2318" w:type="dxa"/>
            <w:tcMar>
              <w:left w:w="105" w:type="dxa"/>
              <w:right w:w="105" w:type="dxa"/>
            </w:tcMar>
          </w:tcPr>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30</w:t>
            </w:r>
          </w:p>
        </w:tc>
        <w:tc>
          <w:tcPr>
            <w:tcW w:w="4135" w:type="dxa"/>
            <w:tcMar>
              <w:left w:w="105" w:type="dxa"/>
              <w:right w:w="105" w:type="dxa"/>
            </w:tcMar>
          </w:tcPr>
          <w:p>
            <w:pPr>
              <w:rPr>
                <w:noProof/>
              </w:rPr>
            </w:pPr>
            <w:r>
              <w:rPr>
                <w:noProof/>
              </w:rPr>
              <w:t>Europol va sprijini statele membre în aplicarea regulamentelor privind SIS</w:t>
            </w:r>
            <w:r>
              <w:rPr>
                <w:noProof/>
                <w:vertAlign w:val="superscript"/>
              </w:rPr>
              <w:t>57</w:t>
            </w:r>
            <w:r>
              <w:rPr>
                <w:noProof/>
              </w:rPr>
              <w:t>.</w:t>
            </w:r>
          </w:p>
          <w:p>
            <w:pPr>
              <w:rPr>
                <w:noProof/>
              </w:rPr>
            </w:pPr>
            <w:r>
              <w:rPr>
                <w:noProof/>
              </w:rPr>
              <w:t>Membrul informează Europol cu privire la introducerea semnalărilor privind existența unor informații și răspunsurile pozitive referitoare la acestea.</w:t>
            </w:r>
          </w:p>
        </w:tc>
        <w:tc>
          <w:tcPr>
            <w:tcW w:w="2156" w:type="dxa"/>
            <w:tcMar>
              <w:left w:w="105" w:type="dxa"/>
              <w:right w:w="105" w:type="dxa"/>
            </w:tcMar>
          </w:tcPr>
          <w:p>
            <w:pPr>
              <w:rPr>
                <w:noProof/>
              </w:rPr>
            </w:pPr>
            <w:r>
              <w:rPr>
                <w:noProof/>
              </w:rPr>
              <w:t xml:space="preserve">Europol </w:t>
            </w:r>
            <w:r>
              <w:rPr>
                <w:noProof/>
              </w:rPr>
              <w:br/>
              <w:t>AAL din statele membre</w:t>
            </w:r>
          </w:p>
        </w:tc>
        <w:tc>
          <w:tcPr>
            <w:tcW w:w="2669" w:type="dxa"/>
            <w:tcMar>
              <w:left w:w="105" w:type="dxa"/>
              <w:right w:w="105" w:type="dxa"/>
            </w:tcMar>
          </w:tcPr>
          <w:p>
            <w:pPr>
              <w:rPr>
                <w:noProof/>
              </w:rPr>
            </w:pPr>
            <w:r>
              <w:rPr>
                <w:noProof/>
              </w:rPr>
              <w:t>Schimb de informații SIS</w:t>
            </w:r>
          </w:p>
        </w:tc>
        <w:tc>
          <w:tcPr>
            <w:tcW w:w="2318" w:type="dxa"/>
            <w:tcMar>
              <w:left w:w="105" w:type="dxa"/>
              <w:right w:w="105" w:type="dxa"/>
            </w:tcMar>
          </w:tcPr>
          <w:p>
            <w:pPr>
              <w:rPr>
                <w:noProof/>
              </w:rPr>
            </w:pPr>
            <w:r>
              <w:rPr>
                <w:noProof/>
              </w:rPr>
              <w:t>Serviciul public digital</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Articolele 32 și 33</w:t>
            </w:r>
          </w:p>
        </w:tc>
        <w:tc>
          <w:tcPr>
            <w:tcW w:w="4135" w:type="dxa"/>
            <w:tcMar>
              <w:left w:w="105" w:type="dxa"/>
              <w:right w:w="105" w:type="dxa"/>
            </w:tcMar>
          </w:tcPr>
          <w:p>
            <w:pPr>
              <w:rPr>
                <w:noProof/>
              </w:rPr>
            </w:pPr>
            <w:r>
              <w:rPr>
                <w:noProof/>
              </w:rPr>
              <w:t>Limitarea prelucrării de către Europol în funcție de natură (și anume categoria persoanei vizate: victimă sau persoană suspectată) și în funcție de scop (analiză, verificare încrucișată, cercetare și inovare).</w:t>
            </w:r>
          </w:p>
        </w:tc>
        <w:tc>
          <w:tcPr>
            <w:tcW w:w="2156" w:type="dxa"/>
            <w:tcMar>
              <w:left w:w="105" w:type="dxa"/>
              <w:right w:w="105" w:type="dxa"/>
            </w:tcMar>
          </w:tcPr>
          <w:p>
            <w:pPr>
              <w:rPr>
                <w:noProof/>
              </w:rPr>
            </w:pPr>
            <w:r>
              <w:rPr>
                <w:noProof/>
              </w:rPr>
              <w:t>Europol</w:t>
            </w:r>
          </w:p>
          <w:p>
            <w:pPr>
              <w:rPr>
                <w:noProof/>
              </w:rPr>
            </w:pPr>
            <w:r>
              <w:rPr>
                <w:noProof/>
              </w:rPr>
              <w:t>Toți beneficiarii produselor analitice</w:t>
            </w:r>
          </w:p>
        </w:tc>
        <w:tc>
          <w:tcPr>
            <w:tcW w:w="2669" w:type="dxa"/>
            <w:tcMar>
              <w:left w:w="105" w:type="dxa"/>
              <w:right w:w="105" w:type="dxa"/>
            </w:tcMar>
          </w:tcPr>
          <w:p>
            <w:pPr>
              <w:rPr>
                <w:noProof/>
              </w:rPr>
            </w:pPr>
            <w:r>
              <w:rPr>
                <w:noProof/>
              </w:rPr>
              <w:t>Verificare încrucișată</w:t>
            </w:r>
          </w:p>
          <w:p>
            <w:pPr>
              <w:rPr>
                <w:noProof/>
              </w:rPr>
            </w:pPr>
            <w:r>
              <w:rPr>
                <w:noProof/>
              </w:rPr>
              <w:t>Analiză</w:t>
            </w:r>
          </w:p>
          <w:p>
            <w:pPr>
              <w:rPr>
                <w:noProof/>
              </w:rPr>
            </w:pPr>
            <w:r>
              <w:rPr>
                <w:noProof/>
              </w:rPr>
              <w:t>Inovare</w:t>
            </w:r>
          </w:p>
        </w:tc>
        <w:tc>
          <w:tcPr>
            <w:tcW w:w="2318" w:type="dxa"/>
            <w:tcMar>
              <w:left w:w="105" w:type="dxa"/>
              <w:right w:w="105" w:type="dxa"/>
            </w:tcMar>
          </w:tcPr>
          <w:p>
            <w:pPr>
              <w:rPr>
                <w:noProof/>
              </w:rPr>
            </w:pPr>
            <w:r>
              <w:rPr>
                <w:noProof/>
              </w:rPr>
              <w:t>Digitalizarea și automatizarea proceselor</w:t>
            </w:r>
          </w:p>
        </w:tc>
      </w:tr>
      <w:tr>
        <w:trPr>
          <w:gridAfter w:val="1"/>
          <w:wAfter w:w="109" w:type="dxa"/>
          <w:trHeight w:val="285"/>
        </w:trPr>
        <w:tc>
          <w:tcPr>
            <w:tcW w:w="2068" w:type="dxa"/>
            <w:tcMar>
              <w:left w:w="105" w:type="dxa"/>
              <w:right w:w="105" w:type="dxa"/>
            </w:tcMar>
          </w:tcPr>
          <w:p>
            <w:pPr>
              <w:rPr>
                <w:noProof/>
              </w:rPr>
            </w:pPr>
            <w:r>
              <w:rPr>
                <w:noProof/>
              </w:rPr>
              <w:t>Articolele 32 și 33</w:t>
            </w:r>
          </w:p>
        </w:tc>
        <w:tc>
          <w:tcPr>
            <w:tcW w:w="4135" w:type="dxa"/>
            <w:tcMar>
              <w:left w:w="105" w:type="dxa"/>
              <w:right w:w="105" w:type="dxa"/>
            </w:tcMar>
          </w:tcPr>
          <w:p>
            <w:pPr>
              <w:rPr>
                <w:noProof/>
              </w:rPr>
            </w:pPr>
            <w:r>
              <w:rPr>
                <w:noProof/>
              </w:rPr>
              <w:t>Limitări ale prelucrării informațiilor de către Europol, prin restricții stabilite de proprietarul datelor (principiul proprietății asupra datelor) în momentul partajării.</w:t>
            </w:r>
          </w:p>
        </w:tc>
        <w:tc>
          <w:tcPr>
            <w:tcW w:w="2156" w:type="dxa"/>
            <w:tcMar>
              <w:left w:w="105" w:type="dxa"/>
              <w:right w:w="105" w:type="dxa"/>
            </w:tcMar>
          </w:tcPr>
          <w:p>
            <w:pPr>
              <w:rPr>
                <w:noProof/>
              </w:rPr>
            </w:pPr>
            <w:r>
              <w:rPr>
                <w:noProof/>
              </w:rPr>
              <w:t xml:space="preserve">Europol, </w:t>
            </w:r>
            <w:r>
              <w:rPr>
                <w:noProof/>
              </w:rPr>
              <w:br/>
              <w:t xml:space="preserve">Consiliul de administrație al Europol </w:t>
            </w:r>
            <w:r>
              <w:rPr>
                <w:noProof/>
              </w:rPr>
              <w:br/>
              <w:t xml:space="preserve">AAL SM </w:t>
            </w:r>
            <w:r>
              <w:rPr>
                <w:noProof/>
              </w:rPr>
              <w:br/>
              <w:t>AEPD</w:t>
            </w:r>
          </w:p>
        </w:tc>
        <w:tc>
          <w:tcPr>
            <w:tcW w:w="2669" w:type="dxa"/>
            <w:tcMar>
              <w:left w:w="105" w:type="dxa"/>
              <w:right w:w="105" w:type="dxa"/>
            </w:tcMar>
          </w:tcPr>
          <w:p>
            <w:pPr>
              <w:rPr>
                <w:noProof/>
              </w:rPr>
            </w:pPr>
            <w:r>
              <w:rPr>
                <w:noProof/>
              </w:rPr>
              <w:t>Colectare</w:t>
            </w:r>
          </w:p>
          <w:p>
            <w:pPr>
              <w:rPr>
                <w:noProof/>
              </w:rPr>
            </w:pPr>
            <w:r>
              <w:rPr>
                <w:noProof/>
              </w:rPr>
              <w:t>Analiză</w:t>
            </w:r>
          </w:p>
          <w:p>
            <w:pPr>
              <w:rPr>
                <w:noProof/>
              </w:rPr>
            </w:pPr>
            <w:r>
              <w:rPr>
                <w:noProof/>
              </w:rPr>
              <w:t>Verificare încrucișată</w:t>
            </w:r>
          </w:p>
          <w:p>
            <w:pPr>
              <w:rPr>
                <w:noProof/>
              </w:rPr>
            </w:pPr>
            <w:r>
              <w:rPr>
                <w:noProof/>
              </w:rPr>
              <w:t>Analiză</w:t>
            </w:r>
          </w:p>
          <w:p>
            <w:pPr>
              <w:rPr>
                <w:noProof/>
              </w:rPr>
            </w:pPr>
            <w:r>
              <w:rPr>
                <w:noProof/>
              </w:rPr>
              <w:t>schimb de informații</w:t>
            </w:r>
          </w:p>
          <w:p>
            <w:pPr>
              <w:rPr>
                <w:noProof/>
              </w:rPr>
            </w:pPr>
            <w:r>
              <w:rPr>
                <w:noProof/>
              </w:rPr>
              <w:t>inovare</w:t>
            </w:r>
          </w:p>
        </w:tc>
        <w:tc>
          <w:tcPr>
            <w:tcW w:w="2318" w:type="dxa"/>
            <w:tcMar>
              <w:left w:w="105" w:type="dxa"/>
              <w:right w:w="105" w:type="dxa"/>
            </w:tcMar>
          </w:tcPr>
          <w:p>
            <w:pPr>
              <w:rPr>
                <w:noProof/>
              </w:rPr>
            </w:pPr>
            <w:r>
              <w:rPr>
                <w:noProof/>
              </w:rPr>
              <w:t>Digitalizarea și automatizarea proceselor</w:t>
            </w:r>
          </w:p>
        </w:tc>
      </w:tr>
      <w:tr>
        <w:trPr>
          <w:gridAfter w:val="1"/>
          <w:wAfter w:w="109" w:type="dxa"/>
          <w:trHeight w:val="285"/>
        </w:trPr>
        <w:tc>
          <w:tcPr>
            <w:tcW w:w="2068" w:type="dxa"/>
            <w:tcMar>
              <w:left w:w="105" w:type="dxa"/>
              <w:right w:w="105" w:type="dxa"/>
            </w:tcMar>
          </w:tcPr>
          <w:p>
            <w:pPr>
              <w:rPr>
                <w:noProof/>
              </w:rPr>
            </w:pPr>
            <w:r>
              <w:rPr>
                <w:noProof/>
              </w:rPr>
              <w:t>Articolul 34</w:t>
            </w:r>
          </w:p>
        </w:tc>
        <w:tc>
          <w:tcPr>
            <w:tcW w:w="4135" w:type="dxa"/>
            <w:tcMar>
              <w:left w:w="105" w:type="dxa"/>
              <w:right w:w="105" w:type="dxa"/>
            </w:tcMar>
          </w:tcPr>
          <w:p>
            <w:pPr>
              <w:rPr>
                <w:noProof/>
              </w:rPr>
            </w:pPr>
            <w:r>
              <w:rPr>
                <w:noProof/>
              </w:rPr>
              <w:t>Notificarea de către Europol a autorităților de aplicare a legii din statele membre atunci când se identifică informații operaționale relevante, în cadrul tuturor proceselor.</w:t>
            </w:r>
          </w:p>
        </w:tc>
        <w:tc>
          <w:tcPr>
            <w:tcW w:w="2156" w:type="dxa"/>
            <w:tcMar>
              <w:left w:w="105" w:type="dxa"/>
              <w:right w:w="105" w:type="dxa"/>
            </w:tcMar>
          </w:tcPr>
          <w:p>
            <w:pPr>
              <w:rPr>
                <w:noProof/>
              </w:rPr>
            </w:pPr>
            <w:r>
              <w:rPr>
                <w:noProof/>
              </w:rPr>
              <w:t xml:space="preserve">Europol </w:t>
            </w:r>
            <w:r>
              <w:rPr>
                <w:noProof/>
              </w:rPr>
              <w:br/>
              <w:t>AAL SM</w:t>
            </w:r>
          </w:p>
        </w:tc>
        <w:tc>
          <w:tcPr>
            <w:tcW w:w="2669" w:type="dxa"/>
            <w:tcMar>
              <w:left w:w="105" w:type="dxa"/>
              <w:right w:w="105" w:type="dxa"/>
            </w:tcMar>
          </w:tcPr>
          <w:p>
            <w:pPr>
              <w:rPr>
                <w:noProof/>
              </w:rPr>
            </w:pPr>
            <w:r>
              <w:rPr>
                <w:noProof/>
              </w:rPr>
              <w:t>Schimbul de informații – notificarea Europol către AAL</w:t>
            </w:r>
          </w:p>
        </w:tc>
        <w:tc>
          <w:tcPr>
            <w:tcW w:w="2318" w:type="dxa"/>
            <w:tcMar>
              <w:left w:w="105" w:type="dxa"/>
              <w:right w:w="105" w:type="dxa"/>
            </w:tcMar>
          </w:tcPr>
          <w:p>
            <w:pPr>
              <w:rPr>
                <w:noProof/>
              </w:rPr>
            </w:pPr>
            <w:r>
              <w:rPr>
                <w:noProof/>
              </w:rPr>
              <w:t>Serviciul public digital</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Articolele 35-</w:t>
            </w:r>
          </w:p>
          <w:p>
            <w:pPr>
              <w:rPr>
                <w:noProof/>
              </w:rPr>
            </w:pPr>
            <w:r>
              <w:rPr>
                <w:noProof/>
              </w:rPr>
              <w:t>39</w:t>
            </w:r>
          </w:p>
        </w:tc>
        <w:tc>
          <w:tcPr>
            <w:tcW w:w="4135" w:type="dxa"/>
            <w:tcMar>
              <w:left w:w="105" w:type="dxa"/>
              <w:right w:w="105" w:type="dxa"/>
            </w:tcMar>
          </w:tcPr>
          <w:p>
            <w:pPr>
              <w:rPr>
                <w:noProof/>
              </w:rPr>
            </w:pPr>
            <w:r>
              <w:rPr>
                <w:noProof/>
              </w:rPr>
              <w:t xml:space="preserve">Crearea unui </w:t>
            </w:r>
            <w:r>
              <w:rPr>
                <w:b/>
                <w:noProof/>
              </w:rPr>
              <w:t>serviciu de verificare încrucișată</w:t>
            </w:r>
            <w:r>
              <w:rPr>
                <w:noProof/>
              </w:rPr>
              <w:t>: natura, formatul și calitatea datelor (EI); verificare încrucișată automată la introducere. Se află la dispoziția Europol, a AAL din statele membre și a sistemelor de informații ale UE.</w:t>
            </w:r>
          </w:p>
        </w:tc>
        <w:tc>
          <w:tcPr>
            <w:tcW w:w="2156" w:type="dxa"/>
            <w:tcMar>
              <w:left w:w="105" w:type="dxa"/>
              <w:right w:w="105" w:type="dxa"/>
            </w:tcMar>
          </w:tcPr>
          <w:p>
            <w:pPr>
              <w:rPr>
                <w:noProof/>
              </w:rPr>
            </w:pPr>
            <w:r>
              <w:rPr>
                <w:noProof/>
              </w:rPr>
              <w:t xml:space="preserve">Comisia </w:t>
            </w:r>
            <w:r>
              <w:rPr>
                <w:noProof/>
              </w:rPr>
              <w:br/>
              <w:t xml:space="preserve">Europol </w:t>
            </w:r>
            <w:r>
              <w:rPr>
                <w:noProof/>
              </w:rPr>
              <w:br/>
              <w:t xml:space="preserve">AAL din statele membre </w:t>
            </w:r>
            <w:r>
              <w:rPr>
                <w:noProof/>
              </w:rPr>
              <w:br/>
              <w:t>Sistemele de informații ale UE</w:t>
            </w:r>
          </w:p>
        </w:tc>
        <w:tc>
          <w:tcPr>
            <w:tcW w:w="2669" w:type="dxa"/>
            <w:tcMar>
              <w:left w:w="105" w:type="dxa"/>
              <w:right w:w="105" w:type="dxa"/>
            </w:tcMar>
          </w:tcPr>
          <w:p>
            <w:pPr>
              <w:rPr>
                <w:noProof/>
              </w:rPr>
            </w:pPr>
            <w:r>
              <w:rPr>
                <w:noProof/>
              </w:rPr>
              <w:t>Dezvoltare</w:t>
            </w:r>
          </w:p>
          <w:p>
            <w:pPr>
              <w:rPr>
                <w:noProof/>
              </w:rPr>
            </w:pPr>
            <w:r>
              <w:rPr>
                <w:noProof/>
              </w:rPr>
              <w:t>Schimb de informații</w:t>
            </w:r>
          </w:p>
          <w:p>
            <w:pPr>
              <w:rPr>
                <w:noProof/>
              </w:rPr>
            </w:pPr>
            <w:r>
              <w:rPr>
                <w:noProof/>
              </w:rPr>
              <w:t>Verificare încrucișată</w:t>
            </w:r>
          </w:p>
          <w:p>
            <w:pPr>
              <w:rPr>
                <w:noProof/>
              </w:rPr>
            </w:pPr>
            <w:r>
              <w:rPr>
                <w:noProof/>
              </w:rPr>
              <w:t>Controalele de securitate ale ETIAS și VIS</w:t>
            </w:r>
          </w:p>
        </w:tc>
        <w:tc>
          <w:tcPr>
            <w:tcW w:w="2318" w:type="dxa"/>
            <w:tcMar>
              <w:left w:w="105" w:type="dxa"/>
              <w:right w:w="105" w:type="dxa"/>
            </w:tcMar>
          </w:tcPr>
          <w:p>
            <w:pPr>
              <w:rPr>
                <w:noProof/>
              </w:rPr>
            </w:pPr>
            <w:r>
              <w:rPr>
                <w:noProof/>
              </w:rPr>
              <w:t>Date</w:t>
            </w:r>
          </w:p>
          <w:p>
            <w:pPr>
              <w:rPr>
                <w:noProof/>
              </w:rPr>
            </w:pPr>
            <w:r>
              <w:rPr>
                <w:noProof/>
              </w:rPr>
              <w:t>Digitalizarea și automatizarea proceselor</w:t>
            </w:r>
          </w:p>
          <w:p>
            <w:pPr>
              <w:rPr>
                <w:noProof/>
              </w:rPr>
            </w:pPr>
            <w:r>
              <w:rPr>
                <w:noProof/>
              </w:rPr>
              <w:t>Soluție digitală</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Articolele 35-39</w:t>
            </w:r>
          </w:p>
        </w:tc>
        <w:tc>
          <w:tcPr>
            <w:tcW w:w="4135" w:type="dxa"/>
            <w:tcMar>
              <w:left w:w="105" w:type="dxa"/>
              <w:right w:w="105" w:type="dxa"/>
            </w:tcMar>
          </w:tcPr>
          <w:p>
            <w:pPr>
              <w:rPr>
                <w:noProof/>
              </w:rPr>
            </w:pPr>
            <w:r>
              <w:rPr>
                <w:noProof/>
              </w:rPr>
              <w:t>Statele membre trebuie să își conecteze sistemele de gestionare a cazurilor la serviciul de verificare încrucișată (EI), să încarce date (EI) și să efectueze interogări asupra datelor (EI)</w:t>
            </w:r>
          </w:p>
        </w:tc>
        <w:tc>
          <w:tcPr>
            <w:tcW w:w="2156" w:type="dxa"/>
            <w:tcMar>
              <w:left w:w="105" w:type="dxa"/>
              <w:right w:w="105" w:type="dxa"/>
            </w:tcMar>
          </w:tcPr>
          <w:p>
            <w:pPr>
              <w:rPr>
                <w:noProof/>
              </w:rPr>
            </w:pPr>
            <w:r>
              <w:rPr>
                <w:noProof/>
              </w:rPr>
              <w:t xml:space="preserve">Comisia </w:t>
            </w:r>
            <w:r>
              <w:rPr>
                <w:noProof/>
              </w:rPr>
              <w:br/>
              <w:t xml:space="preserve">Europol </w:t>
            </w:r>
            <w:r>
              <w:rPr>
                <w:noProof/>
              </w:rPr>
              <w:br/>
              <w:t>AC SM</w:t>
            </w:r>
          </w:p>
        </w:tc>
        <w:tc>
          <w:tcPr>
            <w:tcW w:w="2669" w:type="dxa"/>
            <w:tcMar>
              <w:left w:w="105" w:type="dxa"/>
              <w:right w:w="105" w:type="dxa"/>
            </w:tcMar>
          </w:tcPr>
          <w:p>
            <w:pPr>
              <w:rPr>
                <w:noProof/>
              </w:rPr>
            </w:pPr>
            <w:r>
              <w:rPr>
                <w:noProof/>
              </w:rPr>
              <w:t>Dezvoltare</w:t>
            </w:r>
          </w:p>
          <w:p>
            <w:pPr>
              <w:rPr>
                <w:noProof/>
              </w:rPr>
            </w:pPr>
            <w:r>
              <w:rPr>
                <w:noProof/>
              </w:rPr>
              <w:t>Colectare</w:t>
            </w:r>
          </w:p>
          <w:p>
            <w:pPr>
              <w:rPr>
                <w:noProof/>
              </w:rPr>
            </w:pPr>
            <w:r>
              <w:rPr>
                <w:noProof/>
              </w:rPr>
              <w:t>partajare către Europol</w:t>
            </w:r>
          </w:p>
          <w:p>
            <w:pPr>
              <w:rPr>
                <w:noProof/>
              </w:rPr>
            </w:pPr>
            <w:r>
              <w:rPr>
                <w:noProof/>
              </w:rPr>
              <w:t xml:space="preserve">Verificare încrucișată </w:t>
            </w:r>
          </w:p>
        </w:tc>
        <w:tc>
          <w:tcPr>
            <w:tcW w:w="2318" w:type="dxa"/>
            <w:tcMar>
              <w:left w:w="105" w:type="dxa"/>
              <w:right w:w="105" w:type="dxa"/>
            </w:tcMar>
          </w:tcPr>
          <w:p>
            <w:pPr>
              <w:rPr>
                <w:noProof/>
              </w:rPr>
            </w:pPr>
            <w:r>
              <w:rPr>
                <w:noProof/>
              </w:rPr>
              <w:t>Date</w:t>
            </w:r>
          </w:p>
          <w:p>
            <w:pPr>
              <w:rPr>
                <w:noProof/>
              </w:rPr>
            </w:pPr>
            <w:r>
              <w:rPr>
                <w:noProof/>
              </w:rPr>
              <w:t>Digitalizarea și automatizarea proceselor</w:t>
            </w:r>
          </w:p>
        </w:tc>
      </w:tr>
      <w:tr>
        <w:trPr>
          <w:gridAfter w:val="1"/>
          <w:wAfter w:w="109" w:type="dxa"/>
          <w:trHeight w:val="285"/>
        </w:trPr>
        <w:tc>
          <w:tcPr>
            <w:tcW w:w="2068" w:type="dxa"/>
            <w:tcMar>
              <w:left w:w="105" w:type="dxa"/>
              <w:right w:w="105" w:type="dxa"/>
            </w:tcMar>
          </w:tcPr>
          <w:p>
            <w:pPr>
              <w:rPr>
                <w:noProof/>
              </w:rPr>
            </w:pPr>
            <w:r>
              <w:rPr>
                <w:noProof/>
              </w:rPr>
              <w:t>Articolele 35-</w:t>
            </w:r>
          </w:p>
          <w:p>
            <w:pPr>
              <w:rPr>
                <w:noProof/>
              </w:rPr>
            </w:pPr>
            <w:r>
              <w:rPr>
                <w:noProof/>
              </w:rPr>
              <w:t>40</w:t>
            </w:r>
          </w:p>
        </w:tc>
        <w:tc>
          <w:tcPr>
            <w:tcW w:w="4135" w:type="dxa"/>
            <w:tcMar>
              <w:left w:w="105" w:type="dxa"/>
              <w:right w:w="105" w:type="dxa"/>
            </w:tcMar>
          </w:tcPr>
          <w:p>
            <w:pPr>
              <w:rPr>
                <w:noProof/>
              </w:rPr>
            </w:pPr>
            <w:r>
              <w:rPr>
                <w:noProof/>
              </w:rPr>
              <w:t xml:space="preserve">Crearea </w:t>
            </w:r>
            <w:r>
              <w:rPr>
                <w:b/>
                <w:noProof/>
              </w:rPr>
              <w:t>mediului analitic al Europol</w:t>
            </w:r>
            <w:r>
              <w:rPr>
                <w:noProof/>
              </w:rPr>
              <w:t>, pentru a sprijini activitățile analitice ale Europol de stocare, prelucrare, verificare încrucișată, vizualizare și analiză a datelor, inclusiv în sprijinul anchetelor penale și al coordonării operaționale; capacități analitice, tehnice, digitale, criminalistice sau multidisciplinare specializate, inclusiv prin servicii de investigare, analitice, tehnice și strategice</w:t>
            </w:r>
          </w:p>
        </w:tc>
        <w:tc>
          <w:tcPr>
            <w:tcW w:w="2156" w:type="dxa"/>
            <w:tcMar>
              <w:left w:w="105" w:type="dxa"/>
              <w:right w:w="105" w:type="dxa"/>
            </w:tcMar>
          </w:tcPr>
          <w:p>
            <w:pPr>
              <w:rPr>
                <w:noProof/>
              </w:rPr>
            </w:pPr>
            <w:r>
              <w:rPr>
                <w:noProof/>
              </w:rPr>
              <w:t>Europol</w:t>
            </w:r>
          </w:p>
          <w:p>
            <w:pPr>
              <w:rPr>
                <w:noProof/>
              </w:rPr>
            </w:pPr>
            <w:r>
              <w:rPr>
                <w:noProof/>
              </w:rPr>
              <w:t>Indirect, AC SM, EUBOA, organizații internaționale, țări terțe</w:t>
            </w:r>
          </w:p>
        </w:tc>
        <w:tc>
          <w:tcPr>
            <w:tcW w:w="2669" w:type="dxa"/>
            <w:tcMar>
              <w:left w:w="105" w:type="dxa"/>
              <w:right w:w="105" w:type="dxa"/>
            </w:tcMar>
          </w:tcPr>
          <w:p>
            <w:pPr>
              <w:rPr>
                <w:noProof/>
              </w:rPr>
            </w:pPr>
            <w:r>
              <w:rPr>
                <w:noProof/>
              </w:rPr>
              <w:t>Colectare, analiză, verificare încrucișată, schimb, raportare.</w:t>
            </w:r>
          </w:p>
        </w:tc>
        <w:tc>
          <w:tcPr>
            <w:tcW w:w="2318" w:type="dxa"/>
            <w:tcMar>
              <w:left w:w="105" w:type="dxa"/>
              <w:right w:w="105" w:type="dxa"/>
            </w:tcMar>
          </w:tcPr>
          <w:p>
            <w:pPr>
              <w:rPr>
                <w:noProof/>
              </w:rPr>
            </w:pPr>
            <w:r>
              <w:rPr>
                <w:noProof/>
              </w:rPr>
              <w:t>Date</w:t>
            </w:r>
          </w:p>
          <w:p>
            <w:pPr>
              <w:rPr>
                <w:noProof/>
              </w:rPr>
            </w:pPr>
            <w:r>
              <w:rPr>
                <w:noProof/>
              </w:rPr>
              <w:t>Soluție digitală</w:t>
            </w:r>
          </w:p>
          <w:p>
            <w:pPr>
              <w:rPr>
                <w:noProof/>
              </w:rPr>
            </w:pPr>
            <w:r>
              <w:rPr>
                <w:noProof/>
              </w:rPr>
              <w:t xml:space="preserve">Digitalizarea și automatizarea proceselor </w:t>
            </w:r>
          </w:p>
        </w:tc>
      </w:tr>
      <w:tr>
        <w:trPr>
          <w:gridAfter w:val="1"/>
          <w:wAfter w:w="109" w:type="dxa"/>
          <w:trHeight w:val="285"/>
        </w:trPr>
        <w:tc>
          <w:tcPr>
            <w:tcW w:w="2068" w:type="dxa"/>
            <w:tcMar>
              <w:left w:w="105" w:type="dxa"/>
              <w:right w:w="105" w:type="dxa"/>
            </w:tcMar>
          </w:tcPr>
          <w:p>
            <w:pPr>
              <w:rPr>
                <w:noProof/>
              </w:rPr>
            </w:pPr>
            <w:r>
              <w:rPr>
                <w:noProof/>
              </w:rPr>
              <w:t>Articolul 41</w:t>
            </w:r>
          </w:p>
        </w:tc>
        <w:tc>
          <w:tcPr>
            <w:tcW w:w="4135" w:type="dxa"/>
            <w:tcMar>
              <w:left w:w="105" w:type="dxa"/>
              <w:right w:w="105" w:type="dxa"/>
            </w:tcMar>
          </w:tcPr>
          <w:p>
            <w:pPr>
              <w:rPr>
                <w:noProof/>
              </w:rPr>
            </w:pPr>
            <w:r>
              <w:rPr>
                <w:noProof/>
              </w:rPr>
              <w:t>Condițiile de căutare în mediul analitic al Europol.</w:t>
            </w:r>
          </w:p>
        </w:tc>
        <w:tc>
          <w:tcPr>
            <w:tcW w:w="2156" w:type="dxa"/>
            <w:tcMar>
              <w:left w:w="105" w:type="dxa"/>
              <w:right w:w="105" w:type="dxa"/>
            </w:tcMar>
          </w:tcPr>
          <w:p>
            <w:pPr>
              <w:rPr>
                <w:noProof/>
              </w:rPr>
            </w:pPr>
            <w:r>
              <w:rPr>
                <w:noProof/>
              </w:rPr>
              <w:t xml:space="preserve">Europol </w:t>
            </w:r>
            <w:r>
              <w:rPr>
                <w:noProof/>
              </w:rPr>
              <w:br/>
              <w:t xml:space="preserve">AC SM, </w:t>
            </w:r>
            <w:r>
              <w:rPr>
                <w:noProof/>
              </w:rPr>
              <w:br/>
              <w:t>sistemele de informații ale UE</w:t>
            </w:r>
          </w:p>
        </w:tc>
        <w:tc>
          <w:tcPr>
            <w:tcW w:w="2669" w:type="dxa"/>
            <w:tcMar>
              <w:left w:w="105" w:type="dxa"/>
              <w:right w:w="105" w:type="dxa"/>
            </w:tcMar>
          </w:tcPr>
          <w:p>
            <w:pPr>
              <w:rPr>
                <w:noProof/>
              </w:rPr>
            </w:pPr>
            <w:r>
              <w:rPr>
                <w:noProof/>
              </w:rPr>
              <w:t>Verificare încrucișată</w:t>
            </w:r>
          </w:p>
          <w:p>
            <w:pPr>
              <w:rPr>
                <w:noProof/>
              </w:rPr>
            </w:pPr>
          </w:p>
        </w:tc>
        <w:tc>
          <w:tcPr>
            <w:tcW w:w="2318" w:type="dxa"/>
            <w:tcMar>
              <w:left w:w="105" w:type="dxa"/>
              <w:right w:w="105" w:type="dxa"/>
            </w:tcMar>
          </w:tcPr>
          <w:p>
            <w:pPr>
              <w:rPr>
                <w:noProof/>
              </w:rPr>
            </w:pPr>
            <w:r>
              <w:rPr>
                <w:noProof/>
              </w:rPr>
              <w:t>Date</w:t>
            </w:r>
          </w:p>
          <w:p>
            <w:pPr>
              <w:rPr>
                <w:noProof/>
              </w:rPr>
            </w:pPr>
            <w:r>
              <w:rPr>
                <w:noProof/>
              </w:rPr>
              <w:t>Serviciul public digital</w:t>
            </w:r>
          </w:p>
          <w:p>
            <w:pPr>
              <w:rPr>
                <w:noProof/>
              </w:rPr>
            </w:pPr>
            <w:r>
              <w:rPr>
                <w:noProof/>
              </w:rPr>
              <w:t>Soluție digitală</w:t>
            </w:r>
          </w:p>
        </w:tc>
      </w:tr>
      <w:tr>
        <w:trPr>
          <w:gridAfter w:val="1"/>
          <w:wAfter w:w="109" w:type="dxa"/>
          <w:trHeight w:val="285"/>
        </w:trPr>
        <w:tc>
          <w:tcPr>
            <w:tcW w:w="2068" w:type="dxa"/>
            <w:tcMar>
              <w:left w:w="105" w:type="dxa"/>
              <w:right w:w="105" w:type="dxa"/>
            </w:tcMar>
          </w:tcPr>
          <w:p>
            <w:pPr>
              <w:rPr>
                <w:noProof/>
              </w:rPr>
            </w:pPr>
            <w:r>
              <w:rPr>
                <w:noProof/>
              </w:rPr>
              <w:t>Articolele 42, 43, 44 și 45</w:t>
            </w:r>
          </w:p>
        </w:tc>
        <w:tc>
          <w:tcPr>
            <w:tcW w:w="4135" w:type="dxa"/>
            <w:tcMar>
              <w:left w:w="105" w:type="dxa"/>
              <w:right w:w="105" w:type="dxa"/>
            </w:tcMar>
          </w:tcPr>
          <w:p>
            <w:pPr>
              <w:rPr>
                <w:noProof/>
              </w:rPr>
            </w:pPr>
            <w:r>
              <w:rPr>
                <w:noProof/>
              </w:rPr>
              <w:t xml:space="preserve">Crearea unui </w:t>
            </w:r>
            <w:r>
              <w:rPr>
                <w:b/>
                <w:noProof/>
              </w:rPr>
              <w:t>spațiu comun de date al poliției</w:t>
            </w:r>
            <w:r>
              <w:rPr>
                <w:noProof/>
              </w:rPr>
              <w:t>, utilizând infrastructura de cloud a Europol și găzduind instrumente analitice și de comunicare pentru investigatorii din statele membre (EI); crearea de cazuri de analiză operațională comună.</w:t>
            </w:r>
          </w:p>
        </w:tc>
        <w:tc>
          <w:tcPr>
            <w:tcW w:w="2156" w:type="dxa"/>
            <w:tcMar>
              <w:left w:w="105" w:type="dxa"/>
              <w:right w:w="105" w:type="dxa"/>
            </w:tcMar>
          </w:tcPr>
          <w:p>
            <w:pPr>
              <w:rPr>
                <w:noProof/>
              </w:rPr>
            </w:pPr>
            <w:r>
              <w:rPr>
                <w:noProof/>
              </w:rPr>
              <w:t>Comisia</w:t>
            </w:r>
          </w:p>
          <w:p>
            <w:pPr>
              <w:rPr>
                <w:noProof/>
              </w:rPr>
            </w:pPr>
            <w:r>
              <w:rPr>
                <w:noProof/>
              </w:rPr>
              <w:t>Europol</w:t>
            </w:r>
          </w:p>
          <w:p>
            <w:pPr>
              <w:rPr>
                <w:noProof/>
              </w:rPr>
            </w:pPr>
            <w:r>
              <w:rPr>
                <w:noProof/>
              </w:rPr>
              <w:t>AC SM, TC</w:t>
            </w:r>
          </w:p>
        </w:tc>
        <w:tc>
          <w:tcPr>
            <w:tcW w:w="2669" w:type="dxa"/>
            <w:tcMar>
              <w:left w:w="105" w:type="dxa"/>
              <w:right w:w="105" w:type="dxa"/>
            </w:tcMar>
          </w:tcPr>
          <w:p>
            <w:pPr>
              <w:rPr>
                <w:noProof/>
              </w:rPr>
            </w:pPr>
            <w:r>
              <w:rPr>
                <w:noProof/>
              </w:rPr>
              <w:t>Dezvoltare</w:t>
            </w:r>
          </w:p>
          <w:p>
            <w:pPr>
              <w:rPr>
                <w:noProof/>
              </w:rPr>
            </w:pPr>
            <w:r>
              <w:rPr>
                <w:noProof/>
              </w:rPr>
              <w:t>Schimb de informații</w:t>
            </w:r>
          </w:p>
          <w:p>
            <w:pPr>
              <w:rPr>
                <w:noProof/>
              </w:rPr>
            </w:pPr>
            <w:r>
              <w:rPr>
                <w:noProof/>
              </w:rPr>
              <w:t xml:space="preserve">Analize </w:t>
            </w:r>
            <w:r>
              <w:rPr>
                <w:b/>
                <w:noProof/>
              </w:rPr>
              <w:t>comune</w:t>
            </w:r>
          </w:p>
        </w:tc>
        <w:tc>
          <w:tcPr>
            <w:tcW w:w="2318" w:type="dxa"/>
            <w:tcMar>
              <w:left w:w="105" w:type="dxa"/>
              <w:right w:w="105" w:type="dxa"/>
            </w:tcMar>
          </w:tcPr>
          <w:p>
            <w:pPr>
              <w:rPr>
                <w:noProof/>
              </w:rPr>
            </w:pPr>
            <w:r>
              <w:rPr>
                <w:noProof/>
              </w:rPr>
              <w:t>Date</w:t>
            </w:r>
          </w:p>
          <w:p>
            <w:pPr>
              <w:rPr>
                <w:noProof/>
              </w:rPr>
            </w:pPr>
            <w:r>
              <w:rPr>
                <w:noProof/>
              </w:rPr>
              <w:t>Digitalizarea și automatizarea proceselor</w:t>
            </w:r>
          </w:p>
          <w:p>
            <w:pPr>
              <w:rPr>
                <w:noProof/>
              </w:rPr>
            </w:pPr>
            <w:r>
              <w:rPr>
                <w:noProof/>
              </w:rPr>
              <w:t>Soluție digitală</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46</w:t>
            </w:r>
          </w:p>
        </w:tc>
        <w:tc>
          <w:tcPr>
            <w:tcW w:w="4135" w:type="dxa"/>
            <w:tcMar>
              <w:left w:w="105" w:type="dxa"/>
              <w:right w:w="105" w:type="dxa"/>
            </w:tcMar>
          </w:tcPr>
          <w:p>
            <w:pPr>
              <w:rPr>
                <w:noProof/>
              </w:rPr>
            </w:pPr>
            <w:r>
              <w:rPr>
                <w:noProof/>
              </w:rPr>
              <w:t>Crearea aplicației de rețea a Europol pentru schimbul securizat de informații (</w:t>
            </w:r>
            <w:r>
              <w:rPr>
                <w:b/>
                <w:noProof/>
              </w:rPr>
              <w:t>SIENA</w:t>
            </w:r>
            <w:r>
              <w:rPr>
                <w:noProof/>
              </w:rPr>
              <w:t>) pentru facilitarea schimburilor de informații. Responsabilități, arhitectură, obligații de utilizare de către statele membre și Europol, precum și funcționalități (EI).</w:t>
            </w:r>
          </w:p>
        </w:tc>
        <w:tc>
          <w:tcPr>
            <w:tcW w:w="2156" w:type="dxa"/>
            <w:tcMar>
              <w:left w:w="105" w:type="dxa"/>
              <w:right w:w="105" w:type="dxa"/>
            </w:tcMar>
          </w:tcPr>
          <w:p>
            <w:pPr>
              <w:rPr>
                <w:noProof/>
              </w:rPr>
            </w:pPr>
            <w:r>
              <w:rPr>
                <w:noProof/>
              </w:rPr>
              <w:t xml:space="preserve">Comisia </w:t>
            </w:r>
            <w:r>
              <w:rPr>
                <w:noProof/>
              </w:rPr>
              <w:br/>
              <w:t>Europol</w:t>
            </w:r>
          </w:p>
          <w:p>
            <w:pPr>
              <w:rPr>
                <w:noProof/>
              </w:rPr>
            </w:pPr>
            <w:r>
              <w:rPr>
                <w:noProof/>
              </w:rPr>
              <w:t>SM, TC, IO, PP</w:t>
            </w:r>
          </w:p>
          <w:p>
            <w:pPr>
              <w:rPr>
                <w:noProof/>
              </w:rPr>
            </w:pPr>
          </w:p>
        </w:tc>
        <w:tc>
          <w:tcPr>
            <w:tcW w:w="2669" w:type="dxa"/>
            <w:tcMar>
              <w:left w:w="105" w:type="dxa"/>
              <w:right w:w="105" w:type="dxa"/>
            </w:tcMar>
          </w:tcPr>
          <w:p>
            <w:pPr>
              <w:rPr>
                <w:noProof/>
              </w:rPr>
            </w:pPr>
            <w:r>
              <w:rPr>
                <w:noProof/>
              </w:rPr>
              <w:t>Dezvoltare</w:t>
            </w:r>
          </w:p>
          <w:p>
            <w:pPr>
              <w:rPr>
                <w:noProof/>
              </w:rPr>
            </w:pPr>
            <w:r>
              <w:rPr>
                <w:noProof/>
              </w:rPr>
              <w:t>Schimb de informații</w:t>
            </w:r>
          </w:p>
        </w:tc>
        <w:tc>
          <w:tcPr>
            <w:tcW w:w="2318" w:type="dxa"/>
            <w:tcMar>
              <w:left w:w="105" w:type="dxa"/>
              <w:right w:w="105" w:type="dxa"/>
            </w:tcMar>
          </w:tcPr>
          <w:p>
            <w:pPr>
              <w:rPr>
                <w:noProof/>
              </w:rPr>
            </w:pPr>
            <w:r>
              <w:rPr>
                <w:noProof/>
              </w:rPr>
              <w:t>Date</w:t>
            </w:r>
          </w:p>
          <w:p>
            <w:pPr>
              <w:rPr>
                <w:noProof/>
              </w:rPr>
            </w:pPr>
            <w:r>
              <w:rPr>
                <w:noProof/>
              </w:rPr>
              <w:t>Soluție digitală</w:t>
            </w:r>
          </w:p>
          <w:p>
            <w:pPr>
              <w:rPr>
                <w:noProof/>
              </w:rPr>
            </w:pPr>
            <w:r>
              <w:rPr>
                <w:noProof/>
              </w:rPr>
              <w:t>Digitalizarea și automatizarea proceselor</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47</w:t>
            </w:r>
          </w:p>
        </w:tc>
        <w:tc>
          <w:tcPr>
            <w:tcW w:w="4135" w:type="dxa"/>
            <w:tcMar>
              <w:left w:w="105" w:type="dxa"/>
              <w:right w:w="105" w:type="dxa"/>
            </w:tcMar>
          </w:tcPr>
          <w:p>
            <w:pPr>
              <w:rPr>
                <w:noProof/>
              </w:rPr>
            </w:pPr>
            <w:r>
              <w:rPr>
                <w:noProof/>
              </w:rPr>
              <w:t xml:space="preserve">Crearea unei </w:t>
            </w:r>
            <w:r>
              <w:rPr>
                <w:b/>
                <w:noProof/>
              </w:rPr>
              <w:t>platforme de cooperare cu părțile private</w:t>
            </w:r>
            <w:r>
              <w:rPr>
                <w:noProof/>
              </w:rPr>
              <w:t>.</w:t>
            </w:r>
          </w:p>
        </w:tc>
        <w:tc>
          <w:tcPr>
            <w:tcW w:w="2156" w:type="dxa"/>
            <w:tcMar>
              <w:left w:w="105" w:type="dxa"/>
              <w:right w:w="105" w:type="dxa"/>
            </w:tcMar>
          </w:tcPr>
          <w:p>
            <w:pPr>
              <w:rPr>
                <w:noProof/>
              </w:rPr>
            </w:pPr>
            <w:r>
              <w:rPr>
                <w:noProof/>
              </w:rPr>
              <w:t>Părți private</w:t>
            </w:r>
          </w:p>
          <w:p>
            <w:pPr>
              <w:rPr>
                <w:noProof/>
              </w:rPr>
            </w:pPr>
            <w:r>
              <w:rPr>
                <w:noProof/>
              </w:rPr>
              <w:t>Europol</w:t>
            </w:r>
          </w:p>
          <w:p>
            <w:pPr>
              <w:rPr>
                <w:noProof/>
              </w:rPr>
            </w:pPr>
            <w:r>
              <w:rPr>
                <w:noProof/>
              </w:rPr>
              <w:t>Statele membre</w:t>
            </w:r>
          </w:p>
        </w:tc>
        <w:tc>
          <w:tcPr>
            <w:tcW w:w="2669" w:type="dxa"/>
            <w:tcMar>
              <w:left w:w="105" w:type="dxa"/>
              <w:right w:w="105" w:type="dxa"/>
            </w:tcMar>
          </w:tcPr>
          <w:p>
            <w:pPr>
              <w:rPr>
                <w:noProof/>
              </w:rPr>
            </w:pPr>
            <w:r>
              <w:rPr>
                <w:noProof/>
              </w:rPr>
              <w:t>Dezvoltare</w:t>
            </w:r>
          </w:p>
        </w:tc>
        <w:tc>
          <w:tcPr>
            <w:tcW w:w="2318" w:type="dxa"/>
            <w:tcMar>
              <w:left w:w="105" w:type="dxa"/>
              <w:right w:w="105" w:type="dxa"/>
            </w:tcMar>
          </w:tcPr>
          <w:p>
            <w:pPr>
              <w:rPr>
                <w:noProof/>
              </w:rPr>
            </w:pPr>
            <w:r>
              <w:rPr>
                <w:noProof/>
              </w:rPr>
              <w:t>Soluție digitală</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47 alineatul (2) litera (a)</w:t>
            </w:r>
          </w:p>
        </w:tc>
        <w:tc>
          <w:tcPr>
            <w:tcW w:w="4135" w:type="dxa"/>
            <w:tcMar>
              <w:left w:w="105" w:type="dxa"/>
              <w:right w:w="105" w:type="dxa"/>
            </w:tcMar>
          </w:tcPr>
          <w:p>
            <w:pPr>
              <w:rPr>
                <w:noProof/>
              </w:rPr>
            </w:pPr>
            <w:r>
              <w:rPr>
                <w:noProof/>
              </w:rPr>
              <w:t>Părțile private trebuie să raporteze și să notifice Europol în temeiul Regulamentului privind TCO</w:t>
            </w:r>
            <w:r>
              <w:rPr>
                <w:noProof/>
                <w:vertAlign w:val="superscript"/>
              </w:rPr>
              <w:t>55</w:t>
            </w:r>
            <w:r>
              <w:rPr>
                <w:noProof/>
              </w:rPr>
              <w:t xml:space="preserve"> și al Regulamentului privind serviciile digitale (DSA)</w:t>
            </w:r>
            <w:r>
              <w:rPr>
                <w:noProof/>
                <w:vertAlign w:val="superscript"/>
              </w:rPr>
              <w:t>56</w:t>
            </w:r>
            <w:r>
              <w:rPr>
                <w:noProof/>
              </w:rPr>
              <w:t xml:space="preserve"> prin intermediul platformei.</w:t>
            </w:r>
          </w:p>
        </w:tc>
        <w:tc>
          <w:tcPr>
            <w:tcW w:w="2156" w:type="dxa"/>
            <w:tcMar>
              <w:left w:w="105" w:type="dxa"/>
              <w:right w:w="105" w:type="dxa"/>
            </w:tcMar>
          </w:tcPr>
          <w:p>
            <w:pPr>
              <w:rPr>
                <w:noProof/>
              </w:rPr>
            </w:pPr>
            <w:r>
              <w:rPr>
                <w:noProof/>
              </w:rPr>
              <w:t>Europol</w:t>
            </w:r>
          </w:p>
        </w:tc>
        <w:tc>
          <w:tcPr>
            <w:tcW w:w="2669" w:type="dxa"/>
            <w:tcMar>
              <w:left w:w="105" w:type="dxa"/>
              <w:right w:w="105" w:type="dxa"/>
            </w:tcMar>
          </w:tcPr>
          <w:p>
            <w:pPr>
              <w:rPr>
                <w:noProof/>
              </w:rPr>
            </w:pPr>
            <w:r>
              <w:rPr>
                <w:noProof/>
              </w:rPr>
              <w:t>Ordine de eliminare TCO, semnalări</w:t>
            </w:r>
          </w:p>
          <w:p>
            <w:pPr>
              <w:rPr>
                <w:noProof/>
              </w:rPr>
            </w:pPr>
            <w:r>
              <w:rPr>
                <w:noProof/>
              </w:rPr>
              <w:t>DSA</w:t>
            </w:r>
          </w:p>
        </w:tc>
        <w:tc>
          <w:tcPr>
            <w:tcW w:w="2318" w:type="dxa"/>
            <w:tcMar>
              <w:left w:w="105" w:type="dxa"/>
              <w:right w:w="105" w:type="dxa"/>
            </w:tcMar>
          </w:tcPr>
          <w:p>
            <w:pPr>
              <w:rPr>
                <w:noProof/>
              </w:rPr>
            </w:pPr>
            <w:r>
              <w:rPr>
                <w:noProof/>
              </w:rPr>
              <w:t>Digitalizarea și automatizarea proceselor</w:t>
            </w:r>
          </w:p>
        </w:tc>
      </w:tr>
      <w:tr>
        <w:trPr>
          <w:gridAfter w:val="1"/>
          <w:wAfter w:w="109" w:type="dxa"/>
          <w:trHeight w:val="285"/>
        </w:trPr>
        <w:tc>
          <w:tcPr>
            <w:tcW w:w="2068" w:type="dxa"/>
            <w:tcMar>
              <w:left w:w="105" w:type="dxa"/>
              <w:right w:w="105" w:type="dxa"/>
            </w:tcMar>
          </w:tcPr>
          <w:p>
            <w:pPr>
              <w:rPr>
                <w:noProof/>
              </w:rPr>
            </w:pPr>
            <w:r>
              <w:rPr>
                <w:noProof/>
              </w:rPr>
              <w:t>Articolul 47 alineatul (2) litera (b)</w:t>
            </w:r>
          </w:p>
        </w:tc>
        <w:tc>
          <w:tcPr>
            <w:tcW w:w="4135" w:type="dxa"/>
            <w:tcMar>
              <w:left w:w="105" w:type="dxa"/>
              <w:right w:w="105" w:type="dxa"/>
            </w:tcMar>
          </w:tcPr>
          <w:p>
            <w:pPr>
              <w:rPr>
                <w:noProof/>
              </w:rPr>
            </w:pPr>
            <w:r>
              <w:rPr>
                <w:noProof/>
              </w:rPr>
              <w:t>Europol trebuie să furnizeze părților private informațiile necesare pentru identificarea conținutului online, a serviciilor, a conturilor, a infrastructurilor sau a activităților digitale relevante prin intermediul platformei.</w:t>
            </w:r>
          </w:p>
        </w:tc>
        <w:tc>
          <w:tcPr>
            <w:tcW w:w="2156" w:type="dxa"/>
            <w:tcMar>
              <w:left w:w="105" w:type="dxa"/>
              <w:right w:w="105" w:type="dxa"/>
            </w:tcMar>
          </w:tcPr>
          <w:p>
            <w:pPr>
              <w:rPr>
                <w:noProof/>
              </w:rPr>
            </w:pPr>
            <w:r>
              <w:rPr>
                <w:noProof/>
              </w:rPr>
              <w:t>Europol</w:t>
            </w:r>
          </w:p>
          <w:p>
            <w:pPr>
              <w:rPr>
                <w:noProof/>
              </w:rPr>
            </w:pPr>
            <w:r>
              <w:rPr>
                <w:noProof/>
              </w:rPr>
              <w:t>Părți private</w:t>
            </w:r>
          </w:p>
        </w:tc>
        <w:tc>
          <w:tcPr>
            <w:tcW w:w="2669" w:type="dxa"/>
            <w:tcMar>
              <w:left w:w="105" w:type="dxa"/>
              <w:right w:w="105" w:type="dxa"/>
            </w:tcMar>
          </w:tcPr>
          <w:p>
            <w:pPr>
              <w:rPr>
                <w:noProof/>
              </w:rPr>
            </w:pPr>
            <w:r>
              <w:rPr>
                <w:noProof/>
              </w:rPr>
              <w:t>Situație de criză online</w:t>
            </w:r>
          </w:p>
        </w:tc>
        <w:tc>
          <w:tcPr>
            <w:tcW w:w="2318" w:type="dxa"/>
            <w:tcMar>
              <w:left w:w="105" w:type="dxa"/>
              <w:right w:w="105" w:type="dxa"/>
            </w:tcMar>
          </w:tcPr>
          <w:p>
            <w:pPr>
              <w:rPr>
                <w:noProof/>
              </w:rPr>
            </w:pPr>
            <w:r>
              <w:rPr>
                <w:noProof/>
              </w:rPr>
              <w:t>Digitalizarea și automatizarea proceselor</w:t>
            </w:r>
          </w:p>
        </w:tc>
      </w:tr>
      <w:tr>
        <w:trPr>
          <w:gridAfter w:val="1"/>
          <w:wAfter w:w="109" w:type="dxa"/>
          <w:trHeight w:val="285"/>
        </w:trPr>
        <w:tc>
          <w:tcPr>
            <w:tcW w:w="2068" w:type="dxa"/>
            <w:tcMar>
              <w:left w:w="105" w:type="dxa"/>
              <w:right w:w="105" w:type="dxa"/>
            </w:tcMar>
          </w:tcPr>
          <w:p>
            <w:pPr>
              <w:rPr>
                <w:noProof/>
              </w:rPr>
            </w:pPr>
            <w:r>
              <w:rPr>
                <w:noProof/>
              </w:rPr>
              <w:t>Articolul 48</w:t>
            </w:r>
          </w:p>
        </w:tc>
        <w:tc>
          <w:tcPr>
            <w:tcW w:w="4135" w:type="dxa"/>
            <w:tcMar>
              <w:left w:w="105" w:type="dxa"/>
              <w:right w:w="105" w:type="dxa"/>
            </w:tcMar>
          </w:tcPr>
          <w:p>
            <w:pPr>
              <w:rPr>
                <w:noProof/>
              </w:rPr>
            </w:pPr>
            <w:r>
              <w:rPr>
                <w:noProof/>
              </w:rPr>
              <w:t>Europol sprijină exploatarea Sistemului european de inventariere a evidențelor poliției în aplicarea Regulamentului Prüm II</w:t>
            </w:r>
            <w:r>
              <w:rPr>
                <w:noProof/>
                <w:vertAlign w:val="superscript"/>
              </w:rPr>
              <w:t>58</w:t>
            </w:r>
            <w:r>
              <w:rPr>
                <w:noProof/>
              </w:rPr>
              <w:t>.</w:t>
            </w:r>
          </w:p>
        </w:tc>
        <w:tc>
          <w:tcPr>
            <w:tcW w:w="2156" w:type="dxa"/>
            <w:tcMar>
              <w:left w:w="105" w:type="dxa"/>
              <w:right w:w="105" w:type="dxa"/>
            </w:tcMar>
          </w:tcPr>
          <w:p>
            <w:pPr>
              <w:rPr>
                <w:noProof/>
              </w:rPr>
            </w:pPr>
            <w:r>
              <w:rPr>
                <w:noProof/>
              </w:rPr>
              <w:t>Europol</w:t>
            </w:r>
          </w:p>
        </w:tc>
        <w:tc>
          <w:tcPr>
            <w:tcW w:w="2669" w:type="dxa"/>
            <w:tcMar>
              <w:left w:w="105" w:type="dxa"/>
              <w:right w:w="105" w:type="dxa"/>
            </w:tcMar>
          </w:tcPr>
          <w:p>
            <w:pPr>
              <w:rPr>
                <w:noProof/>
              </w:rPr>
            </w:pPr>
            <w:r>
              <w:rPr>
                <w:noProof/>
              </w:rPr>
              <w:t>Dezvoltarea și exploatarea sistemului</w:t>
            </w:r>
          </w:p>
        </w:tc>
        <w:tc>
          <w:tcPr>
            <w:tcW w:w="2318" w:type="dxa"/>
            <w:tcMar>
              <w:left w:w="105" w:type="dxa"/>
              <w:right w:w="105" w:type="dxa"/>
            </w:tcMar>
          </w:tcPr>
          <w:p>
            <w:pPr>
              <w:rPr>
                <w:noProof/>
              </w:rPr>
            </w:pPr>
            <w:r>
              <w:rPr>
                <w:noProof/>
              </w:rPr>
              <w:t>Soluție digitală</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49</w:t>
            </w:r>
          </w:p>
        </w:tc>
        <w:tc>
          <w:tcPr>
            <w:tcW w:w="4135" w:type="dxa"/>
            <w:tcMar>
              <w:left w:w="105" w:type="dxa"/>
              <w:right w:w="105" w:type="dxa"/>
            </w:tcMar>
          </w:tcPr>
          <w:p>
            <w:pPr>
              <w:rPr>
                <w:noProof/>
              </w:rPr>
            </w:pPr>
            <w:r>
              <w:rPr>
                <w:noProof/>
              </w:rPr>
              <w:t>Pot fi dezvoltate servicii și instrumente suplimentare (EI) în cadrul spațiului comun de date al poliției</w:t>
            </w:r>
          </w:p>
        </w:tc>
        <w:tc>
          <w:tcPr>
            <w:tcW w:w="2156" w:type="dxa"/>
            <w:tcMar>
              <w:left w:w="105" w:type="dxa"/>
              <w:right w:w="105" w:type="dxa"/>
            </w:tcMar>
          </w:tcPr>
          <w:p>
            <w:pPr>
              <w:rPr>
                <w:noProof/>
              </w:rPr>
            </w:pPr>
            <w:r>
              <w:rPr>
                <w:noProof/>
              </w:rPr>
              <w:t xml:space="preserve">Comisia </w:t>
            </w:r>
            <w:r>
              <w:rPr>
                <w:noProof/>
              </w:rPr>
              <w:br/>
              <w:t xml:space="preserve">Comitetul Europol </w:t>
            </w:r>
            <w:r>
              <w:rPr>
                <w:noProof/>
              </w:rPr>
              <w:br/>
              <w:t>Europol</w:t>
            </w:r>
          </w:p>
          <w:p>
            <w:pPr>
              <w:rPr>
                <w:noProof/>
              </w:rPr>
            </w:pPr>
            <w:r>
              <w:rPr>
                <w:noProof/>
              </w:rPr>
              <w:t xml:space="preserve">AC SM, TC, EUBOA, OI, PP </w:t>
            </w:r>
            <w:r>
              <w:rPr>
                <w:noProof/>
              </w:rPr>
              <w:br/>
            </w:r>
          </w:p>
          <w:p>
            <w:pPr>
              <w:rPr>
                <w:noProof/>
              </w:rPr>
            </w:pPr>
          </w:p>
        </w:tc>
        <w:tc>
          <w:tcPr>
            <w:tcW w:w="2669" w:type="dxa"/>
            <w:tcMar>
              <w:left w:w="105" w:type="dxa"/>
              <w:right w:w="105" w:type="dxa"/>
            </w:tcMar>
          </w:tcPr>
          <w:p>
            <w:pPr>
              <w:rPr>
                <w:noProof/>
              </w:rPr>
            </w:pPr>
            <w:r>
              <w:rPr>
                <w:noProof/>
              </w:rPr>
              <w:t>Dezvoltare</w:t>
            </w:r>
          </w:p>
          <w:p>
            <w:pPr>
              <w:rPr>
                <w:noProof/>
              </w:rPr>
            </w:pPr>
            <w:r>
              <w:rPr>
                <w:noProof/>
              </w:rPr>
              <w:t>Colectare, schimb de informații, analiză, verificare încrucișată, raport, analiză comună</w:t>
            </w:r>
          </w:p>
        </w:tc>
        <w:tc>
          <w:tcPr>
            <w:tcW w:w="2318" w:type="dxa"/>
            <w:tcMar>
              <w:left w:w="105" w:type="dxa"/>
              <w:right w:w="105" w:type="dxa"/>
            </w:tcMar>
          </w:tcPr>
          <w:p>
            <w:pPr>
              <w:rPr>
                <w:noProof/>
              </w:rPr>
            </w:pPr>
            <w:r>
              <w:rPr>
                <w:noProof/>
              </w:rPr>
              <w:t>Date</w:t>
            </w:r>
          </w:p>
          <w:p>
            <w:pPr>
              <w:rPr>
                <w:noProof/>
              </w:rPr>
            </w:pPr>
            <w:r>
              <w:rPr>
                <w:noProof/>
              </w:rPr>
              <w:t>Soluție digitală</w:t>
            </w:r>
          </w:p>
          <w:p>
            <w:pPr>
              <w:rPr>
                <w:noProof/>
              </w:rPr>
            </w:pPr>
            <w:r>
              <w:rPr>
                <w:noProof/>
              </w:rPr>
              <w:t>Digitalizarea și automatizarea proceselor</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50</w:t>
            </w:r>
          </w:p>
        </w:tc>
        <w:tc>
          <w:tcPr>
            <w:tcW w:w="4135" w:type="dxa"/>
            <w:tcMar>
              <w:left w:w="105" w:type="dxa"/>
              <w:right w:w="105" w:type="dxa"/>
            </w:tcMar>
          </w:tcPr>
          <w:p>
            <w:pPr>
              <w:rPr>
                <w:noProof/>
              </w:rPr>
            </w:pPr>
            <w:r>
              <w:rPr>
                <w:b/>
                <w:noProof/>
              </w:rPr>
              <w:t xml:space="preserve">Infrastructura de cloud a Europol: </w:t>
            </w:r>
            <w:r>
              <w:rPr>
                <w:noProof/>
              </w:rPr>
              <w:t>crearea, utilizarea ca infrastructură standard pentru sistemele, serviciile și instrumentele Europol oferite statelor membre, inclusiv cele existente, accesul securizat (EI).</w:t>
            </w:r>
          </w:p>
        </w:tc>
        <w:tc>
          <w:tcPr>
            <w:tcW w:w="2156" w:type="dxa"/>
            <w:tcMar>
              <w:left w:w="105" w:type="dxa"/>
              <w:right w:w="105" w:type="dxa"/>
            </w:tcMar>
          </w:tcPr>
          <w:p>
            <w:pPr>
              <w:rPr>
                <w:noProof/>
              </w:rPr>
            </w:pPr>
            <w:r>
              <w:rPr>
                <w:noProof/>
              </w:rPr>
              <w:t xml:space="preserve">Comisia </w:t>
            </w:r>
            <w:r>
              <w:rPr>
                <w:noProof/>
              </w:rPr>
              <w:br/>
              <w:t>Europol</w:t>
            </w:r>
          </w:p>
        </w:tc>
        <w:tc>
          <w:tcPr>
            <w:tcW w:w="2669" w:type="dxa"/>
            <w:tcMar>
              <w:left w:w="105" w:type="dxa"/>
              <w:right w:w="105" w:type="dxa"/>
            </w:tcMar>
          </w:tcPr>
          <w:p>
            <w:pPr>
              <w:rPr>
                <w:noProof/>
              </w:rPr>
            </w:pPr>
            <w:r>
              <w:rPr>
                <w:noProof/>
              </w:rPr>
              <w:t>Dezvoltare</w:t>
            </w:r>
          </w:p>
          <w:p>
            <w:pPr>
              <w:rPr>
                <w:noProof/>
              </w:rPr>
            </w:pPr>
            <w:r>
              <w:rPr>
                <w:noProof/>
              </w:rPr>
              <w:t>Achiziții publice</w:t>
            </w:r>
          </w:p>
        </w:tc>
        <w:tc>
          <w:tcPr>
            <w:tcW w:w="2318" w:type="dxa"/>
            <w:tcMar>
              <w:left w:w="105" w:type="dxa"/>
              <w:right w:w="105" w:type="dxa"/>
            </w:tcMar>
          </w:tcPr>
          <w:p>
            <w:pPr>
              <w:rPr>
                <w:noProof/>
              </w:rPr>
            </w:pPr>
            <w:r>
              <w:rPr>
                <w:noProof/>
              </w:rPr>
              <w:t>Soluție digitală</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51</w:t>
            </w:r>
          </w:p>
        </w:tc>
        <w:tc>
          <w:tcPr>
            <w:tcW w:w="4135" w:type="dxa"/>
            <w:tcMar>
              <w:left w:w="105" w:type="dxa"/>
              <w:right w:w="105" w:type="dxa"/>
            </w:tcMar>
          </w:tcPr>
          <w:p>
            <w:pPr>
              <w:tabs>
                <w:tab w:val="left" w:pos="1010"/>
              </w:tabs>
              <w:rPr>
                <w:noProof/>
              </w:rPr>
            </w:pPr>
            <w:r>
              <w:rPr>
                <w:b/>
                <w:noProof/>
              </w:rPr>
              <w:t>Identitatea digitală europeană pentru serviciile de poliție</w:t>
            </w:r>
            <w:r>
              <w:rPr>
                <w:noProof/>
              </w:rPr>
              <w:t>: crearea unui sistem armonizat de identificare și acordare a accesului personalului de poliție, direct sau indirect (prin intermediul sistemelor naționale), la infrastructura de cloud a Europol (EI).</w:t>
            </w:r>
          </w:p>
        </w:tc>
        <w:tc>
          <w:tcPr>
            <w:tcW w:w="2156" w:type="dxa"/>
            <w:tcMar>
              <w:left w:w="105" w:type="dxa"/>
              <w:right w:w="105" w:type="dxa"/>
            </w:tcMar>
          </w:tcPr>
          <w:p>
            <w:pPr>
              <w:tabs>
                <w:tab w:val="right" w:pos="2477"/>
              </w:tabs>
              <w:rPr>
                <w:noProof/>
              </w:rPr>
            </w:pPr>
            <w:r>
              <w:rPr>
                <w:noProof/>
              </w:rPr>
              <w:t xml:space="preserve">Comisia </w:t>
            </w:r>
            <w:r>
              <w:rPr>
                <w:noProof/>
              </w:rPr>
              <w:br/>
              <w:t xml:space="preserve">SM, țări terțe </w:t>
            </w:r>
            <w:r>
              <w:rPr>
                <w:noProof/>
              </w:rPr>
              <w:br/>
              <w:t>Europol</w:t>
            </w:r>
          </w:p>
          <w:p>
            <w:pPr>
              <w:rPr>
                <w:noProof/>
              </w:rPr>
            </w:pPr>
          </w:p>
        </w:tc>
        <w:tc>
          <w:tcPr>
            <w:tcW w:w="2669" w:type="dxa"/>
            <w:tcMar>
              <w:left w:w="105" w:type="dxa"/>
              <w:right w:w="105" w:type="dxa"/>
            </w:tcMar>
          </w:tcPr>
          <w:p>
            <w:pPr>
              <w:rPr>
                <w:noProof/>
              </w:rPr>
            </w:pPr>
            <w:r>
              <w:rPr>
                <w:noProof/>
              </w:rPr>
              <w:t>Standardizarea datelor din documentele de identitate ale poliției</w:t>
            </w:r>
          </w:p>
          <w:p>
            <w:pPr>
              <w:rPr>
                <w:noProof/>
              </w:rPr>
            </w:pPr>
            <w:r>
              <w:rPr>
                <w:noProof/>
              </w:rPr>
              <w:t>Dezvoltare</w:t>
            </w:r>
          </w:p>
          <w:p>
            <w:pPr>
              <w:rPr>
                <w:noProof/>
              </w:rPr>
            </w:pPr>
            <w:r>
              <w:rPr>
                <w:noProof/>
              </w:rPr>
              <w:t>Identificarea și gestionarea accesului</w:t>
            </w:r>
          </w:p>
        </w:tc>
        <w:tc>
          <w:tcPr>
            <w:tcW w:w="2318" w:type="dxa"/>
            <w:tcMar>
              <w:left w:w="105" w:type="dxa"/>
              <w:right w:w="105" w:type="dxa"/>
            </w:tcMar>
          </w:tcPr>
          <w:p>
            <w:pPr>
              <w:rPr>
                <w:noProof/>
              </w:rPr>
            </w:pPr>
            <w:r>
              <w:rPr>
                <w:noProof/>
              </w:rPr>
              <w:t>Date</w:t>
            </w:r>
          </w:p>
          <w:p>
            <w:pPr>
              <w:rPr>
                <w:noProof/>
              </w:rPr>
            </w:pPr>
            <w:r>
              <w:rPr>
                <w:noProof/>
              </w:rPr>
              <w:t>Soluție digitală</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52</w:t>
            </w:r>
          </w:p>
        </w:tc>
        <w:tc>
          <w:tcPr>
            <w:tcW w:w="4135" w:type="dxa"/>
            <w:tcMar>
              <w:left w:w="105" w:type="dxa"/>
              <w:right w:w="105" w:type="dxa"/>
            </w:tcMar>
          </w:tcPr>
          <w:p>
            <w:pPr>
              <w:tabs>
                <w:tab w:val="left" w:pos="1010"/>
              </w:tabs>
              <w:rPr>
                <w:noProof/>
              </w:rPr>
            </w:pPr>
            <w:r>
              <w:rPr>
                <w:b/>
                <w:noProof/>
              </w:rPr>
              <w:t xml:space="preserve">Instrumente statistice și de raportare: </w:t>
            </w:r>
            <w:r>
              <w:rPr>
                <w:noProof/>
              </w:rPr>
              <w:t>crearea și utilizarea instrumentelor în scopul evaluării, monitorizării, analizei și raportării (EI).</w:t>
            </w:r>
          </w:p>
        </w:tc>
        <w:tc>
          <w:tcPr>
            <w:tcW w:w="2156" w:type="dxa"/>
            <w:tcMar>
              <w:left w:w="105" w:type="dxa"/>
              <w:right w:w="105" w:type="dxa"/>
            </w:tcMar>
          </w:tcPr>
          <w:p>
            <w:pPr>
              <w:tabs>
                <w:tab w:val="right" w:pos="2477"/>
              </w:tabs>
              <w:rPr>
                <w:noProof/>
              </w:rPr>
            </w:pPr>
            <w:r>
              <w:rPr>
                <w:noProof/>
              </w:rPr>
              <w:t xml:space="preserve">Europol </w:t>
            </w:r>
            <w:r>
              <w:rPr>
                <w:noProof/>
              </w:rPr>
              <w:br/>
              <w:t>AAL din statele membre, Comisia</w:t>
            </w:r>
          </w:p>
        </w:tc>
        <w:tc>
          <w:tcPr>
            <w:tcW w:w="2669" w:type="dxa"/>
            <w:tcMar>
              <w:left w:w="105" w:type="dxa"/>
              <w:right w:w="105" w:type="dxa"/>
            </w:tcMar>
          </w:tcPr>
          <w:p>
            <w:pPr>
              <w:rPr>
                <w:noProof/>
              </w:rPr>
            </w:pPr>
            <w:r>
              <w:rPr>
                <w:noProof/>
              </w:rPr>
              <w:t>Dezvoltare</w:t>
            </w:r>
          </w:p>
          <w:p>
            <w:pPr>
              <w:rPr>
                <w:noProof/>
              </w:rPr>
            </w:pPr>
            <w:r>
              <w:rPr>
                <w:noProof/>
              </w:rPr>
              <w:t>Rapoarte</w:t>
            </w:r>
          </w:p>
        </w:tc>
        <w:tc>
          <w:tcPr>
            <w:tcW w:w="2318" w:type="dxa"/>
            <w:tcMar>
              <w:left w:w="105" w:type="dxa"/>
              <w:right w:w="105" w:type="dxa"/>
            </w:tcMar>
          </w:tcPr>
          <w:p>
            <w:pPr>
              <w:rPr>
                <w:noProof/>
              </w:rPr>
            </w:pPr>
            <w:r>
              <w:rPr>
                <w:noProof/>
              </w:rPr>
              <w:t>Date</w:t>
            </w:r>
          </w:p>
          <w:p>
            <w:pPr>
              <w:rPr>
                <w:noProof/>
              </w:rPr>
            </w:pPr>
            <w:r>
              <w:rPr>
                <w:noProof/>
              </w:rPr>
              <w:t>Soluție digitală</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53</w:t>
            </w:r>
          </w:p>
        </w:tc>
        <w:tc>
          <w:tcPr>
            <w:tcW w:w="4135" w:type="dxa"/>
            <w:tcMar>
              <w:left w:w="105" w:type="dxa"/>
              <w:right w:w="105" w:type="dxa"/>
            </w:tcMar>
          </w:tcPr>
          <w:p>
            <w:pPr>
              <w:tabs>
                <w:tab w:val="left" w:pos="1010"/>
              </w:tabs>
              <w:rPr>
                <w:noProof/>
              </w:rPr>
            </w:pPr>
            <w:r>
              <w:rPr>
                <w:noProof/>
              </w:rPr>
              <w:t xml:space="preserve">Sprijinul acordat de Europol pentru dezvoltarea și adoptarea </w:t>
            </w:r>
            <w:r>
              <w:rPr>
                <w:b/>
                <w:noProof/>
              </w:rPr>
              <w:t>formatului universal pentru mesaje</w:t>
            </w:r>
            <w:r>
              <w:rPr>
                <w:noProof/>
              </w:rPr>
              <w:t>.</w:t>
            </w:r>
          </w:p>
        </w:tc>
        <w:tc>
          <w:tcPr>
            <w:tcW w:w="2156" w:type="dxa"/>
            <w:tcMar>
              <w:left w:w="105" w:type="dxa"/>
              <w:right w:w="105" w:type="dxa"/>
            </w:tcMar>
          </w:tcPr>
          <w:p>
            <w:pPr>
              <w:tabs>
                <w:tab w:val="right" w:pos="2477"/>
              </w:tabs>
              <w:rPr>
                <w:noProof/>
              </w:rPr>
            </w:pPr>
            <w:r>
              <w:rPr>
                <w:noProof/>
              </w:rPr>
              <w:t xml:space="preserve">Europol </w:t>
            </w:r>
            <w:r>
              <w:rPr>
                <w:noProof/>
              </w:rPr>
              <w:br/>
              <w:t xml:space="preserve">eu-LISA </w:t>
            </w:r>
            <w:r>
              <w:rPr>
                <w:noProof/>
              </w:rPr>
              <w:br/>
              <w:t xml:space="preserve">AAL din statele membre </w:t>
            </w:r>
            <w:r>
              <w:rPr>
                <w:noProof/>
              </w:rPr>
              <w:br/>
              <w:t>Comisia</w:t>
            </w:r>
          </w:p>
        </w:tc>
        <w:tc>
          <w:tcPr>
            <w:tcW w:w="2669" w:type="dxa"/>
            <w:tcMar>
              <w:left w:w="105" w:type="dxa"/>
              <w:right w:w="105" w:type="dxa"/>
            </w:tcMar>
          </w:tcPr>
          <w:p>
            <w:pPr>
              <w:rPr>
                <w:noProof/>
              </w:rPr>
            </w:pPr>
            <w:r>
              <w:rPr>
                <w:noProof/>
              </w:rPr>
              <w:t>Standardizare</w:t>
            </w:r>
          </w:p>
          <w:p>
            <w:pPr>
              <w:rPr>
                <w:noProof/>
              </w:rPr>
            </w:pPr>
            <w:r>
              <w:rPr>
                <w:noProof/>
              </w:rPr>
              <w:t>Schimb de informații</w:t>
            </w:r>
          </w:p>
        </w:tc>
        <w:tc>
          <w:tcPr>
            <w:tcW w:w="2318" w:type="dxa"/>
            <w:tcMar>
              <w:left w:w="105" w:type="dxa"/>
              <w:right w:w="105" w:type="dxa"/>
            </w:tcMar>
          </w:tcPr>
          <w:p>
            <w:pPr>
              <w:rPr>
                <w:noProof/>
              </w:rPr>
            </w:pPr>
            <w:r>
              <w:rPr>
                <w:noProof/>
              </w:rPr>
              <w:t>Date</w:t>
            </w:r>
          </w:p>
          <w:p>
            <w:pPr>
              <w:rPr>
                <w:noProof/>
              </w:rPr>
            </w:pPr>
            <w:r>
              <w:rPr>
                <w:noProof/>
              </w:rPr>
              <w:t>Digitalizarea și automatizarea proceselor</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Articolele 55 și 56</w:t>
            </w:r>
          </w:p>
        </w:tc>
        <w:tc>
          <w:tcPr>
            <w:tcW w:w="4135" w:type="dxa"/>
            <w:tcMar>
              <w:left w:w="105" w:type="dxa"/>
              <w:right w:w="105" w:type="dxa"/>
            </w:tcMar>
          </w:tcPr>
          <w:p>
            <w:pPr>
              <w:tabs>
                <w:tab w:val="left" w:pos="1010"/>
              </w:tabs>
              <w:rPr>
                <w:noProof/>
              </w:rPr>
            </w:pPr>
            <w:r>
              <w:rPr>
                <w:noProof/>
              </w:rPr>
              <w:t xml:space="preserve">Crearea </w:t>
            </w:r>
            <w:r>
              <w:rPr>
                <w:b/>
                <w:noProof/>
              </w:rPr>
              <w:t>Grupului de coordonare și a Grupului consultativ pentru TIC și gestionarea informațiilor</w:t>
            </w:r>
            <w:r>
              <w:rPr>
                <w:noProof/>
              </w:rPr>
              <w:t>, care sprijină deciziile Consiliului de administrație privind arhitectura TIC, gestionarea datelor, interoperabilitatea și alinierea la nevoile operaționale ale statelor membre.</w:t>
            </w:r>
          </w:p>
        </w:tc>
        <w:tc>
          <w:tcPr>
            <w:tcW w:w="2156" w:type="dxa"/>
            <w:tcMar>
              <w:left w:w="105" w:type="dxa"/>
              <w:right w:w="105" w:type="dxa"/>
            </w:tcMar>
          </w:tcPr>
          <w:p>
            <w:pPr>
              <w:tabs>
                <w:tab w:val="right" w:pos="2477"/>
              </w:tabs>
              <w:rPr>
                <w:noProof/>
              </w:rPr>
            </w:pPr>
            <w:r>
              <w:rPr>
                <w:noProof/>
              </w:rPr>
              <w:t xml:space="preserve">Europol </w:t>
            </w:r>
            <w:r>
              <w:rPr>
                <w:noProof/>
              </w:rPr>
              <w:br/>
              <w:t xml:space="preserve">AAL din statele membre </w:t>
            </w:r>
            <w:r>
              <w:rPr>
                <w:noProof/>
              </w:rPr>
              <w:br/>
              <w:t>Comisia</w:t>
            </w:r>
          </w:p>
        </w:tc>
        <w:tc>
          <w:tcPr>
            <w:tcW w:w="2669" w:type="dxa"/>
            <w:tcMar>
              <w:left w:w="105" w:type="dxa"/>
              <w:right w:w="105" w:type="dxa"/>
            </w:tcMar>
          </w:tcPr>
          <w:p>
            <w:pPr>
              <w:rPr>
                <w:noProof/>
              </w:rPr>
            </w:pPr>
            <w:r>
              <w:rPr>
                <w:noProof/>
              </w:rPr>
              <w:t>Dezvoltare</w:t>
            </w:r>
          </w:p>
          <w:p>
            <w:pPr>
              <w:rPr>
                <w:noProof/>
              </w:rPr>
            </w:pPr>
            <w:r>
              <w:rPr>
                <w:noProof/>
              </w:rPr>
              <w:t>Standardizare</w:t>
            </w:r>
          </w:p>
          <w:p>
            <w:pPr>
              <w:rPr>
                <w:noProof/>
              </w:rPr>
            </w:pPr>
            <w:r>
              <w:rPr>
                <w:noProof/>
              </w:rPr>
              <w:t>Asimilare</w:t>
            </w:r>
          </w:p>
        </w:tc>
        <w:tc>
          <w:tcPr>
            <w:tcW w:w="2318" w:type="dxa"/>
            <w:tcMar>
              <w:left w:w="105" w:type="dxa"/>
              <w:right w:w="105" w:type="dxa"/>
            </w:tcMar>
          </w:tcPr>
          <w:p>
            <w:pPr>
              <w:rPr>
                <w:noProof/>
              </w:rPr>
            </w:pPr>
            <w:r>
              <w:rPr>
                <w:noProof/>
              </w:rPr>
              <w:t>Date</w:t>
            </w:r>
          </w:p>
          <w:p>
            <w:pPr>
              <w:rPr>
                <w:noProof/>
              </w:rPr>
            </w:pPr>
            <w:r>
              <w:rPr>
                <w:noProof/>
              </w:rPr>
              <w:t>Digitalizarea și automatizarea proceselor</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Articolul 54</w:t>
            </w:r>
          </w:p>
        </w:tc>
        <w:tc>
          <w:tcPr>
            <w:tcW w:w="4135" w:type="dxa"/>
            <w:tcMar>
              <w:left w:w="105" w:type="dxa"/>
              <w:right w:w="105" w:type="dxa"/>
            </w:tcMar>
          </w:tcPr>
          <w:p>
            <w:pPr>
              <w:tabs>
                <w:tab w:val="left" w:pos="1010"/>
              </w:tabs>
              <w:rPr>
                <w:noProof/>
              </w:rPr>
            </w:pPr>
            <w:r>
              <w:rPr>
                <w:noProof/>
              </w:rPr>
              <w:t xml:space="preserve">Crearea unei </w:t>
            </w:r>
            <w:r>
              <w:rPr>
                <w:b/>
                <w:noProof/>
              </w:rPr>
              <w:t>aplicații UE pentru compararea profilurilor ADN</w:t>
            </w:r>
            <w:r>
              <w:rPr>
                <w:noProof/>
              </w:rPr>
              <w:t>, în beneficiul Europol și al statelor membre.</w:t>
            </w:r>
          </w:p>
        </w:tc>
        <w:tc>
          <w:tcPr>
            <w:tcW w:w="2156" w:type="dxa"/>
            <w:tcMar>
              <w:left w:w="105" w:type="dxa"/>
              <w:right w:w="105" w:type="dxa"/>
            </w:tcMar>
          </w:tcPr>
          <w:p>
            <w:pPr>
              <w:tabs>
                <w:tab w:val="right" w:pos="2477"/>
              </w:tabs>
              <w:rPr>
                <w:noProof/>
              </w:rPr>
            </w:pPr>
            <w:r>
              <w:rPr>
                <w:noProof/>
              </w:rPr>
              <w:t xml:space="preserve">Europol </w:t>
            </w:r>
            <w:r>
              <w:rPr>
                <w:noProof/>
              </w:rPr>
              <w:br/>
              <w:t xml:space="preserve">AAL din statele membre </w:t>
            </w:r>
            <w:r>
              <w:rPr>
                <w:noProof/>
              </w:rPr>
              <w:br/>
              <w:t>Comisia</w:t>
            </w:r>
          </w:p>
        </w:tc>
        <w:tc>
          <w:tcPr>
            <w:tcW w:w="2669" w:type="dxa"/>
            <w:tcMar>
              <w:left w:w="105" w:type="dxa"/>
              <w:right w:w="105" w:type="dxa"/>
            </w:tcMar>
          </w:tcPr>
          <w:p>
            <w:pPr>
              <w:rPr>
                <w:noProof/>
              </w:rPr>
            </w:pPr>
            <w:r>
              <w:rPr>
                <w:noProof/>
              </w:rPr>
              <w:t>Dezvoltare</w:t>
            </w:r>
          </w:p>
          <w:p>
            <w:pPr>
              <w:rPr>
                <w:noProof/>
              </w:rPr>
            </w:pPr>
            <w:r>
              <w:rPr>
                <w:noProof/>
              </w:rPr>
              <w:t>Standardizare</w:t>
            </w:r>
          </w:p>
          <w:p>
            <w:pPr>
              <w:rPr>
                <w:noProof/>
              </w:rPr>
            </w:pPr>
            <w:r>
              <w:rPr>
                <w:noProof/>
              </w:rPr>
              <w:t>Achiziții publice</w:t>
            </w:r>
          </w:p>
          <w:p>
            <w:pPr>
              <w:rPr>
                <w:noProof/>
              </w:rPr>
            </w:pPr>
            <w:r>
              <w:rPr>
                <w:noProof/>
              </w:rPr>
              <w:t>Asimilare</w:t>
            </w:r>
          </w:p>
          <w:p>
            <w:pPr>
              <w:rPr>
                <w:noProof/>
              </w:rPr>
            </w:pPr>
            <w:r>
              <w:rPr>
                <w:noProof/>
              </w:rPr>
              <w:t>Verificare încrucișată</w:t>
            </w:r>
          </w:p>
          <w:p>
            <w:pPr>
              <w:rPr>
                <w:noProof/>
              </w:rPr>
            </w:pPr>
            <w:r>
              <w:rPr>
                <w:noProof/>
              </w:rPr>
              <w:t>Analiză</w:t>
            </w:r>
          </w:p>
        </w:tc>
        <w:tc>
          <w:tcPr>
            <w:tcW w:w="2318" w:type="dxa"/>
            <w:tcMar>
              <w:left w:w="105" w:type="dxa"/>
              <w:right w:w="105" w:type="dxa"/>
            </w:tcMar>
          </w:tcPr>
          <w:p>
            <w:pPr>
              <w:rPr>
                <w:noProof/>
              </w:rPr>
            </w:pPr>
            <w:r>
              <w:rPr>
                <w:noProof/>
              </w:rPr>
              <w:t>Date</w:t>
            </w:r>
          </w:p>
          <w:p>
            <w:pPr>
              <w:rPr>
                <w:noProof/>
              </w:rPr>
            </w:pPr>
            <w:r>
              <w:rPr>
                <w:noProof/>
              </w:rPr>
              <w:t>Soluție digitală</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Articolele 57-</w:t>
            </w:r>
          </w:p>
          <w:p>
            <w:pPr>
              <w:rPr>
                <w:noProof/>
              </w:rPr>
            </w:pPr>
            <w:r>
              <w:rPr>
                <w:noProof/>
              </w:rPr>
              <w:t>64</w:t>
            </w:r>
          </w:p>
        </w:tc>
        <w:tc>
          <w:tcPr>
            <w:tcW w:w="4135" w:type="dxa"/>
            <w:tcMar>
              <w:left w:w="105" w:type="dxa"/>
              <w:right w:w="105" w:type="dxa"/>
            </w:tcMar>
          </w:tcPr>
          <w:p>
            <w:pPr>
              <w:tabs>
                <w:tab w:val="left" w:pos="1010"/>
              </w:tabs>
              <w:rPr>
                <w:noProof/>
              </w:rPr>
            </w:pPr>
            <w:r>
              <w:rPr>
                <w:noProof/>
              </w:rPr>
              <w:t xml:space="preserve">Europol, prin intermediul Grupului consultativ pentru inovare și cu sprijinul Grupului consultativ pentru capacități și inovare, elaborează, revizuiește și actualizează periodic un </w:t>
            </w:r>
            <w:r>
              <w:rPr>
                <w:b/>
                <w:noProof/>
              </w:rPr>
              <w:t>cadru de analiză prospectivă și de dezvoltare a capacităților</w:t>
            </w:r>
            <w:r>
              <w:rPr>
                <w:noProof/>
              </w:rPr>
              <w:t xml:space="preserve"> pentru a asigura coordonarea și complementaritatea dintre Europol, organele relevante ale Uniunii și statele membre în ceea ce privește cercetarea, inovarea, testarea, dezvoltarea, desfășurarea de proiecte-pilot și adoptarea de capacități avansate pentru asigurarea respectării legii, inclusiv prin punerea în comun a capacităților existente, participarea coordonată la procesele de standardizare și achizițiile publice comune.</w:t>
            </w:r>
          </w:p>
        </w:tc>
        <w:tc>
          <w:tcPr>
            <w:tcW w:w="2156" w:type="dxa"/>
            <w:tcMar>
              <w:left w:w="105" w:type="dxa"/>
              <w:right w:w="105" w:type="dxa"/>
            </w:tcMar>
          </w:tcPr>
          <w:p>
            <w:pPr>
              <w:tabs>
                <w:tab w:val="right" w:pos="2477"/>
              </w:tabs>
              <w:rPr>
                <w:noProof/>
              </w:rPr>
            </w:pPr>
            <w:r>
              <w:rPr>
                <w:noProof/>
              </w:rPr>
              <w:t xml:space="preserve">Europol </w:t>
            </w:r>
            <w:r>
              <w:rPr>
                <w:noProof/>
              </w:rPr>
              <w:br/>
              <w:t xml:space="preserve">Statele membre </w:t>
            </w:r>
            <w:r>
              <w:rPr>
                <w:noProof/>
              </w:rPr>
              <w:br/>
              <w:t xml:space="preserve">EUBOA </w:t>
            </w:r>
            <w:r>
              <w:rPr>
                <w:noProof/>
              </w:rPr>
              <w:br/>
              <w:t>Comisia</w:t>
            </w:r>
          </w:p>
        </w:tc>
        <w:tc>
          <w:tcPr>
            <w:tcW w:w="2669" w:type="dxa"/>
            <w:tcMar>
              <w:left w:w="105" w:type="dxa"/>
              <w:right w:w="105" w:type="dxa"/>
            </w:tcMar>
          </w:tcPr>
          <w:p>
            <w:pPr>
              <w:rPr>
                <w:noProof/>
              </w:rPr>
            </w:pPr>
            <w:r>
              <w:rPr>
                <w:noProof/>
              </w:rPr>
              <w:t>Dezvoltare</w:t>
            </w:r>
          </w:p>
          <w:p>
            <w:pPr>
              <w:rPr>
                <w:noProof/>
              </w:rPr>
            </w:pPr>
            <w:r>
              <w:rPr>
                <w:noProof/>
              </w:rPr>
              <w:t>Standardizare</w:t>
            </w:r>
          </w:p>
          <w:p>
            <w:pPr>
              <w:rPr>
                <w:noProof/>
              </w:rPr>
            </w:pPr>
            <w:r>
              <w:rPr>
                <w:noProof/>
              </w:rPr>
              <w:t>Achiziții publice</w:t>
            </w:r>
          </w:p>
          <w:p>
            <w:pPr>
              <w:rPr>
                <w:noProof/>
              </w:rPr>
            </w:pPr>
            <w:r>
              <w:rPr>
                <w:noProof/>
              </w:rPr>
              <w:t>Asimilare</w:t>
            </w:r>
          </w:p>
          <w:p>
            <w:pPr>
              <w:rPr>
                <w:noProof/>
              </w:rPr>
            </w:pPr>
            <w:r>
              <w:rPr>
                <w:noProof/>
              </w:rPr>
              <w:t>Inovare</w:t>
            </w:r>
          </w:p>
        </w:tc>
        <w:tc>
          <w:tcPr>
            <w:tcW w:w="2318" w:type="dxa"/>
            <w:tcMar>
              <w:left w:w="105" w:type="dxa"/>
              <w:right w:w="105" w:type="dxa"/>
            </w:tcMar>
          </w:tcPr>
          <w:p>
            <w:pPr>
              <w:rPr>
                <w:noProof/>
              </w:rPr>
            </w:pPr>
            <w:r>
              <w:rPr>
                <w:noProof/>
              </w:rPr>
              <w:t>Digitalizarea și automatizarea proceselor</w:t>
            </w:r>
          </w:p>
          <w:p>
            <w:pPr>
              <w:rPr>
                <w:noProof/>
              </w:rPr>
            </w:pPr>
          </w:p>
        </w:tc>
      </w:tr>
      <w:tr>
        <w:trPr>
          <w:gridAfter w:val="1"/>
          <w:wAfter w:w="109" w:type="dxa"/>
          <w:trHeight w:val="285"/>
        </w:trPr>
        <w:tc>
          <w:tcPr>
            <w:tcW w:w="2068" w:type="dxa"/>
            <w:tcMar>
              <w:left w:w="105" w:type="dxa"/>
              <w:right w:w="105" w:type="dxa"/>
            </w:tcMar>
          </w:tcPr>
          <w:p>
            <w:pPr>
              <w:rPr>
                <w:noProof/>
              </w:rPr>
            </w:pPr>
            <w:r>
              <w:rPr>
                <w:noProof/>
              </w:rPr>
              <w:t>Articolul 61</w:t>
            </w:r>
          </w:p>
        </w:tc>
        <w:tc>
          <w:tcPr>
            <w:tcW w:w="4135" w:type="dxa"/>
            <w:tcMar>
              <w:left w:w="105" w:type="dxa"/>
              <w:right w:w="105" w:type="dxa"/>
            </w:tcMar>
          </w:tcPr>
          <w:p>
            <w:pPr>
              <w:tabs>
                <w:tab w:val="left" w:pos="1010"/>
              </w:tabs>
              <w:rPr>
                <w:noProof/>
              </w:rPr>
            </w:pPr>
            <w:r>
              <w:rPr>
                <w:noProof/>
              </w:rPr>
              <w:t>Utilizarea spațiului de testare în materie de reglementare pentru dezvoltarea capacităților avansate bazate pe IA.</w:t>
            </w:r>
          </w:p>
        </w:tc>
        <w:tc>
          <w:tcPr>
            <w:tcW w:w="2156" w:type="dxa"/>
            <w:tcMar>
              <w:left w:w="105" w:type="dxa"/>
              <w:right w:w="105" w:type="dxa"/>
            </w:tcMar>
          </w:tcPr>
          <w:p>
            <w:pPr>
              <w:tabs>
                <w:tab w:val="right" w:pos="2477"/>
              </w:tabs>
              <w:rPr>
                <w:noProof/>
              </w:rPr>
            </w:pPr>
            <w:r>
              <w:rPr>
                <w:noProof/>
              </w:rPr>
              <w:t>Europol</w:t>
            </w:r>
          </w:p>
        </w:tc>
        <w:tc>
          <w:tcPr>
            <w:tcW w:w="2669" w:type="dxa"/>
            <w:tcMar>
              <w:left w:w="105" w:type="dxa"/>
              <w:right w:w="105" w:type="dxa"/>
            </w:tcMar>
          </w:tcPr>
          <w:p>
            <w:pPr>
              <w:rPr>
                <w:noProof/>
              </w:rPr>
            </w:pPr>
            <w:r>
              <w:rPr>
                <w:noProof/>
              </w:rPr>
              <w:t>Dezvoltare</w:t>
            </w:r>
          </w:p>
          <w:p>
            <w:pPr>
              <w:rPr>
                <w:noProof/>
              </w:rPr>
            </w:pPr>
            <w:r>
              <w:rPr>
                <w:noProof/>
              </w:rPr>
              <w:t>Inovare</w:t>
            </w:r>
          </w:p>
        </w:tc>
        <w:tc>
          <w:tcPr>
            <w:tcW w:w="2318" w:type="dxa"/>
            <w:tcMar>
              <w:left w:w="105" w:type="dxa"/>
              <w:right w:w="105" w:type="dxa"/>
            </w:tcMar>
          </w:tcPr>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Articolele 80 și 81</w:t>
            </w:r>
          </w:p>
        </w:tc>
        <w:tc>
          <w:tcPr>
            <w:tcW w:w="4135" w:type="dxa"/>
            <w:tcMar>
              <w:left w:w="105" w:type="dxa"/>
              <w:right w:w="105" w:type="dxa"/>
            </w:tcMar>
          </w:tcPr>
          <w:p>
            <w:pPr>
              <w:tabs>
                <w:tab w:val="left" w:pos="1010"/>
              </w:tabs>
              <w:rPr>
                <w:noProof/>
              </w:rPr>
            </w:pPr>
            <w:r>
              <w:rPr>
                <w:noProof/>
              </w:rPr>
              <w:t xml:space="preserve">Organele Uniunii și autoritățile naționale desemnate pentru VIS au acces indirect la Europol. (EI). EPPO primește în mod automat informațiile relevante pentru acesta. </w:t>
            </w:r>
          </w:p>
        </w:tc>
        <w:tc>
          <w:tcPr>
            <w:tcW w:w="2156" w:type="dxa"/>
            <w:tcMar>
              <w:left w:w="105" w:type="dxa"/>
              <w:right w:w="105" w:type="dxa"/>
            </w:tcMar>
          </w:tcPr>
          <w:p>
            <w:pPr>
              <w:tabs>
                <w:tab w:val="right" w:pos="2477"/>
              </w:tabs>
              <w:rPr>
                <w:noProof/>
              </w:rPr>
            </w:pPr>
            <w:r>
              <w:rPr>
                <w:noProof/>
              </w:rPr>
              <w:t xml:space="preserve">EUBOA </w:t>
            </w:r>
            <w:r>
              <w:rPr>
                <w:noProof/>
              </w:rPr>
              <w:br/>
              <w:t>Autorități desemnate pentru VIS</w:t>
            </w:r>
          </w:p>
          <w:p>
            <w:pPr>
              <w:tabs>
                <w:tab w:val="right" w:pos="2477"/>
              </w:tabs>
              <w:rPr>
                <w:noProof/>
              </w:rPr>
            </w:pPr>
            <w:r>
              <w:rPr>
                <w:noProof/>
              </w:rPr>
              <w:t>Comisia</w:t>
            </w:r>
          </w:p>
        </w:tc>
        <w:tc>
          <w:tcPr>
            <w:tcW w:w="2669" w:type="dxa"/>
            <w:tcMar>
              <w:left w:w="105" w:type="dxa"/>
              <w:right w:w="105" w:type="dxa"/>
            </w:tcMar>
          </w:tcPr>
          <w:p>
            <w:pPr>
              <w:rPr>
                <w:noProof/>
              </w:rPr>
            </w:pPr>
            <w:r>
              <w:rPr>
                <w:noProof/>
              </w:rPr>
              <w:t>Verificare încrucișată de către EUBOA</w:t>
            </w:r>
          </w:p>
          <w:p>
            <w:pPr>
              <w:rPr>
                <w:noProof/>
              </w:rPr>
            </w:pPr>
            <w:r>
              <w:rPr>
                <w:noProof/>
              </w:rPr>
              <w:t>Controlul de securitate VIS</w:t>
            </w:r>
          </w:p>
        </w:tc>
        <w:tc>
          <w:tcPr>
            <w:tcW w:w="2318" w:type="dxa"/>
            <w:tcMar>
              <w:left w:w="105" w:type="dxa"/>
              <w:right w:w="105" w:type="dxa"/>
            </w:tcMar>
          </w:tcPr>
          <w:p>
            <w:pPr>
              <w:rPr>
                <w:noProof/>
              </w:rPr>
            </w:pPr>
            <w:r>
              <w:rPr>
                <w:noProof/>
              </w:rPr>
              <w:t>Digitalizarea și automatizarea proceselor</w:t>
            </w:r>
          </w:p>
          <w:p>
            <w:pPr>
              <w:rPr>
                <w:noProof/>
              </w:rPr>
            </w:pPr>
            <w:r>
              <w:rPr>
                <w:noProof/>
              </w:rPr>
              <w:t>Servicii publice digitale</w:t>
            </w:r>
          </w:p>
          <w:p>
            <w:pPr>
              <w:rPr>
                <w:noProof/>
              </w:rPr>
            </w:pPr>
            <w:r>
              <w:rPr>
                <w:noProof/>
              </w:rPr>
              <w:t>Date</w:t>
            </w:r>
          </w:p>
        </w:tc>
      </w:tr>
      <w:tr>
        <w:trPr>
          <w:trHeight w:val="285"/>
        </w:trPr>
        <w:tc>
          <w:tcPr>
            <w:tcW w:w="2068" w:type="dxa"/>
            <w:tcMar>
              <w:left w:w="105" w:type="dxa"/>
              <w:right w:w="105" w:type="dxa"/>
            </w:tcMar>
          </w:tcPr>
          <w:p>
            <w:pPr>
              <w:rPr>
                <w:noProof/>
              </w:rPr>
            </w:pPr>
            <w:r>
              <w:rPr>
                <w:noProof/>
              </w:rPr>
              <w:t>Articolul 94</w:t>
            </w:r>
          </w:p>
        </w:tc>
        <w:tc>
          <w:tcPr>
            <w:tcW w:w="4135" w:type="dxa"/>
            <w:tcMar>
              <w:left w:w="105" w:type="dxa"/>
              <w:right w:w="105" w:type="dxa"/>
            </w:tcMar>
          </w:tcPr>
          <w:p>
            <w:pPr>
              <w:rPr>
                <w:noProof/>
              </w:rPr>
            </w:pPr>
            <w:r>
              <w:rPr>
                <w:noProof/>
              </w:rPr>
              <w:t>Transferul de date cu caracter personal către țări terțe și organizații internaționale.</w:t>
            </w:r>
          </w:p>
        </w:tc>
        <w:tc>
          <w:tcPr>
            <w:tcW w:w="2156" w:type="dxa"/>
            <w:tcMar>
              <w:left w:w="105" w:type="dxa"/>
              <w:right w:w="105" w:type="dxa"/>
            </w:tcMar>
          </w:tcPr>
          <w:p>
            <w:pPr>
              <w:rPr>
                <w:noProof/>
              </w:rPr>
            </w:pPr>
            <w:r>
              <w:rPr>
                <w:noProof/>
              </w:rPr>
              <w:t>Europol</w:t>
            </w:r>
          </w:p>
          <w:p>
            <w:pPr>
              <w:rPr>
                <w:noProof/>
              </w:rPr>
            </w:pPr>
            <w:r>
              <w:rPr>
                <w:noProof/>
              </w:rPr>
              <w:t>Țări terțe</w:t>
            </w:r>
          </w:p>
          <w:p>
            <w:pPr>
              <w:rPr>
                <w:noProof/>
              </w:rPr>
            </w:pPr>
            <w:r>
              <w:rPr>
                <w:noProof/>
              </w:rPr>
              <w:t>Organizații internaționale</w:t>
            </w:r>
          </w:p>
          <w:p>
            <w:pPr>
              <w:rPr>
                <w:noProof/>
              </w:rPr>
            </w:pPr>
            <w:r>
              <w:rPr>
                <w:noProof/>
              </w:rPr>
              <w:t>Statele membre</w:t>
            </w:r>
          </w:p>
        </w:tc>
        <w:tc>
          <w:tcPr>
            <w:tcW w:w="2669" w:type="dxa"/>
            <w:tcMar>
              <w:left w:w="105" w:type="dxa"/>
              <w:right w:w="105" w:type="dxa"/>
            </w:tcMar>
          </w:tcPr>
          <w:p>
            <w:pPr>
              <w:rPr>
                <w:noProof/>
              </w:rPr>
            </w:pPr>
            <w:r>
              <w:rPr>
                <w:noProof/>
              </w:rPr>
              <w:t>Transferul de date</w:t>
            </w:r>
          </w:p>
        </w:tc>
        <w:tc>
          <w:tcPr>
            <w:tcW w:w="2427" w:type="dxa"/>
            <w:gridSpan w:val="2"/>
            <w:tcMar>
              <w:left w:w="105" w:type="dxa"/>
              <w:right w:w="105" w:type="dxa"/>
            </w:tcMar>
          </w:tcPr>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96 alineatele (1)-(3)</w:t>
            </w:r>
          </w:p>
        </w:tc>
        <w:tc>
          <w:tcPr>
            <w:tcW w:w="4135" w:type="dxa"/>
            <w:tcMar>
              <w:left w:w="105" w:type="dxa"/>
              <w:right w:w="105" w:type="dxa"/>
            </w:tcMar>
          </w:tcPr>
          <w:p>
            <w:pPr>
              <w:tabs>
                <w:tab w:val="left" w:pos="1010"/>
              </w:tabs>
              <w:rPr>
                <w:noProof/>
              </w:rPr>
            </w:pPr>
            <w:r>
              <w:rPr>
                <w:noProof/>
              </w:rPr>
              <w:t xml:space="preserve">Europol prelucrează date de la </w:t>
            </w:r>
            <w:r>
              <w:rPr>
                <w:b/>
                <w:noProof/>
              </w:rPr>
              <w:t>părți private</w:t>
            </w:r>
            <w:r>
              <w:rPr>
                <w:noProof/>
              </w:rPr>
              <w:t>.</w:t>
            </w:r>
          </w:p>
        </w:tc>
        <w:tc>
          <w:tcPr>
            <w:tcW w:w="2156" w:type="dxa"/>
            <w:tcMar>
              <w:left w:w="105" w:type="dxa"/>
              <w:right w:w="105" w:type="dxa"/>
            </w:tcMar>
          </w:tcPr>
          <w:p>
            <w:pPr>
              <w:tabs>
                <w:tab w:val="right" w:pos="2477"/>
              </w:tabs>
              <w:rPr>
                <w:noProof/>
              </w:rPr>
            </w:pPr>
            <w:r>
              <w:rPr>
                <w:noProof/>
              </w:rPr>
              <w:t xml:space="preserve">Europol </w:t>
            </w:r>
            <w:r>
              <w:rPr>
                <w:noProof/>
              </w:rPr>
              <w:br/>
              <w:t xml:space="preserve">Părți private </w:t>
            </w:r>
            <w:r>
              <w:rPr>
                <w:noProof/>
              </w:rPr>
              <w:br/>
            </w:r>
          </w:p>
        </w:tc>
        <w:tc>
          <w:tcPr>
            <w:tcW w:w="2669" w:type="dxa"/>
            <w:tcMar>
              <w:left w:w="105" w:type="dxa"/>
              <w:right w:w="105" w:type="dxa"/>
            </w:tcMar>
          </w:tcPr>
          <w:p>
            <w:pPr>
              <w:rPr>
                <w:noProof/>
              </w:rPr>
            </w:pPr>
            <w:r>
              <w:rPr>
                <w:noProof/>
              </w:rPr>
              <w:t xml:space="preserve">Schimb cu părți private </w:t>
            </w:r>
          </w:p>
          <w:p>
            <w:pPr>
              <w:rPr>
                <w:noProof/>
              </w:rPr>
            </w:pPr>
            <w:r>
              <w:rPr>
                <w:noProof/>
              </w:rPr>
              <w:t>Colectare</w:t>
            </w:r>
          </w:p>
        </w:tc>
        <w:tc>
          <w:tcPr>
            <w:tcW w:w="2318" w:type="dxa"/>
            <w:tcMar>
              <w:left w:w="105" w:type="dxa"/>
              <w:right w:w="105" w:type="dxa"/>
            </w:tcMar>
          </w:tcPr>
          <w:p>
            <w:pPr>
              <w:rPr>
                <w:noProof/>
              </w:rPr>
            </w:pPr>
            <w:r>
              <w:rPr>
                <w:noProof/>
              </w:rPr>
              <w:t xml:space="preserve">Servicii publice digitale </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96 alineatul (3)</w:t>
            </w:r>
          </w:p>
        </w:tc>
        <w:tc>
          <w:tcPr>
            <w:tcW w:w="4135" w:type="dxa"/>
            <w:tcMar>
              <w:left w:w="105" w:type="dxa"/>
              <w:right w:w="105" w:type="dxa"/>
            </w:tcMar>
          </w:tcPr>
          <w:p>
            <w:pPr>
              <w:tabs>
                <w:tab w:val="left" w:pos="1010"/>
              </w:tabs>
              <w:rPr>
                <w:noProof/>
              </w:rPr>
            </w:pPr>
            <w:r>
              <w:rPr>
                <w:noProof/>
              </w:rPr>
              <w:t>Rezultatul prelucrării informațiilor provenite de la părți private transmise către ENU.</w:t>
            </w:r>
          </w:p>
        </w:tc>
        <w:tc>
          <w:tcPr>
            <w:tcW w:w="2156" w:type="dxa"/>
            <w:tcMar>
              <w:left w:w="105" w:type="dxa"/>
              <w:right w:w="105" w:type="dxa"/>
            </w:tcMar>
          </w:tcPr>
          <w:p>
            <w:pPr>
              <w:tabs>
                <w:tab w:val="right" w:pos="2477"/>
              </w:tabs>
              <w:rPr>
                <w:noProof/>
              </w:rPr>
            </w:pPr>
            <w:r>
              <w:rPr>
                <w:noProof/>
              </w:rPr>
              <w:t xml:space="preserve">Europol </w:t>
            </w:r>
            <w:r>
              <w:rPr>
                <w:noProof/>
              </w:rPr>
              <w:br/>
              <w:t xml:space="preserve">Părți private </w:t>
            </w:r>
            <w:r>
              <w:rPr>
                <w:noProof/>
              </w:rPr>
              <w:br/>
              <w:t>ENU SM</w:t>
            </w:r>
          </w:p>
        </w:tc>
        <w:tc>
          <w:tcPr>
            <w:tcW w:w="2669" w:type="dxa"/>
            <w:tcMar>
              <w:left w:w="105" w:type="dxa"/>
              <w:right w:w="105" w:type="dxa"/>
            </w:tcMar>
          </w:tcPr>
          <w:p>
            <w:pPr>
              <w:rPr>
                <w:noProof/>
              </w:rPr>
            </w:pPr>
            <w:r>
              <w:rPr>
                <w:noProof/>
              </w:rPr>
              <w:t xml:space="preserve">Schimb cu părți private </w:t>
            </w:r>
          </w:p>
          <w:p>
            <w:pPr>
              <w:rPr>
                <w:noProof/>
              </w:rPr>
            </w:pPr>
            <w:r>
              <w:rPr>
                <w:noProof/>
              </w:rPr>
              <w:t>Proces, analiză, raport</w:t>
            </w:r>
          </w:p>
        </w:tc>
        <w:tc>
          <w:tcPr>
            <w:tcW w:w="2318" w:type="dxa"/>
            <w:tcMar>
              <w:left w:w="105" w:type="dxa"/>
              <w:right w:w="105" w:type="dxa"/>
            </w:tcMar>
          </w:tcPr>
          <w:p>
            <w:pPr>
              <w:rPr>
                <w:noProof/>
              </w:rPr>
            </w:pPr>
            <w:r>
              <w:rPr>
                <w:noProof/>
              </w:rPr>
              <w:t>Digitalizarea și automatizarea proceselor</w:t>
            </w:r>
          </w:p>
        </w:tc>
      </w:tr>
      <w:tr>
        <w:trPr>
          <w:gridAfter w:val="1"/>
          <w:wAfter w:w="109" w:type="dxa"/>
          <w:trHeight w:val="285"/>
        </w:trPr>
        <w:tc>
          <w:tcPr>
            <w:tcW w:w="2068" w:type="dxa"/>
            <w:tcMar>
              <w:left w:w="105" w:type="dxa"/>
              <w:right w:w="105" w:type="dxa"/>
            </w:tcMar>
          </w:tcPr>
          <w:p>
            <w:pPr>
              <w:rPr>
                <w:noProof/>
              </w:rPr>
            </w:pPr>
            <w:r>
              <w:rPr>
                <w:noProof/>
              </w:rPr>
              <w:t>Articolul 96 alineatele (4)-(6).</w:t>
            </w:r>
          </w:p>
        </w:tc>
        <w:tc>
          <w:tcPr>
            <w:tcW w:w="4135" w:type="dxa"/>
            <w:tcMar>
              <w:left w:w="105" w:type="dxa"/>
              <w:right w:w="105" w:type="dxa"/>
            </w:tcMar>
          </w:tcPr>
          <w:p>
            <w:pPr>
              <w:tabs>
                <w:tab w:val="left" w:pos="1010"/>
              </w:tabs>
              <w:rPr>
                <w:noProof/>
              </w:rPr>
            </w:pPr>
            <w:r>
              <w:rPr>
                <w:noProof/>
              </w:rPr>
              <w:t>Europol a permis transferul de date către părți private în cazuri specifice.</w:t>
            </w:r>
          </w:p>
        </w:tc>
        <w:tc>
          <w:tcPr>
            <w:tcW w:w="2156" w:type="dxa"/>
            <w:tcMar>
              <w:left w:w="105" w:type="dxa"/>
              <w:right w:w="105" w:type="dxa"/>
            </w:tcMar>
          </w:tcPr>
          <w:p>
            <w:pPr>
              <w:tabs>
                <w:tab w:val="right" w:pos="2477"/>
              </w:tabs>
              <w:rPr>
                <w:noProof/>
              </w:rPr>
            </w:pPr>
            <w:r>
              <w:rPr>
                <w:noProof/>
              </w:rPr>
              <w:t xml:space="preserve">Europol </w:t>
            </w:r>
            <w:r>
              <w:rPr>
                <w:noProof/>
              </w:rPr>
              <w:br/>
              <w:t xml:space="preserve">PP, persoana vizată </w:t>
            </w:r>
            <w:r>
              <w:rPr>
                <w:noProof/>
              </w:rPr>
              <w:br/>
              <w:t>Proprietarul datelor</w:t>
            </w:r>
          </w:p>
        </w:tc>
        <w:tc>
          <w:tcPr>
            <w:tcW w:w="2669" w:type="dxa"/>
            <w:tcMar>
              <w:left w:w="105" w:type="dxa"/>
              <w:right w:w="105" w:type="dxa"/>
            </w:tcMar>
          </w:tcPr>
          <w:p>
            <w:pPr>
              <w:rPr>
                <w:noProof/>
              </w:rPr>
            </w:pPr>
            <w:r>
              <w:rPr>
                <w:noProof/>
              </w:rPr>
              <w:t>Schimb cu părți private</w:t>
            </w:r>
          </w:p>
        </w:tc>
        <w:tc>
          <w:tcPr>
            <w:tcW w:w="2318" w:type="dxa"/>
            <w:tcMar>
              <w:left w:w="105" w:type="dxa"/>
              <w:right w:w="105" w:type="dxa"/>
            </w:tcMar>
          </w:tcPr>
          <w:p>
            <w:pPr>
              <w:rPr>
                <w:noProof/>
              </w:rPr>
            </w:pPr>
            <w:r>
              <w:rPr>
                <w:noProof/>
              </w:rPr>
              <w:t>Digitalizarea și automatizarea proceselor</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86 alineatul (8)</w:t>
            </w:r>
          </w:p>
        </w:tc>
        <w:tc>
          <w:tcPr>
            <w:tcW w:w="4135" w:type="dxa"/>
            <w:tcMar>
              <w:left w:w="105" w:type="dxa"/>
              <w:right w:w="105" w:type="dxa"/>
            </w:tcMar>
          </w:tcPr>
          <w:p>
            <w:pPr>
              <w:tabs>
                <w:tab w:val="left" w:pos="1010"/>
              </w:tabs>
              <w:rPr>
                <w:noProof/>
              </w:rPr>
            </w:pPr>
            <w:r>
              <w:rPr>
                <w:noProof/>
              </w:rPr>
              <w:t>Europol transmite o cerere de informații părților private prin intermediul ENU.</w:t>
            </w:r>
          </w:p>
        </w:tc>
        <w:tc>
          <w:tcPr>
            <w:tcW w:w="2156" w:type="dxa"/>
            <w:tcMar>
              <w:left w:w="105" w:type="dxa"/>
              <w:right w:w="105" w:type="dxa"/>
            </w:tcMar>
          </w:tcPr>
          <w:p>
            <w:pPr>
              <w:tabs>
                <w:tab w:val="right" w:pos="2477"/>
              </w:tabs>
              <w:rPr>
                <w:noProof/>
              </w:rPr>
            </w:pPr>
            <w:r>
              <w:rPr>
                <w:noProof/>
              </w:rPr>
              <w:t xml:space="preserve">Europol </w:t>
            </w:r>
            <w:r>
              <w:rPr>
                <w:noProof/>
              </w:rPr>
              <w:br/>
              <w:t xml:space="preserve">ENU SM </w:t>
            </w:r>
            <w:r>
              <w:rPr>
                <w:noProof/>
              </w:rPr>
              <w:br/>
              <w:t>Părți private</w:t>
            </w:r>
          </w:p>
        </w:tc>
        <w:tc>
          <w:tcPr>
            <w:tcW w:w="2669" w:type="dxa"/>
            <w:tcMar>
              <w:left w:w="105" w:type="dxa"/>
              <w:right w:w="105" w:type="dxa"/>
            </w:tcMar>
          </w:tcPr>
          <w:p>
            <w:pPr>
              <w:rPr>
                <w:noProof/>
              </w:rPr>
            </w:pPr>
            <w:r>
              <w:rPr>
                <w:noProof/>
              </w:rPr>
              <w:t>Schimb cu părți private</w:t>
            </w:r>
          </w:p>
        </w:tc>
        <w:tc>
          <w:tcPr>
            <w:tcW w:w="2318" w:type="dxa"/>
            <w:tcMar>
              <w:left w:w="105" w:type="dxa"/>
              <w:right w:w="105" w:type="dxa"/>
            </w:tcMar>
          </w:tcPr>
          <w:p>
            <w:pPr>
              <w:rPr>
                <w:noProof/>
              </w:rPr>
            </w:pPr>
            <w:r>
              <w:rPr>
                <w:noProof/>
              </w:rPr>
              <w:t>Digitalizarea și automatizarea proceselor de 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97</w:t>
            </w:r>
          </w:p>
        </w:tc>
        <w:tc>
          <w:tcPr>
            <w:tcW w:w="4135" w:type="dxa"/>
            <w:tcMar>
              <w:left w:w="105" w:type="dxa"/>
              <w:right w:w="105" w:type="dxa"/>
            </w:tcMar>
          </w:tcPr>
          <w:p>
            <w:pPr>
              <w:tabs>
                <w:tab w:val="left" w:pos="1010"/>
              </w:tabs>
              <w:rPr>
                <w:noProof/>
              </w:rPr>
            </w:pPr>
            <w:r>
              <w:rPr>
                <w:noProof/>
              </w:rPr>
              <w:t>Europol trebuie să transmită informațiile provenite de la persoane fizice către statul membru sau țara terță în cauză.</w:t>
            </w:r>
          </w:p>
        </w:tc>
        <w:tc>
          <w:tcPr>
            <w:tcW w:w="2156" w:type="dxa"/>
            <w:tcMar>
              <w:left w:w="105" w:type="dxa"/>
              <w:right w:w="105" w:type="dxa"/>
            </w:tcMar>
          </w:tcPr>
          <w:p>
            <w:pPr>
              <w:tabs>
                <w:tab w:val="right" w:pos="2477"/>
              </w:tabs>
              <w:rPr>
                <w:noProof/>
              </w:rPr>
            </w:pPr>
            <w:r>
              <w:rPr>
                <w:noProof/>
              </w:rPr>
              <w:t>Europol</w:t>
            </w:r>
          </w:p>
        </w:tc>
        <w:tc>
          <w:tcPr>
            <w:tcW w:w="2669" w:type="dxa"/>
            <w:tcMar>
              <w:left w:w="105" w:type="dxa"/>
              <w:right w:w="105" w:type="dxa"/>
            </w:tcMar>
          </w:tcPr>
          <w:p>
            <w:pPr>
              <w:rPr>
                <w:noProof/>
              </w:rPr>
            </w:pPr>
            <w:r>
              <w:rPr>
                <w:noProof/>
              </w:rPr>
              <w:t>Schimb cu părți private</w:t>
            </w:r>
          </w:p>
        </w:tc>
        <w:tc>
          <w:tcPr>
            <w:tcW w:w="2318" w:type="dxa"/>
            <w:tcMar>
              <w:left w:w="105" w:type="dxa"/>
              <w:right w:w="105" w:type="dxa"/>
            </w:tcMar>
          </w:tcPr>
          <w:p>
            <w:pPr>
              <w:rPr>
                <w:noProof/>
              </w:rPr>
            </w:pPr>
            <w:r>
              <w:rPr>
                <w:noProof/>
              </w:rPr>
              <w:t>Servicii publice digitale</w:t>
            </w:r>
          </w:p>
          <w:p>
            <w:pPr>
              <w:rPr>
                <w:noProof/>
              </w:rPr>
            </w:pPr>
            <w:r>
              <w:rPr>
                <w:noProof/>
              </w:rPr>
              <w:t>Digitalizarea și automatizarea proceselor</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98</w:t>
            </w:r>
          </w:p>
        </w:tc>
        <w:tc>
          <w:tcPr>
            <w:tcW w:w="4135" w:type="dxa"/>
            <w:tcMar>
              <w:left w:w="105" w:type="dxa"/>
              <w:right w:w="105" w:type="dxa"/>
            </w:tcMar>
          </w:tcPr>
          <w:p>
            <w:pPr>
              <w:tabs>
                <w:tab w:val="left" w:pos="1010"/>
              </w:tabs>
              <w:rPr>
                <w:noProof/>
              </w:rPr>
            </w:pPr>
            <w:r>
              <w:rPr>
                <w:noProof/>
              </w:rPr>
              <w:t>Europol are acces la schimburile dintre statele membre și părțile private.</w:t>
            </w:r>
          </w:p>
        </w:tc>
        <w:tc>
          <w:tcPr>
            <w:tcW w:w="2156" w:type="dxa"/>
            <w:tcMar>
              <w:left w:w="105" w:type="dxa"/>
              <w:right w:w="105" w:type="dxa"/>
            </w:tcMar>
          </w:tcPr>
          <w:p>
            <w:pPr>
              <w:tabs>
                <w:tab w:val="right" w:pos="2477"/>
              </w:tabs>
              <w:rPr>
                <w:noProof/>
              </w:rPr>
            </w:pPr>
            <w:r>
              <w:rPr>
                <w:noProof/>
              </w:rPr>
              <w:t xml:space="preserve">Europol </w:t>
            </w:r>
            <w:r>
              <w:rPr>
                <w:noProof/>
              </w:rPr>
              <w:br/>
              <w:t>Părți private</w:t>
            </w:r>
          </w:p>
        </w:tc>
        <w:tc>
          <w:tcPr>
            <w:tcW w:w="2669" w:type="dxa"/>
            <w:tcMar>
              <w:left w:w="105" w:type="dxa"/>
              <w:right w:w="105" w:type="dxa"/>
            </w:tcMar>
          </w:tcPr>
          <w:p>
            <w:pPr>
              <w:rPr>
                <w:noProof/>
              </w:rPr>
            </w:pPr>
            <w:r>
              <w:rPr>
                <w:noProof/>
              </w:rPr>
              <w:t>Schimb cu părți private</w:t>
            </w:r>
          </w:p>
        </w:tc>
        <w:tc>
          <w:tcPr>
            <w:tcW w:w="2318" w:type="dxa"/>
            <w:tcMar>
              <w:left w:w="105" w:type="dxa"/>
              <w:right w:w="105" w:type="dxa"/>
            </w:tcMar>
          </w:tcPr>
          <w:p>
            <w:pPr>
              <w:rPr>
                <w:noProof/>
              </w:rPr>
            </w:pPr>
            <w:r>
              <w:rPr>
                <w:noProof/>
              </w:rPr>
              <w:t>Digitalizarea și automatizarea proceselor</w:t>
            </w:r>
          </w:p>
          <w:p>
            <w:pPr>
              <w:rPr>
                <w:noProof/>
              </w:rPr>
            </w:pPr>
            <w:r>
              <w:rPr>
                <w:noProof/>
              </w:rPr>
              <w:t>Serviciul public digital</w:t>
            </w:r>
          </w:p>
        </w:tc>
      </w:tr>
      <w:tr>
        <w:trPr>
          <w:gridAfter w:val="1"/>
          <w:wAfter w:w="109" w:type="dxa"/>
          <w:trHeight w:val="285"/>
        </w:trPr>
        <w:tc>
          <w:tcPr>
            <w:tcW w:w="2068" w:type="dxa"/>
            <w:tcMar>
              <w:left w:w="105" w:type="dxa"/>
              <w:right w:w="105" w:type="dxa"/>
            </w:tcMar>
          </w:tcPr>
          <w:p>
            <w:pPr>
              <w:rPr>
                <w:noProof/>
              </w:rPr>
            </w:pPr>
            <w:r>
              <w:rPr>
                <w:noProof/>
              </w:rPr>
              <w:t>Articolele 99, 100, 101, 102 și 107</w:t>
            </w:r>
          </w:p>
        </w:tc>
        <w:tc>
          <w:tcPr>
            <w:tcW w:w="4135" w:type="dxa"/>
            <w:tcMar>
              <w:left w:w="105" w:type="dxa"/>
              <w:right w:w="105" w:type="dxa"/>
            </w:tcMar>
          </w:tcPr>
          <w:p>
            <w:pPr>
              <w:tabs>
                <w:tab w:val="left" w:pos="1010"/>
              </w:tabs>
              <w:rPr>
                <w:noProof/>
              </w:rPr>
            </w:pPr>
            <w:r>
              <w:rPr>
                <w:noProof/>
              </w:rPr>
              <w:t>Limitările și responsabilitățile în ceea ce privește prelucrarea datelor cu caracter personal, inclusiv pentru cercetare și inovare, limitările în ceea ce privește stocarea și ștergerea datelor cu caracter personal; pe baza verificărilor care trebuie efectuate cu privire la fiabilitatea sursei, la exactitatea informațiilor, la categoria persoanelor vizate și la categoriile speciale de date cu caracter personal.</w:t>
            </w:r>
          </w:p>
        </w:tc>
        <w:tc>
          <w:tcPr>
            <w:tcW w:w="2156" w:type="dxa"/>
            <w:tcMar>
              <w:left w:w="105" w:type="dxa"/>
              <w:right w:w="105" w:type="dxa"/>
            </w:tcMar>
          </w:tcPr>
          <w:p>
            <w:pPr>
              <w:tabs>
                <w:tab w:val="right" w:pos="2477"/>
              </w:tabs>
              <w:rPr>
                <w:noProof/>
              </w:rPr>
            </w:pPr>
            <w:r>
              <w:rPr>
                <w:noProof/>
              </w:rPr>
              <w:t>Europol</w:t>
            </w:r>
          </w:p>
        </w:tc>
        <w:tc>
          <w:tcPr>
            <w:tcW w:w="2669" w:type="dxa"/>
            <w:tcMar>
              <w:left w:w="105" w:type="dxa"/>
              <w:right w:w="105" w:type="dxa"/>
            </w:tcMar>
          </w:tcPr>
          <w:p>
            <w:pPr>
              <w:rPr>
                <w:noProof/>
              </w:rPr>
            </w:pPr>
            <w:r>
              <w:rPr>
                <w:noProof/>
              </w:rPr>
              <w:t>Toate prelucrările de date operaționale</w:t>
            </w:r>
          </w:p>
        </w:tc>
        <w:tc>
          <w:tcPr>
            <w:tcW w:w="2318" w:type="dxa"/>
            <w:tcMar>
              <w:left w:w="105" w:type="dxa"/>
              <w:right w:w="105" w:type="dxa"/>
            </w:tcMar>
          </w:tcPr>
          <w:p>
            <w:pPr>
              <w:rPr>
                <w:noProof/>
              </w:rPr>
            </w:pPr>
            <w:r>
              <w:rPr>
                <w:noProof/>
              </w:rPr>
              <w:t>Date</w:t>
            </w:r>
          </w:p>
          <w:p>
            <w:pPr>
              <w:rPr>
                <w:noProof/>
              </w:rPr>
            </w:pPr>
            <w:r>
              <w:rPr>
                <w:noProof/>
              </w:rPr>
              <w:t>Digitalizarea și automatizarea proceselor</w:t>
            </w:r>
          </w:p>
        </w:tc>
      </w:tr>
      <w:tr>
        <w:trPr>
          <w:gridAfter w:val="1"/>
          <w:wAfter w:w="109" w:type="dxa"/>
          <w:trHeight w:val="285"/>
        </w:trPr>
        <w:tc>
          <w:tcPr>
            <w:tcW w:w="2068" w:type="dxa"/>
            <w:tcMar>
              <w:left w:w="105" w:type="dxa"/>
              <w:right w:w="105" w:type="dxa"/>
            </w:tcMar>
          </w:tcPr>
          <w:p>
            <w:pPr>
              <w:rPr>
                <w:noProof/>
              </w:rPr>
            </w:pPr>
            <w:r>
              <w:rPr>
                <w:noProof/>
              </w:rPr>
              <w:t>Articolul 103</w:t>
            </w:r>
          </w:p>
        </w:tc>
        <w:tc>
          <w:tcPr>
            <w:tcW w:w="4135" w:type="dxa"/>
            <w:tcMar>
              <w:left w:w="105" w:type="dxa"/>
              <w:right w:w="105" w:type="dxa"/>
            </w:tcMar>
          </w:tcPr>
          <w:p>
            <w:pPr>
              <w:tabs>
                <w:tab w:val="left" w:pos="1010"/>
              </w:tabs>
              <w:rPr>
                <w:noProof/>
              </w:rPr>
            </w:pPr>
            <w:r>
              <w:rPr>
                <w:noProof/>
              </w:rPr>
              <w:t>Notificarea autorităților vizate în cazul încălcării securității datelor cu caracter personal.</w:t>
            </w:r>
          </w:p>
        </w:tc>
        <w:tc>
          <w:tcPr>
            <w:tcW w:w="2156" w:type="dxa"/>
            <w:tcMar>
              <w:left w:w="105" w:type="dxa"/>
              <w:right w:w="105" w:type="dxa"/>
            </w:tcMar>
          </w:tcPr>
          <w:p>
            <w:pPr>
              <w:tabs>
                <w:tab w:val="right" w:pos="2477"/>
              </w:tabs>
              <w:rPr>
                <w:noProof/>
              </w:rPr>
            </w:pPr>
            <w:r>
              <w:rPr>
                <w:noProof/>
              </w:rPr>
              <w:t xml:space="preserve">Europol </w:t>
            </w:r>
            <w:r>
              <w:rPr>
                <w:noProof/>
              </w:rPr>
              <w:br/>
              <w:t>AAL SM</w:t>
            </w:r>
          </w:p>
        </w:tc>
        <w:tc>
          <w:tcPr>
            <w:tcW w:w="2669" w:type="dxa"/>
            <w:tcMar>
              <w:left w:w="105" w:type="dxa"/>
              <w:right w:w="105" w:type="dxa"/>
            </w:tcMar>
          </w:tcPr>
          <w:p>
            <w:pPr>
              <w:rPr>
                <w:noProof/>
              </w:rPr>
            </w:pPr>
            <w:r>
              <w:rPr>
                <w:noProof/>
              </w:rPr>
              <w:t>Încălcarea securității datelor cu caracter personal</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104</w:t>
            </w:r>
          </w:p>
        </w:tc>
        <w:tc>
          <w:tcPr>
            <w:tcW w:w="4135" w:type="dxa"/>
            <w:tcMar>
              <w:left w:w="105" w:type="dxa"/>
              <w:right w:w="105" w:type="dxa"/>
            </w:tcMar>
          </w:tcPr>
          <w:p>
            <w:pPr>
              <w:tabs>
                <w:tab w:val="left" w:pos="1010"/>
              </w:tabs>
              <w:rPr>
                <w:noProof/>
              </w:rPr>
            </w:pPr>
            <w:r>
              <w:rPr>
                <w:noProof/>
              </w:rPr>
              <w:t>Informarea persoanei vizate cu privire la încălcarea securității datelor cu caracter personal.</w:t>
            </w:r>
          </w:p>
        </w:tc>
        <w:tc>
          <w:tcPr>
            <w:tcW w:w="2156" w:type="dxa"/>
            <w:tcMar>
              <w:left w:w="105" w:type="dxa"/>
              <w:right w:w="105" w:type="dxa"/>
            </w:tcMar>
          </w:tcPr>
          <w:p>
            <w:pPr>
              <w:tabs>
                <w:tab w:val="right" w:pos="2477"/>
              </w:tabs>
              <w:rPr>
                <w:noProof/>
              </w:rPr>
            </w:pPr>
            <w:r>
              <w:rPr>
                <w:noProof/>
              </w:rPr>
              <w:t xml:space="preserve">Europol </w:t>
            </w:r>
            <w:r>
              <w:rPr>
                <w:noProof/>
              </w:rPr>
              <w:br/>
              <w:t>Persoana vizată</w:t>
            </w:r>
          </w:p>
        </w:tc>
        <w:tc>
          <w:tcPr>
            <w:tcW w:w="2669" w:type="dxa"/>
            <w:tcMar>
              <w:left w:w="105" w:type="dxa"/>
              <w:right w:w="105" w:type="dxa"/>
            </w:tcMar>
          </w:tcPr>
          <w:p>
            <w:pPr>
              <w:rPr>
                <w:noProof/>
              </w:rPr>
            </w:pPr>
            <w:r>
              <w:rPr>
                <w:noProof/>
              </w:rPr>
              <w:t>Încălcarea securității datelor cu caracter personal</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1145"/>
        </w:trPr>
        <w:tc>
          <w:tcPr>
            <w:tcW w:w="2068" w:type="dxa"/>
            <w:tcMar>
              <w:left w:w="105" w:type="dxa"/>
              <w:right w:w="105" w:type="dxa"/>
            </w:tcMar>
          </w:tcPr>
          <w:p>
            <w:pPr>
              <w:rPr>
                <w:noProof/>
              </w:rPr>
            </w:pPr>
            <w:r>
              <w:rPr>
                <w:noProof/>
              </w:rPr>
              <w:t>Articolele 105 și 106</w:t>
            </w:r>
          </w:p>
        </w:tc>
        <w:tc>
          <w:tcPr>
            <w:tcW w:w="4135" w:type="dxa"/>
            <w:tcMar>
              <w:left w:w="105" w:type="dxa"/>
              <w:right w:w="105" w:type="dxa"/>
            </w:tcMar>
          </w:tcPr>
          <w:p>
            <w:pPr>
              <w:tabs>
                <w:tab w:val="left" w:pos="1010"/>
              </w:tabs>
              <w:rPr>
                <w:noProof/>
              </w:rPr>
            </w:pPr>
            <w:r>
              <w:rPr>
                <w:noProof/>
              </w:rPr>
              <w:t>Dreptul de acces, rectificare, ștergere și restricționare al persoanei vizate.</w:t>
            </w:r>
          </w:p>
        </w:tc>
        <w:tc>
          <w:tcPr>
            <w:tcW w:w="2156" w:type="dxa"/>
            <w:tcMar>
              <w:left w:w="105" w:type="dxa"/>
              <w:right w:w="105" w:type="dxa"/>
            </w:tcMar>
          </w:tcPr>
          <w:p>
            <w:pPr>
              <w:tabs>
                <w:tab w:val="right" w:pos="2477"/>
              </w:tabs>
              <w:rPr>
                <w:noProof/>
              </w:rPr>
            </w:pPr>
            <w:r>
              <w:rPr>
                <w:noProof/>
              </w:rPr>
              <w:t xml:space="preserve">Europol </w:t>
            </w:r>
            <w:r>
              <w:rPr>
                <w:noProof/>
              </w:rPr>
              <w:br/>
              <w:t>Persoana vizată</w:t>
            </w:r>
          </w:p>
        </w:tc>
        <w:tc>
          <w:tcPr>
            <w:tcW w:w="2669" w:type="dxa"/>
            <w:tcMar>
              <w:left w:w="105" w:type="dxa"/>
              <w:right w:w="105" w:type="dxa"/>
            </w:tcMar>
          </w:tcPr>
          <w:p>
            <w:pPr>
              <w:rPr>
                <w:noProof/>
              </w:rPr>
            </w:pPr>
            <w:r>
              <w:rPr>
                <w:noProof/>
              </w:rPr>
              <w:t>Dreptul persoanei vizate</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102</w:t>
            </w:r>
          </w:p>
        </w:tc>
        <w:tc>
          <w:tcPr>
            <w:tcW w:w="4135" w:type="dxa"/>
            <w:tcMar>
              <w:left w:w="105" w:type="dxa"/>
              <w:right w:w="105" w:type="dxa"/>
            </w:tcMar>
          </w:tcPr>
          <w:p>
            <w:pPr>
              <w:tabs>
                <w:tab w:val="left" w:pos="1010"/>
              </w:tabs>
              <w:rPr>
                <w:noProof/>
              </w:rPr>
            </w:pPr>
            <w:r>
              <w:rPr>
                <w:noProof/>
              </w:rPr>
              <w:t>Europol trebuie să păstreze înregistrări ale tuturor informațiilor prelucrate.</w:t>
            </w:r>
          </w:p>
        </w:tc>
        <w:tc>
          <w:tcPr>
            <w:tcW w:w="2156" w:type="dxa"/>
            <w:tcMar>
              <w:left w:w="105" w:type="dxa"/>
              <w:right w:w="105" w:type="dxa"/>
            </w:tcMar>
          </w:tcPr>
          <w:p>
            <w:pPr>
              <w:tabs>
                <w:tab w:val="right" w:pos="2477"/>
              </w:tabs>
              <w:rPr>
                <w:noProof/>
              </w:rPr>
            </w:pPr>
            <w:r>
              <w:rPr>
                <w:noProof/>
              </w:rPr>
              <w:t>Europol</w:t>
            </w:r>
          </w:p>
        </w:tc>
        <w:tc>
          <w:tcPr>
            <w:tcW w:w="2669" w:type="dxa"/>
            <w:tcMar>
              <w:left w:w="105" w:type="dxa"/>
              <w:right w:w="105" w:type="dxa"/>
            </w:tcMar>
          </w:tcPr>
          <w:p>
            <w:pPr>
              <w:rPr>
                <w:noProof/>
              </w:rPr>
            </w:pPr>
            <w:r>
              <w:rPr>
                <w:noProof/>
              </w:rPr>
              <w:t>Toate prelucrările de informații operaționale</w:t>
            </w:r>
          </w:p>
        </w:tc>
        <w:tc>
          <w:tcPr>
            <w:tcW w:w="2318" w:type="dxa"/>
            <w:tcMar>
              <w:left w:w="105" w:type="dxa"/>
              <w:right w:w="105" w:type="dxa"/>
            </w:tcMar>
          </w:tcPr>
          <w:p>
            <w:pPr>
              <w:rPr>
                <w:noProof/>
              </w:rPr>
            </w:pPr>
            <w:r>
              <w:rPr>
                <w:noProof/>
              </w:rPr>
              <w:t>Date</w:t>
            </w:r>
          </w:p>
          <w:p>
            <w:pPr>
              <w:rPr>
                <w:noProof/>
              </w:rPr>
            </w:pPr>
            <w:r>
              <w:rPr>
                <w:noProof/>
              </w:rPr>
              <w:t>Digitalizarea și automatizarea proceselor</w:t>
            </w:r>
          </w:p>
        </w:tc>
      </w:tr>
      <w:tr>
        <w:trPr>
          <w:gridAfter w:val="1"/>
          <w:wAfter w:w="109" w:type="dxa"/>
          <w:trHeight w:val="285"/>
        </w:trPr>
        <w:tc>
          <w:tcPr>
            <w:tcW w:w="2068" w:type="dxa"/>
            <w:tcMar>
              <w:left w:w="105" w:type="dxa"/>
              <w:right w:w="105" w:type="dxa"/>
            </w:tcMar>
          </w:tcPr>
          <w:p>
            <w:pPr>
              <w:rPr>
                <w:noProof/>
              </w:rPr>
            </w:pPr>
            <w:r>
              <w:rPr>
                <w:noProof/>
              </w:rPr>
              <w:t>Articolul 116 alineatul (3)</w:t>
            </w:r>
          </w:p>
        </w:tc>
        <w:tc>
          <w:tcPr>
            <w:tcW w:w="4135" w:type="dxa"/>
            <w:tcMar>
              <w:left w:w="105" w:type="dxa"/>
              <w:right w:w="105" w:type="dxa"/>
            </w:tcMar>
          </w:tcPr>
          <w:p>
            <w:pPr>
              <w:tabs>
                <w:tab w:val="left" w:pos="1010"/>
              </w:tabs>
              <w:rPr>
                <w:noProof/>
              </w:rPr>
            </w:pPr>
            <w:r>
              <w:rPr>
                <w:noProof/>
              </w:rPr>
              <w:t>Europol trebuie să informeze periodic grupul mixt de control parlamentar specializat (JSPG).</w:t>
            </w:r>
          </w:p>
        </w:tc>
        <w:tc>
          <w:tcPr>
            <w:tcW w:w="2156" w:type="dxa"/>
            <w:tcMar>
              <w:left w:w="105" w:type="dxa"/>
              <w:right w:w="105" w:type="dxa"/>
            </w:tcMar>
          </w:tcPr>
          <w:p>
            <w:pPr>
              <w:tabs>
                <w:tab w:val="right" w:pos="2477"/>
              </w:tabs>
              <w:rPr>
                <w:noProof/>
              </w:rPr>
            </w:pPr>
            <w:r>
              <w:rPr>
                <w:noProof/>
              </w:rPr>
              <w:t xml:space="preserve">Europol </w:t>
            </w:r>
            <w:r>
              <w:rPr>
                <w:noProof/>
              </w:rPr>
              <w:br/>
              <w:t>JSPG</w:t>
            </w:r>
          </w:p>
        </w:tc>
        <w:tc>
          <w:tcPr>
            <w:tcW w:w="2669" w:type="dxa"/>
            <w:tcMar>
              <w:left w:w="105" w:type="dxa"/>
              <w:right w:w="105" w:type="dxa"/>
            </w:tcMar>
          </w:tcPr>
          <w:p>
            <w:pPr>
              <w:rPr>
                <w:noProof/>
              </w:rPr>
            </w:pPr>
            <w:r>
              <w:rPr>
                <w:noProof/>
              </w:rPr>
              <w:t>Raport</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117</w:t>
            </w:r>
          </w:p>
        </w:tc>
        <w:tc>
          <w:tcPr>
            <w:tcW w:w="4135" w:type="dxa"/>
            <w:tcMar>
              <w:left w:w="105" w:type="dxa"/>
              <w:right w:w="105" w:type="dxa"/>
            </w:tcMar>
          </w:tcPr>
          <w:p>
            <w:pPr>
              <w:tabs>
                <w:tab w:val="left" w:pos="1010"/>
              </w:tabs>
              <w:rPr>
                <w:noProof/>
              </w:rPr>
            </w:pPr>
            <w:r>
              <w:rPr>
                <w:noProof/>
              </w:rPr>
              <w:t>Parlamentul European trebuie să aibă acces la date operaționale sensibile neconfidențiale (SNC).</w:t>
            </w:r>
          </w:p>
        </w:tc>
        <w:tc>
          <w:tcPr>
            <w:tcW w:w="2156" w:type="dxa"/>
            <w:tcMar>
              <w:left w:w="105" w:type="dxa"/>
              <w:right w:w="105" w:type="dxa"/>
            </w:tcMar>
          </w:tcPr>
          <w:p>
            <w:pPr>
              <w:tabs>
                <w:tab w:val="right" w:pos="2477"/>
              </w:tabs>
              <w:rPr>
                <w:noProof/>
              </w:rPr>
            </w:pPr>
            <w:r>
              <w:rPr>
                <w:noProof/>
              </w:rPr>
              <w:t xml:space="preserve">Europol </w:t>
            </w:r>
            <w:r>
              <w:rPr>
                <w:noProof/>
              </w:rPr>
              <w:br/>
              <w:t>Parlamentul European</w:t>
            </w:r>
          </w:p>
        </w:tc>
        <w:tc>
          <w:tcPr>
            <w:tcW w:w="2669" w:type="dxa"/>
            <w:tcMar>
              <w:left w:w="105" w:type="dxa"/>
              <w:right w:w="105" w:type="dxa"/>
            </w:tcMar>
          </w:tcPr>
          <w:p>
            <w:pPr>
              <w:rPr>
                <w:noProof/>
              </w:rPr>
            </w:pPr>
            <w:r>
              <w:rPr>
                <w:noProof/>
              </w:rPr>
              <w:t>Accesul la informații</w:t>
            </w:r>
          </w:p>
        </w:tc>
        <w:tc>
          <w:tcPr>
            <w:tcW w:w="2318" w:type="dxa"/>
            <w:tcMar>
              <w:left w:w="105" w:type="dxa"/>
              <w:right w:w="105" w:type="dxa"/>
            </w:tcMar>
          </w:tcPr>
          <w:p>
            <w:pPr>
              <w:rPr>
                <w:noProof/>
              </w:rPr>
            </w:pPr>
            <w:r>
              <w:rPr>
                <w:noProof/>
              </w:rPr>
              <w:t>Servicii publice digitale</w:t>
            </w:r>
          </w:p>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130</w:t>
            </w:r>
          </w:p>
        </w:tc>
        <w:tc>
          <w:tcPr>
            <w:tcW w:w="4135" w:type="dxa"/>
            <w:tcMar>
              <w:left w:w="105" w:type="dxa"/>
              <w:right w:w="105" w:type="dxa"/>
            </w:tcMar>
          </w:tcPr>
          <w:p>
            <w:pPr>
              <w:tabs>
                <w:tab w:val="left" w:pos="1010"/>
              </w:tabs>
              <w:rPr>
                <w:noProof/>
              </w:rPr>
            </w:pPr>
            <w:r>
              <w:rPr>
                <w:noProof/>
              </w:rPr>
              <w:t>O dată la cinci ani, Comisia prezintă un raport de evaluare Parlamentului European, Consiliului, parlamentelor naționale și Consiliului de administrație.</w:t>
            </w:r>
          </w:p>
        </w:tc>
        <w:tc>
          <w:tcPr>
            <w:tcW w:w="2156" w:type="dxa"/>
            <w:tcMar>
              <w:left w:w="105" w:type="dxa"/>
              <w:right w:w="105" w:type="dxa"/>
            </w:tcMar>
          </w:tcPr>
          <w:p>
            <w:pPr>
              <w:tabs>
                <w:tab w:val="right" w:pos="2477"/>
              </w:tabs>
              <w:rPr>
                <w:noProof/>
              </w:rPr>
            </w:pPr>
            <w:r>
              <w:rPr>
                <w:noProof/>
              </w:rPr>
              <w:t>Comisia</w:t>
            </w:r>
          </w:p>
        </w:tc>
        <w:tc>
          <w:tcPr>
            <w:tcW w:w="2669" w:type="dxa"/>
            <w:tcMar>
              <w:left w:w="105" w:type="dxa"/>
              <w:right w:w="105" w:type="dxa"/>
            </w:tcMar>
          </w:tcPr>
          <w:p>
            <w:pPr>
              <w:rPr>
                <w:noProof/>
              </w:rPr>
            </w:pPr>
            <w:r>
              <w:rPr>
                <w:noProof/>
              </w:rPr>
              <w:t>Raport</w:t>
            </w:r>
          </w:p>
        </w:tc>
        <w:tc>
          <w:tcPr>
            <w:tcW w:w="2318" w:type="dxa"/>
            <w:tcMar>
              <w:left w:w="105" w:type="dxa"/>
              <w:right w:w="105" w:type="dxa"/>
            </w:tcMar>
          </w:tcPr>
          <w:p>
            <w:pPr>
              <w:rPr>
                <w:noProof/>
              </w:rPr>
            </w:pPr>
            <w:r>
              <w:rPr>
                <w:noProof/>
              </w:rPr>
              <w:t>Date</w:t>
            </w:r>
          </w:p>
        </w:tc>
      </w:tr>
      <w:tr>
        <w:trPr>
          <w:gridAfter w:val="1"/>
          <w:wAfter w:w="109" w:type="dxa"/>
          <w:trHeight w:val="285"/>
        </w:trPr>
        <w:tc>
          <w:tcPr>
            <w:tcW w:w="2068" w:type="dxa"/>
            <w:tcMar>
              <w:left w:w="105" w:type="dxa"/>
              <w:right w:w="105" w:type="dxa"/>
            </w:tcMar>
          </w:tcPr>
          <w:p>
            <w:pPr>
              <w:rPr>
                <w:noProof/>
              </w:rPr>
            </w:pPr>
            <w:r>
              <w:rPr>
                <w:noProof/>
              </w:rPr>
              <w:t>Articolul 136</w:t>
            </w:r>
          </w:p>
        </w:tc>
        <w:tc>
          <w:tcPr>
            <w:tcW w:w="4135" w:type="dxa"/>
            <w:tcMar>
              <w:left w:w="105" w:type="dxa"/>
              <w:right w:w="105" w:type="dxa"/>
            </w:tcMar>
          </w:tcPr>
          <w:p>
            <w:pPr>
              <w:tabs>
                <w:tab w:val="left" w:pos="1010"/>
              </w:tabs>
              <w:rPr>
                <w:noProof/>
              </w:rPr>
            </w:pPr>
            <w:r>
              <w:rPr>
                <w:noProof/>
              </w:rPr>
              <w:t>Europol efectuează interogări în baza de date națională prin intermediul mecanismului routerului Prüm II.</w:t>
            </w:r>
          </w:p>
        </w:tc>
        <w:tc>
          <w:tcPr>
            <w:tcW w:w="2156" w:type="dxa"/>
            <w:tcMar>
              <w:left w:w="105" w:type="dxa"/>
              <w:right w:w="105" w:type="dxa"/>
            </w:tcMar>
          </w:tcPr>
          <w:p>
            <w:pPr>
              <w:tabs>
                <w:tab w:val="right" w:pos="2477"/>
              </w:tabs>
              <w:rPr>
                <w:noProof/>
              </w:rPr>
            </w:pPr>
            <w:r>
              <w:rPr>
                <w:noProof/>
              </w:rPr>
              <w:t xml:space="preserve">Europol </w:t>
            </w:r>
            <w:r>
              <w:rPr>
                <w:noProof/>
              </w:rPr>
              <w:br/>
              <w:t>AAL SM</w:t>
            </w:r>
          </w:p>
        </w:tc>
        <w:tc>
          <w:tcPr>
            <w:tcW w:w="2669" w:type="dxa"/>
            <w:tcMar>
              <w:left w:w="105" w:type="dxa"/>
              <w:right w:w="105" w:type="dxa"/>
            </w:tcMar>
          </w:tcPr>
          <w:p>
            <w:pPr>
              <w:rPr>
                <w:noProof/>
              </w:rPr>
            </w:pPr>
            <w:r>
              <w:rPr>
                <w:noProof/>
              </w:rPr>
              <w:t>Schimb de informații</w:t>
            </w:r>
          </w:p>
          <w:p>
            <w:pPr>
              <w:rPr>
                <w:noProof/>
              </w:rPr>
            </w:pPr>
            <w:r>
              <w:rPr>
                <w:noProof/>
              </w:rPr>
              <w:t>Accesul la informațiile SM</w:t>
            </w:r>
          </w:p>
        </w:tc>
        <w:tc>
          <w:tcPr>
            <w:tcW w:w="2318" w:type="dxa"/>
            <w:tcMar>
              <w:left w:w="105" w:type="dxa"/>
              <w:right w:w="105" w:type="dxa"/>
            </w:tcMar>
          </w:tcPr>
          <w:p>
            <w:pPr>
              <w:rPr>
                <w:noProof/>
              </w:rPr>
            </w:pPr>
            <w:r>
              <w:rPr>
                <w:noProof/>
              </w:rPr>
              <w:t>Date</w:t>
            </w:r>
          </w:p>
          <w:p>
            <w:pPr>
              <w:rPr>
                <w:noProof/>
              </w:rPr>
            </w:pPr>
            <w:r>
              <w:rPr>
                <w:noProof/>
              </w:rPr>
              <w:t>Digitalizarea și automatizarea proceselor</w:t>
            </w:r>
          </w:p>
        </w:tc>
      </w:tr>
      <w:tr>
        <w:trPr>
          <w:trHeight w:val="285"/>
        </w:trPr>
        <w:tc>
          <w:tcPr>
            <w:tcW w:w="2068" w:type="dxa"/>
            <w:tcMar>
              <w:left w:w="105" w:type="dxa"/>
              <w:right w:w="105" w:type="dxa"/>
            </w:tcMar>
          </w:tcPr>
          <w:p>
            <w:pPr>
              <w:rPr>
                <w:noProof/>
              </w:rPr>
            </w:pPr>
            <w:r>
              <w:rPr>
                <w:noProof/>
              </w:rPr>
              <w:t>Articolul 137</w:t>
            </w:r>
          </w:p>
        </w:tc>
        <w:tc>
          <w:tcPr>
            <w:tcW w:w="4135" w:type="dxa"/>
            <w:tcMar>
              <w:left w:w="105" w:type="dxa"/>
              <w:right w:w="105" w:type="dxa"/>
            </w:tcMar>
          </w:tcPr>
          <w:p>
            <w:pPr>
              <w:rPr>
                <w:noProof/>
              </w:rPr>
            </w:pPr>
            <w:r>
              <w:rPr>
                <w:noProof/>
              </w:rPr>
              <w:t>Dispoziții privind începerea funcționării.</w:t>
            </w:r>
          </w:p>
        </w:tc>
        <w:tc>
          <w:tcPr>
            <w:tcW w:w="2156" w:type="dxa"/>
            <w:tcMar>
              <w:left w:w="105" w:type="dxa"/>
              <w:right w:w="105" w:type="dxa"/>
            </w:tcMar>
          </w:tcPr>
          <w:p>
            <w:pPr>
              <w:rPr>
                <w:noProof/>
              </w:rPr>
            </w:pPr>
            <w:r>
              <w:rPr>
                <w:noProof/>
              </w:rPr>
              <w:t>Comisia</w:t>
            </w:r>
          </w:p>
          <w:p>
            <w:pPr>
              <w:rPr>
                <w:noProof/>
              </w:rPr>
            </w:pPr>
            <w:r>
              <w:rPr>
                <w:noProof/>
              </w:rPr>
              <w:t xml:space="preserve">Europol </w:t>
            </w:r>
          </w:p>
          <w:p>
            <w:pPr>
              <w:rPr>
                <w:noProof/>
              </w:rPr>
            </w:pPr>
            <w:r>
              <w:rPr>
                <w:noProof/>
              </w:rPr>
              <w:t>Statele membre</w:t>
            </w:r>
          </w:p>
        </w:tc>
        <w:tc>
          <w:tcPr>
            <w:tcW w:w="2669" w:type="dxa"/>
            <w:tcMar>
              <w:left w:w="105" w:type="dxa"/>
              <w:right w:w="105" w:type="dxa"/>
            </w:tcMar>
          </w:tcPr>
          <w:p>
            <w:pPr>
              <w:rPr>
                <w:noProof/>
              </w:rPr>
            </w:pPr>
            <w:r>
              <w:rPr>
                <w:noProof/>
              </w:rPr>
              <w:t>Începerea funcționării</w:t>
            </w:r>
          </w:p>
        </w:tc>
        <w:tc>
          <w:tcPr>
            <w:tcW w:w="2427" w:type="dxa"/>
            <w:gridSpan w:val="2"/>
            <w:tcMar>
              <w:left w:w="105" w:type="dxa"/>
              <w:right w:w="105" w:type="dxa"/>
            </w:tcMar>
          </w:tcPr>
          <w:p>
            <w:pPr>
              <w:rPr>
                <w:noProof/>
              </w:rPr>
            </w:pPr>
            <w:r>
              <w:rPr>
                <w:noProof/>
              </w:rPr>
              <w:t>Serviciul public digital</w:t>
            </w:r>
          </w:p>
        </w:tc>
      </w:tr>
    </w:tbl>
    <w:p>
      <w:pPr>
        <w:pStyle w:val="ManualHeading2"/>
        <w:rPr>
          <w:rFonts w:eastAsia="Times New Roman"/>
          <w:noProof/>
          <w:color w:val="000000" w:themeColor="text1"/>
        </w:rPr>
      </w:pPr>
      <w:bookmarkStart w:id="53" w:name="_Toc5DA8B8C2C6174DCBBD6AF30CB7FAA2FC"/>
      <w:bookmarkEnd w:id="51"/>
      <w:r>
        <w:rPr>
          <w:noProof/>
          <w:color w:val="000000" w:themeColor="text1"/>
        </w:rPr>
        <w:t>4.2.</w:t>
      </w:r>
      <w:r>
        <w:rPr>
          <w:noProof/>
        </w:rPr>
        <w:tab/>
      </w:r>
      <w:r>
        <w:rPr>
          <w:noProof/>
          <w:color w:val="000000" w:themeColor="text1"/>
        </w:rPr>
        <w:t>Date</w:t>
      </w:r>
      <w:bookmarkEnd w:id="53"/>
    </w:p>
    <w:p>
      <w:pPr>
        <w:spacing w:line="259" w:lineRule="auto"/>
        <w:rPr>
          <w:rFonts w:eastAsia="Times New Roman"/>
          <w:i/>
          <w:noProof/>
          <w:color w:val="000000" w:themeColor="text1"/>
          <w:szCs w:val="24"/>
        </w:rPr>
      </w:pPr>
      <w:r>
        <w:rPr>
          <w:i/>
          <w:noProof/>
          <w:color w:val="000000" w:themeColor="text1"/>
        </w:rPr>
        <w:t>Constrângerile privind datele depind de procesul operațional</w:t>
      </w:r>
    </w:p>
    <w:p>
      <w:pPr>
        <w:spacing w:line="259" w:lineRule="auto"/>
        <w:rPr>
          <w:rFonts w:eastAsia="Times New Roman"/>
          <w:noProof/>
          <w:color w:val="000000" w:themeColor="text1"/>
          <w:szCs w:val="24"/>
        </w:rPr>
      </w:pPr>
      <w:r>
        <w:rPr>
          <w:noProof/>
          <w:color w:val="000000" w:themeColor="text1"/>
        </w:rPr>
        <w:t>Tipul de date prelucrate și schimbate depinde în mare măsură de proces și de actorii implicați (a se vedea tabelul A). Deși formatul aplicabil diferit al datelor depinde, într-adevăr, de tipul de procese de date (tabelul C), aplicabilitatea și asigurarea respectării acestuia depind de proces, deoarece datele nu sunt schimbate în aceeași situație operațională și sub aceleași constrângeri juridice, în special în ceea ce privește calitatea datelor.</w:t>
      </w:r>
    </w:p>
    <w:p>
      <w:pPr>
        <w:pStyle w:val="Tiret0"/>
        <w:numPr>
          <w:ilvl w:val="0"/>
          <w:numId w:val="27"/>
        </w:numPr>
        <w:rPr>
          <w:noProof/>
        </w:rPr>
      </w:pPr>
      <w:r>
        <w:rPr>
          <w:b/>
          <w:noProof/>
        </w:rPr>
        <w:t>Identificarea ofițerilor de poliție</w:t>
      </w:r>
      <w:r>
        <w:rPr>
          <w:noProof/>
        </w:rPr>
        <w:t xml:space="preserve"> va fi procesul în care constrângerile privind datele vor fi cele mai ridicate pentru a asigura cel mai înalt nivel de asigurare a securității atunci când se accesează aplicații, servicii și date furnizate în cadrul infrastructurii de cloud a Europol, inclusiv, în special, spațiul comun de date al poliției.</w:t>
      </w:r>
    </w:p>
    <w:p>
      <w:pPr>
        <w:pStyle w:val="Tiret0"/>
        <w:rPr>
          <w:noProof/>
        </w:rPr>
      </w:pPr>
      <w:r>
        <w:rPr>
          <w:b/>
          <w:noProof/>
          <w:color w:val="000000" w:themeColor="text1"/>
        </w:rPr>
        <w:t>Schimbul de informații, analiza</w:t>
      </w:r>
      <w:r>
        <w:rPr>
          <w:noProof/>
          <w:color w:val="000000" w:themeColor="text1"/>
        </w:rPr>
        <w:t xml:space="preserve"> și, în mod similar, </w:t>
      </w:r>
      <w:r>
        <w:rPr>
          <w:b/>
          <w:noProof/>
        </w:rPr>
        <w:t>inovarea</w:t>
      </w:r>
      <w:r>
        <w:rPr>
          <w:noProof/>
        </w:rPr>
        <w:t>.</w:t>
      </w:r>
      <w:r>
        <w:rPr>
          <w:b/>
          <w:noProof/>
        </w:rPr>
        <w:t xml:space="preserve"> </w:t>
      </w:r>
      <w:r>
        <w:rPr>
          <w:noProof/>
        </w:rPr>
        <w:t xml:space="preserve">Europol își desfășoară activitatea într-un mediu informațional caracterizat de volume mari de date eterogene, care provin adesea din surse, jurisdicții și contexte operaționale multiple. O parte substanțială din aceste informații este primită într-un format nestructurat sau mixt. Acest lucru reflectă realitatea activității moderne de aplicare a legii, în care seturile de date sunt complexe, dinamice și nu sunt pe deplin standardizate și în care extragerea de informații relevante pentru investigațiile în curs constituie principala sarcină operațională. Acest lucru este valabil în special în cazul probelor electronice, cum ar fi materialele informaționale confiscate, care se prezintă într-un format nestructurat și, de cele mai multe ori, criptat. Aceste date sunt analizate și prelucrate fie de Europol în </w:t>
      </w:r>
      <w:r>
        <w:rPr>
          <w:i/>
          <w:noProof/>
        </w:rPr>
        <w:t>mediul analitic al Europol</w:t>
      </w:r>
      <w:r>
        <w:rPr>
          <w:noProof/>
        </w:rPr>
        <w:t xml:space="preserve">, fie în comun de către autoritățile competente ale statelor membre, organele UE și părțile private, în cadrul </w:t>
      </w:r>
      <w:r>
        <w:rPr>
          <w:i/>
          <w:noProof/>
        </w:rPr>
        <w:t>spațiului comun de date al poliției</w:t>
      </w:r>
      <w:r>
        <w:rPr>
          <w:noProof/>
        </w:rPr>
        <w:t>.</w:t>
      </w:r>
      <w:r>
        <w:rPr>
          <w:i/>
          <w:noProof/>
        </w:rPr>
        <w:t xml:space="preserve"> </w:t>
      </w:r>
      <w:r>
        <w:rPr>
          <w:noProof/>
        </w:rPr>
        <w:t xml:space="preserve">Informațiile pot fi schimbate între părți prin intermediul </w:t>
      </w:r>
      <w:r>
        <w:rPr>
          <w:i/>
          <w:noProof/>
        </w:rPr>
        <w:t>spațiului comun de date al poliției</w:t>
      </w:r>
      <w:r>
        <w:rPr>
          <w:noProof/>
        </w:rPr>
        <w:t xml:space="preserve"> sau al </w:t>
      </w:r>
      <w:r>
        <w:rPr>
          <w:i/>
          <w:noProof/>
        </w:rPr>
        <w:t>SIENA</w:t>
      </w:r>
      <w:r>
        <w:rPr>
          <w:noProof/>
        </w:rPr>
        <w:t>.</w:t>
      </w:r>
      <w:r>
        <w:rPr>
          <w:i/>
          <w:noProof/>
        </w:rPr>
        <w:t xml:space="preserve"> </w:t>
      </w:r>
      <w:r>
        <w:rPr>
          <w:noProof/>
        </w:rPr>
        <w:t xml:space="preserve">Aplicarea standardelor depinde în principal de sursa datelor și, prin urmare, </w:t>
      </w:r>
      <w:r>
        <w:rPr>
          <w:noProof/>
          <w:u w:val="single"/>
        </w:rPr>
        <w:t>POATE</w:t>
      </w:r>
      <w:r>
        <w:rPr>
          <w:noProof/>
        </w:rPr>
        <w:t xml:space="preserve"> respecta standardele și specificațiile care stau la baza bazei de date corespunzătoare. Cu toate acestea, întrucât informațiile necesare pentru ca Europol să își îndeplinească atribuțiile sunt definite doar în funcție de scop, următoarea listă rămâne neexhaustivă.</w:t>
      </w:r>
    </w:p>
    <w:p>
      <w:pPr>
        <w:pStyle w:val="Tiret0"/>
        <w:rPr>
          <w:noProof/>
        </w:rPr>
      </w:pPr>
      <w:r>
        <w:rPr>
          <w:b/>
          <w:noProof/>
          <w:color w:val="000000" w:themeColor="text1"/>
        </w:rPr>
        <w:t xml:space="preserve">Verificarea încrucișată: </w:t>
      </w:r>
      <w:r>
        <w:rPr>
          <w:noProof/>
        </w:rPr>
        <w:t xml:space="preserve">Se instituie un </w:t>
      </w:r>
      <w:r>
        <w:rPr>
          <w:i/>
          <w:noProof/>
        </w:rPr>
        <w:t>serviciu de verificare încrucișată</w:t>
      </w:r>
      <w:r>
        <w:rPr>
          <w:noProof/>
        </w:rPr>
        <w:t xml:space="preserve"> (articolele 35-39) pentru identificarea rapidă a legăturilor cu persoane sau obiecte anterioare implicate într-o activitate infracțională și care se referă numai la persoane condamnate, suspectate că au săvârșit sau sunt pe punctul de a săvârși o infracțiune. Statele membre pot accesa </w:t>
      </w:r>
      <w:r>
        <w:rPr>
          <w:i/>
          <w:noProof/>
        </w:rPr>
        <w:t>mediul analitic al Europol</w:t>
      </w:r>
      <w:r>
        <w:rPr>
          <w:noProof/>
        </w:rPr>
        <w:t xml:space="preserve"> [articolul 41 alineatul (4)] pe baza unui răspuns pozitiv/negativ. Un </w:t>
      </w:r>
      <w:r>
        <w:rPr>
          <w:i/>
          <w:noProof/>
        </w:rPr>
        <w:t>mecanism de tip răspuns pozitiv/răspuns negativ</w:t>
      </w:r>
      <w:r>
        <w:rPr>
          <w:noProof/>
        </w:rPr>
        <w:t xml:space="preserve"> (articolul 80) permite verificarea încrucișată a informațiilor cu mediul analitic al Europol pentru EUBOA și se poate referi la persoane suspectate, la persoane condamnate, dar și la victime sau la persoane care au o legătură indirectă cu acestea.</w:t>
      </w:r>
    </w:p>
    <w:p>
      <w:pPr>
        <w:pStyle w:val="Tiret0"/>
        <w:rPr>
          <w:noProof/>
        </w:rPr>
      </w:pPr>
      <w:r>
        <w:rPr>
          <w:noProof/>
        </w:rPr>
        <w:t xml:space="preserve">Deși sunt publicate în format digital, </w:t>
      </w:r>
      <w:r>
        <w:rPr>
          <w:b/>
          <w:noProof/>
        </w:rPr>
        <w:t>rapoartele administrative</w:t>
      </w:r>
      <w:r>
        <w:rPr>
          <w:noProof/>
        </w:rPr>
        <w:t xml:space="preserve"> nu respectă cerințele stricte ale standardelor </w:t>
      </w:r>
      <w:r>
        <w:rPr>
          <w:i/>
          <w:noProof/>
        </w:rPr>
        <w:t>tehnice</w:t>
      </w:r>
      <w:r>
        <w:rPr>
          <w:noProof/>
        </w:rPr>
        <w:t>.</w:t>
      </w:r>
    </w:p>
    <w:p>
      <w:pPr>
        <w:pStyle w:val="Tiret0"/>
        <w:rPr>
          <w:noProof/>
        </w:rPr>
      </w:pPr>
      <w:r>
        <w:rPr>
          <w:b/>
          <w:noProof/>
        </w:rPr>
        <w:t>Procesele legate de drepturile în materie de date cu caracter personal</w:t>
      </w:r>
      <w:r>
        <w:rPr>
          <w:noProof/>
        </w:rPr>
        <w:t xml:space="preserve"> sunt în mare măsură manuale; deși procesele de prelucrare și partajare a datelor pot fi structurate și pot respecta anumite standarde, acest lucru nu este o cerință.</w:t>
      </w:r>
    </w:p>
    <w:p>
      <w:pPr>
        <w:spacing w:line="259" w:lineRule="auto"/>
        <w:rPr>
          <w:rFonts w:eastAsia="Times New Roman"/>
          <w:i/>
          <w:noProof/>
          <w:color w:val="000000" w:themeColor="text1"/>
        </w:rPr>
      </w:pPr>
    </w:p>
    <w:p>
      <w:pPr>
        <w:keepNext/>
        <w:spacing w:line="259" w:lineRule="auto"/>
        <w:rPr>
          <w:rFonts w:eastAsia="Times New Roman"/>
          <w:i/>
          <w:noProof/>
          <w:color w:val="000000" w:themeColor="text1"/>
        </w:rPr>
      </w:pPr>
      <w:r>
        <w:rPr>
          <w:i/>
          <w:noProof/>
          <w:color w:val="000000" w:themeColor="text1"/>
        </w:rPr>
        <w:t>Constrângeri la nivelul proceselor</w:t>
      </w:r>
    </w:p>
    <w:tbl>
      <w:tblPr>
        <w:tblStyle w:val="TableGrid1"/>
        <w:tblW w:w="13209" w:type="dxa"/>
        <w:tblInd w:w="105" w:type="dxa"/>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5953"/>
        <w:gridCol w:w="907"/>
        <w:gridCol w:w="907"/>
        <w:gridCol w:w="907"/>
        <w:gridCol w:w="907"/>
        <w:gridCol w:w="907"/>
        <w:gridCol w:w="907"/>
        <w:gridCol w:w="907"/>
        <w:gridCol w:w="907"/>
      </w:tblGrid>
      <w:tr>
        <w:trPr>
          <w:cantSplit/>
          <w:trHeight w:val="2494"/>
          <w:tblHeader/>
        </w:trPr>
        <w:tc>
          <w:tcPr>
            <w:tcW w:w="5953" w:type="dxa"/>
            <w:tcBorders>
              <w:top w:val="single" w:sz="6" w:space="0" w:color="auto"/>
              <w:bottom w:val="single" w:sz="4" w:space="0" w:color="000000"/>
              <w:tl2br w:val="single" w:sz="4" w:space="0" w:color="auto"/>
            </w:tcBorders>
            <w:tcMar>
              <w:left w:w="105" w:type="dxa"/>
              <w:right w:w="105" w:type="dxa"/>
            </w:tcMar>
          </w:tcPr>
          <w:p>
            <w:pPr>
              <w:jc w:val="right"/>
              <w:rPr>
                <w:rFonts w:eastAsia="Aptos"/>
                <w:noProof/>
              </w:rPr>
            </w:pPr>
            <w:bookmarkStart w:id="54" w:name="_Hlk231900174"/>
            <w:r>
              <w:rPr>
                <w:noProof/>
              </w:rPr>
              <w:t>Proces</w:t>
            </w:r>
          </w:p>
          <w:p>
            <w:pPr>
              <w:jc w:val="left"/>
              <w:rPr>
                <w:rFonts w:eastAsia="Aptos"/>
                <w:noProof/>
              </w:rPr>
            </w:pPr>
          </w:p>
          <w:p>
            <w:pPr>
              <w:jc w:val="left"/>
              <w:rPr>
                <w:rFonts w:eastAsia="Aptos"/>
                <w:noProof/>
              </w:rPr>
            </w:pPr>
          </w:p>
          <w:p>
            <w:pPr>
              <w:jc w:val="left"/>
              <w:rPr>
                <w:rFonts w:eastAsia="Aptos"/>
                <w:noProof/>
              </w:rPr>
            </w:pPr>
          </w:p>
          <w:p>
            <w:pPr>
              <w:jc w:val="left"/>
              <w:rPr>
                <w:rFonts w:eastAsia="Aptos"/>
                <w:noProof/>
              </w:rPr>
            </w:pPr>
          </w:p>
          <w:p>
            <w:pPr>
              <w:jc w:val="left"/>
              <w:rPr>
                <w:rFonts w:eastAsia="Aptos"/>
                <w:noProof/>
              </w:rPr>
            </w:pPr>
            <w:r>
              <w:rPr>
                <w:noProof/>
              </w:rPr>
              <w:t>Trimiterea la cerință</w:t>
            </w:r>
          </w:p>
        </w:tc>
        <w:tc>
          <w:tcPr>
            <w:tcW w:w="907" w:type="dxa"/>
            <w:textDirection w:val="btLr"/>
            <w:vAlign w:val="center"/>
          </w:tcPr>
          <w:p>
            <w:pPr>
              <w:ind w:left="113" w:right="113"/>
              <w:jc w:val="left"/>
              <w:rPr>
                <w:rFonts w:eastAsia="Aptos"/>
                <w:noProof/>
              </w:rPr>
            </w:pPr>
            <w:r>
              <w:rPr>
                <w:noProof/>
              </w:rPr>
              <w:t>Identificarea ofițerului de poliție</w:t>
            </w:r>
          </w:p>
        </w:tc>
        <w:tc>
          <w:tcPr>
            <w:tcW w:w="907" w:type="dxa"/>
            <w:textDirection w:val="btLr"/>
            <w:vAlign w:val="center"/>
          </w:tcPr>
          <w:p>
            <w:pPr>
              <w:ind w:left="113" w:right="113"/>
              <w:jc w:val="left"/>
              <w:rPr>
                <w:rFonts w:eastAsia="Aptos"/>
                <w:noProof/>
              </w:rPr>
            </w:pPr>
            <w:r>
              <w:rPr>
                <w:noProof/>
              </w:rPr>
              <w:t>Verificare încrucișată</w:t>
            </w:r>
          </w:p>
        </w:tc>
        <w:tc>
          <w:tcPr>
            <w:tcW w:w="907" w:type="dxa"/>
            <w:textDirection w:val="btLr"/>
            <w:vAlign w:val="center"/>
          </w:tcPr>
          <w:p>
            <w:pPr>
              <w:ind w:left="113" w:right="113"/>
              <w:jc w:val="left"/>
              <w:rPr>
                <w:rFonts w:eastAsia="Aptos"/>
                <w:noProof/>
              </w:rPr>
            </w:pPr>
            <w:r>
              <w:rPr>
                <w:noProof/>
              </w:rPr>
              <w:t>Schimbul de informații între AAL</w:t>
            </w:r>
          </w:p>
        </w:tc>
        <w:tc>
          <w:tcPr>
            <w:tcW w:w="907" w:type="dxa"/>
            <w:textDirection w:val="btLr"/>
            <w:vAlign w:val="center"/>
          </w:tcPr>
          <w:p>
            <w:pPr>
              <w:ind w:left="113" w:right="113"/>
              <w:jc w:val="left"/>
              <w:rPr>
                <w:rFonts w:eastAsia="Aptos"/>
                <w:noProof/>
              </w:rPr>
            </w:pPr>
            <w:r>
              <w:rPr>
                <w:noProof/>
              </w:rPr>
              <w:t>Schimb cu părți private</w:t>
            </w:r>
          </w:p>
        </w:tc>
        <w:tc>
          <w:tcPr>
            <w:tcW w:w="907" w:type="dxa"/>
            <w:textDirection w:val="btLr"/>
            <w:vAlign w:val="center"/>
          </w:tcPr>
          <w:p>
            <w:pPr>
              <w:ind w:left="113" w:right="113"/>
              <w:jc w:val="left"/>
              <w:rPr>
                <w:rFonts w:eastAsia="Aptos"/>
                <w:noProof/>
              </w:rPr>
            </w:pPr>
            <w:r>
              <w:rPr>
                <w:noProof/>
              </w:rPr>
              <w:t>Analiza operațională și strategică</w:t>
            </w:r>
          </w:p>
        </w:tc>
        <w:tc>
          <w:tcPr>
            <w:tcW w:w="907" w:type="dxa"/>
            <w:textDirection w:val="btLr"/>
            <w:vAlign w:val="center"/>
          </w:tcPr>
          <w:p>
            <w:pPr>
              <w:ind w:left="113" w:right="113"/>
              <w:jc w:val="left"/>
              <w:rPr>
                <w:rFonts w:eastAsia="Aptos"/>
                <w:noProof/>
              </w:rPr>
            </w:pPr>
            <w:r>
              <w:rPr>
                <w:noProof/>
              </w:rPr>
              <w:t>Inovare</w:t>
            </w:r>
          </w:p>
        </w:tc>
        <w:tc>
          <w:tcPr>
            <w:tcW w:w="907" w:type="dxa"/>
            <w:textDirection w:val="btLr"/>
            <w:vAlign w:val="center"/>
          </w:tcPr>
          <w:p>
            <w:pPr>
              <w:ind w:left="113" w:right="113"/>
              <w:jc w:val="left"/>
              <w:rPr>
                <w:rFonts w:eastAsia="Aptos"/>
                <w:noProof/>
              </w:rPr>
            </w:pPr>
            <w:r>
              <w:rPr>
                <w:noProof/>
              </w:rPr>
              <w:t>Raport administrativ</w:t>
            </w:r>
          </w:p>
        </w:tc>
        <w:tc>
          <w:tcPr>
            <w:tcW w:w="907" w:type="dxa"/>
            <w:textDirection w:val="btLr"/>
            <w:vAlign w:val="center"/>
          </w:tcPr>
          <w:p>
            <w:pPr>
              <w:ind w:left="113" w:right="113"/>
              <w:jc w:val="left"/>
              <w:rPr>
                <w:rFonts w:eastAsia="Aptos"/>
                <w:noProof/>
              </w:rPr>
            </w:pPr>
            <w:r>
              <w:rPr>
                <w:noProof/>
              </w:rPr>
              <w:t>Drepturile în materie de date cu caracter personal</w:t>
            </w:r>
          </w:p>
        </w:tc>
      </w:tr>
      <w:tr>
        <w:trPr>
          <w:trHeight w:val="510"/>
        </w:trPr>
        <w:tc>
          <w:tcPr>
            <w:tcW w:w="5953" w:type="dxa"/>
            <w:tcBorders>
              <w:top w:val="single" w:sz="4" w:space="0" w:color="000000"/>
            </w:tcBorders>
            <w:tcMar>
              <w:left w:w="105" w:type="dxa"/>
              <w:right w:w="105" w:type="dxa"/>
            </w:tcMar>
          </w:tcPr>
          <w:p>
            <w:pPr>
              <w:rPr>
                <w:rFonts w:eastAsia="Aptos"/>
                <w:noProof/>
              </w:rPr>
            </w:pPr>
            <w:r>
              <w:rPr>
                <w:noProof/>
              </w:rPr>
              <w:t>Articolul 8 alineatul (7)</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 alineatul (2)</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 alineatul (3)</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 alineatul (4)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 alineatul (5)</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7 alineatul (1)</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7 alineatul (2)</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7 alineatul (3)</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7 alineatul (4)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7 alineatul (5)</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11</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jc w:val="left"/>
              <w:rPr>
                <w:rFonts w:eastAsia="Aptos"/>
                <w:noProof/>
              </w:rPr>
            </w:pPr>
            <w:r>
              <w:rPr>
                <w:noProof/>
              </w:rPr>
              <w:t>Articolul 18 litera (a)</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18 litera (b)</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18 litera (c)</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16 litera (a)</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16 litera (c)</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21 alineatul (4)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25 alineatul (5) litera (a)</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25 alineatul (5) litera (b)</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28</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29</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29 alineatul (6)</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30</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34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35</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36</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37</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38</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39</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40</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41</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42</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43</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44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45</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 xml:space="preserve">Articolul 46 </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49</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51</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52</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53</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55</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56</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54</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61</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80</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81</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94</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96 alineatul (1)</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96 alineatul (2)</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96 alineatul (3)</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96 alineatul (4)</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96 alineatul (5)</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96 alineatul (6)</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96 alineatul (7)</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97</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98</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99</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100</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101</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102</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102</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Articolul 104</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Articolul 105</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Articolul 106</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Articolul 107</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102</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Articolul 116 alineatul (3)</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117</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rPr>
          <w:trHeight w:val="510"/>
        </w:trPr>
        <w:tc>
          <w:tcPr>
            <w:tcW w:w="5953" w:type="dxa"/>
            <w:tcMar>
              <w:left w:w="105" w:type="dxa"/>
              <w:right w:w="105" w:type="dxa"/>
            </w:tcMar>
          </w:tcPr>
          <w:p>
            <w:pPr>
              <w:rPr>
                <w:rFonts w:eastAsia="Aptos"/>
                <w:noProof/>
              </w:rPr>
            </w:pPr>
            <w:r>
              <w:rPr>
                <w:noProof/>
              </w:rPr>
              <w:t>Articolul 130</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r>
      <w:tr>
        <w:trPr>
          <w:trHeight w:val="510"/>
        </w:trPr>
        <w:tc>
          <w:tcPr>
            <w:tcW w:w="5953" w:type="dxa"/>
            <w:tcMar>
              <w:left w:w="105" w:type="dxa"/>
              <w:right w:w="105" w:type="dxa"/>
            </w:tcMar>
          </w:tcPr>
          <w:p>
            <w:pPr>
              <w:rPr>
                <w:rFonts w:eastAsia="Aptos"/>
                <w:noProof/>
              </w:rPr>
            </w:pPr>
            <w:r>
              <w:rPr>
                <w:noProof/>
              </w:rPr>
              <w:t>Articolul 136</w:t>
            </w:r>
          </w:p>
        </w:tc>
        <w:tc>
          <w:tcPr>
            <w:tcW w:w="907" w:type="dxa"/>
            <w:vAlign w:val="center"/>
          </w:tcPr>
          <w:p>
            <w:pPr>
              <w:tabs>
                <w:tab w:val="right" w:pos="2477"/>
              </w:tabs>
              <w:jc w:val="center"/>
              <w:rPr>
                <w:rFonts w:eastAsia="Aptos"/>
                <w:noProof/>
              </w:rPr>
            </w:pPr>
          </w:p>
        </w:tc>
        <w:tc>
          <w:tcPr>
            <w:tcW w:w="907" w:type="dxa"/>
            <w:vAlign w:val="center"/>
          </w:tcPr>
          <w:p>
            <w:pPr>
              <w:tabs>
                <w:tab w:val="right" w:pos="2477"/>
              </w:tabs>
              <w:jc w:val="center"/>
              <w:rPr>
                <w:rFonts w:eastAsia="Aptos"/>
                <w:noProof/>
              </w:rPr>
            </w:pPr>
            <w:r>
              <w:rPr>
                <w:noProof/>
              </w:rPr>
              <w:t>X</w:t>
            </w:r>
          </w:p>
        </w:tc>
        <w:tc>
          <w:tcPr>
            <w:tcW w:w="907" w:type="dxa"/>
            <w:vAlign w:val="center"/>
          </w:tcPr>
          <w:p>
            <w:pPr>
              <w:tabs>
                <w:tab w:val="right" w:pos="2477"/>
              </w:tabs>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bookmarkEnd w:id="54"/>
    </w:tbl>
    <w:p>
      <w:pPr>
        <w:spacing w:line="259" w:lineRule="auto"/>
        <w:rPr>
          <w:rFonts w:eastAsia="Times New Roman"/>
          <w:noProof/>
          <w:color w:val="000000" w:themeColor="text1"/>
        </w:rPr>
      </w:pPr>
    </w:p>
    <w:p>
      <w:pPr>
        <w:spacing w:line="259" w:lineRule="auto"/>
        <w:rPr>
          <w:rFonts w:eastAsia="Times New Roman"/>
          <w:b/>
          <w:noProof/>
          <w:color w:val="000000" w:themeColor="text1"/>
        </w:rPr>
      </w:pPr>
      <w:r>
        <w:rPr>
          <w:b/>
          <w:noProof/>
          <w:color w:val="000000" w:themeColor="text1"/>
        </w:rPr>
        <w:t>Tipul de date pentru fiecare proces</w:t>
      </w:r>
    </w:p>
    <w:tbl>
      <w:tblPr>
        <w:tblStyle w:val="TableGrid2"/>
        <w:tblW w:w="13209" w:type="dxa"/>
        <w:tblLook w:val="04A0" w:firstRow="1" w:lastRow="0" w:firstColumn="1" w:lastColumn="0" w:noHBand="0" w:noVBand="1"/>
      </w:tblPr>
      <w:tblGrid>
        <w:gridCol w:w="5953"/>
        <w:gridCol w:w="907"/>
        <w:gridCol w:w="907"/>
        <w:gridCol w:w="907"/>
        <w:gridCol w:w="907"/>
        <w:gridCol w:w="907"/>
        <w:gridCol w:w="907"/>
        <w:gridCol w:w="907"/>
        <w:gridCol w:w="907"/>
      </w:tblGrid>
      <w:tr>
        <w:trPr>
          <w:cantSplit/>
          <w:trHeight w:val="2704"/>
        </w:trPr>
        <w:tc>
          <w:tcPr>
            <w:tcW w:w="5953" w:type="dxa"/>
            <w:tcBorders>
              <w:tl2br w:val="single" w:sz="4" w:space="0" w:color="auto"/>
            </w:tcBorders>
          </w:tcPr>
          <w:p>
            <w:pPr>
              <w:jc w:val="right"/>
              <w:rPr>
                <w:rFonts w:eastAsia="Aptos"/>
                <w:noProof/>
              </w:rPr>
            </w:pPr>
            <w:r>
              <w:rPr>
                <w:noProof/>
              </w:rPr>
              <w:t>Proces</w:t>
            </w:r>
          </w:p>
          <w:p>
            <w:pPr>
              <w:jc w:val="left"/>
              <w:rPr>
                <w:rFonts w:eastAsia="Aptos"/>
                <w:noProof/>
              </w:rPr>
            </w:pPr>
          </w:p>
          <w:p>
            <w:pPr>
              <w:jc w:val="left"/>
              <w:rPr>
                <w:rFonts w:eastAsia="Aptos"/>
                <w:noProof/>
              </w:rPr>
            </w:pPr>
          </w:p>
          <w:p>
            <w:pPr>
              <w:jc w:val="left"/>
              <w:rPr>
                <w:rFonts w:eastAsia="Aptos"/>
                <w:noProof/>
              </w:rPr>
            </w:pPr>
          </w:p>
          <w:p>
            <w:pPr>
              <w:jc w:val="left"/>
              <w:rPr>
                <w:rFonts w:eastAsia="Aptos"/>
                <w:noProof/>
              </w:rPr>
            </w:pPr>
          </w:p>
          <w:p>
            <w:pPr>
              <w:jc w:val="left"/>
              <w:rPr>
                <w:rFonts w:eastAsia="Aptos"/>
                <w:noProof/>
              </w:rPr>
            </w:pPr>
            <w:r>
              <w:rPr>
                <w:noProof/>
              </w:rPr>
              <w:t xml:space="preserve"> </w:t>
            </w:r>
            <w:r>
              <w:rPr>
                <w:noProof/>
              </w:rPr>
              <w:br/>
              <w:t>Tipul general de date și aplicabilitatea standardelor</w:t>
            </w:r>
          </w:p>
        </w:tc>
        <w:tc>
          <w:tcPr>
            <w:tcW w:w="907" w:type="dxa"/>
            <w:textDirection w:val="btLr"/>
            <w:vAlign w:val="center"/>
          </w:tcPr>
          <w:p>
            <w:pPr>
              <w:ind w:left="113" w:right="113"/>
              <w:jc w:val="left"/>
              <w:rPr>
                <w:rFonts w:eastAsia="Aptos"/>
                <w:noProof/>
              </w:rPr>
            </w:pPr>
            <w:r>
              <w:rPr>
                <w:noProof/>
              </w:rPr>
              <w:t>Identificarea ofițerului de poliție</w:t>
            </w:r>
          </w:p>
        </w:tc>
        <w:tc>
          <w:tcPr>
            <w:tcW w:w="907" w:type="dxa"/>
            <w:textDirection w:val="btLr"/>
            <w:vAlign w:val="center"/>
          </w:tcPr>
          <w:p>
            <w:pPr>
              <w:ind w:left="113" w:right="113"/>
              <w:jc w:val="left"/>
              <w:rPr>
                <w:rFonts w:eastAsia="Aptos"/>
                <w:noProof/>
              </w:rPr>
            </w:pPr>
            <w:r>
              <w:rPr>
                <w:noProof/>
              </w:rPr>
              <w:t>Verificare încrucișată</w:t>
            </w:r>
          </w:p>
        </w:tc>
        <w:tc>
          <w:tcPr>
            <w:tcW w:w="907" w:type="dxa"/>
            <w:textDirection w:val="btLr"/>
            <w:vAlign w:val="center"/>
          </w:tcPr>
          <w:p>
            <w:pPr>
              <w:ind w:left="113" w:right="113"/>
              <w:jc w:val="left"/>
              <w:rPr>
                <w:rFonts w:eastAsia="Aptos"/>
                <w:noProof/>
              </w:rPr>
            </w:pPr>
            <w:r>
              <w:rPr>
                <w:noProof/>
              </w:rPr>
              <w:t>Schimbul de informații între AAL ;i/sau Europol</w:t>
            </w:r>
          </w:p>
        </w:tc>
        <w:tc>
          <w:tcPr>
            <w:tcW w:w="907" w:type="dxa"/>
            <w:textDirection w:val="btLr"/>
            <w:vAlign w:val="center"/>
          </w:tcPr>
          <w:p>
            <w:pPr>
              <w:ind w:left="113" w:right="113"/>
              <w:jc w:val="left"/>
              <w:rPr>
                <w:rFonts w:eastAsia="Aptos"/>
                <w:noProof/>
              </w:rPr>
            </w:pPr>
            <w:r>
              <w:rPr>
                <w:noProof/>
              </w:rPr>
              <w:t>Schimb cu părți private</w:t>
            </w:r>
          </w:p>
        </w:tc>
        <w:tc>
          <w:tcPr>
            <w:tcW w:w="907" w:type="dxa"/>
            <w:textDirection w:val="btLr"/>
            <w:vAlign w:val="center"/>
          </w:tcPr>
          <w:p>
            <w:pPr>
              <w:ind w:left="113" w:right="113"/>
              <w:jc w:val="left"/>
              <w:rPr>
                <w:rFonts w:eastAsia="Aptos"/>
                <w:noProof/>
              </w:rPr>
            </w:pPr>
            <w:r>
              <w:rPr>
                <w:noProof/>
              </w:rPr>
              <w:t>Analiza operațională și strategică</w:t>
            </w:r>
          </w:p>
        </w:tc>
        <w:tc>
          <w:tcPr>
            <w:tcW w:w="907" w:type="dxa"/>
            <w:textDirection w:val="btLr"/>
            <w:vAlign w:val="center"/>
          </w:tcPr>
          <w:p>
            <w:pPr>
              <w:ind w:left="113" w:right="113"/>
              <w:jc w:val="left"/>
              <w:rPr>
                <w:rFonts w:eastAsia="Aptos"/>
                <w:noProof/>
              </w:rPr>
            </w:pPr>
            <w:r>
              <w:rPr>
                <w:noProof/>
              </w:rPr>
              <w:t>Inovare</w:t>
            </w:r>
          </w:p>
        </w:tc>
        <w:tc>
          <w:tcPr>
            <w:tcW w:w="907" w:type="dxa"/>
            <w:textDirection w:val="btLr"/>
            <w:vAlign w:val="center"/>
          </w:tcPr>
          <w:p>
            <w:pPr>
              <w:ind w:left="113" w:right="113"/>
              <w:jc w:val="left"/>
              <w:rPr>
                <w:rFonts w:eastAsia="Aptos"/>
                <w:noProof/>
              </w:rPr>
            </w:pPr>
            <w:r>
              <w:rPr>
                <w:noProof/>
              </w:rPr>
              <w:t>Raport administrativ</w:t>
            </w:r>
          </w:p>
        </w:tc>
        <w:tc>
          <w:tcPr>
            <w:tcW w:w="907" w:type="dxa"/>
            <w:textDirection w:val="btLr"/>
            <w:vAlign w:val="center"/>
          </w:tcPr>
          <w:p>
            <w:pPr>
              <w:ind w:left="113" w:right="113"/>
              <w:jc w:val="left"/>
              <w:rPr>
                <w:rFonts w:eastAsia="Aptos"/>
                <w:noProof/>
              </w:rPr>
            </w:pPr>
            <w:r>
              <w:rPr>
                <w:noProof/>
              </w:rPr>
              <w:t>Drepturile în materie de date cu caracter personal</w:t>
            </w:r>
          </w:p>
        </w:tc>
      </w:tr>
      <w:tr>
        <w:tc>
          <w:tcPr>
            <w:tcW w:w="5953" w:type="dxa"/>
          </w:tcPr>
          <w:p>
            <w:pPr>
              <w:rPr>
                <w:rFonts w:eastAsia="Aptos"/>
                <w:noProof/>
              </w:rPr>
            </w:pPr>
            <w:r>
              <w:rPr>
                <w:noProof/>
              </w:rPr>
              <w:t>Se aplică standardele privind formatul datelor? (Obligatoriu/Opțional)</w:t>
            </w:r>
          </w:p>
        </w:tc>
        <w:tc>
          <w:tcPr>
            <w:tcW w:w="907" w:type="dxa"/>
            <w:vAlign w:val="center"/>
          </w:tcPr>
          <w:p>
            <w:pPr>
              <w:jc w:val="center"/>
              <w:rPr>
                <w:rFonts w:eastAsia="Aptos"/>
                <w:noProof/>
              </w:rPr>
            </w:pPr>
            <w:r>
              <w:rPr>
                <w:noProof/>
              </w:rPr>
              <w:t>M</w:t>
            </w:r>
          </w:p>
        </w:tc>
        <w:tc>
          <w:tcPr>
            <w:tcW w:w="907" w:type="dxa"/>
            <w:vAlign w:val="center"/>
          </w:tcPr>
          <w:p>
            <w:pPr>
              <w:jc w:val="center"/>
              <w:rPr>
                <w:rFonts w:eastAsia="Aptos"/>
                <w:noProof/>
              </w:rPr>
            </w:pPr>
            <w:r>
              <w:rPr>
                <w:noProof/>
              </w:rPr>
              <w:t>M</w:t>
            </w:r>
          </w:p>
        </w:tc>
        <w:tc>
          <w:tcPr>
            <w:tcW w:w="907" w:type="dxa"/>
            <w:vAlign w:val="center"/>
          </w:tcPr>
          <w:p>
            <w:pPr>
              <w:jc w:val="center"/>
              <w:rPr>
                <w:rFonts w:eastAsia="Aptos"/>
                <w:noProof/>
              </w:rPr>
            </w:pPr>
            <w:r>
              <w:rPr>
                <w:noProof/>
              </w:rPr>
              <w:t>O</w:t>
            </w:r>
          </w:p>
        </w:tc>
        <w:tc>
          <w:tcPr>
            <w:tcW w:w="907" w:type="dxa"/>
            <w:vAlign w:val="center"/>
          </w:tcPr>
          <w:p>
            <w:pPr>
              <w:jc w:val="center"/>
              <w:rPr>
                <w:rFonts w:eastAsia="Aptos"/>
                <w:noProof/>
              </w:rPr>
            </w:pPr>
            <w:r>
              <w:rPr>
                <w:noProof/>
              </w:rPr>
              <w:t>O</w:t>
            </w:r>
          </w:p>
        </w:tc>
        <w:tc>
          <w:tcPr>
            <w:tcW w:w="907" w:type="dxa"/>
            <w:vAlign w:val="center"/>
          </w:tcPr>
          <w:p>
            <w:pPr>
              <w:jc w:val="center"/>
              <w:rPr>
                <w:rFonts w:eastAsia="Aptos"/>
                <w:noProof/>
              </w:rPr>
            </w:pPr>
            <w:r>
              <w:rPr>
                <w:noProof/>
              </w:rPr>
              <w:t>O</w:t>
            </w:r>
          </w:p>
        </w:tc>
        <w:tc>
          <w:tcPr>
            <w:tcW w:w="907" w:type="dxa"/>
            <w:vAlign w:val="center"/>
          </w:tcPr>
          <w:p>
            <w:pPr>
              <w:jc w:val="center"/>
              <w:rPr>
                <w:rFonts w:eastAsia="Aptos"/>
                <w:noProof/>
              </w:rPr>
            </w:pPr>
            <w:r>
              <w:rPr>
                <w:noProof/>
              </w:rPr>
              <w:t>O</w:t>
            </w:r>
          </w:p>
        </w:tc>
        <w:tc>
          <w:tcPr>
            <w:tcW w:w="907" w:type="dxa"/>
            <w:vAlign w:val="center"/>
          </w:tcPr>
          <w:p>
            <w:pPr>
              <w:jc w:val="center"/>
              <w:rPr>
                <w:rFonts w:eastAsia="Aptos"/>
                <w:noProof/>
              </w:rPr>
            </w:pPr>
            <w:r>
              <w:rPr>
                <w:noProof/>
              </w:rPr>
              <w:t>Nu se aplică</w:t>
            </w:r>
          </w:p>
        </w:tc>
        <w:tc>
          <w:tcPr>
            <w:tcW w:w="907" w:type="dxa"/>
            <w:vAlign w:val="center"/>
          </w:tcPr>
          <w:p>
            <w:pPr>
              <w:jc w:val="center"/>
              <w:rPr>
                <w:rFonts w:eastAsia="Aptos"/>
                <w:noProof/>
              </w:rPr>
            </w:pPr>
            <w:r>
              <w:rPr>
                <w:noProof/>
              </w:rPr>
              <w:t>Nu se aplică</w:t>
            </w:r>
          </w:p>
        </w:tc>
      </w:tr>
      <w:tr>
        <w:tc>
          <w:tcPr>
            <w:tcW w:w="5953" w:type="dxa"/>
          </w:tcPr>
          <w:p>
            <w:pPr>
              <w:rPr>
                <w:rFonts w:eastAsia="Aptos"/>
                <w:noProof/>
              </w:rPr>
            </w:pPr>
            <w:r>
              <w:rPr>
                <w:noProof/>
              </w:rPr>
              <w:t>Tipul de date</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c>
          <w:tcPr>
            <w:tcW w:w="5953" w:type="dxa"/>
          </w:tcPr>
          <w:p>
            <w:pPr>
              <w:rPr>
                <w:rFonts w:eastAsia="Aptos"/>
                <w:noProof/>
              </w:rPr>
            </w:pPr>
            <w:r>
              <w:rPr>
                <w:noProof/>
              </w:rPr>
              <w:t>Identitatea digitală a poliției din UE</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r>
      <w:tr>
        <w:tc>
          <w:tcPr>
            <w:tcW w:w="5953" w:type="dxa"/>
          </w:tcPr>
          <w:p>
            <w:pPr>
              <w:rPr>
                <w:rFonts w:eastAsia="Aptos"/>
                <w:noProof/>
              </w:rPr>
            </w:pPr>
            <w:r>
              <w:rPr>
                <w:noProof/>
              </w:rPr>
              <w:t>Evidențele poliției și ale justiției</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Informații deținute de alte administrații</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Informații deținute de autorități private</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OSINT</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Probe digitale</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Raport operațional</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Raport strategic</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r>
      <w:tr>
        <w:tc>
          <w:tcPr>
            <w:tcW w:w="5953" w:type="dxa"/>
          </w:tcPr>
          <w:p>
            <w:pPr>
              <w:rPr>
                <w:rFonts w:eastAsia="Aptos"/>
                <w:noProof/>
              </w:rPr>
            </w:pPr>
            <w:r>
              <w:rPr>
                <w:noProof/>
              </w:rPr>
              <w:t>Raport administrativ</w:t>
            </w: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c>
          <w:tcPr>
            <w:tcW w:w="907" w:type="dxa"/>
            <w:vAlign w:val="center"/>
          </w:tcPr>
          <w:p>
            <w:pPr>
              <w:jc w:val="center"/>
              <w:rPr>
                <w:rFonts w:eastAsia="Aptos"/>
                <w:noProof/>
              </w:rPr>
            </w:pPr>
            <w:r>
              <w:rPr>
                <w:noProof/>
              </w:rPr>
              <w:t>X</w:t>
            </w:r>
          </w:p>
        </w:tc>
      </w:tr>
    </w:tbl>
    <w:p>
      <w:pPr>
        <w:rPr>
          <w:rFonts w:eastAsia="Times New Roman"/>
          <w:noProof/>
          <w:color w:val="000000" w:themeColor="text1"/>
        </w:rPr>
      </w:pPr>
    </w:p>
    <w:p>
      <w:pPr>
        <w:rPr>
          <w:rFonts w:eastAsia="Times New Roman"/>
          <w:i/>
          <w:noProof/>
          <w:color w:val="000000" w:themeColor="text1"/>
        </w:rPr>
      </w:pPr>
      <w:r>
        <w:rPr>
          <w:i/>
          <w:noProof/>
          <w:color w:val="000000" w:themeColor="text1"/>
        </w:rPr>
        <w:t>Tipul de date și standardele aplicabile în materie de date</w:t>
      </w:r>
    </w:p>
    <w:tbl>
      <w:tblPr>
        <w:tblStyle w:val="TableGrid3"/>
        <w:tblW w:w="13008" w:type="dxa"/>
        <w:tblLook w:val="04A0" w:firstRow="1" w:lastRow="0" w:firstColumn="1" w:lastColumn="0" w:noHBand="0" w:noVBand="1"/>
      </w:tblPr>
      <w:tblGrid>
        <w:gridCol w:w="5997"/>
        <w:gridCol w:w="7011"/>
      </w:tblGrid>
      <w:tr>
        <w:tc>
          <w:tcPr>
            <w:tcW w:w="5997" w:type="dxa"/>
            <w:tcBorders>
              <w:bottom w:val="single" w:sz="4" w:space="0" w:color="auto"/>
            </w:tcBorders>
          </w:tcPr>
          <w:p>
            <w:pPr>
              <w:rPr>
                <w:rFonts w:eastAsia="Aptos"/>
                <w:b/>
                <w:noProof/>
              </w:rPr>
            </w:pPr>
            <w:r>
              <w:rPr>
                <w:b/>
                <w:noProof/>
              </w:rPr>
              <w:t>Tip de date</w:t>
            </w:r>
          </w:p>
        </w:tc>
        <w:tc>
          <w:tcPr>
            <w:tcW w:w="7011" w:type="dxa"/>
            <w:tcBorders>
              <w:bottom w:val="single" w:sz="4" w:space="0" w:color="auto"/>
            </w:tcBorders>
          </w:tcPr>
          <w:p>
            <w:pPr>
              <w:rPr>
                <w:rFonts w:eastAsia="Aptos"/>
                <w:b/>
                <w:noProof/>
              </w:rPr>
            </w:pPr>
            <w:r>
              <w:rPr>
                <w:b/>
                <w:noProof/>
              </w:rPr>
              <w:t xml:space="preserve">Standardul aplicabil în materie de date </w:t>
            </w:r>
          </w:p>
        </w:tc>
      </w:tr>
      <w:tr>
        <w:tc>
          <w:tcPr>
            <w:tcW w:w="5997" w:type="dxa"/>
            <w:tcBorders>
              <w:right w:val="single" w:sz="4" w:space="0" w:color="auto"/>
            </w:tcBorders>
          </w:tcPr>
          <w:p>
            <w:pPr>
              <w:rPr>
                <w:rFonts w:eastAsia="Aptos"/>
                <w:b/>
                <w:noProof/>
              </w:rPr>
            </w:pPr>
            <w:r>
              <w:rPr>
                <w:b/>
                <w:noProof/>
              </w:rPr>
              <w:t>Identitatea digitală a poliției din UE</w:t>
            </w:r>
          </w:p>
        </w:tc>
        <w:tc>
          <w:tcPr>
            <w:tcW w:w="7011" w:type="dxa"/>
            <w:tcBorders>
              <w:left w:val="single" w:sz="4" w:space="0" w:color="auto"/>
            </w:tcBorders>
          </w:tcPr>
          <w:p>
            <w:pPr>
              <w:rPr>
                <w:rFonts w:eastAsia="Aptos"/>
                <w:noProof/>
              </w:rPr>
            </w:pPr>
            <w:r>
              <w:rPr>
                <w:noProof/>
              </w:rPr>
              <w:t xml:space="preserve">Urmează să se stabilească de </w:t>
            </w:r>
          </w:p>
        </w:tc>
      </w:tr>
      <w:tr>
        <w:tc>
          <w:tcPr>
            <w:tcW w:w="5997" w:type="dxa"/>
            <w:tcBorders>
              <w:right w:val="nil"/>
            </w:tcBorders>
          </w:tcPr>
          <w:p>
            <w:pPr>
              <w:rPr>
                <w:rFonts w:eastAsia="Aptos"/>
                <w:b/>
                <w:noProof/>
              </w:rPr>
            </w:pPr>
            <w:r>
              <w:rPr>
                <w:b/>
                <w:noProof/>
              </w:rPr>
              <w:t>Evidențele poliției și ale justiției</w:t>
            </w:r>
          </w:p>
        </w:tc>
        <w:tc>
          <w:tcPr>
            <w:tcW w:w="7011" w:type="dxa"/>
            <w:tcBorders>
              <w:left w:val="nil"/>
            </w:tcBorders>
          </w:tcPr>
          <w:p>
            <w:pPr>
              <w:rPr>
                <w:rFonts w:eastAsia="Aptos"/>
                <w:b/>
                <w:noProof/>
              </w:rPr>
            </w:pPr>
          </w:p>
        </w:tc>
      </w:tr>
      <w:tr>
        <w:tc>
          <w:tcPr>
            <w:tcW w:w="5997" w:type="dxa"/>
          </w:tcPr>
          <w:p>
            <w:pPr>
              <w:rPr>
                <w:rFonts w:eastAsia="Aptos"/>
                <w:noProof/>
              </w:rPr>
            </w:pPr>
            <w:r>
              <w:rPr>
                <w:noProof/>
              </w:rPr>
              <w:t>Prüm II, EPRIS, ECRIS, ECRIS-TCN, registrul SIS</w:t>
            </w:r>
          </w:p>
        </w:tc>
        <w:tc>
          <w:tcPr>
            <w:tcW w:w="7011" w:type="dxa"/>
          </w:tcPr>
          <w:p>
            <w:pPr>
              <w:spacing w:line="259" w:lineRule="auto"/>
              <w:rPr>
                <w:rFonts w:eastAsia="Aptos"/>
                <w:noProof/>
                <w:color w:val="000000"/>
              </w:rPr>
            </w:pPr>
            <w:r>
              <w:rPr>
                <w:noProof/>
                <w:color w:val="000000"/>
              </w:rPr>
              <w:t xml:space="preserve">Atunci când schimbul de date se efectuează în cadrul UE, se aplică standardele corespunzătoare, precum EPRIS, Prüm II, ECRIS, ECRIS-TCN sau SIS. Acestora li se aplică UMF. UMF stabilește o taxonomie a datelor stocate în evidențele poliției și ajută autoritățile naționale să își coreleze datele cu cele ale altor state membre și ale autorităților de aplicare a legii din cadrul Europol. </w:t>
            </w:r>
          </w:p>
        </w:tc>
      </w:tr>
      <w:tr>
        <w:tc>
          <w:tcPr>
            <w:tcW w:w="5997" w:type="dxa"/>
            <w:tcBorders>
              <w:bottom w:val="single" w:sz="4" w:space="0" w:color="auto"/>
            </w:tcBorders>
          </w:tcPr>
          <w:p>
            <w:pPr>
              <w:rPr>
                <w:rFonts w:eastAsia="Aptos"/>
                <w:noProof/>
              </w:rPr>
            </w:pPr>
            <w:r>
              <w:rPr>
                <w:noProof/>
              </w:rPr>
              <w:t>Bazele de date naționale ale poliției și justiției</w:t>
            </w:r>
          </w:p>
        </w:tc>
        <w:tc>
          <w:tcPr>
            <w:tcW w:w="7011" w:type="dxa"/>
            <w:tcBorders>
              <w:bottom w:val="single" w:sz="4" w:space="0" w:color="auto"/>
            </w:tcBorders>
          </w:tcPr>
          <w:p>
            <w:pPr>
              <w:spacing w:line="259" w:lineRule="auto"/>
              <w:rPr>
                <w:rFonts w:eastAsia="Aptos"/>
                <w:noProof/>
                <w:color w:val="000000"/>
              </w:rPr>
            </w:pPr>
            <w:r>
              <w:rPr>
                <w:noProof/>
                <w:color w:val="000000"/>
              </w:rPr>
              <w:t xml:space="preserve">Atunci când schimbul de date nu se efectuează în cadrul UE, predomină, de obicei, formatul bazelor de date naționale, deoarece implementarea UMF în sistemele naționale de gestionare a cazurilor nu a fost impusă ca obligatorie. </w:t>
            </w:r>
          </w:p>
          <w:p>
            <w:pPr>
              <w:rPr>
                <w:rFonts w:eastAsia="Aptos"/>
                <w:b/>
                <w:noProof/>
              </w:rPr>
            </w:pPr>
            <w:r>
              <w:rPr>
                <w:noProof/>
                <w:color w:val="000000"/>
              </w:rPr>
              <w:t>În esență, tipurile de date cuprinse în UMF sunt următoarele: Persoana (identitatea), descrierea fizică, profilul ADN, datele de recunoaștere facială, datele dactiloscopice, amprentele palmare, infracțiunea, documentul de călătorie/identificare/oficial, fotografia, arma, arma de foc, organizația, cauza penală, zborul/călătoria; mijloacele de plată, mijloacele de transport; contul și datele asociate, măsurile care trebuie luate în cazul identificării, condamnarea, sentința.</w:t>
            </w:r>
          </w:p>
        </w:tc>
      </w:tr>
      <w:tr>
        <w:tc>
          <w:tcPr>
            <w:tcW w:w="5997" w:type="dxa"/>
            <w:tcBorders>
              <w:right w:val="nil"/>
            </w:tcBorders>
          </w:tcPr>
          <w:p>
            <w:pPr>
              <w:rPr>
                <w:rFonts w:eastAsia="Aptos"/>
                <w:b/>
                <w:noProof/>
              </w:rPr>
            </w:pPr>
            <w:r>
              <w:rPr>
                <w:b/>
                <w:noProof/>
              </w:rPr>
              <w:t>Informații deținute de alte administrații</w:t>
            </w:r>
          </w:p>
        </w:tc>
        <w:tc>
          <w:tcPr>
            <w:tcW w:w="7011" w:type="dxa"/>
            <w:tcBorders>
              <w:left w:val="nil"/>
            </w:tcBorders>
          </w:tcPr>
          <w:p>
            <w:pPr>
              <w:rPr>
                <w:rFonts w:eastAsia="Aptos"/>
                <w:b/>
                <w:noProof/>
              </w:rPr>
            </w:pPr>
          </w:p>
        </w:tc>
      </w:tr>
      <w:tr>
        <w:tc>
          <w:tcPr>
            <w:tcW w:w="5997" w:type="dxa"/>
          </w:tcPr>
          <w:p>
            <w:pPr>
              <w:rPr>
                <w:rFonts w:eastAsia="Aptos"/>
                <w:noProof/>
              </w:rPr>
            </w:pPr>
            <w:r>
              <w:rPr>
                <w:noProof/>
                <w:color w:val="000000"/>
              </w:rPr>
              <w:t>Registrul civil</w:t>
            </w:r>
          </w:p>
        </w:tc>
        <w:tc>
          <w:tcPr>
            <w:tcW w:w="7011" w:type="dxa"/>
          </w:tcPr>
          <w:p>
            <w:pPr>
              <w:spacing w:line="259" w:lineRule="auto"/>
              <w:rPr>
                <w:rFonts w:eastAsia="Aptos"/>
                <w:noProof/>
                <w:color w:val="000000"/>
              </w:rPr>
            </w:pPr>
            <w:r>
              <w:rPr>
                <w:noProof/>
                <w:color w:val="000000"/>
              </w:rPr>
              <w:t>Regulamentul (UE) 2016/1191 – formulare standard multilingve (FSM)</w:t>
            </w:r>
          </w:p>
          <w:p>
            <w:pPr>
              <w:spacing w:line="259" w:lineRule="auto"/>
              <w:rPr>
                <w:rFonts w:eastAsia="Aptos"/>
                <w:noProof/>
                <w:color w:val="000000"/>
              </w:rPr>
            </w:pPr>
            <w:r>
              <w:rPr>
                <w:noProof/>
                <w:color w:val="000000"/>
              </w:rPr>
              <w:t>Rețeaua europeană de registre de stare civilă (ECRN) – schimbul transfrontalier securizat de date</w:t>
            </w:r>
          </w:p>
          <w:p>
            <w:pPr>
              <w:spacing w:line="259" w:lineRule="auto"/>
              <w:rPr>
                <w:rFonts w:eastAsia="Aptos"/>
                <w:noProof/>
                <w:color w:val="000000"/>
              </w:rPr>
            </w:pPr>
            <w:r>
              <w:rPr>
                <w:noProof/>
                <w:color w:val="000000"/>
              </w:rPr>
              <w:t>RISER – serviciu electronic uniform pentru accesul la registre</w:t>
            </w:r>
          </w:p>
          <w:p>
            <w:pPr>
              <w:rPr>
                <w:rFonts w:eastAsia="Aptos"/>
                <w:b/>
                <w:noProof/>
              </w:rPr>
            </w:pPr>
            <w:r>
              <w:rPr>
                <w:noProof/>
                <w:color w:val="000000"/>
              </w:rPr>
              <w:t>Alinierea la standardele CRVS ale ONU – câmpuri structurate, metadate, identificatori unici</w:t>
            </w:r>
          </w:p>
        </w:tc>
      </w:tr>
      <w:tr>
        <w:tc>
          <w:tcPr>
            <w:tcW w:w="5997" w:type="dxa"/>
            <w:tcBorders>
              <w:bottom w:val="single" w:sz="4" w:space="0" w:color="auto"/>
            </w:tcBorders>
          </w:tcPr>
          <w:p>
            <w:pPr>
              <w:rPr>
                <w:rFonts w:eastAsia="Aptos"/>
                <w:noProof/>
              </w:rPr>
            </w:pPr>
            <w:r>
              <w:rPr>
                <w:noProof/>
                <w:color w:val="000000"/>
              </w:rPr>
              <w:t>Document de călătorie/Carte de identitate</w:t>
            </w:r>
          </w:p>
        </w:tc>
        <w:tc>
          <w:tcPr>
            <w:tcW w:w="7011" w:type="dxa"/>
            <w:tcBorders>
              <w:bottom w:val="single" w:sz="4" w:space="0" w:color="auto"/>
            </w:tcBorders>
          </w:tcPr>
          <w:p>
            <w:pPr>
              <w:spacing w:line="259" w:lineRule="auto"/>
              <w:rPr>
                <w:rFonts w:eastAsia="Aptos"/>
                <w:noProof/>
                <w:color w:val="000000"/>
              </w:rPr>
            </w:pPr>
            <w:r>
              <w:rPr>
                <w:noProof/>
                <w:color w:val="000000"/>
              </w:rPr>
              <w:t>ICAO 9303</w:t>
            </w:r>
          </w:p>
          <w:p>
            <w:pPr>
              <w:spacing w:line="259" w:lineRule="auto"/>
              <w:rPr>
                <w:rFonts w:eastAsia="Aptos"/>
                <w:noProof/>
                <w:color w:val="000000"/>
              </w:rPr>
            </w:pPr>
            <w:r>
              <w:rPr>
                <w:noProof/>
                <w:color w:val="000000"/>
              </w:rPr>
              <w:t>Informații de călătorie</w:t>
            </w:r>
          </w:p>
          <w:p>
            <w:pPr>
              <w:spacing w:line="259" w:lineRule="auto"/>
              <w:rPr>
                <w:rFonts w:eastAsia="Aptos"/>
                <w:noProof/>
                <w:color w:val="000000"/>
              </w:rPr>
            </w:pPr>
            <w:r>
              <w:rPr>
                <w:noProof/>
                <w:color w:val="000000"/>
              </w:rPr>
              <w:t>Directiva PNR</w:t>
            </w:r>
          </w:p>
          <w:p>
            <w:pPr>
              <w:rPr>
                <w:rFonts w:eastAsia="Aptos"/>
                <w:b/>
                <w:noProof/>
              </w:rPr>
            </w:pPr>
            <w:r>
              <w:rPr>
                <w:noProof/>
                <w:color w:val="000000"/>
              </w:rPr>
              <w:t>Regulamentele API</w:t>
            </w:r>
          </w:p>
        </w:tc>
      </w:tr>
      <w:tr>
        <w:tc>
          <w:tcPr>
            <w:tcW w:w="5997" w:type="dxa"/>
            <w:tcBorders>
              <w:bottom w:val="single" w:sz="4" w:space="0" w:color="auto"/>
            </w:tcBorders>
          </w:tcPr>
          <w:p>
            <w:pPr>
              <w:rPr>
                <w:rFonts w:eastAsia="Aptos"/>
                <w:noProof/>
                <w:color w:val="000000"/>
              </w:rPr>
            </w:pPr>
            <w:r>
              <w:rPr>
                <w:noProof/>
                <w:color w:val="000000"/>
              </w:rPr>
              <w:t>Evidențe privind imigrația deținute de administrație</w:t>
            </w:r>
          </w:p>
        </w:tc>
        <w:tc>
          <w:tcPr>
            <w:tcW w:w="7011" w:type="dxa"/>
            <w:tcBorders>
              <w:bottom w:val="single" w:sz="4" w:space="0" w:color="auto"/>
            </w:tcBorders>
          </w:tcPr>
          <w:p>
            <w:pPr>
              <w:spacing w:line="259" w:lineRule="auto"/>
              <w:rPr>
                <w:rFonts w:eastAsia="Aptos"/>
                <w:noProof/>
                <w:color w:val="000000"/>
              </w:rPr>
            </w:pPr>
            <w:r>
              <w:rPr>
                <w:noProof/>
                <w:color w:val="000000"/>
              </w:rPr>
              <w:t>Bazele de date centrale ale UE: VIS, EURODAC, EES, ETIAS: standardele sunt stabilite de legislația corespunzătoare și ar trebui să respecte UMF.</w:t>
            </w:r>
          </w:p>
          <w:p>
            <w:pPr>
              <w:spacing w:line="259" w:lineRule="auto"/>
              <w:rPr>
                <w:rFonts w:eastAsia="Aptos"/>
                <w:noProof/>
                <w:color w:val="000000"/>
              </w:rPr>
            </w:pPr>
            <w:r>
              <w:rPr>
                <w:noProof/>
                <w:color w:val="000000"/>
              </w:rPr>
              <w:t xml:space="preserve">Datele deținute sunt legate de identitatea persoanelor, documentul de călătorie. </w:t>
            </w:r>
          </w:p>
          <w:p>
            <w:pPr>
              <w:spacing w:line="259" w:lineRule="auto"/>
              <w:rPr>
                <w:rFonts w:eastAsia="Aptos"/>
                <w:noProof/>
                <w:color w:val="000000"/>
              </w:rPr>
            </w:pPr>
            <w:r>
              <w:rPr>
                <w:noProof/>
                <w:color w:val="000000"/>
              </w:rPr>
              <w:t>De asemenea, se poate face schimb de informații din bazele de date naționale.</w:t>
            </w:r>
          </w:p>
        </w:tc>
      </w:tr>
      <w:tr>
        <w:tc>
          <w:tcPr>
            <w:tcW w:w="5997" w:type="dxa"/>
            <w:tcBorders>
              <w:bottom w:val="single" w:sz="4" w:space="0" w:color="auto"/>
            </w:tcBorders>
          </w:tcPr>
          <w:p>
            <w:pPr>
              <w:rPr>
                <w:rFonts w:eastAsia="Aptos"/>
                <w:noProof/>
                <w:color w:val="000000"/>
              </w:rPr>
            </w:pPr>
            <w:r>
              <w:rPr>
                <w:noProof/>
                <w:color w:val="000000"/>
              </w:rPr>
              <w:t>Registre ale bunurilor imobile sau sisteme electronice de extragere a datelor și registre funciare și cadastrale de la nivel național</w:t>
            </w:r>
          </w:p>
        </w:tc>
        <w:tc>
          <w:tcPr>
            <w:tcW w:w="7011" w:type="dxa"/>
            <w:tcBorders>
              <w:bottom w:val="single" w:sz="4" w:space="0" w:color="auto"/>
            </w:tcBorders>
          </w:tcPr>
          <w:p>
            <w:pPr>
              <w:spacing w:line="259" w:lineRule="auto"/>
              <w:rPr>
                <w:rFonts w:eastAsia="Aptos"/>
                <w:noProof/>
                <w:color w:val="000000"/>
              </w:rPr>
            </w:pPr>
          </w:p>
        </w:tc>
      </w:tr>
      <w:tr>
        <w:tc>
          <w:tcPr>
            <w:tcW w:w="5997" w:type="dxa"/>
            <w:tcBorders>
              <w:bottom w:val="single" w:sz="4" w:space="0" w:color="auto"/>
            </w:tcBorders>
          </w:tcPr>
          <w:p>
            <w:pPr>
              <w:rPr>
                <w:rFonts w:eastAsia="Aptos"/>
                <w:noProof/>
                <w:color w:val="000000"/>
              </w:rPr>
            </w:pPr>
            <w:r>
              <w:rPr>
                <w:noProof/>
                <w:color w:val="000000"/>
              </w:rPr>
              <w:t>Registre naționale de evidență a cetățeniei și a populației în ceea ce privește persoanele fizice</w:t>
            </w:r>
          </w:p>
        </w:tc>
        <w:tc>
          <w:tcPr>
            <w:tcW w:w="7011" w:type="dxa"/>
            <w:tcBorders>
              <w:bottom w:val="single" w:sz="4" w:space="0" w:color="auto"/>
            </w:tcBorders>
          </w:tcPr>
          <w:p>
            <w:pPr>
              <w:spacing w:line="259" w:lineRule="auto"/>
              <w:rPr>
                <w:rFonts w:eastAsia="Aptos"/>
                <w:noProof/>
                <w:color w:val="000000"/>
              </w:rPr>
            </w:pPr>
          </w:p>
        </w:tc>
      </w:tr>
      <w:tr>
        <w:tc>
          <w:tcPr>
            <w:tcW w:w="5997" w:type="dxa"/>
            <w:tcBorders>
              <w:bottom w:val="single" w:sz="4" w:space="0" w:color="auto"/>
            </w:tcBorders>
          </w:tcPr>
          <w:p>
            <w:pPr>
              <w:rPr>
                <w:rFonts w:eastAsia="Aptos"/>
                <w:noProof/>
                <w:color w:val="000000"/>
              </w:rPr>
            </w:pPr>
            <w:r>
              <w:rPr>
                <w:noProof/>
                <w:color w:val="000000"/>
              </w:rPr>
              <w:t>Registre naționale de autovehicule, aeronave și ambarcațiuni</w:t>
            </w:r>
          </w:p>
        </w:tc>
        <w:tc>
          <w:tcPr>
            <w:tcW w:w="7011" w:type="dxa"/>
            <w:tcBorders>
              <w:bottom w:val="single" w:sz="4" w:space="0" w:color="auto"/>
            </w:tcBorders>
          </w:tcPr>
          <w:p>
            <w:pPr>
              <w:spacing w:line="259" w:lineRule="auto"/>
              <w:rPr>
                <w:rFonts w:eastAsia="Aptos"/>
                <w:noProof/>
                <w:color w:val="000000"/>
              </w:rPr>
            </w:pPr>
            <w:r>
              <w:rPr>
                <w:noProof/>
                <w:color w:val="000000"/>
              </w:rPr>
              <w:t>SIS II, Prüm II</w:t>
            </w:r>
          </w:p>
        </w:tc>
      </w:tr>
      <w:tr>
        <w:tc>
          <w:tcPr>
            <w:tcW w:w="5997" w:type="dxa"/>
            <w:tcBorders>
              <w:bottom w:val="single" w:sz="4" w:space="0" w:color="auto"/>
            </w:tcBorders>
          </w:tcPr>
          <w:p>
            <w:pPr>
              <w:rPr>
                <w:rFonts w:eastAsia="Aptos"/>
                <w:noProof/>
                <w:color w:val="000000"/>
              </w:rPr>
            </w:pPr>
            <w:r>
              <w:rPr>
                <w:noProof/>
                <w:color w:val="000000"/>
              </w:rPr>
              <w:t>Registre comerciale, inclusiv registrele comerțului și ale societăților</w:t>
            </w:r>
          </w:p>
        </w:tc>
        <w:tc>
          <w:tcPr>
            <w:tcW w:w="7011" w:type="dxa"/>
            <w:tcBorders>
              <w:bottom w:val="single" w:sz="4" w:space="0" w:color="auto"/>
            </w:tcBorders>
          </w:tcPr>
          <w:p>
            <w:pPr>
              <w:spacing w:line="259" w:lineRule="auto"/>
              <w:rPr>
                <w:rFonts w:eastAsia="Aptos"/>
                <w:noProof/>
                <w:color w:val="000000"/>
              </w:rPr>
            </w:pPr>
          </w:p>
        </w:tc>
      </w:tr>
      <w:tr>
        <w:tc>
          <w:tcPr>
            <w:tcW w:w="5997" w:type="dxa"/>
            <w:tcBorders>
              <w:bottom w:val="single" w:sz="4" w:space="0" w:color="auto"/>
            </w:tcBorders>
          </w:tcPr>
          <w:p>
            <w:pPr>
              <w:rPr>
                <w:rFonts w:eastAsia="Aptos"/>
                <w:noProof/>
                <w:color w:val="000000"/>
              </w:rPr>
            </w:pPr>
            <w:r>
              <w:rPr>
                <w:noProof/>
                <w:color w:val="000000"/>
              </w:rPr>
              <w:t>Date fiscal-bugetare, inclusiv date deținute de autoritățile fiscale</w:t>
            </w:r>
          </w:p>
        </w:tc>
        <w:tc>
          <w:tcPr>
            <w:tcW w:w="7011" w:type="dxa"/>
            <w:tcBorders>
              <w:bottom w:val="single" w:sz="4" w:space="0" w:color="auto"/>
            </w:tcBorders>
          </w:tcPr>
          <w:p>
            <w:pPr>
              <w:spacing w:line="259" w:lineRule="auto"/>
              <w:rPr>
                <w:rFonts w:eastAsia="Aptos"/>
                <w:noProof/>
                <w:color w:val="000000"/>
              </w:rPr>
            </w:pPr>
          </w:p>
        </w:tc>
      </w:tr>
      <w:tr>
        <w:tc>
          <w:tcPr>
            <w:tcW w:w="5997" w:type="dxa"/>
            <w:tcBorders>
              <w:bottom w:val="single" w:sz="4" w:space="0" w:color="auto"/>
            </w:tcBorders>
          </w:tcPr>
          <w:p>
            <w:pPr>
              <w:rPr>
                <w:rFonts w:eastAsia="Aptos"/>
                <w:noProof/>
                <w:color w:val="000000"/>
              </w:rPr>
            </w:pPr>
            <w:r>
              <w:rPr>
                <w:noProof/>
                <w:color w:val="000000"/>
              </w:rPr>
              <w:t>Date naționale privind securitatea socială</w:t>
            </w:r>
          </w:p>
        </w:tc>
        <w:tc>
          <w:tcPr>
            <w:tcW w:w="7011" w:type="dxa"/>
            <w:tcBorders>
              <w:bottom w:val="single" w:sz="4" w:space="0" w:color="auto"/>
            </w:tcBorders>
          </w:tcPr>
          <w:p>
            <w:pPr>
              <w:spacing w:line="259" w:lineRule="auto"/>
              <w:rPr>
                <w:rFonts w:eastAsia="Aptos"/>
                <w:noProof/>
                <w:color w:val="000000"/>
              </w:rPr>
            </w:pPr>
          </w:p>
        </w:tc>
      </w:tr>
      <w:tr>
        <w:tc>
          <w:tcPr>
            <w:tcW w:w="5997" w:type="dxa"/>
            <w:tcBorders>
              <w:right w:val="nil"/>
            </w:tcBorders>
          </w:tcPr>
          <w:p>
            <w:pPr>
              <w:rPr>
                <w:rFonts w:eastAsia="Aptos"/>
                <w:b/>
                <w:noProof/>
              </w:rPr>
            </w:pPr>
            <w:r>
              <w:rPr>
                <w:b/>
                <w:noProof/>
              </w:rPr>
              <w:t>Informații deținute de autorități private</w:t>
            </w:r>
          </w:p>
        </w:tc>
        <w:tc>
          <w:tcPr>
            <w:tcW w:w="7011" w:type="dxa"/>
            <w:tcBorders>
              <w:left w:val="nil"/>
            </w:tcBorders>
          </w:tcPr>
          <w:p>
            <w:pPr>
              <w:rPr>
                <w:rFonts w:eastAsia="Aptos"/>
                <w:b/>
                <w:noProof/>
              </w:rPr>
            </w:pPr>
          </w:p>
        </w:tc>
      </w:tr>
      <w:tr>
        <w:tc>
          <w:tcPr>
            <w:tcW w:w="5997" w:type="dxa"/>
          </w:tcPr>
          <w:p>
            <w:pPr>
              <w:rPr>
                <w:rFonts w:eastAsia="Aptos"/>
                <w:noProof/>
              </w:rPr>
            </w:pPr>
            <w:r>
              <w:rPr>
                <w:noProof/>
                <w:color w:val="000000"/>
              </w:rPr>
              <w:t>Informații privind conturile bancare</w:t>
            </w:r>
          </w:p>
        </w:tc>
        <w:tc>
          <w:tcPr>
            <w:tcW w:w="7011" w:type="dxa"/>
          </w:tcPr>
          <w:p>
            <w:pPr>
              <w:rPr>
                <w:rFonts w:eastAsia="Aptos"/>
                <w:b/>
                <w:noProof/>
              </w:rPr>
            </w:pPr>
            <w:r>
              <w:rPr>
                <w:noProof/>
                <w:color w:val="000000"/>
              </w:rPr>
              <w:t>În temeiul Directivei (UE) 2024/1640,</w:t>
            </w:r>
          </w:p>
        </w:tc>
      </w:tr>
      <w:tr>
        <w:tc>
          <w:tcPr>
            <w:tcW w:w="5997" w:type="dxa"/>
          </w:tcPr>
          <w:p>
            <w:pPr>
              <w:rPr>
                <w:rFonts w:eastAsia="Aptos"/>
                <w:noProof/>
              </w:rPr>
            </w:pPr>
            <w:r>
              <w:rPr>
                <w:noProof/>
                <w:color w:val="000000"/>
              </w:rPr>
              <w:t>Evidențe ale tranzacțiilor</w:t>
            </w:r>
          </w:p>
        </w:tc>
        <w:tc>
          <w:tcPr>
            <w:tcW w:w="7011" w:type="dxa"/>
          </w:tcPr>
          <w:p>
            <w:pPr>
              <w:rPr>
                <w:rFonts w:eastAsia="Aptos"/>
                <w:b/>
                <w:noProof/>
              </w:rPr>
            </w:pPr>
          </w:p>
        </w:tc>
      </w:tr>
      <w:tr>
        <w:tc>
          <w:tcPr>
            <w:tcW w:w="5997" w:type="dxa"/>
          </w:tcPr>
          <w:p>
            <w:pPr>
              <w:rPr>
                <w:rFonts w:eastAsia="Aptos"/>
                <w:noProof/>
              </w:rPr>
            </w:pPr>
            <w:r>
              <w:rPr>
                <w:noProof/>
                <w:color w:val="000000"/>
              </w:rPr>
              <w:t>Informații privind ipotecile și împrumuturile</w:t>
            </w:r>
          </w:p>
        </w:tc>
        <w:tc>
          <w:tcPr>
            <w:tcW w:w="7011" w:type="dxa"/>
          </w:tcPr>
          <w:p>
            <w:pPr>
              <w:rPr>
                <w:rFonts w:eastAsia="Aptos"/>
                <w:b/>
                <w:noProof/>
              </w:rPr>
            </w:pPr>
          </w:p>
        </w:tc>
      </w:tr>
      <w:tr>
        <w:tc>
          <w:tcPr>
            <w:tcW w:w="5997" w:type="dxa"/>
          </w:tcPr>
          <w:p>
            <w:pPr>
              <w:rPr>
                <w:rFonts w:eastAsia="Aptos"/>
                <w:noProof/>
              </w:rPr>
            </w:pPr>
            <w:r>
              <w:rPr>
                <w:noProof/>
                <w:color w:val="000000"/>
              </w:rPr>
              <w:t>informații conținute în bazele de date privind moneda națională și în bazele de date privind schimbul valutar</w:t>
            </w:r>
          </w:p>
        </w:tc>
        <w:tc>
          <w:tcPr>
            <w:tcW w:w="7011" w:type="dxa"/>
          </w:tcPr>
          <w:p>
            <w:pPr>
              <w:rPr>
                <w:rFonts w:eastAsia="Aptos"/>
                <w:b/>
                <w:noProof/>
              </w:rPr>
            </w:pPr>
          </w:p>
        </w:tc>
      </w:tr>
      <w:tr>
        <w:tc>
          <w:tcPr>
            <w:tcW w:w="5997" w:type="dxa"/>
          </w:tcPr>
          <w:p>
            <w:pPr>
              <w:rPr>
                <w:rFonts w:eastAsia="Aptos"/>
                <w:noProof/>
              </w:rPr>
            </w:pPr>
            <w:r>
              <w:rPr>
                <w:noProof/>
                <w:color w:val="000000"/>
              </w:rPr>
              <w:t>Informații referitoare la garanții</w:t>
            </w:r>
          </w:p>
        </w:tc>
        <w:tc>
          <w:tcPr>
            <w:tcW w:w="7011" w:type="dxa"/>
          </w:tcPr>
          <w:p>
            <w:pPr>
              <w:rPr>
                <w:rFonts w:eastAsia="Aptos"/>
                <w:b/>
                <w:noProof/>
              </w:rPr>
            </w:pPr>
          </w:p>
        </w:tc>
      </w:tr>
      <w:tr>
        <w:tc>
          <w:tcPr>
            <w:tcW w:w="5997" w:type="dxa"/>
          </w:tcPr>
          <w:p>
            <w:pPr>
              <w:rPr>
                <w:rFonts w:eastAsia="Aptos"/>
                <w:noProof/>
              </w:rPr>
            </w:pPr>
            <w:r>
              <w:rPr>
                <w:noProof/>
                <w:color w:val="000000"/>
              </w:rPr>
              <w:t>Date vamale, inclusiv transferurile fizice transfrontaliere de numerar</w:t>
            </w:r>
          </w:p>
        </w:tc>
        <w:tc>
          <w:tcPr>
            <w:tcW w:w="7011" w:type="dxa"/>
          </w:tcPr>
          <w:p>
            <w:pPr>
              <w:rPr>
                <w:rFonts w:eastAsia="Aptos"/>
                <w:b/>
                <w:noProof/>
              </w:rPr>
            </w:pPr>
          </w:p>
        </w:tc>
      </w:tr>
      <w:tr>
        <w:tc>
          <w:tcPr>
            <w:tcW w:w="5997" w:type="dxa"/>
          </w:tcPr>
          <w:p>
            <w:pPr>
              <w:rPr>
                <w:rFonts w:eastAsia="Aptos"/>
                <w:noProof/>
              </w:rPr>
            </w:pPr>
            <w:r>
              <w:rPr>
                <w:noProof/>
                <w:color w:val="000000"/>
              </w:rPr>
              <w:t>Informații privind situațiile financiare anuale ale societăților</w:t>
            </w:r>
          </w:p>
        </w:tc>
        <w:tc>
          <w:tcPr>
            <w:tcW w:w="7011" w:type="dxa"/>
          </w:tcPr>
          <w:p>
            <w:pPr>
              <w:rPr>
                <w:rFonts w:eastAsia="Aptos"/>
                <w:b/>
                <w:noProof/>
              </w:rPr>
            </w:pPr>
          </w:p>
        </w:tc>
      </w:tr>
      <w:tr>
        <w:tc>
          <w:tcPr>
            <w:tcW w:w="5997" w:type="dxa"/>
          </w:tcPr>
          <w:p>
            <w:pPr>
              <w:rPr>
                <w:rFonts w:eastAsia="Aptos"/>
                <w:noProof/>
              </w:rPr>
            </w:pPr>
            <w:r>
              <w:rPr>
                <w:noProof/>
                <w:color w:val="000000"/>
              </w:rPr>
              <w:t>Informații privind transferurile electronice de fonduri și soldurile conturilor</w:t>
            </w:r>
          </w:p>
        </w:tc>
        <w:tc>
          <w:tcPr>
            <w:tcW w:w="7011" w:type="dxa"/>
          </w:tcPr>
          <w:p>
            <w:pPr>
              <w:rPr>
                <w:rFonts w:eastAsia="Aptos"/>
                <w:b/>
                <w:noProof/>
              </w:rPr>
            </w:pPr>
          </w:p>
        </w:tc>
      </w:tr>
      <w:tr>
        <w:tc>
          <w:tcPr>
            <w:tcW w:w="5997" w:type="dxa"/>
          </w:tcPr>
          <w:p>
            <w:pPr>
              <w:rPr>
                <w:rFonts w:eastAsia="Aptos"/>
                <w:noProof/>
              </w:rPr>
            </w:pPr>
            <w:r>
              <w:rPr>
                <w:noProof/>
                <w:color w:val="000000"/>
              </w:rPr>
              <w:t>Informații privind conturile de criptoactive și transferurile de criptoactive</w:t>
            </w:r>
          </w:p>
        </w:tc>
        <w:tc>
          <w:tcPr>
            <w:tcW w:w="7011" w:type="dxa"/>
          </w:tcPr>
          <w:p>
            <w:pPr>
              <w:rPr>
                <w:rFonts w:eastAsia="Aptos"/>
                <w:b/>
                <w:noProof/>
              </w:rPr>
            </w:pPr>
            <w:r>
              <w:rPr>
                <w:noProof/>
                <w:color w:val="000000"/>
              </w:rPr>
              <w:t>Astfel cum sunt definite la articolul 3 din Regulamentul (UE) 2023/1113 al Parlamentului European și al Consiliului (44).</w:t>
            </w:r>
          </w:p>
        </w:tc>
      </w:tr>
      <w:tr>
        <w:tc>
          <w:tcPr>
            <w:tcW w:w="5997" w:type="dxa"/>
            <w:tcBorders>
              <w:right w:val="nil"/>
            </w:tcBorders>
          </w:tcPr>
          <w:p>
            <w:pPr>
              <w:rPr>
                <w:rFonts w:eastAsia="Aptos"/>
                <w:b/>
                <w:noProof/>
              </w:rPr>
            </w:pPr>
            <w:r>
              <w:rPr>
                <w:b/>
                <w:noProof/>
              </w:rPr>
              <w:t>OSINT</w:t>
            </w:r>
          </w:p>
        </w:tc>
        <w:tc>
          <w:tcPr>
            <w:tcW w:w="7011" w:type="dxa"/>
            <w:tcBorders>
              <w:left w:val="nil"/>
            </w:tcBorders>
          </w:tcPr>
          <w:p>
            <w:pPr>
              <w:rPr>
                <w:rFonts w:eastAsia="Aptos"/>
                <w:b/>
                <w:noProof/>
              </w:rPr>
            </w:pPr>
          </w:p>
        </w:tc>
      </w:tr>
      <w:tr>
        <w:tc>
          <w:tcPr>
            <w:tcW w:w="5997" w:type="dxa"/>
          </w:tcPr>
          <w:p>
            <w:pPr>
              <w:rPr>
                <w:rFonts w:eastAsia="Aptos"/>
                <w:noProof/>
              </w:rPr>
            </w:pPr>
          </w:p>
        </w:tc>
        <w:tc>
          <w:tcPr>
            <w:tcW w:w="7011" w:type="dxa"/>
          </w:tcPr>
          <w:p>
            <w:pPr>
              <w:rPr>
                <w:rFonts w:eastAsia="Aptos"/>
                <w:b/>
                <w:noProof/>
              </w:rPr>
            </w:pPr>
            <w:r>
              <w:rPr>
                <w:noProof/>
                <w:color w:val="000000"/>
              </w:rPr>
              <w:t>În funcție de formatul multimedia aplicabil</w:t>
            </w:r>
          </w:p>
        </w:tc>
      </w:tr>
      <w:tr>
        <w:tc>
          <w:tcPr>
            <w:tcW w:w="5997" w:type="dxa"/>
            <w:tcBorders>
              <w:right w:val="nil"/>
            </w:tcBorders>
          </w:tcPr>
          <w:p>
            <w:pPr>
              <w:rPr>
                <w:rFonts w:eastAsia="Aptos"/>
                <w:b/>
                <w:noProof/>
              </w:rPr>
            </w:pPr>
            <w:r>
              <w:rPr>
                <w:b/>
                <w:noProof/>
              </w:rPr>
              <w:t>Probe digitale</w:t>
            </w:r>
          </w:p>
        </w:tc>
        <w:tc>
          <w:tcPr>
            <w:tcW w:w="7011" w:type="dxa"/>
            <w:tcBorders>
              <w:left w:val="nil"/>
            </w:tcBorders>
          </w:tcPr>
          <w:p>
            <w:pPr>
              <w:rPr>
                <w:rFonts w:eastAsia="Aptos"/>
                <w:b/>
                <w:noProof/>
              </w:rPr>
            </w:pPr>
          </w:p>
        </w:tc>
      </w:tr>
      <w:tr>
        <w:tc>
          <w:tcPr>
            <w:tcW w:w="5997" w:type="dxa"/>
          </w:tcPr>
          <w:p>
            <w:pPr>
              <w:rPr>
                <w:rFonts w:eastAsia="Aptos"/>
                <w:noProof/>
              </w:rPr>
            </w:pPr>
            <w:r>
              <w:rPr>
                <w:noProof/>
              </w:rPr>
              <w:t>Interceptare legală</w:t>
            </w:r>
          </w:p>
        </w:tc>
        <w:tc>
          <w:tcPr>
            <w:tcW w:w="7011" w:type="dxa"/>
          </w:tcPr>
          <w:p>
            <w:pPr>
              <w:rPr>
                <w:rFonts w:eastAsia="Aptos"/>
                <w:noProof/>
              </w:rPr>
            </w:pPr>
            <w:r>
              <w:rPr>
                <w:noProof/>
              </w:rPr>
              <w:t>ETSI TS 103 705, ETSI TS 104 007</w:t>
            </w:r>
          </w:p>
        </w:tc>
      </w:tr>
      <w:tr>
        <w:tc>
          <w:tcPr>
            <w:tcW w:w="5997" w:type="dxa"/>
          </w:tcPr>
          <w:p>
            <w:pPr>
              <w:rPr>
                <w:rFonts w:eastAsia="Aptos"/>
                <w:noProof/>
              </w:rPr>
            </w:pPr>
            <w:r>
              <w:rPr>
                <w:noProof/>
                <w:color w:val="000000"/>
              </w:rPr>
              <w:t>Metadate privind comunicațiile</w:t>
            </w:r>
          </w:p>
        </w:tc>
        <w:tc>
          <w:tcPr>
            <w:tcW w:w="7011" w:type="dxa"/>
          </w:tcPr>
          <w:p>
            <w:pPr>
              <w:rPr>
                <w:rFonts w:eastAsia="Aptos"/>
                <w:noProof/>
              </w:rPr>
            </w:pPr>
            <w:r>
              <w:rPr>
                <w:noProof/>
              </w:rPr>
              <w:t>Standardele ETSI aplicabile</w:t>
            </w:r>
          </w:p>
        </w:tc>
      </w:tr>
      <w:tr>
        <w:tc>
          <w:tcPr>
            <w:tcW w:w="5997" w:type="dxa"/>
          </w:tcPr>
          <w:p>
            <w:pPr>
              <w:rPr>
                <w:rFonts w:eastAsia="Aptos"/>
                <w:noProof/>
              </w:rPr>
            </w:pPr>
            <w:r>
              <w:rPr>
                <w:noProof/>
              </w:rPr>
              <w:t>Înregistrare video</w:t>
            </w:r>
          </w:p>
        </w:tc>
        <w:tc>
          <w:tcPr>
            <w:tcW w:w="7011" w:type="dxa"/>
          </w:tcPr>
          <w:p>
            <w:pPr>
              <w:rPr>
                <w:rFonts w:eastAsia="Aptos"/>
                <w:b/>
                <w:noProof/>
              </w:rPr>
            </w:pPr>
            <w:r>
              <w:rPr>
                <w:noProof/>
                <w:color w:val="000000"/>
              </w:rPr>
              <w:t>În funcție de formatul multimedia aplicabil</w:t>
            </w:r>
          </w:p>
        </w:tc>
      </w:tr>
      <w:tr>
        <w:tc>
          <w:tcPr>
            <w:tcW w:w="5997" w:type="dxa"/>
          </w:tcPr>
          <w:p>
            <w:pPr>
              <w:rPr>
                <w:rFonts w:eastAsia="Aptos"/>
                <w:b/>
                <w:noProof/>
              </w:rPr>
            </w:pPr>
            <w:r>
              <w:rPr>
                <w:b/>
                <w:noProof/>
              </w:rPr>
              <w:t>Raport operațional</w:t>
            </w:r>
          </w:p>
        </w:tc>
        <w:tc>
          <w:tcPr>
            <w:tcW w:w="7011" w:type="dxa"/>
          </w:tcPr>
          <w:p>
            <w:pPr>
              <w:rPr>
                <w:rFonts w:eastAsia="Aptos"/>
                <w:i/>
                <w:noProof/>
              </w:rPr>
            </w:pPr>
          </w:p>
        </w:tc>
      </w:tr>
      <w:tr>
        <w:tc>
          <w:tcPr>
            <w:tcW w:w="5997" w:type="dxa"/>
          </w:tcPr>
          <w:p>
            <w:pPr>
              <w:rPr>
                <w:rFonts w:eastAsia="Aptos"/>
                <w:b/>
                <w:noProof/>
              </w:rPr>
            </w:pPr>
            <w:r>
              <w:rPr>
                <w:b/>
                <w:noProof/>
              </w:rPr>
              <w:t>Raport strategic</w:t>
            </w:r>
          </w:p>
        </w:tc>
        <w:tc>
          <w:tcPr>
            <w:tcW w:w="7011" w:type="dxa"/>
          </w:tcPr>
          <w:p>
            <w:pPr>
              <w:rPr>
                <w:rFonts w:eastAsia="Aptos"/>
                <w:b/>
                <w:noProof/>
              </w:rPr>
            </w:pPr>
          </w:p>
        </w:tc>
      </w:tr>
      <w:tr>
        <w:tc>
          <w:tcPr>
            <w:tcW w:w="5997" w:type="dxa"/>
          </w:tcPr>
          <w:p>
            <w:pPr>
              <w:rPr>
                <w:rFonts w:eastAsia="Aptos"/>
                <w:b/>
                <w:noProof/>
              </w:rPr>
            </w:pPr>
            <w:r>
              <w:rPr>
                <w:b/>
                <w:noProof/>
              </w:rPr>
              <w:t>Raport administrativ</w:t>
            </w:r>
          </w:p>
        </w:tc>
        <w:tc>
          <w:tcPr>
            <w:tcW w:w="7011" w:type="dxa"/>
          </w:tcPr>
          <w:p>
            <w:pPr>
              <w:rPr>
                <w:rFonts w:eastAsia="Aptos"/>
                <w:b/>
                <w:noProof/>
              </w:rPr>
            </w:pPr>
          </w:p>
        </w:tc>
      </w:tr>
    </w:tbl>
    <w:p>
      <w:pPr>
        <w:rPr>
          <w:rFonts w:eastAsia="Times New Roman"/>
          <w:noProof/>
          <w:color w:val="000000" w:themeColor="text1"/>
        </w:rPr>
      </w:pPr>
    </w:p>
    <w:p>
      <w:pPr>
        <w:rPr>
          <w:rFonts w:eastAsia="Times New Roman"/>
          <w:noProof/>
          <w:color w:val="000000" w:themeColor="text1"/>
          <w:u w:val="single"/>
        </w:rPr>
      </w:pPr>
      <w:r>
        <w:rPr>
          <w:b/>
          <w:noProof/>
          <w:color w:val="000000" w:themeColor="text1"/>
          <w:u w:val="single"/>
        </w:rPr>
        <w:t>Alinierea la Strategia europeană privind datele</w:t>
      </w:r>
    </w:p>
    <w:p>
      <w:pPr>
        <w:rPr>
          <w:rFonts w:eastAsia="Times New Roman"/>
          <w:noProof/>
          <w:color w:val="000000" w:themeColor="text1"/>
        </w:rPr>
      </w:pPr>
      <w:r>
        <w:rPr>
          <w:i/>
          <w:noProof/>
          <w:color w:val="000000" w:themeColor="text1"/>
        </w:rPr>
        <w:t>Explicație privind modul în care cerința (cerințele) este (sunt) aliniată (aliniate) la Strategia europeană privind datele</w:t>
      </w:r>
    </w:p>
    <w:p>
      <w:pPr>
        <w:rPr>
          <w:rFonts w:eastAsia="Times New Roman"/>
          <w:noProof/>
          <w:color w:val="000000" w:themeColor="text1"/>
        </w:rPr>
      </w:pPr>
      <w:r>
        <w:rPr>
          <w:b/>
          <w:noProof/>
          <w:color w:val="000000" w:themeColor="text1"/>
        </w:rPr>
        <w:t>Propunerea de revizuire a mandatului Europol se aliniază pe deplin la Regulamentul (UE) 2018/1725</w:t>
      </w:r>
      <w:r>
        <w:rPr>
          <w:noProof/>
          <w:color w:val="000000" w:themeColor="text1"/>
        </w:rPr>
        <w:t xml:space="preserve"> (RPDUE), integrând principiile sale de bază în cadrul operațional al Europol și abordând în același timp nevoile specifice ale cooperării în materie de aplicare a legii. Textul supune în mod explicit prelucrarea datelor cu caracter personal de către Europol cerințelor prevăzute la articolul 98 alineatul (1) din RPDUE, integrând în cadrul său juridic obligații esențiale, cum ar fi legalitatea, limitarea scopului și reducerea la minimum a datelor. Articolul 32 alineatul (2) restricționează prelucrarea datelor la scopuri predefinite – cum ar fi verificarea încrucișată, analiza operațională și cercetarea – care reflectă în mod direct cerința RPDUE ca datele cu caracter personal să fie colectate în scopuri specificate, explicite și legitime. În mod similar, principiul limitării stocării este consolidat prin articolul 101, care impune Europol să reevalueze necesitatea păstrării datelor la fiecare trei ani și stabilește o perioadă maximă de stocare de cinci ani, în conformitate cu articolul 4 din RPDUE. Propunerea include, de asemenea, mecanismele de responsabilitate din RPDUE, cum ar fi cerința privind evaluările impactului asupra protecției datelor (EIPD) pentru prelucrarea cu grad ridicat de risc [articolul 102 alineatul (3)] și obligația de a consulta Autoritatea Europeană pentru Protecția Datelor (AEPD) înainte de a începe noi tipuri de prelucrare (articolul 108), reflectând articolul 90 din RPDUE. În plus, textul asigură respectarea dispozițiilor RPDUE privind drepturile persoanelor vizate, inclusiv accesul, rectificarea și ștergerea (articolele 105-106), îndeplinind obligațiile de documentare și de transparență ale RPDUE (articolul 98). Prin integrarea sistematică a acestor cerințe de fond, propunerea garantează că capacitățile operaționale extinse ale Europol rămân pe deplin conforme cu standardele solide de protecție a datelor prevăzute în RPDUE.</w:t>
      </w:r>
    </w:p>
    <w:p>
      <w:pPr>
        <w:rPr>
          <w:rFonts w:eastAsia="Times New Roman"/>
          <w:noProof/>
          <w:color w:val="000000" w:themeColor="text1"/>
        </w:rPr>
      </w:pPr>
      <w:r>
        <w:rPr>
          <w:b/>
          <w:noProof/>
          <w:color w:val="000000" w:themeColor="text1"/>
        </w:rPr>
        <w:t>Regulamentul privind datele</w:t>
      </w:r>
      <w:r>
        <w:rPr>
          <w:b/>
          <w:noProof/>
          <w:color w:val="000000" w:themeColor="text1"/>
          <w:vertAlign w:val="superscript"/>
        </w:rPr>
        <w:t>59</w:t>
      </w:r>
      <w:r>
        <w:rPr>
          <w:b/>
          <w:noProof/>
          <w:color w:val="000000" w:themeColor="text1"/>
        </w:rPr>
        <w:t xml:space="preserve"> nu se aplică</w:t>
      </w:r>
      <w:r>
        <w:rPr>
          <w:noProof/>
          <w:color w:val="000000" w:themeColor="text1"/>
        </w:rPr>
        <w:t xml:space="preserve"> prezentei propuneri, deoarece în propunere nu este prevăzută nicio obligație care să impună întreprinderilor să pună datele la dispoziția altor întreprinderi.</w:t>
      </w:r>
    </w:p>
    <w:p>
      <w:pPr>
        <w:rPr>
          <w:rFonts w:eastAsia="Times New Roman"/>
          <w:noProof/>
          <w:color w:val="000000" w:themeColor="text1"/>
        </w:rPr>
      </w:pPr>
      <w:r>
        <w:rPr>
          <w:noProof/>
          <w:color w:val="000000" w:themeColor="text1"/>
        </w:rPr>
        <w:t xml:space="preserve">Europol va promova elaborarea unor </w:t>
      </w:r>
      <w:r>
        <w:rPr>
          <w:b/>
          <w:noProof/>
          <w:color w:val="000000" w:themeColor="text1"/>
        </w:rPr>
        <w:t>standarde comune în materie de date</w:t>
      </w:r>
      <w:r>
        <w:rPr>
          <w:noProof/>
          <w:color w:val="000000" w:themeColor="text1"/>
        </w:rPr>
        <w:t xml:space="preserve"> în toate statele membre ale UE, în ceea ce privește produsele analitice strategice (articolul 7), schimbul de informații în materie penală, în special în ceea ce privește ADN-ul, precum și tehnicile criminalistice și de analiză a datelor, în timp ce politica nu se referă la informațiile din sectorul public în sine care pot fi reutilizate, astfel cum se propune în Directiva privind datele deschise</w:t>
      </w:r>
      <w:r>
        <w:rPr>
          <w:noProof/>
          <w:color w:val="000000" w:themeColor="text1"/>
          <w:vertAlign w:val="superscript"/>
        </w:rPr>
        <w:t>60</w:t>
      </w:r>
      <w:r>
        <w:rPr>
          <w:noProof/>
          <w:color w:val="000000" w:themeColor="text1"/>
        </w:rPr>
        <w:t xml:space="preserve">, în special din motive de siguranță publică. </w:t>
      </w:r>
    </w:p>
    <w:p>
      <w:pPr>
        <w:rPr>
          <w:rFonts w:eastAsia="Times New Roman"/>
          <w:noProof/>
          <w:color w:val="000000" w:themeColor="text1"/>
        </w:rPr>
      </w:pPr>
      <w:r>
        <w:rPr>
          <w:b/>
          <w:noProof/>
          <w:color w:val="000000" w:themeColor="text1"/>
        </w:rPr>
        <w:t>Spațiul comun de date al poliției</w:t>
      </w:r>
      <w:r>
        <w:rPr>
          <w:noProof/>
          <w:color w:val="000000" w:themeColor="text1"/>
        </w:rPr>
        <w:t xml:space="preserve"> prezentat în propunere va fi spațiul comun în care investigatorii vor putea aduce informații comune privind investigațiile pentru analiza operațională și va constitui un factor important pentru susținerea activităților de cercetare și inovare ale Europol (articolul 60) pentru antrenarea, dezvoltarea, testarea și validarea capacităților analitice și criminalistice avansate în spațiile de testare în materie de reglementare, în conformitate cu Regulamentul privind IA. Atât spațiul comun de date al poliției, cât și activitățile de C&amp;I vor beneficia de capacitățile scalabile de stocare și prelucrare ale infrastructurii de cloud a Europol. Aceste trei componente contribuie la apariția unui spațiu comun al datelor privind asigurarea respectării legii.</w:t>
      </w:r>
    </w:p>
    <w:p>
      <w:pPr>
        <w:rPr>
          <w:rFonts w:eastAsia="Times New Roman"/>
          <w:noProof/>
          <w:color w:val="000000" w:themeColor="text1"/>
        </w:rPr>
      </w:pPr>
      <w:r>
        <w:rPr>
          <w:noProof/>
          <w:color w:val="000000" w:themeColor="text1"/>
        </w:rPr>
        <w:t xml:space="preserve">Furnizarea </w:t>
      </w:r>
      <w:r>
        <w:rPr>
          <w:b/>
          <w:noProof/>
          <w:color w:val="000000" w:themeColor="text1"/>
        </w:rPr>
        <w:t>actului privind guvernanța datelor</w:t>
      </w:r>
      <w:r>
        <w:rPr>
          <w:b/>
          <w:noProof/>
          <w:color w:val="000000" w:themeColor="text1"/>
          <w:vertAlign w:val="superscript"/>
        </w:rPr>
        <w:t>61</w:t>
      </w:r>
      <w:r>
        <w:rPr>
          <w:noProof/>
          <w:color w:val="000000" w:themeColor="text1"/>
        </w:rPr>
        <w:t xml:space="preserve"> în vederea transferului către țări terțe nu se aplică în ceea ce privește activitatea de aplicare a legii.</w:t>
      </w:r>
    </w:p>
    <w:p>
      <w:pPr>
        <w:rPr>
          <w:rFonts w:eastAsia="Times New Roman"/>
          <w:noProof/>
          <w:color w:val="000000" w:themeColor="text1"/>
        </w:rPr>
      </w:pPr>
    </w:p>
    <w:p>
      <w:pPr>
        <w:rPr>
          <w:rFonts w:eastAsia="Times New Roman"/>
          <w:noProof/>
          <w:color w:val="000000" w:themeColor="text1"/>
          <w:u w:val="single"/>
        </w:rPr>
      </w:pPr>
      <w:r>
        <w:rPr>
          <w:b/>
          <w:noProof/>
          <w:color w:val="000000" w:themeColor="text1"/>
          <w:u w:val="single"/>
        </w:rPr>
        <w:t>Alinierea la principiul „doar o singură dată”</w:t>
      </w:r>
    </w:p>
    <w:p>
      <w:pPr>
        <w:rPr>
          <w:rFonts w:eastAsia="Times New Roman"/>
          <w:noProof/>
          <w:color w:val="000000" w:themeColor="text1"/>
        </w:rPr>
      </w:pPr>
      <w:r>
        <w:rPr>
          <w:i/>
          <w:noProof/>
          <w:color w:val="000000" w:themeColor="text1"/>
        </w:rPr>
        <w:t>Explicarea modului în care a fost luat în considerare principiul „doar o singură dată” și a modului în care a fost explorată posibilitatea de reutilizare a datelor existente</w:t>
      </w:r>
    </w:p>
    <w:p>
      <w:pPr>
        <w:rPr>
          <w:rFonts w:eastAsia="Times New Roman"/>
          <w:noProof/>
          <w:color w:val="000000" w:themeColor="text1"/>
        </w:rPr>
      </w:pPr>
      <w:r>
        <w:rPr>
          <w:b/>
          <w:noProof/>
          <w:color w:val="000000" w:themeColor="text1"/>
        </w:rPr>
        <w:t>Solicitările de informații adresate de Europol părților private</w:t>
      </w:r>
      <w:r>
        <w:rPr>
          <w:noProof/>
          <w:color w:val="000000" w:themeColor="text1"/>
        </w:rPr>
        <w:t xml:space="preserve"> sunt realizate efectiv de statele membre în temeiul articolului 96 alineatul (7). Punerea în aplicare de către autoritățile de aplicare a legii din statele membre a principiului „doar o singură dată” este, prin urmare, reglementată de dreptul intern și, astfel, nu intră în domeniul de aplicare al prezentei propuneri. Informațiile colectate de Europol și de autoritățile de aplicare a legii în astfel de condiții sunt gestionate la nivel central în cadrul </w:t>
      </w:r>
      <w:r>
        <w:rPr>
          <w:i/>
          <w:noProof/>
          <w:color w:val="000000" w:themeColor="text1"/>
        </w:rPr>
        <w:t>platformei de cooperare cu părțile private</w:t>
      </w:r>
      <w:r>
        <w:rPr>
          <w:noProof/>
          <w:color w:val="000000" w:themeColor="text1"/>
        </w:rPr>
        <w:t xml:space="preserve"> (articolul 47) pentru a facilita comunicarea dintre Europol, statele membre și părțile private și pentru a se asigura că Europol nu solicită aceleași informații de două ori. Cererile de informații </w:t>
      </w:r>
      <w:r>
        <w:rPr>
          <w:b/>
          <w:noProof/>
          <w:color w:val="000000" w:themeColor="text1"/>
        </w:rPr>
        <w:t>inițiate direct de statele membre</w:t>
      </w:r>
      <w:r>
        <w:rPr>
          <w:noProof/>
          <w:color w:val="000000" w:themeColor="text1"/>
        </w:rPr>
        <w:t xml:space="preserve"> în temeiul articolului 96 alineatul (8), gestionate prin intermediul platformei, precum și schimburile corespunzătoare de informații cu părțile private sunt puse la dispoziția Europol, respectând același principiu de limitare a solicitărilor la întreprinderi.</w:t>
      </w:r>
    </w:p>
    <w:p>
      <w:pPr>
        <w:rPr>
          <w:rFonts w:eastAsia="Times New Roman"/>
          <w:noProof/>
          <w:color w:val="000000" w:themeColor="text1"/>
        </w:rPr>
      </w:pPr>
      <w:r>
        <w:rPr>
          <w:noProof/>
          <w:color w:val="000000" w:themeColor="text1"/>
        </w:rPr>
        <w:t>Cererile de informații adresate de Europol autorităților competente ale statelor membre, EUBOA, țărilor terțe și organizațiilor internaționale nu vor fi repetate, astfel de cereri fiind gestionate la nivel central în cadrul agenției de către Serviciul operațional și de analiză al Europol, în conformitate cu articolul 12. În schimb, cererea lor de informații sau de sprijin, indiferent dacă este de natură analitică, tehnică, financiară sau operațională, va fi monitorizată de același serviciu care asigură o gestionare adecvată și rapidă. În mod similar, ENU din statele membre fiind, de asemenea, informată cu privire la toate schimburile de informații dintre Europol și autoritățile sale competente, se va asigura că nu se vor depune cereri duble [articolul 25 alineatul (5)].</w:t>
      </w:r>
    </w:p>
    <w:p>
      <w:pPr>
        <w:rPr>
          <w:rFonts w:eastAsia="Times New Roman"/>
          <w:noProof/>
          <w:color w:val="000000" w:themeColor="text1"/>
        </w:rPr>
      </w:pPr>
      <w:r>
        <w:rPr>
          <w:i/>
          <w:noProof/>
          <w:color w:val="000000" w:themeColor="text1"/>
        </w:rPr>
        <w:t>Explicarea modului în care datele nou create sunt ușor de găsit, accesibile, interoperabile și reutilizabile și respectă standarde de înaltă calitate</w:t>
      </w:r>
    </w:p>
    <w:p>
      <w:pPr>
        <w:rPr>
          <w:rFonts w:eastAsia="Times New Roman"/>
          <w:noProof/>
          <w:color w:val="000000" w:themeColor="text1"/>
        </w:rPr>
      </w:pPr>
      <w:r>
        <w:rPr>
          <w:noProof/>
          <w:color w:val="000000" w:themeColor="text1"/>
        </w:rPr>
        <w:t xml:space="preserve">Propunerea de revizuire a cadrului de reglementare al Europol garantează că datele nou create </w:t>
      </w:r>
      <w:r>
        <w:rPr>
          <w:b/>
          <w:noProof/>
          <w:color w:val="000000" w:themeColor="text1"/>
        </w:rPr>
        <w:t>respectă principiile FAIR în cadrul comunității închise formate din autoritățile de aplicare a legii din statele membre</w:t>
      </w:r>
      <w:r>
        <w:rPr>
          <w:noProof/>
          <w:color w:val="000000" w:themeColor="text1"/>
        </w:rPr>
        <w:t xml:space="preserve"> și, într-o anumită măsură, din țările terțe, organismele UE din domeniul JAI, precum și organizațiile internaționale care participă la lupta împotriva criminalității grave și organizate și a terorismului. În această privință, cadrul propus menține standarde de înaltă calitate prin guvernanță structurată și infrastructură tehnică avansată. </w:t>
      </w:r>
    </w:p>
    <w:p>
      <w:pPr>
        <w:rPr>
          <w:rFonts w:eastAsia="Times New Roman"/>
          <w:noProof/>
          <w:color w:val="000000" w:themeColor="text1"/>
        </w:rPr>
        <w:sectPr>
          <w:headerReference w:type="default" r:id="rId34"/>
          <w:footerReference w:type="default" r:id="rId35"/>
          <w:pgSz w:w="16840" w:h="11907" w:orient="landscape" w:code="9"/>
          <w:pgMar w:top="1418" w:right="1134" w:bottom="1418" w:left="1134" w:header="709" w:footer="709" w:gutter="0"/>
          <w:cols w:space="708"/>
          <w:docGrid w:linePitch="360"/>
        </w:sectPr>
      </w:pPr>
      <w:r>
        <w:rPr>
          <w:b/>
          <w:noProof/>
          <w:color w:val="000000" w:themeColor="text1"/>
        </w:rPr>
        <w:t>Ușurința găsirii</w:t>
      </w:r>
      <w:r>
        <w:rPr>
          <w:noProof/>
          <w:color w:val="000000" w:themeColor="text1"/>
        </w:rPr>
        <w:t xml:space="preserve"> se realizează prin instituirea unor platforme centralizate, cum ar fi </w:t>
      </w:r>
      <w:r>
        <w:rPr>
          <w:i/>
          <w:noProof/>
          <w:color w:val="000000" w:themeColor="text1"/>
        </w:rPr>
        <w:t>mediul analitic al Europol</w:t>
      </w:r>
      <w:r>
        <w:rPr>
          <w:noProof/>
          <w:color w:val="000000" w:themeColor="text1"/>
        </w:rPr>
        <w:t xml:space="preserve"> (articolul 40) și </w:t>
      </w:r>
      <w:r>
        <w:rPr>
          <w:i/>
          <w:noProof/>
          <w:color w:val="000000" w:themeColor="text1"/>
        </w:rPr>
        <w:t>spațiul comun de date al poliției</w:t>
      </w:r>
      <w:r>
        <w:rPr>
          <w:noProof/>
          <w:color w:val="000000" w:themeColor="text1"/>
        </w:rPr>
        <w:t xml:space="preserve"> (articolul 42), care oferă registre securizate și indexate pentru date operative în materie penală, analize operaționale și investigații comune. Aceste sisteme încorporează standarde privind metadatele, identificatori unici și funcționalități de căutare [inclusiv interogări alfanumerice, biometrice și multimedia (articolul 41)] pentru a permite extragerea precisă a datelor. </w:t>
      </w:r>
      <w:r>
        <w:rPr>
          <w:b/>
          <w:noProof/>
          <w:color w:val="000000" w:themeColor="text1"/>
        </w:rPr>
        <w:t>Accesibilitatea</w:t>
      </w:r>
      <w:r>
        <w:rPr>
          <w:noProof/>
          <w:color w:val="000000" w:themeColor="text1"/>
        </w:rPr>
        <w:t xml:space="preserve"> este garantată prin controale ale accesului bazate pe roluri, prin </w:t>
      </w:r>
      <w:r>
        <w:rPr>
          <w:i/>
          <w:noProof/>
          <w:color w:val="000000" w:themeColor="text1"/>
        </w:rPr>
        <w:t>identitatea digitală europeană pentru serviciile de poliție</w:t>
      </w:r>
      <w:r>
        <w:rPr>
          <w:noProof/>
          <w:color w:val="000000" w:themeColor="text1"/>
        </w:rPr>
        <w:t xml:space="preserve"> (articolul 51) și prin instrumente interoperabile, cum ar fi </w:t>
      </w:r>
      <w:r>
        <w:rPr>
          <w:i/>
          <w:noProof/>
          <w:color w:val="000000" w:themeColor="text1"/>
        </w:rPr>
        <w:t>SIENA</w:t>
      </w:r>
      <w:r>
        <w:rPr>
          <w:noProof/>
          <w:color w:val="000000" w:themeColor="text1"/>
        </w:rPr>
        <w:t xml:space="preserve"> (aplicația de rețea pentru schimbul securizat de informații, articolul 46), care facilitează schimbul de date neîntrerupt și securizat între statele membre, organele Uniunii și partenerii autorizați. </w:t>
      </w:r>
      <w:r>
        <w:rPr>
          <w:i/>
          <w:noProof/>
          <w:color w:val="000000" w:themeColor="text1"/>
        </w:rPr>
        <w:t>Infrastructura de cloud a Europol</w:t>
      </w:r>
      <w:r>
        <w:rPr>
          <w:noProof/>
          <w:color w:val="000000" w:themeColor="text1"/>
        </w:rPr>
        <w:t xml:space="preserve"> (articolul 50) asigură, de asemenea, accesul scalabil, la cerere, la date, respectând în același timp cerințe stricte de securitate și suveranitate, inclusiv compartimentarea și criptarea. </w:t>
      </w:r>
      <w:r>
        <w:rPr>
          <w:b/>
          <w:noProof/>
          <w:color w:val="000000" w:themeColor="text1"/>
        </w:rPr>
        <w:t>Interoperabilitatea</w:t>
      </w:r>
      <w:r>
        <w:rPr>
          <w:noProof/>
          <w:color w:val="000000" w:themeColor="text1"/>
        </w:rPr>
        <w:t xml:space="preserve"> este integrată în propunere prin standarde tehnice obligatorii, cum ar fi </w:t>
      </w:r>
      <w:r>
        <w:rPr>
          <w:i/>
          <w:noProof/>
          <w:color w:val="000000" w:themeColor="text1"/>
        </w:rPr>
        <w:t>formatul universal pentru mesaje</w:t>
      </w:r>
      <w:r>
        <w:rPr>
          <w:noProof/>
          <w:color w:val="000000" w:themeColor="text1"/>
        </w:rPr>
        <w:t xml:space="preserve"> (UMF) (articolul 53), care armonizează schimbul de date între sistemele de informații ale Uniunii, precum și prin integrarea instrumentelor Europol cu platformele existente ale UE, cum ar fi </w:t>
      </w:r>
      <w:r>
        <w:rPr>
          <w:i/>
          <w:noProof/>
          <w:color w:val="000000" w:themeColor="text1"/>
        </w:rPr>
        <w:t>Sistemul de informații Schengen</w:t>
      </w:r>
      <w:r>
        <w:rPr>
          <w:noProof/>
          <w:color w:val="000000" w:themeColor="text1"/>
        </w:rPr>
        <w:t xml:space="preserve"> (SIS) și </w:t>
      </w:r>
      <w:r>
        <w:rPr>
          <w:i/>
          <w:noProof/>
          <w:color w:val="000000" w:themeColor="text1"/>
        </w:rPr>
        <w:t>EPRIS</w:t>
      </w:r>
      <w:r>
        <w:rPr>
          <w:noProof/>
          <w:color w:val="000000" w:themeColor="text1"/>
        </w:rPr>
        <w:t xml:space="preserve"> (Sistemul european de inventariere a evidențelor poliției, articolul 48). </w:t>
      </w:r>
      <w:r>
        <w:rPr>
          <w:i/>
          <w:noProof/>
          <w:color w:val="000000" w:themeColor="text1"/>
        </w:rPr>
        <w:t>Serviciul de verificare încrucișată</w:t>
      </w:r>
      <w:r>
        <w:rPr>
          <w:noProof/>
          <w:color w:val="000000" w:themeColor="text1"/>
        </w:rPr>
        <w:t xml:space="preserve"> (articolul 36) și </w:t>
      </w:r>
      <w:r>
        <w:rPr>
          <w:i/>
          <w:noProof/>
          <w:color w:val="000000" w:themeColor="text1"/>
        </w:rPr>
        <w:t>aplicația pentru compararea profilurilor ADN</w:t>
      </w:r>
      <w:r>
        <w:rPr>
          <w:noProof/>
          <w:color w:val="000000" w:themeColor="text1"/>
        </w:rPr>
        <w:t xml:space="preserve"> (articolul 54) automatizează comparațiile între seturile de date, reducând compartimentarea informațiilor și permițând legături în timp real între cazuri. </w:t>
      </w:r>
      <w:r>
        <w:rPr>
          <w:b/>
          <w:noProof/>
          <w:color w:val="000000" w:themeColor="text1"/>
        </w:rPr>
        <w:t>Potențialul de reutilizare</w:t>
      </w:r>
      <w:r>
        <w:rPr>
          <w:noProof/>
          <w:color w:val="000000" w:themeColor="text1"/>
        </w:rPr>
        <w:t xml:space="preserve"> este sprijinit de </w:t>
      </w:r>
      <w:r>
        <w:rPr>
          <w:i/>
          <w:noProof/>
          <w:color w:val="000000" w:themeColor="text1"/>
        </w:rPr>
        <w:t>Cadrul de analiză prospectivă și de dezvoltare a capacităților</w:t>
      </w:r>
      <w:r>
        <w:rPr>
          <w:noProof/>
          <w:color w:val="000000" w:themeColor="text1"/>
        </w:rPr>
        <w:t xml:space="preserve"> (articolul 57), care promovează metodologii standardizate, instrumente analitice comune și modele de sisteme modulare (de exemplu, componente software reutilizabile în infrastructura de tip cloud). Standardele de înaltă calitate sunt puse în aplicare prin protocoale de validare a datelor (de exemplu, „sisteme de încărcare a datelor” pentru încărcările automatizate, articolul 38), revizuiri periodice ale acurateței datelor (articolul 101) și instrumente statistice și de raportare (articolul 48) care monitorizează performanța, coerența și conformitatea cu dreptul Uniunii. În plus, </w:t>
      </w:r>
      <w:r>
        <w:rPr>
          <w:i/>
          <w:noProof/>
          <w:color w:val="000000" w:themeColor="text1"/>
        </w:rPr>
        <w:t>Grupul de coordonare pentru TIC și gestionarea informațiilor</w:t>
      </w:r>
      <w:r>
        <w:rPr>
          <w:noProof/>
          <w:color w:val="000000" w:themeColor="text1"/>
        </w:rPr>
        <w:t xml:space="preserve"> (articolul 50) supraveghează coerența tehnică, în timp ce programele de formare (articolul 64) asigură faptul că personalul dispune de competențele necesare pentru a menține integritatea datelor. Împreună, aceste măsuri creează un ecosistem solid, în care datele sunt nu numai eficace din punct de vedere operațional, ci și aliniate la cele mai bune practici juridice și tehnice.</w:t>
      </w:r>
    </w:p>
    <w:p>
      <w:pPr>
        <w:tabs>
          <w:tab w:val="left" w:pos="5370"/>
        </w:tabs>
        <w:rPr>
          <w:rFonts w:eastAsia="Times New Roman"/>
          <w:noProof/>
          <w:color w:val="000000" w:themeColor="text1"/>
          <w:u w:val="single"/>
        </w:rPr>
      </w:pPr>
      <w:r>
        <w:rPr>
          <w:b/>
          <w:noProof/>
          <w:color w:val="000000" w:themeColor="text1"/>
          <w:u w:val="single"/>
        </w:rPr>
        <w:t>Fluxuri de date</w:t>
      </w:r>
    </w:p>
    <w:p>
      <w:pPr>
        <w:tabs>
          <w:tab w:val="left" w:pos="5370"/>
        </w:tabs>
        <w:rPr>
          <w:rFonts w:eastAsia="Times New Roman"/>
          <w:noProof/>
          <w:color w:val="000000" w:themeColor="text1"/>
        </w:rPr>
      </w:pPr>
      <w:r>
        <w:rPr>
          <w:i/>
          <w:noProof/>
          <w:color w:val="000000" w:themeColor="text1"/>
        </w:rPr>
        <w:t>Descriere la nivel înalt a fluxurilor de date</w:t>
      </w:r>
    </w:p>
    <w:tbl>
      <w:tblPr>
        <w:tblStyle w:val="TableGrid"/>
        <w:tblW w:w="13041" w:type="dxa"/>
        <w:tblInd w:w="10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611"/>
        <w:gridCol w:w="1743"/>
        <w:gridCol w:w="1815"/>
        <w:gridCol w:w="1637"/>
        <w:gridCol w:w="2099"/>
        <w:gridCol w:w="2136"/>
      </w:tblGrid>
      <w:tr>
        <w:trPr>
          <w:trHeight w:val="285"/>
        </w:trPr>
        <w:tc>
          <w:tcPr>
            <w:tcW w:w="3611" w:type="dxa"/>
            <w:tcMar>
              <w:left w:w="105" w:type="dxa"/>
              <w:right w:w="105" w:type="dxa"/>
            </w:tcMar>
          </w:tcPr>
          <w:p>
            <w:pPr>
              <w:rPr>
                <w:noProof/>
              </w:rPr>
            </w:pPr>
            <w:r>
              <w:rPr>
                <w:b/>
                <w:noProof/>
              </w:rPr>
              <w:t>Tipul de date</w:t>
            </w:r>
          </w:p>
        </w:tc>
        <w:tc>
          <w:tcPr>
            <w:tcW w:w="1743" w:type="dxa"/>
            <w:tcMar>
              <w:left w:w="105" w:type="dxa"/>
              <w:right w:w="105" w:type="dxa"/>
            </w:tcMar>
          </w:tcPr>
          <w:p>
            <w:pPr>
              <w:rPr>
                <w:noProof/>
              </w:rPr>
            </w:pPr>
            <w:r>
              <w:rPr>
                <w:b/>
                <w:noProof/>
              </w:rPr>
              <w:t>Trimitere (trimiteri) la cerință (cerințe)</w:t>
            </w:r>
          </w:p>
        </w:tc>
        <w:tc>
          <w:tcPr>
            <w:tcW w:w="1815" w:type="dxa"/>
            <w:tcMar>
              <w:left w:w="105" w:type="dxa"/>
              <w:right w:w="105" w:type="dxa"/>
            </w:tcMar>
          </w:tcPr>
          <w:p>
            <w:pPr>
              <w:rPr>
                <w:noProof/>
              </w:rPr>
            </w:pPr>
            <w:r>
              <w:rPr>
                <w:b/>
                <w:noProof/>
              </w:rPr>
              <w:t>Actori care furnizează datele</w:t>
            </w:r>
          </w:p>
        </w:tc>
        <w:tc>
          <w:tcPr>
            <w:tcW w:w="1637" w:type="dxa"/>
            <w:tcMar>
              <w:left w:w="105" w:type="dxa"/>
              <w:right w:w="105" w:type="dxa"/>
            </w:tcMar>
          </w:tcPr>
          <w:p>
            <w:pPr>
              <w:rPr>
                <w:noProof/>
              </w:rPr>
            </w:pPr>
            <w:r>
              <w:rPr>
                <w:b/>
                <w:noProof/>
              </w:rPr>
              <w:t>Actori care primesc datele</w:t>
            </w:r>
          </w:p>
        </w:tc>
        <w:tc>
          <w:tcPr>
            <w:tcW w:w="2099" w:type="dxa"/>
            <w:tcMar>
              <w:left w:w="105" w:type="dxa"/>
              <w:right w:w="105" w:type="dxa"/>
            </w:tcMar>
          </w:tcPr>
          <w:p>
            <w:pPr>
              <w:rPr>
                <w:noProof/>
              </w:rPr>
            </w:pPr>
            <w:r>
              <w:rPr>
                <w:b/>
                <w:noProof/>
              </w:rPr>
              <w:t>Factorul declanșator pentru schimbul de date</w:t>
            </w:r>
          </w:p>
        </w:tc>
        <w:tc>
          <w:tcPr>
            <w:tcW w:w="2136" w:type="dxa"/>
            <w:tcMar>
              <w:left w:w="105" w:type="dxa"/>
              <w:right w:w="105" w:type="dxa"/>
            </w:tcMar>
          </w:tcPr>
          <w:p>
            <w:pPr>
              <w:rPr>
                <w:noProof/>
              </w:rPr>
            </w:pPr>
            <w:r>
              <w:rPr>
                <w:b/>
                <w:noProof/>
              </w:rPr>
              <w:t>Frecvența (dacă este cazul)</w:t>
            </w:r>
          </w:p>
        </w:tc>
      </w:tr>
      <w:tr>
        <w:trPr>
          <w:trHeight w:val="285"/>
        </w:trPr>
        <w:tc>
          <w:tcPr>
            <w:tcW w:w="3611" w:type="dxa"/>
            <w:tcMar>
              <w:left w:w="105" w:type="dxa"/>
              <w:right w:w="105" w:type="dxa"/>
            </w:tcMar>
          </w:tcPr>
          <w:p>
            <w:pPr>
              <w:rPr>
                <w:noProof/>
              </w:rPr>
            </w:pPr>
            <w:r>
              <w:rPr>
                <w:noProof/>
              </w:rPr>
              <w:t>Solicitare de informații pentru a contribui la măsura de coordonare</w:t>
            </w:r>
          </w:p>
        </w:tc>
        <w:tc>
          <w:tcPr>
            <w:tcW w:w="1743" w:type="dxa"/>
            <w:tcMar>
              <w:left w:w="105" w:type="dxa"/>
              <w:right w:w="105" w:type="dxa"/>
            </w:tcMar>
          </w:tcPr>
          <w:p>
            <w:pPr>
              <w:rPr>
                <w:noProof/>
              </w:rPr>
            </w:pPr>
            <w:r>
              <w:rPr>
                <w:noProof/>
              </w:rPr>
              <w:t>Articolul 8 alineatul (7)</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 xml:space="preserve">SM </w:t>
            </w:r>
          </w:p>
        </w:tc>
        <w:tc>
          <w:tcPr>
            <w:tcW w:w="2099" w:type="dxa"/>
            <w:tcMar>
              <w:left w:w="105" w:type="dxa"/>
              <w:right w:w="105" w:type="dxa"/>
            </w:tcMar>
          </w:tcPr>
          <w:p>
            <w:pPr>
              <w:rPr>
                <w:noProof/>
              </w:rPr>
            </w:pPr>
            <w:r>
              <w:rPr>
                <w:noProof/>
              </w:rPr>
              <w:t xml:space="preserve">Inițiativa Europol </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8 alineatul (7)</w:t>
            </w:r>
          </w:p>
        </w:tc>
        <w:tc>
          <w:tcPr>
            <w:tcW w:w="1815" w:type="dxa"/>
            <w:tcMar>
              <w:left w:w="105" w:type="dxa"/>
              <w:right w:w="105" w:type="dxa"/>
            </w:tcMar>
          </w:tcPr>
          <w:p>
            <w:pPr>
              <w:rPr>
                <w:noProof/>
              </w:rPr>
            </w:pPr>
            <w:r>
              <w:rPr>
                <w:noProof/>
              </w:rPr>
              <w:t>AAL SM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Cerere din partea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Solicitare de informații</w:t>
            </w:r>
          </w:p>
        </w:tc>
        <w:tc>
          <w:tcPr>
            <w:tcW w:w="1743" w:type="dxa"/>
            <w:tcMar>
              <w:left w:w="105" w:type="dxa"/>
              <w:right w:w="105" w:type="dxa"/>
            </w:tcMar>
          </w:tcPr>
          <w:p>
            <w:pPr>
              <w:rPr>
                <w:noProof/>
              </w:rPr>
            </w:pPr>
            <w:r>
              <w:rPr>
                <w:noProof/>
              </w:rPr>
              <w:t>Articolul 9 alineatul (2)</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ARO SM</w:t>
            </w:r>
          </w:p>
        </w:tc>
        <w:tc>
          <w:tcPr>
            <w:tcW w:w="2099" w:type="dxa"/>
            <w:tcMar>
              <w:left w:w="105" w:type="dxa"/>
              <w:right w:w="105" w:type="dxa"/>
            </w:tcMar>
          </w:tcPr>
          <w:p>
            <w:pPr>
              <w:rPr>
                <w:noProof/>
              </w:rPr>
            </w:pPr>
            <w:r>
              <w:rPr>
                <w:noProof/>
              </w:rPr>
              <w:t>Inițiativa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9 alineatul (2)</w:t>
            </w:r>
          </w:p>
        </w:tc>
        <w:tc>
          <w:tcPr>
            <w:tcW w:w="1815" w:type="dxa"/>
            <w:tcMar>
              <w:left w:w="105" w:type="dxa"/>
              <w:right w:w="105" w:type="dxa"/>
            </w:tcMar>
          </w:tcPr>
          <w:p>
            <w:pPr>
              <w:rPr>
                <w:noProof/>
              </w:rPr>
            </w:pPr>
            <w:r>
              <w:rPr>
                <w:noProof/>
              </w:rPr>
              <w:t>ARO SM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Cerere din partea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Cerere de a acționa (indisponibilizare)</w:t>
            </w:r>
          </w:p>
        </w:tc>
        <w:tc>
          <w:tcPr>
            <w:tcW w:w="1743" w:type="dxa"/>
            <w:tcMar>
              <w:left w:w="105" w:type="dxa"/>
              <w:right w:w="105" w:type="dxa"/>
            </w:tcMar>
          </w:tcPr>
          <w:p>
            <w:pPr>
              <w:rPr>
                <w:noProof/>
              </w:rPr>
            </w:pPr>
            <w:r>
              <w:rPr>
                <w:noProof/>
              </w:rPr>
              <w:t>Articolul 9 alineatul (3)</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AAL SM</w:t>
            </w:r>
          </w:p>
        </w:tc>
        <w:tc>
          <w:tcPr>
            <w:tcW w:w="2099" w:type="dxa"/>
            <w:tcMar>
              <w:left w:w="105" w:type="dxa"/>
              <w:right w:w="105" w:type="dxa"/>
            </w:tcMar>
          </w:tcPr>
          <w:p>
            <w:pPr>
              <w:rPr>
                <w:noProof/>
              </w:rPr>
            </w:pPr>
            <w:r>
              <w:rPr>
                <w:noProof/>
              </w:rPr>
              <w:t>Inițiativa Europol, risc de dispariție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Decizie privind indisponibilizarea</w:t>
            </w:r>
          </w:p>
        </w:tc>
        <w:tc>
          <w:tcPr>
            <w:tcW w:w="1743" w:type="dxa"/>
            <w:tcMar>
              <w:left w:w="105" w:type="dxa"/>
              <w:right w:w="105" w:type="dxa"/>
            </w:tcMar>
          </w:tcPr>
          <w:p>
            <w:pPr>
              <w:rPr>
                <w:noProof/>
              </w:rPr>
            </w:pPr>
            <w:r>
              <w:rPr>
                <w:noProof/>
              </w:rPr>
              <w:t>Articolul 9 alineatul (3)</w:t>
            </w:r>
          </w:p>
        </w:tc>
        <w:tc>
          <w:tcPr>
            <w:tcW w:w="1815" w:type="dxa"/>
            <w:tcMar>
              <w:left w:w="105" w:type="dxa"/>
              <w:right w:w="105" w:type="dxa"/>
            </w:tcMar>
          </w:tcPr>
          <w:p>
            <w:pPr>
              <w:rPr>
                <w:noProof/>
              </w:rPr>
            </w:pPr>
            <w:r>
              <w:rPr>
                <w:noProof/>
              </w:rPr>
              <w:t>AAL SM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Cerere din partea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Solicitare de informații</w:t>
            </w:r>
          </w:p>
        </w:tc>
        <w:tc>
          <w:tcPr>
            <w:tcW w:w="1743" w:type="dxa"/>
            <w:tcMar>
              <w:left w:w="105" w:type="dxa"/>
              <w:right w:w="105" w:type="dxa"/>
            </w:tcMar>
          </w:tcPr>
          <w:p>
            <w:pPr>
              <w:rPr>
                <w:noProof/>
              </w:rPr>
            </w:pPr>
            <w:r>
              <w:rPr>
                <w:noProof/>
              </w:rPr>
              <w:t>Articolul 9 alineatul (4)</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FIU SM</w:t>
            </w:r>
          </w:p>
        </w:tc>
        <w:tc>
          <w:tcPr>
            <w:tcW w:w="2099" w:type="dxa"/>
            <w:tcMar>
              <w:left w:w="105" w:type="dxa"/>
              <w:right w:w="105" w:type="dxa"/>
            </w:tcMar>
          </w:tcPr>
          <w:p>
            <w:pPr>
              <w:rPr>
                <w:noProof/>
              </w:rPr>
            </w:pPr>
            <w:r>
              <w:rPr>
                <w:noProof/>
              </w:rPr>
              <w:t>Inițiativa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9 alineatul (5)</w:t>
            </w:r>
          </w:p>
        </w:tc>
        <w:tc>
          <w:tcPr>
            <w:tcW w:w="1815" w:type="dxa"/>
            <w:tcMar>
              <w:left w:w="105" w:type="dxa"/>
              <w:right w:w="105" w:type="dxa"/>
            </w:tcMar>
          </w:tcPr>
          <w:p>
            <w:pPr>
              <w:rPr>
                <w:noProof/>
              </w:rPr>
            </w:pPr>
            <w:r>
              <w:rPr>
                <w:noProof/>
              </w:rPr>
              <w:t>FIU SM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Cerere din partea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 xml:space="preserve">Produse analitice </w:t>
            </w:r>
          </w:p>
        </w:tc>
        <w:tc>
          <w:tcPr>
            <w:tcW w:w="1743" w:type="dxa"/>
            <w:tcMar>
              <w:left w:w="105" w:type="dxa"/>
              <w:right w:w="105" w:type="dxa"/>
            </w:tcMar>
          </w:tcPr>
          <w:p>
            <w:pPr>
              <w:rPr>
                <w:noProof/>
              </w:rPr>
            </w:pPr>
            <w:r>
              <w:rPr>
                <w:noProof/>
              </w:rPr>
              <w:t xml:space="preserve">Articolul 7 </w:t>
            </w:r>
            <w:r>
              <w:rPr>
                <w:noProof/>
              </w:rPr>
              <w:br/>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 xml:space="preserve">SM </w:t>
            </w:r>
            <w:r>
              <w:rPr>
                <w:noProof/>
              </w:rPr>
              <w:br/>
              <w:t xml:space="preserve">Consiliul </w:t>
            </w:r>
            <w:r>
              <w:rPr>
                <w:noProof/>
              </w:rPr>
              <w:br/>
              <w:t>Comisia</w:t>
            </w:r>
          </w:p>
        </w:tc>
        <w:tc>
          <w:tcPr>
            <w:tcW w:w="2099" w:type="dxa"/>
            <w:tcMar>
              <w:left w:w="105" w:type="dxa"/>
              <w:right w:w="105" w:type="dxa"/>
            </w:tcMar>
          </w:tcPr>
          <w:p>
            <w:pPr>
              <w:rPr>
                <w:noProof/>
              </w:rPr>
            </w:pPr>
            <w:r>
              <w:rPr>
                <w:noProof/>
              </w:rPr>
              <w:t>Inițiativa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7 alineatele (4) și (5)</w:t>
            </w:r>
          </w:p>
        </w:tc>
        <w:tc>
          <w:tcPr>
            <w:tcW w:w="1815" w:type="dxa"/>
            <w:tcMar>
              <w:left w:w="105" w:type="dxa"/>
              <w:right w:w="105" w:type="dxa"/>
            </w:tcMar>
          </w:tcPr>
          <w:p>
            <w:pPr>
              <w:rPr>
                <w:noProof/>
              </w:rPr>
            </w:pPr>
            <w:r>
              <w:rPr>
                <w:noProof/>
              </w:rPr>
              <w:t xml:space="preserve">SM </w:t>
            </w:r>
            <w:r>
              <w:rPr>
                <w:noProof/>
              </w:rPr>
              <w:br/>
              <w:t>EUBOA</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Cererea Europol privind un produs analitic operațional sau strategic</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Cereri de inițiere a unei informații în materie penală</w:t>
            </w:r>
          </w:p>
        </w:tc>
        <w:tc>
          <w:tcPr>
            <w:tcW w:w="1743" w:type="dxa"/>
            <w:tcMar>
              <w:left w:w="105" w:type="dxa"/>
              <w:right w:w="105" w:type="dxa"/>
            </w:tcMar>
          </w:tcPr>
          <w:p>
            <w:pPr>
              <w:rPr>
                <w:noProof/>
              </w:rPr>
            </w:pPr>
            <w:r>
              <w:rPr>
                <w:noProof/>
              </w:rPr>
              <w:t>Articolul 11</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SM</w:t>
            </w:r>
          </w:p>
        </w:tc>
        <w:tc>
          <w:tcPr>
            <w:tcW w:w="2099" w:type="dxa"/>
            <w:tcMar>
              <w:left w:w="105" w:type="dxa"/>
              <w:right w:w="105" w:type="dxa"/>
            </w:tcMar>
          </w:tcPr>
          <w:p>
            <w:pPr>
              <w:rPr>
                <w:noProof/>
              </w:rPr>
            </w:pPr>
            <w:r>
              <w:rPr>
                <w:noProof/>
              </w:rPr>
              <w:t>în cazul în care Europol consideră că ar trebui să fie inițiată o anchetă penală cu privire la o infracțiune care se încadrează în domeniul de aplicare al obiectivelor sale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Ordin de eliminare a conținutului online</w:t>
            </w:r>
          </w:p>
        </w:tc>
        <w:tc>
          <w:tcPr>
            <w:tcW w:w="1743" w:type="dxa"/>
            <w:tcMar>
              <w:left w:w="105" w:type="dxa"/>
              <w:right w:w="105" w:type="dxa"/>
            </w:tcMar>
          </w:tcPr>
          <w:p>
            <w:pPr>
              <w:rPr>
                <w:noProof/>
              </w:rPr>
            </w:pPr>
            <w:r>
              <w:rPr>
                <w:noProof/>
              </w:rPr>
              <w:t>Articolul 18</w:t>
            </w:r>
          </w:p>
        </w:tc>
        <w:tc>
          <w:tcPr>
            <w:tcW w:w="1815" w:type="dxa"/>
            <w:tcMar>
              <w:left w:w="105" w:type="dxa"/>
              <w:right w:w="105" w:type="dxa"/>
            </w:tcMar>
          </w:tcPr>
          <w:p>
            <w:pPr>
              <w:rPr>
                <w:noProof/>
              </w:rPr>
            </w:pPr>
            <w:r>
              <w:rPr>
                <w:noProof/>
              </w:rPr>
              <w:t>AAL SM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Decizia SM de a solicita eliminarea</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Ordin de eliminare a conținutului online</w:t>
            </w:r>
          </w:p>
        </w:tc>
        <w:tc>
          <w:tcPr>
            <w:tcW w:w="1743" w:type="dxa"/>
            <w:tcMar>
              <w:left w:w="105" w:type="dxa"/>
              <w:right w:w="105" w:type="dxa"/>
            </w:tcMar>
          </w:tcPr>
          <w:p>
            <w:pPr>
              <w:rPr>
                <w:noProof/>
              </w:rPr>
            </w:pPr>
            <w:r>
              <w:rPr>
                <w:noProof/>
              </w:rPr>
              <w:t>Articolul 18 litera (a)</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PP</w:t>
            </w:r>
          </w:p>
        </w:tc>
        <w:tc>
          <w:tcPr>
            <w:tcW w:w="2099" w:type="dxa"/>
            <w:tcMar>
              <w:left w:w="105" w:type="dxa"/>
              <w:right w:w="105" w:type="dxa"/>
            </w:tcMar>
          </w:tcPr>
          <w:p>
            <w:pPr>
              <w:rPr>
                <w:noProof/>
              </w:rPr>
            </w:pPr>
            <w:r>
              <w:rPr>
                <w:noProof/>
              </w:rPr>
              <w:t>Coordonarea Europol și a AAL SM</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Semnalarea conținutului online</w:t>
            </w:r>
          </w:p>
        </w:tc>
        <w:tc>
          <w:tcPr>
            <w:tcW w:w="1743" w:type="dxa"/>
            <w:tcMar>
              <w:left w:w="105" w:type="dxa"/>
              <w:right w:w="105" w:type="dxa"/>
            </w:tcMar>
          </w:tcPr>
          <w:p>
            <w:pPr>
              <w:rPr>
                <w:noProof/>
              </w:rPr>
            </w:pPr>
            <w:r>
              <w:rPr>
                <w:noProof/>
              </w:rPr>
              <w:t>Articolul 18 litera (b)</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PP</w:t>
            </w:r>
          </w:p>
        </w:tc>
        <w:tc>
          <w:tcPr>
            <w:tcW w:w="2099" w:type="dxa"/>
            <w:tcMar>
              <w:left w:w="105" w:type="dxa"/>
              <w:right w:w="105" w:type="dxa"/>
            </w:tcMar>
          </w:tcPr>
          <w:p>
            <w:pPr>
              <w:rPr>
                <w:noProof/>
              </w:rPr>
            </w:pPr>
            <w:r>
              <w:rPr>
                <w:noProof/>
              </w:rPr>
              <w:t>Cererea Europol sau a AAL SM</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 (conținut online, servicii, conturi, infrastructuri sau activități digitale)</w:t>
            </w:r>
          </w:p>
        </w:tc>
        <w:tc>
          <w:tcPr>
            <w:tcW w:w="1743" w:type="dxa"/>
            <w:tcMar>
              <w:left w:w="105" w:type="dxa"/>
              <w:right w:w="105" w:type="dxa"/>
            </w:tcMar>
          </w:tcPr>
          <w:p>
            <w:pPr>
              <w:rPr>
                <w:noProof/>
              </w:rPr>
            </w:pPr>
            <w:r>
              <w:rPr>
                <w:noProof/>
              </w:rPr>
              <w:t>Articolul 18 litera (e)</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PP</w:t>
            </w:r>
          </w:p>
        </w:tc>
        <w:tc>
          <w:tcPr>
            <w:tcW w:w="2099" w:type="dxa"/>
            <w:tcMar>
              <w:left w:w="105" w:type="dxa"/>
              <w:right w:w="105" w:type="dxa"/>
            </w:tcMar>
          </w:tcPr>
          <w:p>
            <w:pPr>
              <w:rPr>
                <w:noProof/>
              </w:rPr>
            </w:pPr>
            <w:r>
              <w:rPr>
                <w:noProof/>
              </w:rPr>
              <w:t>Cererea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16 litera (a)</w:t>
            </w:r>
          </w:p>
        </w:tc>
        <w:tc>
          <w:tcPr>
            <w:tcW w:w="1815" w:type="dxa"/>
            <w:tcMar>
              <w:left w:w="105" w:type="dxa"/>
              <w:right w:w="105" w:type="dxa"/>
            </w:tcMar>
          </w:tcPr>
          <w:p>
            <w:pPr>
              <w:rPr>
                <w:noProof/>
              </w:rPr>
            </w:pPr>
            <w:r>
              <w:rPr>
                <w:noProof/>
              </w:rPr>
              <w:t>Europol/ARO</w:t>
            </w:r>
          </w:p>
        </w:tc>
        <w:tc>
          <w:tcPr>
            <w:tcW w:w="1637" w:type="dxa"/>
            <w:tcMar>
              <w:left w:w="105" w:type="dxa"/>
              <w:right w:w="105" w:type="dxa"/>
            </w:tcMar>
          </w:tcPr>
          <w:p>
            <w:pPr>
              <w:rPr>
                <w:noProof/>
              </w:rPr>
            </w:pPr>
            <w:r>
              <w:rPr>
                <w:noProof/>
              </w:rPr>
              <w:t>ARO/Europol</w:t>
            </w:r>
          </w:p>
        </w:tc>
        <w:tc>
          <w:tcPr>
            <w:tcW w:w="2099" w:type="dxa"/>
            <w:tcMar>
              <w:left w:w="105" w:type="dxa"/>
              <w:right w:w="105" w:type="dxa"/>
            </w:tcMar>
          </w:tcPr>
          <w:p>
            <w:pPr>
              <w:rPr>
                <w:noProof/>
              </w:rPr>
            </w:pPr>
            <w:r>
              <w:rPr>
                <w:noProof/>
              </w:rPr>
              <w:t>Inițiativa Europol/ARO</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16 litera (c)</w:t>
            </w:r>
          </w:p>
        </w:tc>
        <w:tc>
          <w:tcPr>
            <w:tcW w:w="1815" w:type="dxa"/>
            <w:tcMar>
              <w:left w:w="105" w:type="dxa"/>
              <w:right w:w="105" w:type="dxa"/>
            </w:tcMar>
          </w:tcPr>
          <w:p>
            <w:pPr>
              <w:rPr>
                <w:noProof/>
              </w:rPr>
            </w:pPr>
            <w:r>
              <w:rPr>
                <w:noProof/>
              </w:rPr>
              <w:t>Europol/EPPO</w:t>
            </w:r>
          </w:p>
        </w:tc>
        <w:tc>
          <w:tcPr>
            <w:tcW w:w="1637" w:type="dxa"/>
            <w:tcMar>
              <w:left w:w="105" w:type="dxa"/>
              <w:right w:w="105" w:type="dxa"/>
            </w:tcMar>
          </w:tcPr>
          <w:p>
            <w:pPr>
              <w:rPr>
                <w:noProof/>
              </w:rPr>
            </w:pPr>
            <w:r>
              <w:rPr>
                <w:noProof/>
              </w:rPr>
              <w:t>EPPO/Europol</w:t>
            </w:r>
          </w:p>
        </w:tc>
        <w:tc>
          <w:tcPr>
            <w:tcW w:w="2099" w:type="dxa"/>
            <w:tcMar>
              <w:left w:w="105" w:type="dxa"/>
              <w:right w:w="105" w:type="dxa"/>
            </w:tcMar>
          </w:tcPr>
          <w:p>
            <w:pPr>
              <w:rPr>
                <w:noProof/>
              </w:rPr>
            </w:pPr>
            <w:r>
              <w:rPr>
                <w:noProof/>
              </w:rPr>
              <w:t>Inițiativa Europol/EPPO</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21 alineatul (4)</w:t>
            </w:r>
          </w:p>
        </w:tc>
        <w:tc>
          <w:tcPr>
            <w:tcW w:w="1815" w:type="dxa"/>
            <w:tcMar>
              <w:left w:w="105" w:type="dxa"/>
              <w:right w:w="105" w:type="dxa"/>
            </w:tcMar>
          </w:tcPr>
          <w:p>
            <w:pPr>
              <w:rPr>
                <w:noProof/>
              </w:rPr>
            </w:pPr>
            <w:r>
              <w:rPr>
                <w:noProof/>
              </w:rPr>
              <w:t>Europol/JIT</w:t>
            </w:r>
          </w:p>
        </w:tc>
        <w:tc>
          <w:tcPr>
            <w:tcW w:w="1637" w:type="dxa"/>
            <w:tcMar>
              <w:left w:w="105" w:type="dxa"/>
              <w:right w:w="105" w:type="dxa"/>
            </w:tcMar>
          </w:tcPr>
          <w:p>
            <w:pPr>
              <w:rPr>
                <w:noProof/>
              </w:rPr>
            </w:pPr>
            <w:r>
              <w:rPr>
                <w:noProof/>
              </w:rPr>
              <w:t>JIT/Europol</w:t>
            </w:r>
          </w:p>
        </w:tc>
        <w:tc>
          <w:tcPr>
            <w:tcW w:w="2099" w:type="dxa"/>
            <w:tcMar>
              <w:left w:w="105" w:type="dxa"/>
              <w:right w:w="105" w:type="dxa"/>
            </w:tcMar>
          </w:tcPr>
          <w:p>
            <w:pPr>
              <w:rPr>
                <w:noProof/>
              </w:rPr>
            </w:pPr>
            <w:r>
              <w:rPr>
                <w:noProof/>
              </w:rPr>
              <w:t>Inițiativa Europol/JIT</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25 alineatul (5) litera (a)</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ENU SM</w:t>
            </w:r>
          </w:p>
        </w:tc>
        <w:tc>
          <w:tcPr>
            <w:tcW w:w="2099" w:type="dxa"/>
            <w:tcMar>
              <w:left w:w="105" w:type="dxa"/>
              <w:right w:w="105" w:type="dxa"/>
            </w:tcMar>
          </w:tcPr>
          <w:p>
            <w:pPr>
              <w:rPr>
                <w:noProof/>
              </w:rPr>
            </w:pPr>
            <w:r>
              <w:rPr>
                <w:noProof/>
              </w:rPr>
              <w:t>Atunci când fac schimb de informații cu AAL SM</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Solicitare de informații</w:t>
            </w:r>
          </w:p>
        </w:tc>
        <w:tc>
          <w:tcPr>
            <w:tcW w:w="1743" w:type="dxa"/>
            <w:tcMar>
              <w:left w:w="105" w:type="dxa"/>
              <w:right w:w="105" w:type="dxa"/>
            </w:tcMar>
          </w:tcPr>
          <w:p>
            <w:pPr>
              <w:rPr>
                <w:noProof/>
              </w:rPr>
            </w:pPr>
            <w:r>
              <w:rPr>
                <w:noProof/>
              </w:rPr>
              <w:t>Articolul 25 alineatul (5) litera (a)</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ENU SM</w:t>
            </w:r>
          </w:p>
        </w:tc>
        <w:tc>
          <w:tcPr>
            <w:tcW w:w="2099" w:type="dxa"/>
            <w:tcMar>
              <w:left w:w="105" w:type="dxa"/>
              <w:right w:w="105" w:type="dxa"/>
            </w:tcMar>
          </w:tcPr>
          <w:p>
            <w:pPr>
              <w:rPr>
                <w:noProof/>
              </w:rPr>
            </w:pPr>
            <w:r>
              <w:rPr>
                <w:noProof/>
              </w:rPr>
              <w:t>Inițiativa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Solicitare de informații</w:t>
            </w:r>
          </w:p>
        </w:tc>
        <w:tc>
          <w:tcPr>
            <w:tcW w:w="1743" w:type="dxa"/>
            <w:tcMar>
              <w:left w:w="105" w:type="dxa"/>
              <w:right w:w="105" w:type="dxa"/>
            </w:tcMar>
          </w:tcPr>
          <w:p>
            <w:pPr>
              <w:rPr>
                <w:noProof/>
              </w:rPr>
            </w:pPr>
            <w:r>
              <w:rPr>
                <w:noProof/>
              </w:rPr>
              <w:t>Articolul 25 alineatul (5) litera (c)</w:t>
            </w:r>
          </w:p>
        </w:tc>
        <w:tc>
          <w:tcPr>
            <w:tcW w:w="1815" w:type="dxa"/>
            <w:tcMar>
              <w:left w:w="105" w:type="dxa"/>
              <w:right w:w="105" w:type="dxa"/>
            </w:tcMar>
          </w:tcPr>
          <w:p>
            <w:pPr>
              <w:rPr>
                <w:noProof/>
              </w:rPr>
            </w:pPr>
            <w:r>
              <w:rPr>
                <w:noProof/>
              </w:rPr>
              <w:t>ENU SM</w:t>
            </w:r>
          </w:p>
        </w:tc>
        <w:tc>
          <w:tcPr>
            <w:tcW w:w="1637" w:type="dxa"/>
            <w:tcMar>
              <w:left w:w="105" w:type="dxa"/>
              <w:right w:w="105" w:type="dxa"/>
            </w:tcMar>
          </w:tcPr>
          <w:p>
            <w:pPr>
              <w:rPr>
                <w:noProof/>
              </w:rPr>
            </w:pPr>
            <w:r>
              <w:rPr>
                <w:noProof/>
              </w:rPr>
              <w:t>Autoritățile SM</w:t>
            </w:r>
          </w:p>
        </w:tc>
        <w:tc>
          <w:tcPr>
            <w:tcW w:w="2099" w:type="dxa"/>
            <w:tcMar>
              <w:left w:w="105" w:type="dxa"/>
              <w:right w:w="105" w:type="dxa"/>
            </w:tcMar>
          </w:tcPr>
          <w:p>
            <w:pPr>
              <w:rPr>
                <w:noProof/>
              </w:rPr>
            </w:pPr>
            <w:r>
              <w:rPr>
                <w:noProof/>
              </w:rPr>
              <w:t>Cererea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25 alineatul (5) litera (b)</w:t>
            </w:r>
          </w:p>
        </w:tc>
        <w:tc>
          <w:tcPr>
            <w:tcW w:w="1815" w:type="dxa"/>
            <w:tcMar>
              <w:left w:w="105" w:type="dxa"/>
              <w:right w:w="105" w:type="dxa"/>
            </w:tcMar>
          </w:tcPr>
          <w:p>
            <w:pPr>
              <w:rPr>
                <w:noProof/>
              </w:rPr>
            </w:pPr>
            <w:r>
              <w:rPr>
                <w:noProof/>
              </w:rPr>
              <w:t>Autoritățile SM care dețin informații</w:t>
            </w:r>
          </w:p>
        </w:tc>
        <w:tc>
          <w:tcPr>
            <w:tcW w:w="1637" w:type="dxa"/>
            <w:tcMar>
              <w:left w:w="105" w:type="dxa"/>
              <w:right w:w="105" w:type="dxa"/>
            </w:tcMar>
          </w:tcPr>
          <w:p>
            <w:pPr>
              <w:rPr>
                <w:noProof/>
              </w:rPr>
            </w:pPr>
            <w:r>
              <w:rPr>
                <w:noProof/>
              </w:rPr>
              <w:t>ENU SM</w:t>
            </w:r>
          </w:p>
        </w:tc>
        <w:tc>
          <w:tcPr>
            <w:tcW w:w="2099" w:type="dxa"/>
            <w:tcMar>
              <w:left w:w="105" w:type="dxa"/>
              <w:right w:w="105" w:type="dxa"/>
            </w:tcMar>
          </w:tcPr>
          <w:p>
            <w:pPr>
              <w:rPr>
                <w:noProof/>
              </w:rPr>
            </w:pPr>
            <w:r>
              <w:rPr>
                <w:noProof/>
              </w:rPr>
              <w:t>Cererea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25 alineatul (5)</w:t>
            </w:r>
          </w:p>
        </w:tc>
        <w:tc>
          <w:tcPr>
            <w:tcW w:w="1815" w:type="dxa"/>
            <w:tcMar>
              <w:left w:w="105" w:type="dxa"/>
              <w:right w:w="105" w:type="dxa"/>
            </w:tcMar>
          </w:tcPr>
          <w:p>
            <w:pPr>
              <w:rPr>
                <w:noProof/>
              </w:rPr>
            </w:pPr>
            <w:r>
              <w:rPr>
                <w:noProof/>
              </w:rPr>
              <w:t>ENU SM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Cererea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 xml:space="preserve">Informații publice </w:t>
            </w:r>
          </w:p>
        </w:tc>
        <w:tc>
          <w:tcPr>
            <w:tcW w:w="1743" w:type="dxa"/>
            <w:tcMar>
              <w:left w:w="105" w:type="dxa"/>
              <w:right w:w="105" w:type="dxa"/>
            </w:tcMar>
          </w:tcPr>
          <w:p>
            <w:pPr>
              <w:rPr>
                <w:noProof/>
              </w:rPr>
            </w:pPr>
            <w:r>
              <w:rPr>
                <w:noProof/>
              </w:rPr>
              <w:t>Articolul 28</w:t>
            </w:r>
          </w:p>
        </w:tc>
        <w:tc>
          <w:tcPr>
            <w:tcW w:w="1815" w:type="dxa"/>
            <w:tcMar>
              <w:left w:w="105" w:type="dxa"/>
              <w:right w:w="105" w:type="dxa"/>
            </w:tcMar>
          </w:tcPr>
          <w:p>
            <w:pPr>
              <w:rPr>
                <w:noProof/>
              </w:rPr>
            </w:pPr>
            <w:r>
              <w:rPr>
                <w:noProof/>
              </w:rPr>
              <w:t>Sursă accesibilă publicului</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Inițiativa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Articolele 29, 32, 33</w:t>
            </w:r>
          </w:p>
        </w:tc>
        <w:tc>
          <w:tcPr>
            <w:tcW w:w="1815" w:type="dxa"/>
            <w:tcMar>
              <w:left w:w="105" w:type="dxa"/>
              <w:right w:w="105" w:type="dxa"/>
            </w:tcMar>
          </w:tcPr>
          <w:p>
            <w:pPr>
              <w:rPr>
                <w:noProof/>
              </w:rPr>
            </w:pPr>
            <w:r>
              <w:rPr>
                <w:noProof/>
              </w:rPr>
              <w:t>AC SM</w:t>
            </w:r>
          </w:p>
          <w:p>
            <w:pPr>
              <w:rPr>
                <w:noProof/>
              </w:rPr>
            </w:pPr>
            <w:r>
              <w:rPr>
                <w:noProof/>
              </w:rPr>
              <w:t>Ofițer de legătură pentru imigrație</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Observația SM potrivit căreia informațiile sunt necesare pentru îndeplinirea obiectivelor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Raport</w:t>
            </w:r>
          </w:p>
        </w:tc>
        <w:tc>
          <w:tcPr>
            <w:tcW w:w="1743" w:type="dxa"/>
            <w:tcMar>
              <w:left w:w="105" w:type="dxa"/>
              <w:right w:w="105" w:type="dxa"/>
            </w:tcMar>
          </w:tcPr>
          <w:p>
            <w:pPr>
              <w:rPr>
                <w:noProof/>
              </w:rPr>
            </w:pPr>
            <w:r>
              <w:rPr>
                <w:noProof/>
              </w:rPr>
              <w:t>Articolul 29</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 xml:space="preserve">Consiliul </w:t>
            </w:r>
            <w:r>
              <w:rPr>
                <w:noProof/>
              </w:rPr>
              <w:br/>
              <w:t>Parlamentul European</w:t>
            </w:r>
          </w:p>
        </w:tc>
        <w:tc>
          <w:tcPr>
            <w:tcW w:w="2099" w:type="dxa"/>
            <w:tcMar>
              <w:left w:w="105" w:type="dxa"/>
              <w:right w:w="105" w:type="dxa"/>
            </w:tcMar>
          </w:tcPr>
          <w:p>
            <w:pPr>
              <w:rPr>
                <w:noProof/>
              </w:rPr>
            </w:pPr>
            <w:r>
              <w:rPr>
                <w:noProof/>
              </w:rPr>
              <w:t>Aplicarea regulamentului</w:t>
            </w:r>
          </w:p>
        </w:tc>
        <w:tc>
          <w:tcPr>
            <w:tcW w:w="2136" w:type="dxa"/>
            <w:tcMar>
              <w:left w:w="105" w:type="dxa"/>
              <w:right w:w="105" w:type="dxa"/>
            </w:tcMar>
          </w:tcPr>
          <w:p>
            <w:pPr>
              <w:rPr>
                <w:noProof/>
              </w:rPr>
            </w:pPr>
            <w:r>
              <w:rPr>
                <w:noProof/>
              </w:rPr>
              <w:t>Anual</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34</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AAL SM</w:t>
            </w:r>
          </w:p>
        </w:tc>
        <w:tc>
          <w:tcPr>
            <w:tcW w:w="2099" w:type="dxa"/>
            <w:tcMar>
              <w:left w:w="105" w:type="dxa"/>
              <w:right w:w="105" w:type="dxa"/>
            </w:tcMar>
          </w:tcPr>
          <w:p>
            <w:pPr>
              <w:rPr>
                <w:noProof/>
              </w:rPr>
            </w:pPr>
            <w:r>
              <w:rPr>
                <w:noProof/>
              </w:rPr>
              <w:t>Atunci când sunt găsite informații operaționale relevante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38</w:t>
            </w:r>
          </w:p>
        </w:tc>
        <w:tc>
          <w:tcPr>
            <w:tcW w:w="1815" w:type="dxa"/>
            <w:tcMar>
              <w:left w:w="105" w:type="dxa"/>
              <w:right w:w="105" w:type="dxa"/>
            </w:tcMar>
          </w:tcPr>
          <w:p>
            <w:pPr>
              <w:rPr>
                <w:noProof/>
              </w:rPr>
            </w:pPr>
            <w:r>
              <w:rPr>
                <w:noProof/>
              </w:rPr>
              <w:t>AAL SM</w:t>
            </w:r>
          </w:p>
        </w:tc>
        <w:tc>
          <w:tcPr>
            <w:tcW w:w="1637" w:type="dxa"/>
            <w:tcMar>
              <w:left w:w="105" w:type="dxa"/>
              <w:right w:w="105" w:type="dxa"/>
            </w:tcMar>
          </w:tcPr>
          <w:p>
            <w:pPr>
              <w:rPr>
                <w:noProof/>
              </w:rPr>
            </w:pPr>
            <w:r>
              <w:rPr>
                <w:noProof/>
              </w:rPr>
              <w:t>Serviciul de verificare încrucișată</w:t>
            </w:r>
          </w:p>
        </w:tc>
        <w:tc>
          <w:tcPr>
            <w:tcW w:w="2099" w:type="dxa"/>
            <w:tcMar>
              <w:left w:w="105" w:type="dxa"/>
              <w:right w:w="105" w:type="dxa"/>
            </w:tcMar>
          </w:tcPr>
          <w:p>
            <w:pPr>
              <w:rPr>
                <w:noProof/>
              </w:rPr>
            </w:pPr>
            <w:r>
              <w:rPr>
                <w:noProof/>
              </w:rPr>
              <w:t>Fără întârzieri nejustificate atunci când se constată că datele îndeplinesc condițiile prevăzute la articolele 35-38</w:t>
            </w:r>
          </w:p>
        </w:tc>
        <w:tc>
          <w:tcPr>
            <w:tcW w:w="2136" w:type="dxa"/>
            <w:tcMar>
              <w:left w:w="105" w:type="dxa"/>
              <w:right w:w="105" w:type="dxa"/>
            </w:tcMar>
          </w:tcPr>
          <w:p>
            <w:pPr>
              <w:rPr>
                <w:noProof/>
              </w:rPr>
            </w:pPr>
            <w:r>
              <w:rPr>
                <w:noProof/>
              </w:rPr>
              <w:t>Sistematic</w:t>
            </w:r>
          </w:p>
        </w:tc>
      </w:tr>
      <w:tr>
        <w:trPr>
          <w:trHeight w:val="285"/>
        </w:trPr>
        <w:tc>
          <w:tcPr>
            <w:tcW w:w="3611" w:type="dxa"/>
            <w:tcMar>
              <w:left w:w="105" w:type="dxa"/>
              <w:right w:w="105" w:type="dxa"/>
            </w:tcMar>
          </w:tcPr>
          <w:p>
            <w:pPr>
              <w:rPr>
                <w:noProof/>
              </w:rPr>
            </w:pPr>
            <w:r>
              <w:rPr>
                <w:noProof/>
              </w:rPr>
              <w:t xml:space="preserve">Informații și date operative în materie penală </w:t>
            </w:r>
          </w:p>
        </w:tc>
        <w:tc>
          <w:tcPr>
            <w:tcW w:w="1743" w:type="dxa"/>
            <w:tcMar>
              <w:left w:w="105" w:type="dxa"/>
              <w:right w:w="105" w:type="dxa"/>
            </w:tcMar>
          </w:tcPr>
          <w:p>
            <w:pPr>
              <w:rPr>
                <w:noProof/>
              </w:rPr>
            </w:pPr>
            <w:r>
              <w:rPr>
                <w:noProof/>
              </w:rPr>
              <w:t>Articolul 49</w:t>
            </w:r>
          </w:p>
        </w:tc>
        <w:tc>
          <w:tcPr>
            <w:tcW w:w="1815" w:type="dxa"/>
            <w:tcMar>
              <w:left w:w="105" w:type="dxa"/>
              <w:right w:w="105" w:type="dxa"/>
            </w:tcMar>
          </w:tcPr>
          <w:p>
            <w:pPr>
              <w:rPr>
                <w:noProof/>
              </w:rPr>
            </w:pPr>
            <w:r>
              <w:rPr>
                <w:noProof/>
              </w:rPr>
              <w:t>AAL SM</w:t>
            </w:r>
          </w:p>
        </w:tc>
        <w:tc>
          <w:tcPr>
            <w:tcW w:w="1637" w:type="dxa"/>
            <w:tcMar>
              <w:left w:w="105" w:type="dxa"/>
              <w:right w:w="105" w:type="dxa"/>
            </w:tcMar>
          </w:tcPr>
          <w:p>
            <w:pPr>
              <w:rPr>
                <w:noProof/>
              </w:rPr>
            </w:pPr>
            <w:r>
              <w:rPr>
                <w:noProof/>
              </w:rPr>
              <w:t>Serviciul de verificare încrucișată</w:t>
            </w:r>
          </w:p>
        </w:tc>
        <w:tc>
          <w:tcPr>
            <w:tcW w:w="2099" w:type="dxa"/>
            <w:tcMar>
              <w:left w:w="105" w:type="dxa"/>
              <w:right w:w="105" w:type="dxa"/>
            </w:tcMar>
          </w:tcPr>
          <w:p>
            <w:pPr>
              <w:rPr>
                <w:noProof/>
              </w:rPr>
            </w:pPr>
            <w:r>
              <w:rPr>
                <w:noProof/>
              </w:rPr>
              <w:t>Atunci când efectuează investigații/atunci când un caz are o dimensiune transfrontalieră</w:t>
            </w:r>
          </w:p>
        </w:tc>
        <w:tc>
          <w:tcPr>
            <w:tcW w:w="2136" w:type="dxa"/>
            <w:tcMar>
              <w:left w:w="105" w:type="dxa"/>
              <w:right w:w="105" w:type="dxa"/>
            </w:tcMar>
          </w:tcPr>
          <w:p>
            <w:pPr>
              <w:rPr>
                <w:noProof/>
              </w:rPr>
            </w:pPr>
            <w:r>
              <w:rPr>
                <w:noProof/>
              </w:rPr>
              <w:t>Sistematic</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49</w:t>
            </w:r>
          </w:p>
        </w:tc>
        <w:tc>
          <w:tcPr>
            <w:tcW w:w="1815" w:type="dxa"/>
            <w:tcMar>
              <w:left w:w="105" w:type="dxa"/>
              <w:right w:w="105" w:type="dxa"/>
            </w:tcMar>
          </w:tcPr>
          <w:p>
            <w:pPr>
              <w:rPr>
                <w:noProof/>
              </w:rPr>
            </w:pPr>
            <w:r>
              <w:rPr>
                <w:noProof/>
              </w:rPr>
              <w:t>Serviciul de verificare încrucișată</w:t>
            </w:r>
          </w:p>
        </w:tc>
        <w:tc>
          <w:tcPr>
            <w:tcW w:w="1637" w:type="dxa"/>
            <w:tcMar>
              <w:left w:w="105" w:type="dxa"/>
              <w:right w:w="105" w:type="dxa"/>
            </w:tcMar>
          </w:tcPr>
          <w:p>
            <w:pPr>
              <w:rPr>
                <w:noProof/>
              </w:rPr>
            </w:pPr>
            <w:r>
              <w:rPr>
                <w:noProof/>
              </w:rPr>
              <w:t>AAL SM</w:t>
            </w:r>
          </w:p>
        </w:tc>
        <w:tc>
          <w:tcPr>
            <w:tcW w:w="2099" w:type="dxa"/>
            <w:tcMar>
              <w:left w:w="105" w:type="dxa"/>
              <w:right w:w="105" w:type="dxa"/>
            </w:tcMar>
          </w:tcPr>
          <w:p>
            <w:pPr>
              <w:rPr>
                <w:noProof/>
              </w:rPr>
            </w:pPr>
            <w:r>
              <w:rPr>
                <w:noProof/>
              </w:rPr>
              <w:t>La cererea SM de mai sus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41</w:t>
            </w:r>
          </w:p>
        </w:tc>
        <w:tc>
          <w:tcPr>
            <w:tcW w:w="1815" w:type="dxa"/>
            <w:tcMar>
              <w:left w:w="105" w:type="dxa"/>
              <w:right w:w="105" w:type="dxa"/>
            </w:tcMar>
          </w:tcPr>
          <w:p>
            <w:pPr>
              <w:rPr>
                <w:noProof/>
              </w:rPr>
            </w:pPr>
            <w:r>
              <w:rPr>
                <w:noProof/>
              </w:rPr>
              <w:t xml:space="preserve">Europol </w:t>
            </w:r>
            <w:r>
              <w:rPr>
                <w:noProof/>
              </w:rPr>
              <w:br/>
              <w:t>ENU SM</w:t>
            </w:r>
          </w:p>
        </w:tc>
        <w:tc>
          <w:tcPr>
            <w:tcW w:w="1637" w:type="dxa"/>
            <w:tcMar>
              <w:left w:w="105" w:type="dxa"/>
              <w:right w:w="105" w:type="dxa"/>
            </w:tcMar>
          </w:tcPr>
          <w:p>
            <w:pPr>
              <w:rPr>
                <w:noProof/>
              </w:rPr>
            </w:pPr>
            <w:r>
              <w:rPr>
                <w:noProof/>
              </w:rPr>
              <w:t>Mediul analitic al Europol</w:t>
            </w:r>
          </w:p>
        </w:tc>
        <w:tc>
          <w:tcPr>
            <w:tcW w:w="2099" w:type="dxa"/>
            <w:tcMar>
              <w:left w:w="105" w:type="dxa"/>
              <w:right w:w="105" w:type="dxa"/>
            </w:tcMar>
          </w:tcPr>
          <w:p>
            <w:pPr>
              <w:rPr>
                <w:noProof/>
              </w:rPr>
            </w:pPr>
            <w:r>
              <w:rPr>
                <w:noProof/>
              </w:rPr>
              <w:t>Inițiativa AAL SM/ENU</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Răspuns pozitiv/răspuns negativ</w:t>
            </w:r>
          </w:p>
        </w:tc>
        <w:tc>
          <w:tcPr>
            <w:tcW w:w="1743" w:type="dxa"/>
            <w:tcMar>
              <w:left w:w="105" w:type="dxa"/>
              <w:right w:w="105" w:type="dxa"/>
            </w:tcMar>
          </w:tcPr>
          <w:p>
            <w:pPr>
              <w:rPr>
                <w:noProof/>
              </w:rPr>
            </w:pPr>
            <w:r>
              <w:rPr>
                <w:noProof/>
              </w:rPr>
              <w:t>Articolul 41</w:t>
            </w:r>
          </w:p>
        </w:tc>
        <w:tc>
          <w:tcPr>
            <w:tcW w:w="1815" w:type="dxa"/>
            <w:tcMar>
              <w:left w:w="105" w:type="dxa"/>
              <w:right w:w="105" w:type="dxa"/>
            </w:tcMar>
          </w:tcPr>
          <w:p>
            <w:pPr>
              <w:rPr>
                <w:noProof/>
              </w:rPr>
            </w:pPr>
            <w:r>
              <w:rPr>
                <w:noProof/>
              </w:rPr>
              <w:t>Mediul analitic al Europol</w:t>
            </w:r>
          </w:p>
        </w:tc>
        <w:tc>
          <w:tcPr>
            <w:tcW w:w="1637" w:type="dxa"/>
            <w:tcMar>
              <w:left w:w="105" w:type="dxa"/>
              <w:right w:w="105" w:type="dxa"/>
            </w:tcMar>
          </w:tcPr>
          <w:p>
            <w:pPr>
              <w:rPr>
                <w:noProof/>
              </w:rPr>
            </w:pPr>
            <w:r>
              <w:rPr>
                <w:noProof/>
              </w:rPr>
              <w:t>ENU SM</w:t>
            </w:r>
          </w:p>
        </w:tc>
        <w:tc>
          <w:tcPr>
            <w:tcW w:w="2099" w:type="dxa"/>
            <w:tcMar>
              <w:left w:w="105" w:type="dxa"/>
              <w:right w:w="105" w:type="dxa"/>
            </w:tcMar>
          </w:tcPr>
          <w:p>
            <w:pPr>
              <w:rPr>
                <w:noProof/>
              </w:rPr>
            </w:pPr>
            <w:r>
              <w:rPr>
                <w:noProof/>
              </w:rPr>
              <w:t>La cererea de mai sus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Orice informație</w:t>
            </w:r>
          </w:p>
        </w:tc>
        <w:tc>
          <w:tcPr>
            <w:tcW w:w="1743" w:type="dxa"/>
            <w:tcMar>
              <w:left w:w="105" w:type="dxa"/>
              <w:right w:w="105" w:type="dxa"/>
            </w:tcMar>
          </w:tcPr>
          <w:p>
            <w:pPr>
              <w:rPr>
                <w:noProof/>
              </w:rPr>
            </w:pPr>
            <w:r>
              <w:rPr>
                <w:noProof/>
              </w:rPr>
              <w:t>Articolul 46</w:t>
            </w:r>
          </w:p>
        </w:tc>
        <w:tc>
          <w:tcPr>
            <w:tcW w:w="1815" w:type="dxa"/>
            <w:tcMar>
              <w:left w:w="105" w:type="dxa"/>
              <w:right w:w="105" w:type="dxa"/>
            </w:tcMar>
          </w:tcPr>
          <w:p>
            <w:pPr>
              <w:rPr>
                <w:noProof/>
              </w:rPr>
            </w:pPr>
            <w:r>
              <w:rPr>
                <w:noProof/>
              </w:rPr>
              <w:t>Europol, SM, CT, EUBOA, II</w:t>
            </w:r>
          </w:p>
        </w:tc>
        <w:tc>
          <w:tcPr>
            <w:tcW w:w="1637" w:type="dxa"/>
            <w:tcMar>
              <w:left w:w="105" w:type="dxa"/>
              <w:right w:w="105" w:type="dxa"/>
            </w:tcMar>
          </w:tcPr>
          <w:p>
            <w:pPr>
              <w:rPr>
                <w:noProof/>
              </w:rPr>
            </w:pPr>
            <w:r>
              <w:rPr>
                <w:noProof/>
              </w:rPr>
              <w:t>Europol, SM, CT, EUBOA, II</w:t>
            </w:r>
          </w:p>
        </w:tc>
        <w:tc>
          <w:tcPr>
            <w:tcW w:w="2099" w:type="dxa"/>
            <w:tcMar>
              <w:left w:w="105" w:type="dxa"/>
              <w:right w:w="105" w:type="dxa"/>
            </w:tcMar>
          </w:tcPr>
          <w:p>
            <w:pPr>
              <w:rPr>
                <w:noProof/>
              </w:rPr>
            </w:pPr>
            <w:r>
              <w:rPr>
                <w:noProof/>
              </w:rPr>
              <w:t>/</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Statistici și rapoarte</w:t>
            </w:r>
          </w:p>
        </w:tc>
        <w:tc>
          <w:tcPr>
            <w:tcW w:w="1743" w:type="dxa"/>
            <w:tcMar>
              <w:left w:w="105" w:type="dxa"/>
              <w:right w:w="105" w:type="dxa"/>
            </w:tcMar>
          </w:tcPr>
          <w:p>
            <w:pPr>
              <w:rPr>
                <w:noProof/>
              </w:rPr>
            </w:pPr>
            <w:r>
              <w:rPr>
                <w:noProof/>
              </w:rPr>
              <w:t>Articolul 52</w:t>
            </w:r>
          </w:p>
        </w:tc>
        <w:tc>
          <w:tcPr>
            <w:tcW w:w="1815" w:type="dxa"/>
            <w:tcMar>
              <w:left w:w="105" w:type="dxa"/>
              <w:right w:w="105" w:type="dxa"/>
            </w:tcMar>
          </w:tcPr>
          <w:p>
            <w:pPr>
              <w:rPr>
                <w:noProof/>
              </w:rPr>
            </w:pPr>
            <w:r>
              <w:rPr>
                <w:noProof/>
              </w:rPr>
              <w:t>Instrument</w:t>
            </w:r>
          </w:p>
        </w:tc>
        <w:tc>
          <w:tcPr>
            <w:tcW w:w="1637" w:type="dxa"/>
            <w:tcMar>
              <w:left w:w="105" w:type="dxa"/>
              <w:right w:w="105" w:type="dxa"/>
            </w:tcMar>
          </w:tcPr>
          <w:p>
            <w:pPr>
              <w:rPr>
                <w:noProof/>
              </w:rPr>
            </w:pPr>
            <w:r>
              <w:rPr>
                <w:noProof/>
              </w:rPr>
              <w:t>SM, Europol, alte entități</w:t>
            </w:r>
          </w:p>
        </w:tc>
        <w:tc>
          <w:tcPr>
            <w:tcW w:w="2099" w:type="dxa"/>
            <w:tcMar>
              <w:left w:w="105" w:type="dxa"/>
              <w:right w:w="105" w:type="dxa"/>
            </w:tcMar>
          </w:tcPr>
          <w:p>
            <w:pPr>
              <w:rPr>
                <w:noProof/>
              </w:rPr>
            </w:pPr>
            <w:r>
              <w:rPr>
                <w:noProof/>
              </w:rPr>
              <w:t>La cerere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94</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Țări terțe</w:t>
            </w:r>
          </w:p>
        </w:tc>
        <w:tc>
          <w:tcPr>
            <w:tcW w:w="2099" w:type="dxa"/>
            <w:tcMar>
              <w:left w:w="105" w:type="dxa"/>
              <w:right w:w="105" w:type="dxa"/>
            </w:tcMar>
          </w:tcPr>
          <w:p>
            <w:pPr>
              <w:rPr>
                <w:noProof/>
              </w:rPr>
            </w:pPr>
            <w:r>
              <w:rPr>
                <w:noProof/>
              </w:rPr>
              <w:t>Inițiativa părții terțe sau 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96 alineatul (3)</w:t>
            </w:r>
          </w:p>
        </w:tc>
        <w:tc>
          <w:tcPr>
            <w:tcW w:w="1815" w:type="dxa"/>
            <w:tcMar>
              <w:left w:w="105" w:type="dxa"/>
              <w:right w:w="105" w:type="dxa"/>
            </w:tcMar>
          </w:tcPr>
          <w:p>
            <w:pPr>
              <w:rPr>
                <w:noProof/>
              </w:rPr>
            </w:pPr>
            <w:r>
              <w:rPr>
                <w:noProof/>
              </w:rPr>
              <w:t>PP</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Inițiativa PP</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96 alineatul (3)</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AC SM</w:t>
            </w:r>
          </w:p>
        </w:tc>
        <w:tc>
          <w:tcPr>
            <w:tcW w:w="2099" w:type="dxa"/>
            <w:tcMar>
              <w:left w:w="105" w:type="dxa"/>
              <w:right w:w="105" w:type="dxa"/>
            </w:tcMar>
          </w:tcPr>
          <w:p>
            <w:pPr>
              <w:rPr>
                <w:noProof/>
              </w:rPr>
            </w:pPr>
            <w:r>
              <w:rPr>
                <w:noProof/>
              </w:rPr>
              <w:t>Inițiativa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96 alineatele (4) și (5)</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PP</w:t>
            </w:r>
          </w:p>
        </w:tc>
        <w:tc>
          <w:tcPr>
            <w:tcW w:w="2099" w:type="dxa"/>
            <w:tcMar>
              <w:left w:w="105" w:type="dxa"/>
              <w:right w:w="105" w:type="dxa"/>
            </w:tcMar>
          </w:tcPr>
          <w:p>
            <w:pPr>
              <w:rPr>
                <w:noProof/>
              </w:rPr>
            </w:pPr>
            <w:r>
              <w:rPr>
                <w:noProof/>
              </w:rPr>
              <w:t>Inițiativa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Solicitare de informații</w:t>
            </w:r>
          </w:p>
        </w:tc>
        <w:tc>
          <w:tcPr>
            <w:tcW w:w="1743" w:type="dxa"/>
            <w:tcMar>
              <w:left w:w="105" w:type="dxa"/>
              <w:right w:w="105" w:type="dxa"/>
            </w:tcMar>
          </w:tcPr>
          <w:p>
            <w:pPr>
              <w:rPr>
                <w:noProof/>
              </w:rPr>
            </w:pPr>
            <w:r>
              <w:rPr>
                <w:noProof/>
              </w:rPr>
              <w:t>Articolul 96 alineatul (7)</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ENU</w:t>
            </w:r>
          </w:p>
        </w:tc>
        <w:tc>
          <w:tcPr>
            <w:tcW w:w="2099" w:type="dxa"/>
            <w:tcMar>
              <w:left w:w="105" w:type="dxa"/>
              <w:right w:w="105" w:type="dxa"/>
            </w:tcMar>
          </w:tcPr>
          <w:p>
            <w:pPr>
              <w:rPr>
                <w:noProof/>
              </w:rPr>
            </w:pPr>
            <w:r>
              <w:rPr>
                <w:noProof/>
              </w:rPr>
              <w:t>Inițiativa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Raport</w:t>
            </w:r>
          </w:p>
        </w:tc>
        <w:tc>
          <w:tcPr>
            <w:tcW w:w="1743" w:type="dxa"/>
            <w:tcMar>
              <w:left w:w="105" w:type="dxa"/>
              <w:right w:w="105" w:type="dxa"/>
            </w:tcMar>
          </w:tcPr>
          <w:p>
            <w:pPr>
              <w:rPr>
                <w:noProof/>
              </w:rPr>
            </w:pPr>
            <w:r>
              <w:rPr>
                <w:noProof/>
              </w:rPr>
              <w:t>Articolul 96 alineatele (11) și (12)</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Consiliul de administrație, PE, Consiliul</w:t>
            </w:r>
          </w:p>
        </w:tc>
        <w:tc>
          <w:tcPr>
            <w:tcW w:w="2099" w:type="dxa"/>
            <w:tcMar>
              <w:left w:w="105" w:type="dxa"/>
              <w:right w:w="105" w:type="dxa"/>
            </w:tcMar>
          </w:tcPr>
          <w:p>
            <w:pPr>
              <w:rPr>
                <w:noProof/>
              </w:rPr>
            </w:pPr>
            <w:r>
              <w:rPr>
                <w:noProof/>
              </w:rPr>
              <w:t>Punerea în aplicare a regulamentului</w:t>
            </w:r>
          </w:p>
        </w:tc>
        <w:tc>
          <w:tcPr>
            <w:tcW w:w="2136" w:type="dxa"/>
            <w:tcMar>
              <w:left w:w="105" w:type="dxa"/>
              <w:right w:w="105" w:type="dxa"/>
            </w:tcMar>
          </w:tcPr>
          <w:p>
            <w:pPr>
              <w:rPr>
                <w:noProof/>
              </w:rPr>
            </w:pPr>
            <w:r>
              <w:rPr>
                <w:noProof/>
              </w:rPr>
              <w:t>Anual</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97 alineatul (1)</w:t>
            </w:r>
          </w:p>
        </w:tc>
        <w:tc>
          <w:tcPr>
            <w:tcW w:w="1815" w:type="dxa"/>
            <w:tcMar>
              <w:left w:w="105" w:type="dxa"/>
              <w:right w:w="105" w:type="dxa"/>
            </w:tcMar>
          </w:tcPr>
          <w:p>
            <w:pPr>
              <w:rPr>
                <w:noProof/>
              </w:rPr>
            </w:pPr>
            <w:r>
              <w:rPr>
                <w:noProof/>
              </w:rPr>
              <w:t>Persoană fizică</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Inițiativa PP</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97 alineatul (3)</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SM, TC</w:t>
            </w:r>
          </w:p>
        </w:tc>
        <w:tc>
          <w:tcPr>
            <w:tcW w:w="2099" w:type="dxa"/>
            <w:tcMar>
              <w:left w:w="105" w:type="dxa"/>
              <w:right w:w="105" w:type="dxa"/>
            </w:tcMar>
          </w:tcPr>
          <w:p>
            <w:pPr>
              <w:rPr>
                <w:noProof/>
              </w:rPr>
            </w:pPr>
            <w:r>
              <w:rPr>
                <w:noProof/>
              </w:rPr>
              <w:t>La primirea informațiilor de mai sus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Notificarea încălcării securității datelor cu caracter personal</w:t>
            </w:r>
          </w:p>
        </w:tc>
        <w:tc>
          <w:tcPr>
            <w:tcW w:w="1743" w:type="dxa"/>
            <w:tcMar>
              <w:left w:w="105" w:type="dxa"/>
              <w:right w:w="105" w:type="dxa"/>
            </w:tcMar>
          </w:tcPr>
          <w:p>
            <w:pPr>
              <w:rPr>
                <w:noProof/>
              </w:rPr>
            </w:pPr>
            <w:r>
              <w:rPr>
                <w:noProof/>
              </w:rPr>
              <w:t>Articolul 103</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AAL SM</w:t>
            </w:r>
          </w:p>
        </w:tc>
        <w:tc>
          <w:tcPr>
            <w:tcW w:w="2099" w:type="dxa"/>
            <w:tcMar>
              <w:left w:w="105" w:type="dxa"/>
              <w:right w:w="105" w:type="dxa"/>
            </w:tcMar>
          </w:tcPr>
          <w:p>
            <w:pPr>
              <w:rPr>
                <w:noProof/>
              </w:rPr>
            </w:pPr>
            <w:r>
              <w:rPr>
                <w:noProof/>
              </w:rPr>
              <w:t>În cazul unei încălcări a securității datelor cu caracter personal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Notificarea încălcării securității datelor cu caracter personal</w:t>
            </w:r>
          </w:p>
        </w:tc>
        <w:tc>
          <w:tcPr>
            <w:tcW w:w="1743" w:type="dxa"/>
            <w:tcMar>
              <w:left w:w="105" w:type="dxa"/>
              <w:right w:w="105" w:type="dxa"/>
            </w:tcMar>
          </w:tcPr>
          <w:p>
            <w:pPr>
              <w:rPr>
                <w:noProof/>
              </w:rPr>
            </w:pPr>
            <w:r>
              <w:rPr>
                <w:noProof/>
              </w:rPr>
              <w:t>Articolul 104</w:t>
            </w:r>
          </w:p>
        </w:tc>
        <w:tc>
          <w:tcPr>
            <w:tcW w:w="1815" w:type="dxa"/>
            <w:tcMar>
              <w:left w:w="105" w:type="dxa"/>
              <w:right w:w="105" w:type="dxa"/>
            </w:tcMar>
          </w:tcPr>
          <w:p>
            <w:pPr>
              <w:rPr>
                <w:noProof/>
              </w:rPr>
            </w:pPr>
            <w:r>
              <w:rPr>
                <w:noProof/>
              </w:rPr>
              <w:t xml:space="preserve">Europol </w:t>
            </w:r>
          </w:p>
        </w:tc>
        <w:tc>
          <w:tcPr>
            <w:tcW w:w="1637" w:type="dxa"/>
            <w:tcMar>
              <w:left w:w="105" w:type="dxa"/>
              <w:right w:w="105" w:type="dxa"/>
            </w:tcMar>
          </w:tcPr>
          <w:p>
            <w:pPr>
              <w:rPr>
                <w:noProof/>
              </w:rPr>
            </w:pPr>
            <w:r>
              <w:rPr>
                <w:noProof/>
              </w:rPr>
              <w:t>Persoana vizată</w:t>
            </w:r>
          </w:p>
        </w:tc>
        <w:tc>
          <w:tcPr>
            <w:tcW w:w="2099" w:type="dxa"/>
            <w:tcMar>
              <w:left w:w="105" w:type="dxa"/>
              <w:right w:w="105" w:type="dxa"/>
            </w:tcMar>
          </w:tcPr>
          <w:p>
            <w:pPr>
              <w:rPr>
                <w:noProof/>
              </w:rPr>
            </w:pPr>
            <w:r>
              <w:rPr>
                <w:noProof/>
              </w:rPr>
              <w:t>În cazul unei încălcări a securității datelor cu caracter personal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 xml:space="preserve">Date cu caracter personal </w:t>
            </w:r>
          </w:p>
        </w:tc>
        <w:tc>
          <w:tcPr>
            <w:tcW w:w="1743" w:type="dxa"/>
            <w:tcMar>
              <w:left w:w="105" w:type="dxa"/>
              <w:right w:w="105" w:type="dxa"/>
            </w:tcMar>
          </w:tcPr>
          <w:p>
            <w:pPr>
              <w:rPr>
                <w:noProof/>
              </w:rPr>
            </w:pPr>
            <w:r>
              <w:rPr>
                <w:noProof/>
              </w:rPr>
              <w:t>Articolul 105</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Persoana vizată</w:t>
            </w:r>
          </w:p>
        </w:tc>
        <w:tc>
          <w:tcPr>
            <w:tcW w:w="2099" w:type="dxa"/>
            <w:tcMar>
              <w:left w:w="105" w:type="dxa"/>
              <w:right w:w="105" w:type="dxa"/>
            </w:tcMar>
          </w:tcPr>
          <w:p>
            <w:pPr>
              <w:rPr>
                <w:noProof/>
              </w:rPr>
            </w:pPr>
            <w:r>
              <w:rPr>
                <w:noProof/>
              </w:rPr>
              <w:t>La cererea persoanei vizate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 xml:space="preserve">Informarea JSPG </w:t>
            </w:r>
          </w:p>
        </w:tc>
        <w:tc>
          <w:tcPr>
            <w:tcW w:w="1743" w:type="dxa"/>
            <w:tcMar>
              <w:left w:w="105" w:type="dxa"/>
              <w:right w:w="105" w:type="dxa"/>
            </w:tcMar>
          </w:tcPr>
          <w:p>
            <w:pPr>
              <w:rPr>
                <w:noProof/>
              </w:rPr>
            </w:pPr>
            <w:r>
              <w:rPr>
                <w:noProof/>
              </w:rPr>
              <w:t>Articolul 116 alineatul (3)</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JSPG</w:t>
            </w:r>
          </w:p>
        </w:tc>
        <w:tc>
          <w:tcPr>
            <w:tcW w:w="2099" w:type="dxa"/>
            <w:tcMar>
              <w:left w:w="105" w:type="dxa"/>
              <w:right w:w="105" w:type="dxa"/>
            </w:tcMar>
          </w:tcPr>
          <w:p>
            <w:pPr>
              <w:rPr>
                <w:noProof/>
              </w:rPr>
            </w:pPr>
            <w:r>
              <w:rPr>
                <w:noProof/>
              </w:rPr>
              <w:t>Variază în funcție de partea specifică a informațiilor JSPG</w:t>
            </w:r>
          </w:p>
        </w:tc>
        <w:tc>
          <w:tcPr>
            <w:tcW w:w="2136" w:type="dxa"/>
            <w:tcMar>
              <w:left w:w="105" w:type="dxa"/>
              <w:right w:w="105" w:type="dxa"/>
            </w:tcMar>
          </w:tcPr>
          <w:p>
            <w:pPr>
              <w:rPr>
                <w:noProof/>
              </w:rPr>
            </w:pPr>
            <w:r>
              <w:rPr>
                <w:noProof/>
              </w:rPr>
              <w:t>Variază.</w:t>
            </w:r>
          </w:p>
        </w:tc>
      </w:tr>
      <w:tr>
        <w:trPr>
          <w:trHeight w:val="285"/>
        </w:trPr>
        <w:tc>
          <w:tcPr>
            <w:tcW w:w="3611" w:type="dxa"/>
            <w:tcMar>
              <w:left w:w="105" w:type="dxa"/>
              <w:right w:w="105" w:type="dxa"/>
            </w:tcMar>
          </w:tcPr>
          <w:p>
            <w:pPr>
              <w:rPr>
                <w:noProof/>
              </w:rPr>
            </w:pPr>
            <w:r>
              <w:rPr>
                <w:noProof/>
              </w:rPr>
              <w:t>Solicitare de informații</w:t>
            </w:r>
          </w:p>
        </w:tc>
        <w:tc>
          <w:tcPr>
            <w:tcW w:w="1743" w:type="dxa"/>
            <w:tcMar>
              <w:left w:w="105" w:type="dxa"/>
              <w:right w:w="105" w:type="dxa"/>
            </w:tcMar>
          </w:tcPr>
          <w:p>
            <w:pPr>
              <w:rPr>
                <w:noProof/>
              </w:rPr>
            </w:pPr>
            <w:r>
              <w:rPr>
                <w:noProof/>
              </w:rPr>
              <w:t>Articolul 117 alineatul (1)</w:t>
            </w:r>
          </w:p>
        </w:tc>
        <w:tc>
          <w:tcPr>
            <w:tcW w:w="1815" w:type="dxa"/>
            <w:tcMar>
              <w:left w:w="105" w:type="dxa"/>
              <w:right w:w="105" w:type="dxa"/>
            </w:tcMar>
          </w:tcPr>
          <w:p>
            <w:pPr>
              <w:rPr>
                <w:noProof/>
              </w:rPr>
            </w:pPr>
            <w:r>
              <w:rPr>
                <w:noProof/>
              </w:rPr>
              <w:t>Parlamentul European</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Inițiativa PE</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109 alineatul (2)</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Parlamentul European</w:t>
            </w:r>
          </w:p>
        </w:tc>
        <w:tc>
          <w:tcPr>
            <w:tcW w:w="2099" w:type="dxa"/>
            <w:tcMar>
              <w:left w:w="105" w:type="dxa"/>
              <w:right w:w="105" w:type="dxa"/>
            </w:tcMar>
          </w:tcPr>
          <w:p>
            <w:pPr>
              <w:rPr>
                <w:noProof/>
              </w:rPr>
            </w:pPr>
            <w:r>
              <w:rPr>
                <w:noProof/>
              </w:rPr>
              <w:t>La cererea de mai sus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Raport</w:t>
            </w:r>
          </w:p>
        </w:tc>
        <w:tc>
          <w:tcPr>
            <w:tcW w:w="1743" w:type="dxa"/>
            <w:tcMar>
              <w:left w:w="105" w:type="dxa"/>
              <w:right w:w="105" w:type="dxa"/>
            </w:tcMar>
          </w:tcPr>
          <w:p>
            <w:pPr>
              <w:rPr>
                <w:noProof/>
              </w:rPr>
            </w:pPr>
            <w:r>
              <w:rPr>
                <w:noProof/>
              </w:rPr>
              <w:t>Articolul 130</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Consiliul de administrație, PE, Consiliul, parlamentele naționale</w:t>
            </w:r>
          </w:p>
        </w:tc>
        <w:tc>
          <w:tcPr>
            <w:tcW w:w="2099" w:type="dxa"/>
            <w:tcMar>
              <w:left w:w="105" w:type="dxa"/>
              <w:right w:w="105" w:type="dxa"/>
            </w:tcMar>
          </w:tcPr>
          <w:p>
            <w:pPr>
              <w:rPr>
                <w:noProof/>
              </w:rPr>
            </w:pPr>
            <w:r>
              <w:rPr>
                <w:noProof/>
              </w:rPr>
              <w:t>Punerea în aplicare a regulamentului, intrarea în vigoare a regulamentului</w:t>
            </w:r>
          </w:p>
        </w:tc>
        <w:tc>
          <w:tcPr>
            <w:tcW w:w="2136" w:type="dxa"/>
            <w:tcMar>
              <w:left w:w="105" w:type="dxa"/>
              <w:right w:w="105" w:type="dxa"/>
            </w:tcMar>
          </w:tcPr>
          <w:p>
            <w:pPr>
              <w:rPr>
                <w:noProof/>
              </w:rPr>
            </w:pPr>
            <w:r>
              <w:rPr>
                <w:noProof/>
              </w:rPr>
              <w:t>5 ani</w:t>
            </w:r>
          </w:p>
        </w:tc>
      </w:tr>
      <w:tr>
        <w:trPr>
          <w:trHeight w:val="285"/>
        </w:trPr>
        <w:tc>
          <w:tcPr>
            <w:tcW w:w="3611" w:type="dxa"/>
            <w:tcMar>
              <w:left w:w="105" w:type="dxa"/>
              <w:right w:w="105" w:type="dxa"/>
            </w:tcMar>
          </w:tcPr>
          <w:p>
            <w:pPr>
              <w:rPr>
                <w:noProof/>
              </w:rPr>
            </w:pPr>
            <w:r>
              <w:rPr>
                <w:noProof/>
              </w:rPr>
              <w:t>Cerere de informații privind datele personale</w:t>
            </w:r>
          </w:p>
        </w:tc>
        <w:tc>
          <w:tcPr>
            <w:tcW w:w="1743" w:type="dxa"/>
            <w:tcMar>
              <w:left w:w="105" w:type="dxa"/>
              <w:right w:w="105" w:type="dxa"/>
            </w:tcMar>
          </w:tcPr>
          <w:p>
            <w:pPr>
              <w:rPr>
                <w:noProof/>
              </w:rPr>
            </w:pPr>
            <w:r>
              <w:rPr>
                <w:noProof/>
              </w:rPr>
              <w:t>Articolul 136</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Bazele de date SM prin intermediul routerului Prüm</w:t>
            </w:r>
          </w:p>
        </w:tc>
        <w:tc>
          <w:tcPr>
            <w:tcW w:w="2099" w:type="dxa"/>
            <w:tcMar>
              <w:left w:w="105" w:type="dxa"/>
              <w:right w:w="105" w:type="dxa"/>
            </w:tcMar>
          </w:tcPr>
          <w:p>
            <w:pPr>
              <w:rPr>
                <w:noProof/>
              </w:rPr>
            </w:pPr>
            <w:r>
              <w:rPr>
                <w:noProof/>
              </w:rPr>
              <w:t>Inițiativa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Identitatea persoanei</w:t>
            </w:r>
          </w:p>
        </w:tc>
        <w:tc>
          <w:tcPr>
            <w:tcW w:w="1743" w:type="dxa"/>
            <w:tcMar>
              <w:left w:w="105" w:type="dxa"/>
              <w:right w:w="105" w:type="dxa"/>
            </w:tcMar>
          </w:tcPr>
          <w:p>
            <w:pPr>
              <w:rPr>
                <w:noProof/>
              </w:rPr>
            </w:pPr>
            <w:r>
              <w:rPr>
                <w:noProof/>
              </w:rPr>
              <w:t>Articolul 136</w:t>
            </w:r>
          </w:p>
        </w:tc>
        <w:tc>
          <w:tcPr>
            <w:tcW w:w="1815" w:type="dxa"/>
            <w:tcMar>
              <w:left w:w="105" w:type="dxa"/>
              <w:right w:w="105" w:type="dxa"/>
            </w:tcMar>
          </w:tcPr>
          <w:p>
            <w:pPr>
              <w:rPr>
                <w:noProof/>
              </w:rPr>
            </w:pPr>
            <w:r>
              <w:rPr>
                <w:noProof/>
              </w:rPr>
              <w:t>Bazele de date SM prin intermediul routerului Prüm</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La cererea de mai sus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Acte de punere în aplicare ale Comisiei prin care se stabilește începerea funcționării</w:t>
            </w:r>
          </w:p>
        </w:tc>
        <w:tc>
          <w:tcPr>
            <w:tcW w:w="1743" w:type="dxa"/>
            <w:tcMar>
              <w:left w:w="105" w:type="dxa"/>
              <w:right w:w="105" w:type="dxa"/>
            </w:tcMar>
          </w:tcPr>
          <w:p>
            <w:pPr>
              <w:rPr>
                <w:noProof/>
              </w:rPr>
            </w:pPr>
            <w:r>
              <w:rPr>
                <w:noProof/>
              </w:rPr>
              <w:t>Articolul 137</w:t>
            </w:r>
          </w:p>
        </w:tc>
        <w:tc>
          <w:tcPr>
            <w:tcW w:w="1815" w:type="dxa"/>
            <w:tcMar>
              <w:left w:w="105" w:type="dxa"/>
              <w:right w:w="105" w:type="dxa"/>
            </w:tcMar>
          </w:tcPr>
          <w:p>
            <w:pPr>
              <w:rPr>
                <w:noProof/>
              </w:rPr>
            </w:pPr>
            <w:r>
              <w:rPr>
                <w:noProof/>
              </w:rPr>
              <w:t>Comisia</w:t>
            </w:r>
          </w:p>
        </w:tc>
        <w:tc>
          <w:tcPr>
            <w:tcW w:w="1637" w:type="dxa"/>
            <w:tcMar>
              <w:left w:w="105" w:type="dxa"/>
              <w:right w:w="105" w:type="dxa"/>
            </w:tcMar>
          </w:tcPr>
          <w:p>
            <w:pPr>
              <w:rPr>
                <w:noProof/>
              </w:rPr>
            </w:pPr>
            <w:r>
              <w:rPr>
                <w:noProof/>
              </w:rPr>
              <w:t>SM</w:t>
            </w:r>
          </w:p>
        </w:tc>
        <w:tc>
          <w:tcPr>
            <w:tcW w:w="2099" w:type="dxa"/>
            <w:tcMar>
              <w:left w:w="105" w:type="dxa"/>
              <w:right w:w="105" w:type="dxa"/>
            </w:tcMar>
          </w:tcPr>
          <w:p>
            <w:pPr>
              <w:rPr>
                <w:noProof/>
              </w:rPr>
            </w:pPr>
            <w:r>
              <w:rPr>
                <w:noProof/>
              </w:rPr>
              <w:t>Procedura comitetului</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suplimentare SIS</w:t>
            </w:r>
          </w:p>
        </w:tc>
        <w:tc>
          <w:tcPr>
            <w:tcW w:w="1743" w:type="dxa"/>
            <w:tcMar>
              <w:left w:w="105" w:type="dxa"/>
              <w:right w:w="105" w:type="dxa"/>
            </w:tcMar>
          </w:tcPr>
          <w:p>
            <w:pPr>
              <w:rPr>
                <w:noProof/>
              </w:rPr>
            </w:pPr>
            <w:r>
              <w:rPr>
                <w:noProof/>
              </w:rPr>
              <w:t>Articolul 30</w:t>
            </w:r>
          </w:p>
        </w:tc>
        <w:tc>
          <w:tcPr>
            <w:tcW w:w="1815" w:type="dxa"/>
            <w:tcMar>
              <w:left w:w="105" w:type="dxa"/>
              <w:right w:w="105" w:type="dxa"/>
            </w:tcMar>
          </w:tcPr>
          <w:p>
            <w:pPr>
              <w:rPr>
                <w:noProof/>
              </w:rPr>
            </w:pPr>
            <w:r>
              <w:rPr>
                <w:noProof/>
              </w:rPr>
              <w:t xml:space="preserve">SIRENE SM </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În urma obținerii unui răspuns pozitiv cu privire la o semnalare SIS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și date operative în materie penală</w:t>
            </w:r>
          </w:p>
        </w:tc>
        <w:tc>
          <w:tcPr>
            <w:tcW w:w="1743" w:type="dxa"/>
            <w:tcMar>
              <w:left w:w="105" w:type="dxa"/>
              <w:right w:w="105" w:type="dxa"/>
            </w:tcMar>
          </w:tcPr>
          <w:p>
            <w:pPr>
              <w:rPr>
                <w:noProof/>
              </w:rPr>
            </w:pPr>
            <w:r>
              <w:rPr>
                <w:noProof/>
              </w:rPr>
              <w:t>Articolul 30</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SIRENE SM</w:t>
            </w:r>
          </w:p>
        </w:tc>
        <w:tc>
          <w:tcPr>
            <w:tcW w:w="2099" w:type="dxa"/>
            <w:tcMar>
              <w:left w:w="105" w:type="dxa"/>
              <w:right w:w="105" w:type="dxa"/>
            </w:tcMar>
          </w:tcPr>
          <w:p>
            <w:pPr>
              <w:rPr>
                <w:noProof/>
              </w:rPr>
            </w:pPr>
            <w:r>
              <w:rPr>
                <w:noProof/>
              </w:rPr>
              <w:t>Ca răspuns la notificarea de mai sus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provenite din țări terțe</w:t>
            </w:r>
          </w:p>
        </w:tc>
        <w:tc>
          <w:tcPr>
            <w:tcW w:w="1743" w:type="dxa"/>
            <w:tcMar>
              <w:left w:w="105" w:type="dxa"/>
              <w:right w:w="105" w:type="dxa"/>
            </w:tcMar>
          </w:tcPr>
          <w:p>
            <w:pPr>
              <w:rPr>
                <w:noProof/>
              </w:rPr>
            </w:pPr>
            <w:r>
              <w:rPr>
                <w:noProof/>
              </w:rPr>
              <w:t>Articolul 30</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 xml:space="preserve">SM </w:t>
            </w:r>
          </w:p>
        </w:tc>
        <w:tc>
          <w:tcPr>
            <w:tcW w:w="2099" w:type="dxa"/>
            <w:tcMar>
              <w:left w:w="105" w:type="dxa"/>
              <w:right w:w="105" w:type="dxa"/>
            </w:tcMar>
          </w:tcPr>
          <w:p>
            <w:pPr>
              <w:rPr>
                <w:noProof/>
              </w:rPr>
            </w:pPr>
            <w:r>
              <w:rPr>
                <w:noProof/>
              </w:rPr>
              <w:t>Inițiativa Europol</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Notificarea introducerii</w:t>
            </w:r>
          </w:p>
        </w:tc>
        <w:tc>
          <w:tcPr>
            <w:tcW w:w="1743" w:type="dxa"/>
            <w:tcMar>
              <w:left w:w="105" w:type="dxa"/>
              <w:right w:w="105" w:type="dxa"/>
            </w:tcMar>
          </w:tcPr>
          <w:p>
            <w:pPr>
              <w:rPr>
                <w:noProof/>
              </w:rPr>
            </w:pPr>
            <w:r>
              <w:rPr>
                <w:noProof/>
              </w:rPr>
              <w:t>Articolul 30</w:t>
            </w:r>
          </w:p>
        </w:tc>
        <w:tc>
          <w:tcPr>
            <w:tcW w:w="1815" w:type="dxa"/>
            <w:tcMar>
              <w:left w:w="105" w:type="dxa"/>
              <w:right w:w="105" w:type="dxa"/>
            </w:tcMar>
          </w:tcPr>
          <w:p>
            <w:pPr>
              <w:rPr>
                <w:noProof/>
              </w:rPr>
            </w:pPr>
            <w:r>
              <w:rPr>
                <w:noProof/>
              </w:rPr>
              <w:t xml:space="preserve">SM </w:t>
            </w:r>
          </w:p>
        </w:tc>
        <w:tc>
          <w:tcPr>
            <w:tcW w:w="1637" w:type="dxa"/>
            <w:tcMar>
              <w:left w:w="105" w:type="dxa"/>
              <w:right w:w="105" w:type="dxa"/>
            </w:tcMar>
          </w:tcPr>
          <w:p>
            <w:pPr>
              <w:rPr>
                <w:noProof/>
              </w:rPr>
            </w:pPr>
            <w:r>
              <w:rPr>
                <w:noProof/>
              </w:rPr>
              <w:t>Europol</w:t>
            </w:r>
          </w:p>
        </w:tc>
        <w:tc>
          <w:tcPr>
            <w:tcW w:w="2099" w:type="dxa"/>
            <w:tcMar>
              <w:left w:w="105" w:type="dxa"/>
              <w:right w:w="105" w:type="dxa"/>
            </w:tcMar>
          </w:tcPr>
          <w:p>
            <w:pPr>
              <w:rPr>
                <w:noProof/>
              </w:rPr>
            </w:pPr>
            <w:r>
              <w:rPr>
                <w:noProof/>
              </w:rPr>
              <w:t>La introducerea semnalării SIS</w:t>
            </w:r>
          </w:p>
        </w:tc>
        <w:tc>
          <w:tcPr>
            <w:tcW w:w="2136" w:type="dxa"/>
            <w:tcMar>
              <w:left w:w="105" w:type="dxa"/>
              <w:right w:w="105" w:type="dxa"/>
            </w:tcMar>
          </w:tcPr>
          <w:p>
            <w:pPr>
              <w:rPr>
                <w:noProof/>
              </w:rPr>
            </w:pPr>
            <w:r>
              <w:rPr>
                <w:noProof/>
              </w:rPr>
              <w:t>/</w:t>
            </w:r>
          </w:p>
        </w:tc>
      </w:tr>
      <w:tr>
        <w:trPr>
          <w:trHeight w:val="285"/>
        </w:trPr>
        <w:tc>
          <w:tcPr>
            <w:tcW w:w="3611" w:type="dxa"/>
            <w:tcMar>
              <w:left w:w="105" w:type="dxa"/>
              <w:right w:w="105" w:type="dxa"/>
            </w:tcMar>
          </w:tcPr>
          <w:p>
            <w:pPr>
              <w:rPr>
                <w:noProof/>
              </w:rPr>
            </w:pPr>
            <w:r>
              <w:rPr>
                <w:noProof/>
              </w:rPr>
              <w:t>Informații suplimentare</w:t>
            </w:r>
          </w:p>
        </w:tc>
        <w:tc>
          <w:tcPr>
            <w:tcW w:w="1743" w:type="dxa"/>
            <w:tcMar>
              <w:left w:w="105" w:type="dxa"/>
              <w:right w:w="105" w:type="dxa"/>
            </w:tcMar>
          </w:tcPr>
          <w:p>
            <w:pPr>
              <w:rPr>
                <w:noProof/>
              </w:rPr>
            </w:pPr>
            <w:r>
              <w:rPr>
                <w:noProof/>
              </w:rPr>
              <w:t>Articolul 30</w:t>
            </w:r>
          </w:p>
        </w:tc>
        <w:tc>
          <w:tcPr>
            <w:tcW w:w="1815" w:type="dxa"/>
            <w:tcMar>
              <w:left w:w="105" w:type="dxa"/>
              <w:right w:w="105" w:type="dxa"/>
            </w:tcMar>
          </w:tcPr>
          <w:p>
            <w:pPr>
              <w:rPr>
                <w:noProof/>
              </w:rPr>
            </w:pPr>
            <w:r>
              <w:rPr>
                <w:noProof/>
              </w:rPr>
              <w:t>Europol</w:t>
            </w:r>
          </w:p>
        </w:tc>
        <w:tc>
          <w:tcPr>
            <w:tcW w:w="1637" w:type="dxa"/>
            <w:tcMar>
              <w:left w:w="105" w:type="dxa"/>
              <w:right w:w="105" w:type="dxa"/>
            </w:tcMar>
          </w:tcPr>
          <w:p>
            <w:pPr>
              <w:rPr>
                <w:noProof/>
              </w:rPr>
            </w:pPr>
            <w:r>
              <w:rPr>
                <w:noProof/>
              </w:rPr>
              <w:t>SM</w:t>
            </w:r>
          </w:p>
        </w:tc>
        <w:tc>
          <w:tcPr>
            <w:tcW w:w="2099" w:type="dxa"/>
            <w:tcMar>
              <w:left w:w="105" w:type="dxa"/>
              <w:right w:w="105" w:type="dxa"/>
            </w:tcMar>
          </w:tcPr>
          <w:p>
            <w:pPr>
              <w:rPr>
                <w:noProof/>
              </w:rPr>
            </w:pPr>
            <w:r>
              <w:rPr>
                <w:noProof/>
              </w:rPr>
              <w:t>La cerere, atunci când se primesc răspunsuri pozitive privind semnalări specifice</w:t>
            </w:r>
          </w:p>
        </w:tc>
        <w:tc>
          <w:tcPr>
            <w:tcW w:w="2136" w:type="dxa"/>
            <w:tcMar>
              <w:left w:w="105" w:type="dxa"/>
              <w:right w:w="105" w:type="dxa"/>
            </w:tcMar>
          </w:tcPr>
          <w:p>
            <w:pPr>
              <w:rPr>
                <w:noProof/>
              </w:rPr>
            </w:pPr>
            <w:r>
              <w:rPr>
                <w:noProof/>
              </w:rPr>
              <w:t>/</w:t>
            </w:r>
          </w:p>
        </w:tc>
      </w:tr>
    </w:tbl>
    <w:p>
      <w:pPr>
        <w:rPr>
          <w:rFonts w:eastAsia="Times New Roman"/>
          <w:noProof/>
          <w:color w:val="000000" w:themeColor="text1"/>
        </w:rPr>
      </w:pPr>
    </w:p>
    <w:p>
      <w:pPr>
        <w:pStyle w:val="ManualHeading2"/>
        <w:rPr>
          <w:rFonts w:eastAsia="Times New Roman"/>
          <w:noProof/>
          <w:color w:val="000000" w:themeColor="text1"/>
        </w:rPr>
      </w:pPr>
      <w:bookmarkStart w:id="55" w:name="_Toc16DD1317E4794603ABB9A0D45608868A"/>
      <w:r>
        <w:rPr>
          <w:noProof/>
          <w:color w:val="000000" w:themeColor="text1"/>
        </w:rPr>
        <w:t>4.3.</w:t>
      </w:r>
      <w:r>
        <w:rPr>
          <w:noProof/>
        </w:rPr>
        <w:tab/>
      </w:r>
      <w:r>
        <w:rPr>
          <w:noProof/>
          <w:color w:val="000000" w:themeColor="text1"/>
        </w:rPr>
        <w:t>Soluții digitale</w:t>
      </w:r>
      <w:bookmarkEnd w:id="55"/>
    </w:p>
    <w:tbl>
      <w:tblPr>
        <w:tblStyle w:val="TableGrid"/>
        <w:tblW w:w="13041" w:type="dxa"/>
        <w:tblInd w:w="10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539"/>
        <w:gridCol w:w="1709"/>
        <w:gridCol w:w="2677"/>
        <w:gridCol w:w="1592"/>
        <w:gridCol w:w="1770"/>
        <w:gridCol w:w="1730"/>
        <w:gridCol w:w="2024"/>
      </w:tblGrid>
      <w:tr>
        <w:trPr>
          <w:trHeight w:val="285"/>
        </w:trPr>
        <w:tc>
          <w:tcPr>
            <w:tcW w:w="1544" w:type="dxa"/>
            <w:tcMar>
              <w:left w:w="105" w:type="dxa"/>
              <w:right w:w="105" w:type="dxa"/>
            </w:tcMar>
            <w:vAlign w:val="center"/>
          </w:tcPr>
          <w:p>
            <w:pPr>
              <w:jc w:val="center"/>
              <w:rPr>
                <w:noProof/>
                <w:color w:val="000000" w:themeColor="text1"/>
              </w:rPr>
            </w:pPr>
            <w:r>
              <w:rPr>
                <w:b/>
                <w:noProof/>
                <w:color w:val="000000" w:themeColor="text1"/>
              </w:rPr>
              <w:t>Soluție digitală</w:t>
            </w:r>
          </w:p>
        </w:tc>
        <w:tc>
          <w:tcPr>
            <w:tcW w:w="1743" w:type="dxa"/>
            <w:tcMar>
              <w:left w:w="105" w:type="dxa"/>
              <w:right w:w="105" w:type="dxa"/>
            </w:tcMar>
            <w:vAlign w:val="center"/>
          </w:tcPr>
          <w:p>
            <w:pPr>
              <w:jc w:val="center"/>
              <w:rPr>
                <w:noProof/>
              </w:rPr>
            </w:pPr>
            <w:r>
              <w:rPr>
                <w:b/>
                <w:noProof/>
              </w:rPr>
              <w:t>Trimitere (trimiteri) la cerință (cerințe)</w:t>
            </w:r>
          </w:p>
        </w:tc>
        <w:tc>
          <w:tcPr>
            <w:tcW w:w="2833" w:type="dxa"/>
            <w:tcMar>
              <w:left w:w="105" w:type="dxa"/>
              <w:right w:w="105" w:type="dxa"/>
            </w:tcMar>
            <w:vAlign w:val="center"/>
          </w:tcPr>
          <w:p>
            <w:pPr>
              <w:jc w:val="center"/>
              <w:rPr>
                <w:noProof/>
                <w:color w:val="000000" w:themeColor="text1"/>
              </w:rPr>
            </w:pPr>
            <w:r>
              <w:rPr>
                <w:b/>
                <w:noProof/>
                <w:color w:val="000000" w:themeColor="text1"/>
              </w:rPr>
              <w:t>Principalele funcționalități obligatorii</w:t>
            </w:r>
          </w:p>
        </w:tc>
        <w:tc>
          <w:tcPr>
            <w:tcW w:w="1626" w:type="dxa"/>
            <w:tcMar>
              <w:left w:w="105" w:type="dxa"/>
              <w:right w:w="105" w:type="dxa"/>
            </w:tcMar>
            <w:vAlign w:val="center"/>
          </w:tcPr>
          <w:p>
            <w:pPr>
              <w:jc w:val="center"/>
              <w:rPr>
                <w:noProof/>
                <w:color w:val="000000" w:themeColor="text1"/>
              </w:rPr>
            </w:pPr>
            <w:r>
              <w:rPr>
                <w:b/>
                <w:noProof/>
                <w:color w:val="000000" w:themeColor="text1"/>
              </w:rPr>
              <w:t>Organismul responsabil</w:t>
            </w:r>
          </w:p>
        </w:tc>
        <w:tc>
          <w:tcPr>
            <w:tcW w:w="1570" w:type="dxa"/>
            <w:tcMar>
              <w:left w:w="105" w:type="dxa"/>
              <w:right w:w="105" w:type="dxa"/>
            </w:tcMar>
            <w:vAlign w:val="center"/>
          </w:tcPr>
          <w:p>
            <w:pPr>
              <w:jc w:val="center"/>
              <w:rPr>
                <w:noProof/>
                <w:color w:val="000000" w:themeColor="text1"/>
              </w:rPr>
            </w:pPr>
            <w:r>
              <w:rPr>
                <w:b/>
                <w:noProof/>
                <w:color w:val="000000" w:themeColor="text1"/>
              </w:rPr>
              <w:t>Cum este asigurată accesibilitatea?</w:t>
            </w:r>
          </w:p>
        </w:tc>
        <w:tc>
          <w:tcPr>
            <w:tcW w:w="1637" w:type="dxa"/>
            <w:tcMar>
              <w:left w:w="105" w:type="dxa"/>
              <w:right w:w="105" w:type="dxa"/>
            </w:tcMar>
            <w:vAlign w:val="center"/>
          </w:tcPr>
          <w:p>
            <w:pPr>
              <w:jc w:val="center"/>
              <w:rPr>
                <w:noProof/>
                <w:color w:val="000000" w:themeColor="text1"/>
              </w:rPr>
            </w:pPr>
            <w:r>
              <w:rPr>
                <w:b/>
                <w:noProof/>
                <w:color w:val="000000" w:themeColor="text1"/>
              </w:rPr>
              <w:t>Cum se ia în considerare potențialul de reutilizare?</w:t>
            </w:r>
          </w:p>
        </w:tc>
        <w:tc>
          <w:tcPr>
            <w:tcW w:w="2088" w:type="dxa"/>
            <w:tcMar>
              <w:left w:w="105" w:type="dxa"/>
              <w:right w:w="105" w:type="dxa"/>
            </w:tcMar>
            <w:vAlign w:val="center"/>
          </w:tcPr>
          <w:p>
            <w:pPr>
              <w:jc w:val="center"/>
              <w:rPr>
                <w:noProof/>
                <w:color w:val="000000" w:themeColor="text1"/>
              </w:rPr>
            </w:pPr>
            <w:r>
              <w:rPr>
                <w:b/>
                <w:noProof/>
                <w:color w:val="000000" w:themeColor="text1"/>
              </w:rPr>
              <w:t>Utilizarea tehnologiilor IA (dacă este cazul)</w:t>
            </w:r>
          </w:p>
        </w:tc>
      </w:tr>
      <w:tr>
        <w:trPr>
          <w:trHeight w:val="285"/>
        </w:trPr>
        <w:tc>
          <w:tcPr>
            <w:tcW w:w="1544" w:type="dxa"/>
            <w:tcMar>
              <w:left w:w="105" w:type="dxa"/>
              <w:right w:w="105" w:type="dxa"/>
            </w:tcMar>
          </w:tcPr>
          <w:p>
            <w:pPr>
              <w:rPr>
                <w:noProof/>
              </w:rPr>
            </w:pPr>
            <w:r>
              <w:rPr>
                <w:noProof/>
              </w:rPr>
              <w:t>Serviciul Europol de verificare încrucișată</w:t>
            </w:r>
          </w:p>
        </w:tc>
        <w:tc>
          <w:tcPr>
            <w:tcW w:w="1743" w:type="dxa"/>
            <w:tcMar>
              <w:left w:w="105" w:type="dxa"/>
              <w:right w:w="105" w:type="dxa"/>
            </w:tcMar>
          </w:tcPr>
          <w:p>
            <w:pPr>
              <w:rPr>
                <w:noProof/>
              </w:rPr>
            </w:pPr>
            <w:r>
              <w:rPr>
                <w:noProof/>
              </w:rPr>
              <w:t>Articolele 35-39</w:t>
            </w:r>
          </w:p>
        </w:tc>
        <w:tc>
          <w:tcPr>
            <w:tcW w:w="2833" w:type="dxa"/>
            <w:tcMar>
              <w:left w:w="105" w:type="dxa"/>
              <w:right w:w="105" w:type="dxa"/>
            </w:tcMar>
          </w:tcPr>
          <w:p>
            <w:pPr>
              <w:rPr>
                <w:noProof/>
              </w:rPr>
            </w:pPr>
            <w:r>
              <w:rPr>
                <w:noProof/>
              </w:rPr>
              <w:t>Stocarea, căutarea și verificarea încrucișată automată a informațiilor prin intermediul datelor alfanumerice și biometrice.</w:t>
            </w:r>
          </w:p>
          <w:p>
            <w:pPr>
              <w:rPr>
                <w:noProof/>
              </w:rPr>
            </w:pPr>
            <w:r>
              <w:rPr>
                <w:noProof/>
              </w:rPr>
              <w:t>Trebuie să cuprindă: o infrastructură pentru stocarea informațiilor; o interfață de căutare; o interfață pentru încărcarea, actualizarea sau ștergerea informațiilor; o infrastructură de comunicații securizată între serviciul de verificare încrucișată și statele membre/organele Uniunii/portalul european de căutare.</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Nu se aplică</w:t>
            </w:r>
          </w:p>
          <w:p>
            <w:pPr>
              <w:rPr>
                <w:noProof/>
              </w:rPr>
            </w:pPr>
            <w:r>
              <w:rPr>
                <w:noProof/>
              </w:rPr>
              <w:t>interfața mașinii</w:t>
            </w:r>
          </w:p>
        </w:tc>
        <w:tc>
          <w:tcPr>
            <w:tcW w:w="1637" w:type="dxa"/>
            <w:tcMar>
              <w:left w:w="105" w:type="dxa"/>
              <w:right w:w="105" w:type="dxa"/>
            </w:tcMar>
          </w:tcPr>
          <w:p>
            <w:pPr>
              <w:rPr>
                <w:noProof/>
              </w:rPr>
            </w:pPr>
            <w:r>
              <w:rPr>
                <w:noProof/>
              </w:rPr>
              <w:t>Sinergii cu eu-LISA Articolul 78 alineatul (2), eventual cu componentele Prüm II</w:t>
            </w:r>
          </w:p>
          <w:p>
            <w:pPr>
              <w:rPr>
                <w:noProof/>
              </w:rPr>
            </w:pPr>
            <w:r>
              <w:rPr>
                <w:noProof/>
              </w:rPr>
              <w:t>Articolul 36 alineatul (4): serviciul de verificare încrucișată utilizează componentele tehnologice, elementele constitutive și infrastructura existente dezvoltate și gestionate de eu-LISA</w:t>
            </w:r>
          </w:p>
        </w:tc>
        <w:tc>
          <w:tcPr>
            <w:tcW w:w="2088" w:type="dxa"/>
            <w:tcMar>
              <w:left w:w="105" w:type="dxa"/>
              <w:right w:w="105" w:type="dxa"/>
            </w:tcMar>
          </w:tcPr>
          <w:p>
            <w:pPr>
              <w:rPr>
                <w:noProof/>
              </w:rPr>
            </w:pPr>
            <w:r>
              <w:rPr>
                <w:noProof/>
              </w:rPr>
              <w:t>Module de comparare a datelor biometrice</w:t>
            </w:r>
          </w:p>
        </w:tc>
      </w:tr>
      <w:tr>
        <w:trPr>
          <w:trHeight w:val="285"/>
        </w:trPr>
        <w:tc>
          <w:tcPr>
            <w:tcW w:w="1544" w:type="dxa"/>
            <w:tcMar>
              <w:left w:w="105" w:type="dxa"/>
              <w:right w:w="105" w:type="dxa"/>
            </w:tcMar>
          </w:tcPr>
          <w:p>
            <w:pPr>
              <w:rPr>
                <w:noProof/>
              </w:rPr>
            </w:pPr>
            <w:r>
              <w:rPr>
                <w:noProof/>
              </w:rPr>
              <w:t>Mediul analitic al Europol</w:t>
            </w:r>
          </w:p>
        </w:tc>
        <w:tc>
          <w:tcPr>
            <w:tcW w:w="1743" w:type="dxa"/>
            <w:tcMar>
              <w:left w:w="105" w:type="dxa"/>
              <w:right w:w="105" w:type="dxa"/>
            </w:tcMar>
          </w:tcPr>
          <w:p>
            <w:pPr>
              <w:rPr>
                <w:noProof/>
              </w:rPr>
            </w:pPr>
            <w:r>
              <w:rPr>
                <w:noProof/>
              </w:rPr>
              <w:t>Articolele 40 și 41</w:t>
            </w:r>
          </w:p>
        </w:tc>
        <w:tc>
          <w:tcPr>
            <w:tcW w:w="2833" w:type="dxa"/>
            <w:tcMar>
              <w:left w:w="105" w:type="dxa"/>
              <w:right w:w="105" w:type="dxa"/>
            </w:tcMar>
          </w:tcPr>
          <w:p>
            <w:pPr>
              <w:rPr>
                <w:noProof/>
              </w:rPr>
            </w:pPr>
            <w:r>
              <w:rPr>
                <w:noProof/>
              </w:rPr>
              <w:t xml:space="preserve">Mediul Europol pentru stocarea, prelucrarea, verificarea încrucișată, vizualizarea și analiza datelor, inclusiv în sprijinul anchetelor penale și al coordonării operaționale. Acesta trebuie să cuprindă spații de lucru analitice, funcționalități de gestionare a cazurilor, instrumente de colaborare, servicii de prelucrare a datelor și alte capacități. Acesta prevede proiecte de analiză separate în mod logic pentru stocarea și prelucrarea datelor în scopuri analitice distincte. </w:t>
            </w:r>
            <w:r>
              <w:rPr>
                <w:noProof/>
              </w:rPr>
              <w:br/>
            </w:r>
          </w:p>
          <w:p>
            <w:pPr>
              <w:rPr>
                <w:noProof/>
              </w:rPr>
            </w:pPr>
            <w:r>
              <w:rPr>
                <w:noProof/>
              </w:rPr>
              <w:t xml:space="preserve">Căutare de tip răspuns pozitiv/răspuns negativ: permite efectuarea de interogări ale datelor stocate pentru a identifica legături cu cazurile existente. </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Specificațiile interfețelor cu utilizatorii ale Europol</w:t>
            </w:r>
          </w:p>
        </w:tc>
        <w:tc>
          <w:tcPr>
            <w:tcW w:w="1637" w:type="dxa"/>
            <w:tcMar>
              <w:left w:w="105" w:type="dxa"/>
              <w:right w:w="105" w:type="dxa"/>
            </w:tcMar>
          </w:tcPr>
          <w:p>
            <w:pPr>
              <w:rPr>
                <w:noProof/>
              </w:rPr>
            </w:pPr>
            <w:r>
              <w:rPr>
                <w:noProof/>
              </w:rPr>
              <w:t>A se vedea spațiul comun de date al poliției</w:t>
            </w:r>
          </w:p>
        </w:tc>
        <w:tc>
          <w:tcPr>
            <w:tcW w:w="2088" w:type="dxa"/>
            <w:tcMar>
              <w:left w:w="105" w:type="dxa"/>
              <w:right w:w="105" w:type="dxa"/>
            </w:tcMar>
          </w:tcPr>
          <w:p>
            <w:pPr>
              <w:rPr>
                <w:noProof/>
              </w:rPr>
            </w:pPr>
            <w:r>
              <w:rPr>
                <w:noProof/>
              </w:rPr>
              <w:t>A se vedea spațiul comun de date al poliției</w:t>
            </w:r>
          </w:p>
        </w:tc>
      </w:tr>
      <w:tr>
        <w:trPr>
          <w:trHeight w:val="285"/>
        </w:trPr>
        <w:tc>
          <w:tcPr>
            <w:tcW w:w="1544" w:type="dxa"/>
            <w:tcMar>
              <w:left w:w="105" w:type="dxa"/>
              <w:right w:w="105" w:type="dxa"/>
            </w:tcMar>
          </w:tcPr>
          <w:p>
            <w:pPr>
              <w:rPr>
                <w:noProof/>
              </w:rPr>
            </w:pPr>
            <w:r>
              <w:rPr>
                <w:noProof/>
              </w:rPr>
              <w:t>Spațiul comun de date al poliției</w:t>
            </w:r>
          </w:p>
        </w:tc>
        <w:tc>
          <w:tcPr>
            <w:tcW w:w="1743" w:type="dxa"/>
            <w:tcMar>
              <w:left w:w="105" w:type="dxa"/>
              <w:right w:w="105" w:type="dxa"/>
            </w:tcMar>
          </w:tcPr>
          <w:p>
            <w:pPr>
              <w:rPr>
                <w:noProof/>
              </w:rPr>
            </w:pPr>
            <w:r>
              <w:rPr>
                <w:noProof/>
              </w:rPr>
              <w:t>Articolele 42-45</w:t>
            </w:r>
          </w:p>
        </w:tc>
        <w:tc>
          <w:tcPr>
            <w:tcW w:w="2833" w:type="dxa"/>
            <w:tcMar>
              <w:left w:w="105" w:type="dxa"/>
              <w:right w:w="105" w:type="dxa"/>
            </w:tcMar>
          </w:tcPr>
          <w:p>
            <w:pPr>
              <w:rPr>
                <w:noProof/>
              </w:rPr>
            </w:pPr>
            <w:r>
              <w:rPr>
                <w:noProof/>
              </w:rPr>
              <w:t>Mediul în care statele membre pot iniția cazuri de analiză operațională comună: să încarce, să stocheze, să verifice încrucișat, să prelucreze și să analizeze date privind investigațiile, să vizualizeze, să editeze în comun documente și rapoarte, să comunice și să facă schimb de informații în mod securizat.</w:t>
            </w:r>
          </w:p>
          <w:p>
            <w:pPr>
              <w:rPr>
                <w:noProof/>
              </w:rPr>
            </w:pPr>
            <w:r>
              <w:rPr>
                <w:noProof/>
              </w:rPr>
              <w:t xml:space="preserve">Trebuie să se bazeze pe infrastructura de cloud. </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În cazul interfeței pentru utilizatori, actul de punere în aplicare menționat la articolul 42 alineatul (4) și specificațiile Europol</w:t>
            </w:r>
          </w:p>
        </w:tc>
        <w:tc>
          <w:tcPr>
            <w:tcW w:w="1637" w:type="dxa"/>
            <w:tcMar>
              <w:left w:w="105" w:type="dxa"/>
              <w:right w:w="105" w:type="dxa"/>
            </w:tcMar>
          </w:tcPr>
          <w:p>
            <w:pPr>
              <w:rPr>
                <w:noProof/>
              </w:rPr>
            </w:pPr>
            <w:r>
              <w:rPr>
                <w:noProof/>
              </w:rPr>
              <w:t>Cerința de a partaja și de a reutiliza componentele hardware și software ale mediului analitic al Europol și de a pune la dispoziție instrumentele, funcționalitățile și modulele acestuia.</w:t>
            </w:r>
          </w:p>
        </w:tc>
        <w:tc>
          <w:tcPr>
            <w:tcW w:w="2088" w:type="dxa"/>
            <w:tcMar>
              <w:left w:w="105" w:type="dxa"/>
              <w:right w:w="105" w:type="dxa"/>
            </w:tcMar>
          </w:tcPr>
          <w:p>
            <w:pPr>
              <w:rPr>
                <w:noProof/>
              </w:rPr>
            </w:pPr>
            <w:r>
              <w:rPr>
                <w:noProof/>
              </w:rPr>
              <w:t>Este probabil ca instrumentele, funcționalitățile și modulele găzduite (definite prin acte de punere în aplicare) să integreze tehnologia IA.</w:t>
            </w:r>
          </w:p>
        </w:tc>
      </w:tr>
      <w:tr>
        <w:trPr>
          <w:trHeight w:val="285"/>
        </w:trPr>
        <w:tc>
          <w:tcPr>
            <w:tcW w:w="1544" w:type="dxa"/>
            <w:tcMar>
              <w:left w:w="105" w:type="dxa"/>
              <w:right w:w="105" w:type="dxa"/>
            </w:tcMar>
          </w:tcPr>
          <w:p>
            <w:pPr>
              <w:rPr>
                <w:noProof/>
              </w:rPr>
            </w:pPr>
            <w:r>
              <w:rPr>
                <w:noProof/>
              </w:rPr>
              <w:t>SIENA</w:t>
            </w:r>
          </w:p>
        </w:tc>
        <w:tc>
          <w:tcPr>
            <w:tcW w:w="1743" w:type="dxa"/>
            <w:tcMar>
              <w:left w:w="105" w:type="dxa"/>
              <w:right w:w="105" w:type="dxa"/>
            </w:tcMar>
          </w:tcPr>
          <w:p>
            <w:pPr>
              <w:rPr>
                <w:noProof/>
              </w:rPr>
            </w:pPr>
            <w:r>
              <w:rPr>
                <w:noProof/>
              </w:rPr>
              <w:t>Articolul 46</w:t>
            </w:r>
          </w:p>
        </w:tc>
        <w:tc>
          <w:tcPr>
            <w:tcW w:w="2833" w:type="dxa"/>
            <w:tcMar>
              <w:left w:w="105" w:type="dxa"/>
              <w:right w:w="105" w:type="dxa"/>
            </w:tcMar>
          </w:tcPr>
          <w:p>
            <w:pPr>
              <w:rPr>
                <w:noProof/>
              </w:rPr>
            </w:pPr>
            <w:r>
              <w:rPr>
                <w:noProof/>
              </w:rPr>
              <w:t>Schimbul securizat de informații între statele membre, Europol, alte organe ale Uniunii, țări terțe și organizații internaționale.</w:t>
            </w:r>
          </w:p>
          <w:p>
            <w:pPr>
              <w:rPr>
                <w:noProof/>
              </w:rPr>
            </w:pPr>
            <w:r>
              <w:rPr>
                <w:noProof/>
              </w:rPr>
              <w:t xml:space="preserve">Trebuie să cuprindă: o infrastructură centrală pentru stocarea și prelucrarea datelor; interfața (interfețele) web și aplicația (aplicațiile) mobilă (mobile) care permit personalului responsabil cu aplicarea legii să facă schimb de informații; interfața (interfețele) de programare specifică (specifice) care sprijină interoperabilitatea cu sistemele informatice ale statelor membre și ale organelor UE; o infrastructură de comunicații securizată între SIENA și statele membre/organele Uniunii/țările terțe/organizațiile internaționale. </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Stabilite de specificațiile Europol privind interfața pentru utilizatori</w:t>
            </w:r>
          </w:p>
        </w:tc>
        <w:tc>
          <w:tcPr>
            <w:tcW w:w="1637" w:type="dxa"/>
            <w:tcMar>
              <w:left w:w="105" w:type="dxa"/>
              <w:right w:w="105" w:type="dxa"/>
            </w:tcMar>
          </w:tcPr>
          <w:p>
            <w:pPr>
              <w:rPr>
                <w:noProof/>
              </w:rPr>
            </w:pPr>
            <w:r>
              <w:rPr>
                <w:noProof/>
              </w:rPr>
              <w:t>Dezvoltare specifică.</w:t>
            </w:r>
          </w:p>
        </w:tc>
        <w:tc>
          <w:tcPr>
            <w:tcW w:w="2088" w:type="dxa"/>
            <w:tcMar>
              <w:left w:w="105" w:type="dxa"/>
              <w:right w:w="105" w:type="dxa"/>
            </w:tcMar>
          </w:tcPr>
          <w:p>
            <w:pPr>
              <w:rPr>
                <w:noProof/>
              </w:rPr>
            </w:pPr>
            <w:r>
              <w:rPr>
                <w:noProof/>
              </w:rPr>
              <w:t>Module online pentru a facilita introducerea și interpretarea informațiilor schimbate</w:t>
            </w:r>
          </w:p>
        </w:tc>
      </w:tr>
      <w:tr>
        <w:trPr>
          <w:trHeight w:val="285"/>
        </w:trPr>
        <w:tc>
          <w:tcPr>
            <w:tcW w:w="1544" w:type="dxa"/>
            <w:tcMar>
              <w:left w:w="105" w:type="dxa"/>
              <w:right w:w="105" w:type="dxa"/>
            </w:tcMar>
          </w:tcPr>
          <w:p>
            <w:pPr>
              <w:rPr>
                <w:noProof/>
              </w:rPr>
            </w:pPr>
            <w:r>
              <w:rPr>
                <w:noProof/>
              </w:rPr>
              <w:t>Platforma de cooperare cu părțile private (inclusă în mediul analitic al Europol)</w:t>
            </w:r>
          </w:p>
        </w:tc>
        <w:tc>
          <w:tcPr>
            <w:tcW w:w="1743" w:type="dxa"/>
            <w:tcMar>
              <w:left w:w="105" w:type="dxa"/>
              <w:right w:w="105" w:type="dxa"/>
            </w:tcMar>
          </w:tcPr>
          <w:p>
            <w:pPr>
              <w:rPr>
                <w:noProof/>
              </w:rPr>
            </w:pPr>
            <w:r>
              <w:rPr>
                <w:noProof/>
              </w:rPr>
              <w:t>Articolul 47</w:t>
            </w:r>
          </w:p>
        </w:tc>
        <w:tc>
          <w:tcPr>
            <w:tcW w:w="2833" w:type="dxa"/>
            <w:tcMar>
              <w:left w:w="105" w:type="dxa"/>
              <w:right w:w="105" w:type="dxa"/>
            </w:tcMar>
          </w:tcPr>
          <w:p>
            <w:pPr>
              <w:rPr>
                <w:noProof/>
              </w:rPr>
            </w:pPr>
            <w:r>
              <w:rPr>
                <w:noProof/>
              </w:rPr>
              <w:t>Punerea în aplicare a ordinului de eliminare TCO, semnalarea în temeiul DSA și situația de criză online.</w:t>
            </w:r>
          </w:p>
          <w:p>
            <w:pPr>
              <w:rPr>
                <w:noProof/>
              </w:rPr>
            </w:pPr>
            <w:r>
              <w:rPr>
                <w:noProof/>
              </w:rPr>
              <w:t xml:space="preserve">Facilitarea comunicării dintre Europol, statele membre și părțile private care oferă servicii în UE. </w:t>
            </w:r>
          </w:p>
          <w:p>
            <w:pPr>
              <w:rPr>
                <w:noProof/>
              </w:rPr>
            </w:pPr>
            <w:r>
              <w:rPr>
                <w:noProof/>
              </w:rPr>
              <w:t>Acționează ca platformă de răspuns în situații de criză online, facilitând comunicarea și permițând Europol să furnizeze părților private informațiile necesare.</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Stabilite de specificațiile Europol privind interfața pentru utilizatori</w:t>
            </w:r>
          </w:p>
        </w:tc>
        <w:tc>
          <w:tcPr>
            <w:tcW w:w="1637" w:type="dxa"/>
            <w:tcMar>
              <w:left w:w="105" w:type="dxa"/>
              <w:right w:w="105" w:type="dxa"/>
            </w:tcMar>
          </w:tcPr>
          <w:p>
            <w:pPr>
              <w:rPr>
                <w:noProof/>
              </w:rPr>
            </w:pPr>
            <w:r>
              <w:rPr>
                <w:noProof/>
              </w:rPr>
              <w:t>Platforma cuprinde deja trei fluxuri de lucru diferite</w:t>
            </w:r>
          </w:p>
        </w:tc>
        <w:tc>
          <w:tcPr>
            <w:tcW w:w="2088" w:type="dxa"/>
            <w:tcMar>
              <w:left w:w="105" w:type="dxa"/>
              <w:right w:w="105" w:type="dxa"/>
            </w:tcMar>
          </w:tcPr>
          <w:p>
            <w:pPr>
              <w:rPr>
                <w:noProof/>
              </w:rPr>
            </w:pPr>
            <w:r>
              <w:rPr>
                <w:noProof/>
              </w:rPr>
              <w:t>/</w:t>
            </w:r>
          </w:p>
        </w:tc>
      </w:tr>
      <w:tr>
        <w:trPr>
          <w:trHeight w:val="285"/>
        </w:trPr>
        <w:tc>
          <w:tcPr>
            <w:tcW w:w="1544" w:type="dxa"/>
            <w:tcMar>
              <w:left w:w="105" w:type="dxa"/>
              <w:right w:w="105" w:type="dxa"/>
            </w:tcMar>
          </w:tcPr>
          <w:p>
            <w:pPr>
              <w:rPr>
                <w:noProof/>
              </w:rPr>
            </w:pPr>
            <w:r>
              <w:rPr>
                <w:noProof/>
              </w:rPr>
              <w:t>Sistemul european de inventariere a evidențelor poliției (EPRIS)</w:t>
            </w:r>
          </w:p>
        </w:tc>
        <w:tc>
          <w:tcPr>
            <w:tcW w:w="1743" w:type="dxa"/>
            <w:tcMar>
              <w:left w:w="105" w:type="dxa"/>
              <w:right w:w="105" w:type="dxa"/>
            </w:tcMar>
          </w:tcPr>
          <w:p>
            <w:pPr>
              <w:rPr>
                <w:noProof/>
              </w:rPr>
            </w:pPr>
            <w:r>
              <w:rPr>
                <w:noProof/>
              </w:rPr>
              <w:t>Articolul 48</w:t>
            </w:r>
          </w:p>
          <w:p>
            <w:pPr>
              <w:rPr>
                <w:noProof/>
              </w:rPr>
            </w:pPr>
          </w:p>
        </w:tc>
        <w:tc>
          <w:tcPr>
            <w:tcW w:w="2833" w:type="dxa"/>
            <w:tcMar>
              <w:left w:w="105" w:type="dxa"/>
              <w:right w:w="105" w:type="dxa"/>
            </w:tcMar>
          </w:tcPr>
          <w:p>
            <w:pPr>
              <w:rPr>
                <w:noProof/>
              </w:rPr>
            </w:pPr>
            <w:r>
              <w:rPr>
                <w:noProof/>
              </w:rPr>
              <w:t>Nu au fost introduse funcționalități noi. Articolul stabilește doar că Europol trebuie să îndeplinească atribuțiile care îi sunt conferite prin Regulamentul (UE) 2024/982, în ceea ce privește EPRIS.</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w:t>
            </w:r>
          </w:p>
        </w:tc>
        <w:tc>
          <w:tcPr>
            <w:tcW w:w="1637" w:type="dxa"/>
            <w:tcMar>
              <w:left w:w="105" w:type="dxa"/>
              <w:right w:w="105" w:type="dxa"/>
            </w:tcMar>
          </w:tcPr>
          <w:p>
            <w:pPr>
              <w:rPr>
                <w:noProof/>
              </w:rPr>
            </w:pPr>
            <w:r>
              <w:rPr>
                <w:noProof/>
              </w:rPr>
              <w:t>//</w:t>
            </w:r>
          </w:p>
        </w:tc>
        <w:tc>
          <w:tcPr>
            <w:tcW w:w="2088" w:type="dxa"/>
            <w:tcMar>
              <w:left w:w="105" w:type="dxa"/>
              <w:right w:w="105" w:type="dxa"/>
            </w:tcMar>
          </w:tcPr>
          <w:p>
            <w:pPr>
              <w:rPr>
                <w:noProof/>
              </w:rPr>
            </w:pPr>
            <w:r>
              <w:rPr>
                <w:noProof/>
              </w:rPr>
              <w:t>//</w:t>
            </w:r>
          </w:p>
        </w:tc>
      </w:tr>
      <w:tr>
        <w:trPr>
          <w:trHeight w:val="285"/>
        </w:trPr>
        <w:tc>
          <w:tcPr>
            <w:tcW w:w="1544" w:type="dxa"/>
            <w:tcMar>
              <w:left w:w="105" w:type="dxa"/>
              <w:right w:w="105" w:type="dxa"/>
            </w:tcMar>
          </w:tcPr>
          <w:p>
            <w:pPr>
              <w:rPr>
                <w:noProof/>
              </w:rPr>
            </w:pPr>
            <w:r>
              <w:rPr>
                <w:noProof/>
              </w:rPr>
              <w:t>Alte servicii și instrumente</w:t>
            </w:r>
          </w:p>
        </w:tc>
        <w:tc>
          <w:tcPr>
            <w:tcW w:w="1743" w:type="dxa"/>
            <w:tcMar>
              <w:left w:w="105" w:type="dxa"/>
              <w:right w:w="105" w:type="dxa"/>
            </w:tcMar>
          </w:tcPr>
          <w:p>
            <w:pPr>
              <w:rPr>
                <w:noProof/>
              </w:rPr>
            </w:pPr>
            <w:r>
              <w:rPr>
                <w:noProof/>
              </w:rPr>
              <w:t>Articolul 49</w:t>
            </w:r>
          </w:p>
        </w:tc>
        <w:tc>
          <w:tcPr>
            <w:tcW w:w="2833" w:type="dxa"/>
            <w:tcMar>
              <w:left w:w="105" w:type="dxa"/>
              <w:right w:w="105" w:type="dxa"/>
            </w:tcMar>
          </w:tcPr>
          <w:p>
            <w:pPr>
              <w:rPr>
                <w:noProof/>
              </w:rPr>
            </w:pPr>
            <w:r>
              <w:rPr>
                <w:noProof/>
              </w:rPr>
              <w:t>Comisia poate adopta acte de punere în aplicare prin care se stabilesc procedurile pentru definirea funcționalităților necesare ale serviciilor și instrumentelor suplimentare.</w:t>
            </w:r>
          </w:p>
        </w:tc>
        <w:tc>
          <w:tcPr>
            <w:tcW w:w="1626" w:type="dxa"/>
            <w:tcMar>
              <w:left w:w="105" w:type="dxa"/>
              <w:right w:w="105" w:type="dxa"/>
            </w:tcMar>
          </w:tcPr>
          <w:p>
            <w:pPr>
              <w:rPr>
                <w:noProof/>
              </w:rPr>
            </w:pPr>
            <w:r>
              <w:rPr>
                <w:noProof/>
              </w:rPr>
              <w:t>Comisia Europeană</w:t>
            </w:r>
          </w:p>
        </w:tc>
        <w:tc>
          <w:tcPr>
            <w:tcW w:w="1570" w:type="dxa"/>
            <w:tcMar>
              <w:left w:w="105" w:type="dxa"/>
              <w:right w:w="105" w:type="dxa"/>
            </w:tcMar>
          </w:tcPr>
          <w:p>
            <w:pPr>
              <w:rPr>
                <w:noProof/>
              </w:rPr>
            </w:pPr>
            <w:r>
              <w:rPr>
                <w:noProof/>
              </w:rPr>
              <w:t>//</w:t>
            </w:r>
          </w:p>
        </w:tc>
        <w:tc>
          <w:tcPr>
            <w:tcW w:w="1637" w:type="dxa"/>
            <w:tcMar>
              <w:left w:w="105" w:type="dxa"/>
              <w:right w:w="105" w:type="dxa"/>
            </w:tcMar>
          </w:tcPr>
          <w:p>
            <w:pPr>
              <w:rPr>
                <w:noProof/>
              </w:rPr>
            </w:pPr>
            <w:r>
              <w:rPr>
                <w:noProof/>
              </w:rPr>
              <w:t>//</w:t>
            </w:r>
          </w:p>
        </w:tc>
        <w:tc>
          <w:tcPr>
            <w:tcW w:w="2088" w:type="dxa"/>
            <w:tcMar>
              <w:left w:w="105" w:type="dxa"/>
              <w:right w:w="105" w:type="dxa"/>
            </w:tcMar>
          </w:tcPr>
          <w:p>
            <w:pPr>
              <w:rPr>
                <w:noProof/>
              </w:rPr>
            </w:pPr>
            <w:r>
              <w:rPr>
                <w:noProof/>
              </w:rPr>
              <w:t>//</w:t>
            </w:r>
          </w:p>
        </w:tc>
      </w:tr>
      <w:tr>
        <w:trPr>
          <w:trHeight w:val="285"/>
        </w:trPr>
        <w:tc>
          <w:tcPr>
            <w:tcW w:w="1544" w:type="dxa"/>
            <w:tcMar>
              <w:left w:w="105" w:type="dxa"/>
              <w:right w:w="105" w:type="dxa"/>
            </w:tcMar>
          </w:tcPr>
          <w:p>
            <w:pPr>
              <w:rPr>
                <w:noProof/>
              </w:rPr>
            </w:pPr>
            <w:r>
              <w:rPr>
                <w:noProof/>
              </w:rPr>
              <w:t>Infrastructura de cloud a Europol</w:t>
            </w:r>
          </w:p>
        </w:tc>
        <w:tc>
          <w:tcPr>
            <w:tcW w:w="1743" w:type="dxa"/>
            <w:tcMar>
              <w:left w:w="105" w:type="dxa"/>
              <w:right w:w="105" w:type="dxa"/>
            </w:tcMar>
          </w:tcPr>
          <w:p>
            <w:pPr>
              <w:rPr>
                <w:noProof/>
              </w:rPr>
            </w:pPr>
            <w:r>
              <w:rPr>
                <w:noProof/>
              </w:rPr>
              <w:t>Articolul 50</w:t>
            </w:r>
          </w:p>
        </w:tc>
        <w:tc>
          <w:tcPr>
            <w:tcW w:w="2833" w:type="dxa"/>
            <w:tcMar>
              <w:left w:w="105" w:type="dxa"/>
              <w:right w:w="105" w:type="dxa"/>
            </w:tcMar>
          </w:tcPr>
          <w:p>
            <w:pPr>
              <w:rPr>
                <w:noProof/>
              </w:rPr>
            </w:pPr>
            <w:r>
              <w:rPr>
                <w:noProof/>
              </w:rPr>
              <w:t>Oferă capacități de stocare și prelucrare redimensionabile, securizate și elastice, care permit crearea spațiului comun de date al poliției.</w:t>
            </w:r>
          </w:p>
          <w:p>
            <w:pPr>
              <w:rPr>
                <w:noProof/>
              </w:rPr>
            </w:pPr>
            <w:r>
              <w:rPr>
                <w:noProof/>
              </w:rPr>
              <w:t>Prin urmare, sprijină Europol și autoritățile competente ale statelor membre să acceseze instrumentele Europol, mediile de colaborare și alte capacități operaționale de prelucrare a datelor. Pot fi utilizate și de alte organe ale Uniunii și de țări terțe în același scop.</w:t>
            </w:r>
          </w:p>
          <w:p>
            <w:pPr>
              <w:rPr>
                <w:noProof/>
              </w:rPr>
            </w:pPr>
            <w:r>
              <w:rPr>
                <w:noProof/>
              </w:rPr>
              <w:t>Trebuie să sprijine stocarea, prelucrarea, analiza și schimbul de date.</w:t>
            </w:r>
          </w:p>
          <w:p>
            <w:pPr>
              <w:rPr>
                <w:noProof/>
              </w:rPr>
            </w:pPr>
            <w:r>
              <w:rPr>
                <w:noProof/>
              </w:rPr>
              <w:t>Trebuie să asigure un control strict al accesului și compartimentarea datelor.</w:t>
            </w:r>
          </w:p>
          <w:p>
            <w:pPr>
              <w:rPr>
                <w:noProof/>
              </w:rPr>
            </w:pPr>
            <w:r>
              <w:rPr>
                <w:noProof/>
              </w:rPr>
              <w:t xml:space="preserve">Drepturi de acces detaliate. </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Nu se aplică</w:t>
            </w:r>
          </w:p>
          <w:p>
            <w:pPr>
              <w:rPr>
                <w:noProof/>
              </w:rPr>
            </w:pPr>
            <w:r>
              <w:rPr>
                <w:noProof/>
              </w:rPr>
              <w:t>interfața mașinii</w:t>
            </w:r>
          </w:p>
        </w:tc>
        <w:tc>
          <w:tcPr>
            <w:tcW w:w="1637" w:type="dxa"/>
            <w:tcMar>
              <w:left w:w="105" w:type="dxa"/>
              <w:right w:w="105" w:type="dxa"/>
            </w:tcMar>
          </w:tcPr>
          <w:p>
            <w:pPr>
              <w:rPr>
                <w:noProof/>
              </w:rPr>
            </w:pPr>
            <w:r>
              <w:rPr>
                <w:noProof/>
              </w:rPr>
              <w:t>Achiziții comune de servicii de cloud computing</w:t>
            </w:r>
          </w:p>
        </w:tc>
        <w:tc>
          <w:tcPr>
            <w:tcW w:w="2088" w:type="dxa"/>
            <w:tcMar>
              <w:left w:w="105" w:type="dxa"/>
              <w:right w:w="105" w:type="dxa"/>
            </w:tcMar>
          </w:tcPr>
          <w:p>
            <w:pPr>
              <w:rPr>
                <w:noProof/>
              </w:rPr>
            </w:pPr>
            <w:r>
              <w:rPr>
                <w:noProof/>
              </w:rPr>
              <w:t xml:space="preserve">Analiza bazată pe IA se va baza pe scalabilitatea preconizată </w:t>
            </w:r>
          </w:p>
        </w:tc>
      </w:tr>
      <w:tr>
        <w:trPr>
          <w:trHeight w:val="285"/>
        </w:trPr>
        <w:tc>
          <w:tcPr>
            <w:tcW w:w="1544" w:type="dxa"/>
            <w:tcMar>
              <w:left w:w="105" w:type="dxa"/>
              <w:right w:w="105" w:type="dxa"/>
            </w:tcMar>
          </w:tcPr>
          <w:p>
            <w:pPr>
              <w:rPr>
                <w:noProof/>
              </w:rPr>
            </w:pPr>
            <w:r>
              <w:rPr>
                <w:noProof/>
              </w:rPr>
              <w:t>Identitatea digitală europeană pentru serviciile de poliție</w:t>
            </w:r>
          </w:p>
        </w:tc>
        <w:tc>
          <w:tcPr>
            <w:tcW w:w="1743" w:type="dxa"/>
            <w:tcMar>
              <w:left w:w="105" w:type="dxa"/>
              <w:right w:w="105" w:type="dxa"/>
            </w:tcMar>
          </w:tcPr>
          <w:p>
            <w:pPr>
              <w:rPr>
                <w:noProof/>
              </w:rPr>
            </w:pPr>
            <w:r>
              <w:rPr>
                <w:noProof/>
              </w:rPr>
              <w:t>Articolul 51</w:t>
            </w:r>
          </w:p>
        </w:tc>
        <w:tc>
          <w:tcPr>
            <w:tcW w:w="2833" w:type="dxa"/>
            <w:tcMar>
              <w:left w:w="105" w:type="dxa"/>
              <w:right w:w="105" w:type="dxa"/>
            </w:tcMar>
          </w:tcPr>
          <w:p>
            <w:pPr>
              <w:rPr>
                <w:noProof/>
              </w:rPr>
            </w:pPr>
            <w:r>
              <w:rPr>
                <w:noProof/>
              </w:rPr>
              <w:t>Oferă sistemul necesar de autentificare și identificare solidă pentru accesarea spațiului comun de date al poliției</w:t>
            </w:r>
          </w:p>
        </w:tc>
        <w:tc>
          <w:tcPr>
            <w:tcW w:w="1626" w:type="dxa"/>
            <w:tcMar>
              <w:left w:w="105" w:type="dxa"/>
              <w:right w:w="105" w:type="dxa"/>
            </w:tcMar>
          </w:tcPr>
          <w:p>
            <w:pPr>
              <w:rPr>
                <w:noProof/>
              </w:rPr>
            </w:pPr>
            <w:r>
              <w:rPr>
                <w:noProof/>
              </w:rPr>
              <w:t>Statele membre</w:t>
            </w:r>
          </w:p>
          <w:p>
            <w:pPr>
              <w:rPr>
                <w:noProof/>
              </w:rPr>
            </w:pPr>
            <w:r>
              <w:rPr>
                <w:noProof/>
              </w:rPr>
              <w:t>Europol</w:t>
            </w:r>
          </w:p>
        </w:tc>
        <w:tc>
          <w:tcPr>
            <w:tcW w:w="1570" w:type="dxa"/>
            <w:tcMar>
              <w:left w:w="105" w:type="dxa"/>
              <w:right w:w="105" w:type="dxa"/>
            </w:tcMar>
          </w:tcPr>
          <w:p>
            <w:pPr>
              <w:rPr>
                <w:noProof/>
              </w:rPr>
            </w:pPr>
            <w:r>
              <w:rPr>
                <w:noProof/>
              </w:rPr>
              <w:t>Act de punere în aplicare în temeiul articolului 51</w:t>
            </w:r>
          </w:p>
        </w:tc>
        <w:tc>
          <w:tcPr>
            <w:tcW w:w="1637" w:type="dxa"/>
            <w:tcMar>
              <w:left w:w="105" w:type="dxa"/>
              <w:right w:w="105" w:type="dxa"/>
            </w:tcMar>
          </w:tcPr>
          <w:p>
            <w:pPr>
              <w:rPr>
                <w:noProof/>
              </w:rPr>
            </w:pPr>
            <w:r>
              <w:rPr>
                <w:noProof/>
              </w:rPr>
              <w:t>Ar trebui elaborat un act de punere în aplicare în vederea reutilizării cadrului privind componentele tehnice instituit prin Regulamentul (UE) nr. 910/2014 și prin actele de punere în aplicare a acestuia. Ar trebui să permită utilizarea portofelelor UE pentru identitatea digitală, atunci când este posibil</w:t>
            </w:r>
          </w:p>
        </w:tc>
        <w:tc>
          <w:tcPr>
            <w:tcW w:w="2088" w:type="dxa"/>
            <w:tcMar>
              <w:left w:w="105" w:type="dxa"/>
              <w:right w:w="105" w:type="dxa"/>
            </w:tcMar>
          </w:tcPr>
          <w:p>
            <w:pPr>
              <w:rPr>
                <w:noProof/>
              </w:rPr>
            </w:pPr>
            <w:r>
              <w:rPr>
                <w:noProof/>
              </w:rPr>
              <w:t>Nu</w:t>
            </w:r>
          </w:p>
        </w:tc>
      </w:tr>
      <w:tr>
        <w:trPr>
          <w:trHeight w:val="285"/>
        </w:trPr>
        <w:tc>
          <w:tcPr>
            <w:tcW w:w="1544" w:type="dxa"/>
            <w:tcMar>
              <w:left w:w="105" w:type="dxa"/>
              <w:right w:w="105" w:type="dxa"/>
            </w:tcMar>
          </w:tcPr>
          <w:p>
            <w:pPr>
              <w:rPr>
                <w:noProof/>
              </w:rPr>
            </w:pPr>
            <w:r>
              <w:rPr>
                <w:noProof/>
              </w:rPr>
              <w:t>Instrumente statistice și de raportare</w:t>
            </w:r>
          </w:p>
        </w:tc>
        <w:tc>
          <w:tcPr>
            <w:tcW w:w="1743" w:type="dxa"/>
            <w:tcMar>
              <w:left w:w="105" w:type="dxa"/>
              <w:right w:w="105" w:type="dxa"/>
            </w:tcMar>
          </w:tcPr>
          <w:p>
            <w:pPr>
              <w:rPr>
                <w:noProof/>
              </w:rPr>
            </w:pPr>
            <w:r>
              <w:rPr>
                <w:noProof/>
              </w:rPr>
              <w:t>Articolul 52</w:t>
            </w:r>
          </w:p>
        </w:tc>
        <w:tc>
          <w:tcPr>
            <w:tcW w:w="2833" w:type="dxa"/>
            <w:tcMar>
              <w:left w:w="105" w:type="dxa"/>
              <w:right w:w="105" w:type="dxa"/>
            </w:tcMar>
          </w:tcPr>
          <w:p>
            <w:pPr>
              <w:rPr>
                <w:noProof/>
              </w:rPr>
            </w:pPr>
            <w:r>
              <w:rPr>
                <w:noProof/>
              </w:rPr>
              <w:t>Furnizarea de statistici și rapoarte în scopul evaluării, al monitorizării, al analizării și al raportării.</w:t>
            </w:r>
          </w:p>
          <w:p>
            <w:pPr>
              <w:rPr>
                <w:noProof/>
              </w:rPr>
            </w:pPr>
            <w:r>
              <w:rPr>
                <w:noProof/>
              </w:rPr>
              <w:t>Colectează, generează și furnizează informații statistice agregate, indicatori, jurnale tehnice, indicatori de utilizare și rapoarte analitice.</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Act de punere în aplicare în temeiul articolului 52 alineatul (6)</w:t>
            </w:r>
          </w:p>
        </w:tc>
        <w:tc>
          <w:tcPr>
            <w:tcW w:w="1637" w:type="dxa"/>
            <w:tcMar>
              <w:left w:w="105" w:type="dxa"/>
              <w:right w:w="105" w:type="dxa"/>
            </w:tcMar>
          </w:tcPr>
          <w:p>
            <w:pPr>
              <w:rPr>
                <w:noProof/>
              </w:rPr>
            </w:pPr>
            <w:r>
              <w:rPr>
                <w:noProof/>
              </w:rPr>
              <w:t>Articolul 86 alineatul (2) litera (a) reutilizează componente similare din sistemele informatice la scară largă ale UE, cum ar fi CRRS</w:t>
            </w:r>
          </w:p>
        </w:tc>
        <w:tc>
          <w:tcPr>
            <w:tcW w:w="2088" w:type="dxa"/>
            <w:tcMar>
              <w:left w:w="105" w:type="dxa"/>
              <w:right w:w="105" w:type="dxa"/>
            </w:tcMar>
          </w:tcPr>
          <w:p>
            <w:pPr>
              <w:rPr>
                <w:noProof/>
              </w:rPr>
            </w:pPr>
            <w:r>
              <w:rPr>
                <w:noProof/>
              </w:rPr>
              <w:t>Limitate la formatarea raportului</w:t>
            </w:r>
          </w:p>
        </w:tc>
      </w:tr>
      <w:tr>
        <w:trPr>
          <w:trHeight w:val="285"/>
        </w:trPr>
        <w:tc>
          <w:tcPr>
            <w:tcW w:w="1544" w:type="dxa"/>
            <w:tcMar>
              <w:left w:w="105" w:type="dxa"/>
              <w:right w:w="105" w:type="dxa"/>
            </w:tcMar>
          </w:tcPr>
          <w:p>
            <w:pPr>
              <w:rPr>
                <w:noProof/>
              </w:rPr>
            </w:pPr>
            <w:r>
              <w:rPr>
                <w:noProof/>
              </w:rPr>
              <w:t>Aplicația UE pentru compararea profilurilor ADN</w:t>
            </w:r>
          </w:p>
        </w:tc>
        <w:tc>
          <w:tcPr>
            <w:tcW w:w="1743" w:type="dxa"/>
            <w:tcMar>
              <w:left w:w="105" w:type="dxa"/>
              <w:right w:w="105" w:type="dxa"/>
            </w:tcMar>
          </w:tcPr>
          <w:p>
            <w:pPr>
              <w:rPr>
                <w:noProof/>
              </w:rPr>
            </w:pPr>
            <w:r>
              <w:rPr>
                <w:noProof/>
              </w:rPr>
              <w:t>Articolul 54</w:t>
            </w:r>
          </w:p>
        </w:tc>
        <w:tc>
          <w:tcPr>
            <w:tcW w:w="2833" w:type="dxa"/>
            <w:tcMar>
              <w:left w:w="105" w:type="dxa"/>
              <w:right w:w="105" w:type="dxa"/>
            </w:tcMar>
          </w:tcPr>
          <w:p>
            <w:pPr>
              <w:rPr>
                <w:noProof/>
              </w:rPr>
            </w:pPr>
            <w:r>
              <w:rPr>
                <w:noProof/>
              </w:rPr>
              <w:t>Permite compararea sigură și fiabilă a profilurilor ADN în sprijinul investigațiilor statelor membre privind infracțiunile</w:t>
            </w:r>
          </w:p>
        </w:tc>
        <w:tc>
          <w:tcPr>
            <w:tcW w:w="1626" w:type="dxa"/>
            <w:tcMar>
              <w:left w:w="105" w:type="dxa"/>
              <w:right w:w="105" w:type="dxa"/>
            </w:tcMar>
          </w:tcPr>
          <w:p>
            <w:pPr>
              <w:rPr>
                <w:noProof/>
              </w:rPr>
            </w:pPr>
            <w:r>
              <w:rPr>
                <w:noProof/>
              </w:rPr>
              <w:t>Europol</w:t>
            </w:r>
          </w:p>
        </w:tc>
        <w:tc>
          <w:tcPr>
            <w:tcW w:w="1570" w:type="dxa"/>
            <w:tcMar>
              <w:left w:w="105" w:type="dxa"/>
              <w:right w:w="105" w:type="dxa"/>
            </w:tcMar>
          </w:tcPr>
          <w:p>
            <w:pPr>
              <w:rPr>
                <w:noProof/>
              </w:rPr>
            </w:pPr>
            <w:r>
              <w:rPr>
                <w:noProof/>
              </w:rPr>
              <w:t>Nu se aplică</w:t>
            </w:r>
          </w:p>
          <w:p>
            <w:pPr>
              <w:rPr>
                <w:noProof/>
              </w:rPr>
            </w:pPr>
            <w:r>
              <w:rPr>
                <w:noProof/>
              </w:rPr>
              <w:t>Interfața mașinii</w:t>
            </w:r>
          </w:p>
        </w:tc>
        <w:tc>
          <w:tcPr>
            <w:tcW w:w="1637" w:type="dxa"/>
            <w:tcMar>
              <w:left w:w="105" w:type="dxa"/>
              <w:right w:w="105" w:type="dxa"/>
            </w:tcMar>
          </w:tcPr>
          <w:p>
            <w:pPr>
              <w:rPr>
                <w:noProof/>
              </w:rPr>
            </w:pPr>
            <w:r>
              <w:rPr>
                <w:noProof/>
              </w:rPr>
              <w:t>Aplicația pentru compararea profilurilor trebuie să fie utilizată de statele membre</w:t>
            </w:r>
          </w:p>
        </w:tc>
        <w:tc>
          <w:tcPr>
            <w:tcW w:w="2088" w:type="dxa"/>
            <w:tcMar>
              <w:left w:w="105" w:type="dxa"/>
              <w:right w:w="105" w:type="dxa"/>
            </w:tcMar>
          </w:tcPr>
          <w:p>
            <w:pPr>
              <w:rPr>
                <w:noProof/>
              </w:rPr>
            </w:pPr>
            <w:r>
              <w:rPr>
                <w:noProof/>
              </w:rPr>
              <w:t>Nu</w:t>
            </w:r>
          </w:p>
        </w:tc>
      </w:tr>
    </w:tbl>
    <w:p>
      <w:pPr>
        <w:rPr>
          <w:rFonts w:eastAsia="Times New Roman"/>
          <w:noProof/>
          <w:color w:val="000000" w:themeColor="text1"/>
        </w:rPr>
      </w:pPr>
    </w:p>
    <w:p>
      <w:pPr>
        <w:keepNext/>
        <w:rPr>
          <w:rFonts w:eastAsia="Times New Roman"/>
          <w:noProof/>
          <w:color w:val="000000" w:themeColor="text1"/>
        </w:rPr>
      </w:pPr>
      <w:r>
        <w:rPr>
          <w:b/>
          <w:noProof/>
          <w:color w:val="000000" w:themeColor="text1"/>
          <w:u w:val="single"/>
        </w:rPr>
        <w:t>Serviciul de verificare încrucișată al Europol și altele</w:t>
      </w:r>
    </w:p>
    <w:tbl>
      <w:tblPr>
        <w:tblStyle w:val="TableGrid"/>
        <w:tblW w:w="13311" w:type="dxa"/>
        <w:tblInd w:w="-16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4200"/>
        <w:gridCol w:w="9111"/>
      </w:tblGrid>
      <w:tr>
        <w:trPr>
          <w:trHeight w:val="300"/>
        </w:trPr>
        <w:tc>
          <w:tcPr>
            <w:tcW w:w="4200" w:type="dxa"/>
            <w:tcMar>
              <w:left w:w="105" w:type="dxa"/>
              <w:right w:w="105" w:type="dxa"/>
            </w:tcMar>
          </w:tcPr>
          <w:p>
            <w:pPr>
              <w:rPr>
                <w:noProof/>
              </w:rPr>
            </w:pPr>
            <w:r>
              <w:rPr>
                <w:b/>
                <w:noProof/>
              </w:rPr>
              <w:t>Politica digitală și/sau sectorială (atunci când sunt aplicabile)</w:t>
            </w:r>
          </w:p>
        </w:tc>
        <w:tc>
          <w:tcPr>
            <w:tcW w:w="9111" w:type="dxa"/>
            <w:tcMar>
              <w:left w:w="105" w:type="dxa"/>
              <w:right w:w="105" w:type="dxa"/>
            </w:tcMar>
          </w:tcPr>
          <w:p>
            <w:pPr>
              <w:rPr>
                <w:noProof/>
              </w:rPr>
            </w:pPr>
            <w:r>
              <w:rPr>
                <w:b/>
                <w:noProof/>
              </w:rPr>
              <w:t>Explicarea modului în care se aliniază</w:t>
            </w:r>
          </w:p>
        </w:tc>
      </w:tr>
      <w:tr>
        <w:trPr>
          <w:trHeight w:val="300"/>
        </w:trPr>
        <w:tc>
          <w:tcPr>
            <w:tcW w:w="4200" w:type="dxa"/>
            <w:tcMar>
              <w:left w:w="105" w:type="dxa"/>
              <w:right w:w="105" w:type="dxa"/>
            </w:tcMar>
          </w:tcPr>
          <w:p>
            <w:pPr>
              <w:rPr>
                <w:noProof/>
              </w:rPr>
            </w:pPr>
            <w:r>
              <w:rPr>
                <w:b/>
                <w:i/>
                <w:noProof/>
              </w:rPr>
              <w:t>Regulamentul privind IA</w:t>
            </w:r>
          </w:p>
        </w:tc>
        <w:tc>
          <w:tcPr>
            <w:tcW w:w="9111" w:type="dxa"/>
            <w:tcMar>
              <w:left w:w="105" w:type="dxa"/>
              <w:right w:w="105" w:type="dxa"/>
            </w:tcMar>
          </w:tcPr>
          <w:p>
            <w:pPr>
              <w:rPr>
                <w:noProof/>
              </w:rPr>
            </w:pPr>
            <w:r>
              <w:rPr>
                <w:noProof/>
                <w:u w:val="single"/>
              </w:rPr>
              <w:t>Algoritmii de comparare încrucișată</w:t>
            </w:r>
            <w:r>
              <w:rPr>
                <w:noProof/>
              </w:rPr>
              <w:t xml:space="preserve"> pot utiliza sisteme sau modele de IA în sensul Regulamentului privind IA, în special în domeniul datelor biometrice sau al asigurării respectării legii (de exemplu, amprente digitale, imagine facială, crearea de profiluri). Actul de punere în aplicare adoptat în temeiul articolului 37 alineatul (4) va asigura alinierea la Regulamentul privind IA și la orientările Comisiei, în special în ceea ce privește clasificarea sistemelor de IA cu grad ridicat de risc. Ar putea fi utile orientări suplimentare din partea Europol pentru utilizatorii din statele membre cu privire la integrarea și punerea în aplicare în cadrul procedurilor naționale, în conformitate cu diferite norme de reglementare, indiferent dacă se încadrează sau nu în categoria de risc ridicat.</w:t>
            </w:r>
          </w:p>
          <w:p>
            <w:pPr>
              <w:jc w:val="left"/>
              <w:rPr>
                <w:noProof/>
              </w:rPr>
            </w:pPr>
            <w:r>
              <w:rPr>
                <w:noProof/>
                <w:u w:val="single"/>
              </w:rPr>
              <w:t xml:space="preserve">Mediul analitic al Europol și spațiul comun de date al poliției; </w:t>
            </w:r>
            <w:r>
              <w:rPr>
                <w:noProof/>
              </w:rPr>
              <w:t>deși propunerea nu prevede ca aceste medii să se bazeze pe tehnologia IA, ele vor fi mediul securizat dedicat pentru Europol și, respectiv, pentru statele membre, în vederea efectuării de analize infracționale avansate pe baza materialelor probatorii și a altor informații, prin utilizarea de instrumente, bazate în principal pe IA găzduită în oricare dintre cele două medii. Multe dintre instrumentele utilizate în analiza criminalității nu se încadrează în categoria de risc ridicat (de exemplu, prelucrarea unor seturi de date mari și complexe, cum ar fi transcrierea fișierelor audio, pentru extragerea unor entități, cum ar fi numele și numerele de telefon, din mesaje text, fără a analiza conținutul mesajului; Clasificarea imaginilor și detectarea obiectelor, dar fără date biometrice). Numai o parte importantă a celorlalte cazuri (cum ar fi utilizarea detectoarelor de minciuni sau a instrumentelor de creare de profiluri) ar intra sub incidența anexelor I și III la Regulamentul privind IA. Sistemele de IA care se încadrează sau nu în categoria sistemelor de IA cu grad ridicat de risc sunt explicate în Orientările Comisiei privind clasificarea sistemelor de IA cu grad ridicat de risc.</w:t>
            </w:r>
          </w:p>
          <w:p>
            <w:pPr>
              <w:rPr>
                <w:noProof/>
              </w:rPr>
            </w:pPr>
            <w:r>
              <w:rPr>
                <w:noProof/>
              </w:rPr>
              <w:t>În temeiul prezentei propuneri, Europol are capacitatea de a antrena și de a dezvolta propriile instrumente bazate pe IA prin utilizarea spațiilor de testare în materie de reglementare [articolul 61 alineatul (2)] și misiunea de a sprijini adoptarea de către statele membre a instrumentelor și capacităților găzduite corespunzătoare [articolul 59 alineatul (3)] și de a oferi formarea aferentă [articolul 64 alineatul (1) litera (b)].</w:t>
            </w:r>
          </w:p>
          <w:p>
            <w:pPr>
              <w:rPr>
                <w:noProof/>
              </w:rPr>
            </w:pPr>
            <w:r>
              <w:rPr>
                <w:noProof/>
              </w:rPr>
              <w:t>Având în vedere aceste obiective extrem de ambițioase, Europol va fi consolidată pentru a-și îndeplini obligațiile în calitate de furnizor și, respectiv, de operator de sisteme de IA, inclusiv de sisteme cu grad ridicat de risc (a se vedea SO3/Capacități avansate, cu 117 milioane EUR și 40 de ENI în următorul CFM). Formarea și sprijinul pentru statele membre în vederea respectării normelor în materie de IA atunci când utilizează instrumentele furnizate de Europol vor fi sprijinite prin crearea unor birouri de sprijin Europol (112 milioane EUR, 157 de ENI).</w:t>
            </w:r>
          </w:p>
          <w:p>
            <w:pPr>
              <w:rPr>
                <w:noProof/>
              </w:rPr>
            </w:pPr>
            <w:r>
              <w:rPr>
                <w:noProof/>
                <w:u w:val="single"/>
              </w:rPr>
              <w:t>SIENA și cooperarea în cadrul platformei pentru părțile private</w:t>
            </w:r>
          </w:p>
          <w:p>
            <w:pPr>
              <w:rPr>
                <w:noProof/>
              </w:rPr>
            </w:pPr>
            <w:r>
              <w:rPr>
                <w:noProof/>
              </w:rPr>
              <w:t>O astfel de soluție digitală poate integra numai modulul bazat pe IA în linie care nu prezintă un grad ridicat de risc, cum ar fi prelucrarea limbajului natural (traducere, transcriere etc.). Obligațiile de transparență vor fi îndeplinite în contextul efortului de modernizare a sistemului și a instrumentelor existente (130 de milioane EUR, 115 ENI).</w:t>
            </w:r>
          </w:p>
          <w:p>
            <w:pPr>
              <w:rPr>
                <w:noProof/>
              </w:rPr>
            </w:pPr>
            <w:r>
              <w:rPr>
                <w:noProof/>
                <w:u w:val="single"/>
              </w:rPr>
              <w:t>Infrastructura de cloud a Europol</w:t>
            </w:r>
          </w:p>
          <w:p>
            <w:pPr>
              <w:rPr>
                <w:noProof/>
              </w:rPr>
            </w:pPr>
            <w:r>
              <w:rPr>
                <w:noProof/>
                <w:u w:val="single"/>
              </w:rPr>
              <w:t>Identitatea digitală europeană pentru serviciile de poliție</w:t>
            </w:r>
          </w:p>
          <w:p>
            <w:pPr>
              <w:rPr>
                <w:noProof/>
              </w:rPr>
            </w:pPr>
            <w:r>
              <w:rPr>
                <w:noProof/>
                <w:u w:val="single"/>
              </w:rPr>
              <w:t>Instrumente statistice și de raportare</w:t>
            </w:r>
          </w:p>
          <w:p>
            <w:pPr>
              <w:rPr>
                <w:noProof/>
              </w:rPr>
            </w:pPr>
            <w:r>
              <w:rPr>
                <w:noProof/>
                <w:u w:val="single"/>
              </w:rPr>
              <w:t>Aplicația UE pentru compararea profilurilor ADN</w:t>
            </w:r>
          </w:p>
          <w:p>
            <w:pPr>
              <w:rPr>
                <w:noProof/>
              </w:rPr>
            </w:pPr>
            <w:r>
              <w:rPr>
                <w:noProof/>
              </w:rPr>
              <w:t>Niciuna dintre aceste soluții nu se va baza pe tehnologia IA</w:t>
            </w:r>
          </w:p>
        </w:tc>
      </w:tr>
      <w:tr>
        <w:trPr>
          <w:trHeight w:val="300"/>
        </w:trPr>
        <w:tc>
          <w:tcPr>
            <w:tcW w:w="4200" w:type="dxa"/>
            <w:tcMar>
              <w:left w:w="105" w:type="dxa"/>
              <w:right w:w="105" w:type="dxa"/>
            </w:tcMar>
          </w:tcPr>
          <w:p>
            <w:pPr>
              <w:rPr>
                <w:noProof/>
              </w:rPr>
            </w:pPr>
            <w:r>
              <w:rPr>
                <w:b/>
                <w:i/>
                <w:noProof/>
              </w:rPr>
              <w:t>Cadrul UE privind securitatea cibernetică</w:t>
            </w:r>
          </w:p>
        </w:tc>
        <w:tc>
          <w:tcPr>
            <w:tcW w:w="9111" w:type="dxa"/>
            <w:tcMar>
              <w:left w:w="105" w:type="dxa"/>
              <w:right w:w="105" w:type="dxa"/>
            </w:tcMar>
          </w:tcPr>
          <w:p>
            <w:pPr>
              <w:rPr>
                <w:noProof/>
              </w:rPr>
            </w:pPr>
            <w:r>
              <w:rPr>
                <w:noProof/>
              </w:rPr>
              <w:t xml:space="preserve">Noul mandat propus este aliniat la </w:t>
            </w:r>
            <w:r>
              <w:rPr>
                <w:noProof/>
                <w:u w:val="single"/>
              </w:rPr>
              <w:t>NIS2</w:t>
            </w:r>
            <w:r>
              <w:rPr>
                <w:noProof/>
              </w:rPr>
              <w:t xml:space="preserve"> (printre altele, pentru părțile private) și la </w:t>
            </w:r>
            <w:r>
              <w:rPr>
                <w:noProof/>
                <w:u w:val="single"/>
              </w:rPr>
              <w:t>Regulamentul privind securitatea cibernetică</w:t>
            </w:r>
            <w:r>
              <w:rPr>
                <w:noProof/>
              </w:rPr>
              <w:t xml:space="preserve">, întrucât </w:t>
            </w:r>
          </w:p>
          <w:p>
            <w:pPr>
              <w:pStyle w:val="ListParagraph"/>
              <w:numPr>
                <w:ilvl w:val="0"/>
                <w:numId w:val="26"/>
              </w:numPr>
              <w:jc w:val="left"/>
              <w:rPr>
                <w:noProof/>
                <w:szCs w:val="22"/>
              </w:rPr>
            </w:pPr>
            <w:r>
              <w:rPr>
                <w:noProof/>
              </w:rPr>
              <w:t>noile cerințe impuse organismelor în cauză, printre care se numără și Europol, impun în mod explicit aplicarea cadrului UE privind securitatea cibernetică (i) pentru achiziționarea de servicii de cloud, conform articolului 50 alineatul (4) și (ii) și pentru elaborarea de statistici, conform articolului 52 alineatul (5).</w:t>
            </w:r>
          </w:p>
          <w:p>
            <w:pPr>
              <w:pStyle w:val="ListParagraph"/>
              <w:numPr>
                <w:ilvl w:val="0"/>
                <w:numId w:val="26"/>
              </w:numPr>
              <w:jc w:val="left"/>
              <w:rPr>
                <w:noProof/>
                <w:szCs w:val="22"/>
              </w:rPr>
            </w:pPr>
            <w:r>
              <w:rPr>
                <w:noProof/>
              </w:rPr>
              <w:t>consolidează rolul Europol în investigațiile privind criminalitatea informatică. Deși Europol în sine nu este o entitate care face obiectul NIS2, propunerea consolidează măsurile organizatorice de securitate cibernetică (de exemplu, gestionarea securizată a datelor, răspunsul la incidente). Aceasta consolidează capacitatea Europol de a sprijini statele membre în investigarea incidentelor cibernetice, fără a impune obligații directe entităților private.</w:t>
            </w:r>
          </w:p>
          <w:p>
            <w:pPr>
              <w:rPr>
                <w:noProof/>
              </w:rPr>
            </w:pPr>
            <w:r>
              <w:rPr>
                <w:noProof/>
              </w:rPr>
              <w:t xml:space="preserve">Aplicația UE pentru compararea profilurilor ADN este, de asemenea, în conformitate cu </w:t>
            </w:r>
            <w:r>
              <w:rPr>
                <w:noProof/>
                <w:u w:val="single"/>
              </w:rPr>
              <w:t>Regulamentul privind reziliența cibernetică (CRA)</w:t>
            </w:r>
            <w:r>
              <w:rPr>
                <w:noProof/>
              </w:rPr>
              <w:t>, având în vedere că produsul nu impune cerințe care ar afecta modul în care producătorul pune în aplicare cerințele esențiale ale CRA.</w:t>
            </w:r>
          </w:p>
          <w:p>
            <w:pPr>
              <w:rPr>
                <w:noProof/>
              </w:rPr>
            </w:pPr>
          </w:p>
        </w:tc>
      </w:tr>
      <w:tr>
        <w:trPr>
          <w:trHeight w:val="300"/>
        </w:trPr>
        <w:tc>
          <w:tcPr>
            <w:tcW w:w="4200" w:type="dxa"/>
            <w:tcMar>
              <w:left w:w="105" w:type="dxa"/>
              <w:right w:w="105" w:type="dxa"/>
            </w:tcMar>
          </w:tcPr>
          <w:p>
            <w:pPr>
              <w:rPr>
                <w:noProof/>
              </w:rPr>
            </w:pPr>
            <w:r>
              <w:rPr>
                <w:b/>
                <w:i/>
                <w:noProof/>
              </w:rPr>
              <w:t>eIDAS</w:t>
            </w:r>
          </w:p>
        </w:tc>
        <w:tc>
          <w:tcPr>
            <w:tcW w:w="9111" w:type="dxa"/>
            <w:tcMar>
              <w:left w:w="105" w:type="dxa"/>
              <w:right w:w="105" w:type="dxa"/>
            </w:tcMar>
          </w:tcPr>
          <w:p>
            <w:pPr>
              <w:rPr>
                <w:noProof/>
              </w:rPr>
            </w:pPr>
            <w:r>
              <w:rPr>
                <w:noProof/>
              </w:rPr>
              <w:t>Deși eIDAS nu se aplică funcționarilor publici și personalului agențiilor, va fi necesară o identitate digitală a poliției din UE pentru a accesa infrastructura de cloud a Europol care stă la baza spațiului comun de date al poliției. Utilizarea unei astfel de identități se poate extinde și la alte soluții digitale (SIENA, …).</w:t>
            </w:r>
          </w:p>
          <w:p>
            <w:pPr>
              <w:rPr>
                <w:noProof/>
              </w:rPr>
            </w:pPr>
            <w:r>
              <w:rPr>
                <w:noProof/>
              </w:rPr>
              <w:t>Actele de punere în aplicare vor asigura introducerea unui mijloc de identificare digitală pentru toți investigatorii în materie penală, cu un nivel de asigurare ridicat. În acest scop, se va urmări alinierea și reutilizarea sistemelor și a infrastructurii existente prevăzute de Regulamentul privind e-IDAS.</w:t>
            </w:r>
          </w:p>
        </w:tc>
      </w:tr>
      <w:tr>
        <w:trPr>
          <w:trHeight w:val="300"/>
        </w:trPr>
        <w:tc>
          <w:tcPr>
            <w:tcW w:w="4200" w:type="dxa"/>
            <w:tcMar>
              <w:left w:w="105" w:type="dxa"/>
              <w:right w:w="105" w:type="dxa"/>
            </w:tcMar>
          </w:tcPr>
          <w:p>
            <w:pPr>
              <w:rPr>
                <w:noProof/>
              </w:rPr>
            </w:pPr>
            <w:r>
              <w:rPr>
                <w:b/>
                <w:i/>
                <w:noProof/>
              </w:rPr>
              <w:t>Portalul digital unic și IMI</w:t>
            </w:r>
          </w:p>
        </w:tc>
        <w:tc>
          <w:tcPr>
            <w:tcW w:w="9111" w:type="dxa"/>
            <w:tcMar>
              <w:left w:w="105" w:type="dxa"/>
              <w:right w:w="105" w:type="dxa"/>
            </w:tcMar>
          </w:tcPr>
          <w:p>
            <w:pPr>
              <w:rPr>
                <w:noProof/>
              </w:rPr>
            </w:pPr>
            <w:r>
              <w:rPr>
                <w:noProof/>
              </w:rPr>
              <w:t>Portalul digital unic nu se aplică serviciilor oferite de Europol autorităților competente ale statelor membre, EUBOA, părților private sau persoanelor fizice.</w:t>
            </w:r>
          </w:p>
          <w:p>
            <w:pPr>
              <w:rPr>
                <w:noProof/>
              </w:rPr>
            </w:pPr>
            <w:r>
              <w:rPr>
                <w:noProof/>
              </w:rPr>
              <w:t>Sistemul de informare al pieței interne nu se aplică, deoarece inițiativa nu intră în domeniul de aplicare al pieței interne.</w:t>
            </w:r>
          </w:p>
        </w:tc>
      </w:tr>
      <w:tr>
        <w:trPr>
          <w:trHeight w:val="300"/>
        </w:trPr>
        <w:tc>
          <w:tcPr>
            <w:tcW w:w="4200" w:type="dxa"/>
            <w:tcMar>
              <w:left w:w="105" w:type="dxa"/>
              <w:right w:w="105" w:type="dxa"/>
            </w:tcMar>
          </w:tcPr>
          <w:p>
            <w:pPr>
              <w:rPr>
                <w:noProof/>
              </w:rPr>
            </w:pPr>
            <w:r>
              <w:rPr>
                <w:b/>
                <w:i/>
                <w:noProof/>
              </w:rPr>
              <w:t>Altele</w:t>
            </w:r>
          </w:p>
        </w:tc>
        <w:tc>
          <w:tcPr>
            <w:tcW w:w="9111" w:type="dxa"/>
            <w:tcMar>
              <w:left w:w="105" w:type="dxa"/>
              <w:right w:w="105" w:type="dxa"/>
            </w:tcMar>
          </w:tcPr>
          <w:p>
            <w:pPr>
              <w:rPr>
                <w:noProof/>
              </w:rPr>
            </w:pPr>
          </w:p>
        </w:tc>
      </w:tr>
    </w:tbl>
    <w:p>
      <w:pPr>
        <w:rPr>
          <w:rFonts w:eastAsia="Times New Roman"/>
          <w:noProof/>
          <w:color w:val="000000" w:themeColor="text1"/>
        </w:rPr>
      </w:pPr>
    </w:p>
    <w:p>
      <w:pPr>
        <w:keepNext/>
        <w:rPr>
          <w:rFonts w:eastAsia="Times New Roman"/>
          <w:b/>
          <w:noProof/>
          <w:color w:val="000000" w:themeColor="text1"/>
        </w:rPr>
      </w:pPr>
      <w:r>
        <w:rPr>
          <w:rStyle w:val="Emphasis"/>
          <w:b/>
          <w:noProof/>
          <w:color w:val="000000" w:themeColor="text1"/>
        </w:rPr>
        <w:t>4.4.</w:t>
      </w:r>
      <w:r>
        <w:rPr>
          <w:noProof/>
        </w:rPr>
        <w:tab/>
      </w:r>
      <w:r>
        <w:rPr>
          <w:rStyle w:val="Emphasis"/>
          <w:b/>
          <w:noProof/>
          <w:color w:val="000000" w:themeColor="text1"/>
        </w:rPr>
        <w:t>Evaluarea interoperabilității</w:t>
      </w:r>
    </w:p>
    <w:p>
      <w:pPr>
        <w:keepNext/>
        <w:rPr>
          <w:rFonts w:eastAsia="Times New Roman"/>
          <w:noProof/>
          <w:color w:val="000000" w:themeColor="text1"/>
        </w:rPr>
      </w:pPr>
      <w:r>
        <w:rPr>
          <w:i/>
          <w:noProof/>
          <w:color w:val="000000" w:themeColor="text1"/>
        </w:rPr>
        <w:t>Descriere generală a serviciului (serviciilor) public(e) digital(e) afectat(e) de cerințe</w:t>
      </w:r>
    </w:p>
    <w:tbl>
      <w:tblPr>
        <w:tblStyle w:val="TableGrid"/>
        <w:tblW w:w="13183" w:type="dxa"/>
        <w:tblInd w:w="-37"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691"/>
        <w:gridCol w:w="3127"/>
        <w:gridCol w:w="3823"/>
        <w:gridCol w:w="1765"/>
        <w:gridCol w:w="2777"/>
      </w:tblGrid>
      <w:tr>
        <w:trPr>
          <w:trHeight w:val="285"/>
        </w:trPr>
        <w:tc>
          <w:tcPr>
            <w:tcW w:w="1691" w:type="dxa"/>
            <w:tcMar>
              <w:left w:w="105" w:type="dxa"/>
              <w:right w:w="105" w:type="dxa"/>
            </w:tcMar>
          </w:tcPr>
          <w:p>
            <w:pPr>
              <w:rPr>
                <w:noProof/>
                <w:color w:val="000000" w:themeColor="text1"/>
              </w:rPr>
            </w:pPr>
            <w:r>
              <w:rPr>
                <w:b/>
                <w:noProof/>
                <w:color w:val="000000" w:themeColor="text1"/>
              </w:rPr>
              <w:t>Serviciul public digital sau categoria de servicii publice digitale</w:t>
            </w:r>
          </w:p>
        </w:tc>
        <w:tc>
          <w:tcPr>
            <w:tcW w:w="3127" w:type="dxa"/>
            <w:tcMar>
              <w:left w:w="105" w:type="dxa"/>
              <w:right w:w="105" w:type="dxa"/>
            </w:tcMar>
          </w:tcPr>
          <w:p>
            <w:pPr>
              <w:rPr>
                <w:noProof/>
              </w:rPr>
            </w:pPr>
            <w:r>
              <w:rPr>
                <w:b/>
                <w:noProof/>
              </w:rPr>
              <w:t>Descriere</w:t>
            </w:r>
          </w:p>
        </w:tc>
        <w:tc>
          <w:tcPr>
            <w:tcW w:w="3823" w:type="dxa"/>
            <w:tcMar>
              <w:left w:w="105" w:type="dxa"/>
              <w:right w:w="105" w:type="dxa"/>
            </w:tcMar>
          </w:tcPr>
          <w:p>
            <w:pPr>
              <w:rPr>
                <w:noProof/>
              </w:rPr>
            </w:pPr>
            <w:r>
              <w:rPr>
                <w:b/>
                <w:noProof/>
              </w:rPr>
              <w:t>Trimitere (trimiteri) la cerință (cerințe)</w:t>
            </w:r>
          </w:p>
        </w:tc>
        <w:tc>
          <w:tcPr>
            <w:tcW w:w="1765" w:type="dxa"/>
            <w:shd w:val="clear" w:color="auto" w:fill="EEECE1"/>
            <w:tcMar>
              <w:left w:w="105" w:type="dxa"/>
              <w:right w:w="105" w:type="dxa"/>
            </w:tcMar>
          </w:tcPr>
          <w:p>
            <w:pPr>
              <w:rPr>
                <w:noProof/>
              </w:rPr>
            </w:pPr>
            <w:r>
              <w:rPr>
                <w:rStyle w:val="Hyperlink"/>
                <w:b/>
                <w:noProof/>
              </w:rPr>
              <w:t>Soluție (soluții) pentru Europa interoperabilă</w:t>
            </w:r>
            <w:r>
              <w:rPr>
                <w:b/>
                <w:noProof/>
              </w:rPr>
              <w:t xml:space="preserve"> </w:t>
            </w:r>
          </w:p>
          <w:p>
            <w:pPr>
              <w:rPr>
                <w:noProof/>
              </w:rPr>
            </w:pPr>
            <w:r>
              <w:rPr>
                <w:b/>
                <w:noProof/>
              </w:rPr>
              <w:t>Nu se aplică</w:t>
            </w:r>
          </w:p>
        </w:tc>
        <w:tc>
          <w:tcPr>
            <w:tcW w:w="2777" w:type="dxa"/>
            <w:tcMar>
              <w:left w:w="105" w:type="dxa"/>
              <w:right w:w="105" w:type="dxa"/>
            </w:tcMar>
          </w:tcPr>
          <w:p>
            <w:pPr>
              <w:rPr>
                <w:noProof/>
              </w:rPr>
            </w:pPr>
            <w:r>
              <w:rPr>
                <w:b/>
                <w:noProof/>
              </w:rPr>
              <w:t>Altă (alte) soluție (soluții) de interoperabilitate</w:t>
            </w:r>
          </w:p>
        </w:tc>
      </w:tr>
      <w:tr>
        <w:trPr>
          <w:trHeight w:val="285"/>
        </w:trPr>
        <w:tc>
          <w:tcPr>
            <w:tcW w:w="1691" w:type="dxa"/>
            <w:tcMar>
              <w:left w:w="105" w:type="dxa"/>
              <w:right w:w="105" w:type="dxa"/>
            </w:tcMar>
          </w:tcPr>
          <w:p>
            <w:pPr>
              <w:rPr>
                <w:noProof/>
                <w:color w:val="000000" w:themeColor="text1"/>
              </w:rPr>
            </w:pPr>
            <w:r>
              <w:rPr>
                <w:noProof/>
                <w:color w:val="000000" w:themeColor="text1"/>
              </w:rPr>
              <w:t>Sprijin strategic</w:t>
            </w:r>
          </w:p>
        </w:tc>
        <w:tc>
          <w:tcPr>
            <w:tcW w:w="3127" w:type="dxa"/>
            <w:tcMar>
              <w:left w:w="105" w:type="dxa"/>
              <w:right w:w="105" w:type="dxa"/>
            </w:tcMar>
          </w:tcPr>
          <w:p>
            <w:pPr>
              <w:rPr>
                <w:noProof/>
              </w:rPr>
            </w:pPr>
            <w:r>
              <w:rPr>
                <w:noProof/>
              </w:rPr>
              <w:t>Pregătirea produselor analitice de natură operațională și strategică,</w:t>
            </w:r>
          </w:p>
        </w:tc>
        <w:tc>
          <w:tcPr>
            <w:tcW w:w="3823" w:type="dxa"/>
            <w:tcMar>
              <w:left w:w="105" w:type="dxa"/>
              <w:right w:w="105" w:type="dxa"/>
            </w:tcMar>
          </w:tcPr>
          <w:p>
            <w:pPr>
              <w:rPr>
                <w:noProof/>
              </w:rPr>
            </w:pPr>
            <w:r>
              <w:rPr>
                <w:noProof/>
              </w:rPr>
              <w:t>Articolul 7</w:t>
            </w:r>
          </w:p>
          <w:p>
            <w:pPr>
              <w:rPr>
                <w:noProof/>
              </w:rPr>
            </w:pPr>
            <w:r>
              <w:rPr>
                <w:noProof/>
              </w:rPr>
              <w:t>Articolele 49, 50, 51, 52, 53</w:t>
            </w:r>
          </w:p>
        </w:tc>
        <w:tc>
          <w:tcPr>
            <w:tcW w:w="1765" w:type="dxa"/>
            <w:shd w:val="clear" w:color="auto" w:fill="EEECE1"/>
            <w:tcMar>
              <w:left w:w="105" w:type="dxa"/>
              <w:right w:w="105" w:type="dxa"/>
            </w:tcMar>
          </w:tcPr>
          <w:p>
            <w:pPr>
              <w:rPr>
                <w:noProof/>
              </w:rPr>
            </w:pPr>
          </w:p>
        </w:tc>
        <w:tc>
          <w:tcPr>
            <w:tcW w:w="2777" w:type="dxa"/>
            <w:tcMar>
              <w:left w:w="105" w:type="dxa"/>
              <w:right w:w="105" w:type="dxa"/>
            </w:tcMar>
          </w:tcPr>
          <w:p>
            <w:pPr>
              <w:rPr>
                <w:noProof/>
              </w:rPr>
            </w:pPr>
            <w:r>
              <w:rPr>
                <w:noProof/>
              </w:rPr>
              <w:t>Europol sprijină elaborarea și utilizarea unor metodologii și standarde analitice comune</w:t>
            </w:r>
          </w:p>
        </w:tc>
      </w:tr>
      <w:tr>
        <w:trPr>
          <w:trHeight w:val="285"/>
        </w:trPr>
        <w:tc>
          <w:tcPr>
            <w:tcW w:w="1691" w:type="dxa"/>
            <w:tcMar>
              <w:left w:w="105" w:type="dxa"/>
              <w:right w:w="105" w:type="dxa"/>
            </w:tcMar>
          </w:tcPr>
          <w:p>
            <w:pPr>
              <w:rPr>
                <w:noProof/>
              </w:rPr>
            </w:pPr>
            <w:r>
              <w:rPr>
                <w:noProof/>
              </w:rPr>
              <w:t xml:space="preserve">Facilitarea schimbului de informații </w:t>
            </w:r>
          </w:p>
        </w:tc>
        <w:tc>
          <w:tcPr>
            <w:tcW w:w="3127" w:type="dxa"/>
            <w:tcMar>
              <w:left w:w="105" w:type="dxa"/>
              <w:right w:w="105" w:type="dxa"/>
            </w:tcMar>
          </w:tcPr>
          <w:p>
            <w:pPr>
              <w:rPr>
                <w:noProof/>
              </w:rPr>
            </w:pPr>
            <w:r>
              <w:rPr>
                <w:noProof/>
              </w:rPr>
              <w:t>Partajare: obligațiile statelor membre, inclusiv ale ARO, ale FIU și ale Europol de a face schimb de informații</w:t>
            </w:r>
          </w:p>
          <w:p>
            <w:pPr>
              <w:rPr>
                <w:noProof/>
              </w:rPr>
            </w:pPr>
            <w:r>
              <w:rPr>
                <w:noProof/>
              </w:rPr>
              <w:t>Servicii de verificare încrucișată: un serviciu central, inclusiv o aplicație pentru compararea profilurilor ADN pentru AC SM; mecanismul de tip răspuns pozitiv/răspuns negativ pentru EUBOA și sistemele de informații ale UE; accesul suplimentar al EPPO la mediul analitic al Europol</w:t>
            </w:r>
          </w:p>
          <w:p>
            <w:pPr>
              <w:rPr>
                <w:noProof/>
              </w:rPr>
            </w:pPr>
            <w:r>
              <w:rPr>
                <w:noProof/>
              </w:rPr>
              <w:t>Canale de schimb de informații: spațiul comun de date al poliției, pentru cazurile comune și SIENA, pentru schimburile bilaterale/multilaterale.</w:t>
            </w:r>
          </w:p>
        </w:tc>
        <w:tc>
          <w:tcPr>
            <w:tcW w:w="3823" w:type="dxa"/>
            <w:tcMar>
              <w:left w:w="105" w:type="dxa"/>
              <w:right w:w="105" w:type="dxa"/>
            </w:tcMar>
          </w:tcPr>
          <w:p>
            <w:pPr>
              <w:rPr>
                <w:noProof/>
              </w:rPr>
            </w:pPr>
            <w:r>
              <w:rPr>
                <w:noProof/>
              </w:rPr>
              <w:t>Articolul 8 alineatul (7), articolul 9, articolul 16 litera (a), articolul 16 litera (c)</w:t>
            </w:r>
          </w:p>
          <w:p>
            <w:pPr>
              <w:rPr>
                <w:noProof/>
              </w:rPr>
            </w:pPr>
            <w:r>
              <w:rPr>
                <w:noProof/>
              </w:rPr>
              <w:t>Articolele 12 și 13, articolul 25 alineatul (5) literele (a) și (b), articolele 29, 30 și 34</w:t>
            </w:r>
          </w:p>
          <w:p>
            <w:pPr>
              <w:rPr>
                <w:noProof/>
              </w:rPr>
            </w:pPr>
            <w:r>
              <w:rPr>
                <w:noProof/>
              </w:rPr>
              <w:t>Articolele 35-39</w:t>
            </w:r>
          </w:p>
          <w:p>
            <w:pPr>
              <w:rPr>
                <w:noProof/>
              </w:rPr>
            </w:pPr>
            <w:r>
              <w:rPr>
                <w:noProof/>
              </w:rPr>
              <w:t>Articolele 46 și 54</w:t>
            </w:r>
          </w:p>
          <w:p>
            <w:pPr>
              <w:rPr>
                <w:noProof/>
              </w:rPr>
            </w:pPr>
            <w:r>
              <w:rPr>
                <w:noProof/>
              </w:rPr>
              <w:t>Articolele 80 și 81</w:t>
            </w:r>
          </w:p>
          <w:p>
            <w:pPr>
              <w:rPr>
                <w:noProof/>
              </w:rPr>
            </w:pPr>
            <w:r>
              <w:rPr>
                <w:noProof/>
              </w:rPr>
              <w:t>Articolele 45, 46, 47, 49, 50-51 și 136</w:t>
            </w:r>
          </w:p>
        </w:tc>
        <w:tc>
          <w:tcPr>
            <w:tcW w:w="1765" w:type="dxa"/>
            <w:shd w:val="clear" w:color="auto" w:fill="EEECE1"/>
            <w:tcMar>
              <w:left w:w="105" w:type="dxa"/>
              <w:right w:w="105" w:type="dxa"/>
            </w:tcMar>
          </w:tcPr>
          <w:p>
            <w:pPr>
              <w:rPr>
                <w:noProof/>
              </w:rPr>
            </w:pPr>
          </w:p>
        </w:tc>
        <w:tc>
          <w:tcPr>
            <w:tcW w:w="2777" w:type="dxa"/>
            <w:tcMar>
              <w:left w:w="105" w:type="dxa"/>
              <w:right w:w="105" w:type="dxa"/>
            </w:tcMar>
          </w:tcPr>
          <w:p>
            <w:pPr>
              <w:rPr>
                <w:noProof/>
              </w:rPr>
            </w:pPr>
            <w:r>
              <w:rPr>
                <w:noProof/>
              </w:rPr>
              <w:t>UMF, standarde privind informațiile financiare și biometrice prevăzute de legislația sectorială/privind schimbul de informații (ARO, CSB, Prüm II, VIS…)</w:t>
            </w:r>
          </w:p>
          <w:p>
            <w:pPr>
              <w:rPr>
                <w:noProof/>
              </w:rPr>
            </w:pPr>
            <w:r>
              <w:rPr>
                <w:noProof/>
              </w:rPr>
              <w:t>Aplicația ADN va implementa pentru prima dată un standard stabilit de UE în acest domeniu.</w:t>
            </w:r>
          </w:p>
          <w:p>
            <w:pPr>
              <w:rPr>
                <w:noProof/>
              </w:rPr>
            </w:pPr>
            <w:r>
              <w:rPr>
                <w:noProof/>
              </w:rPr>
              <w:t>Identitatea digitală europeană pentru serviciile de poliție facilitează contactarea omologilor în cadrul schimburilor.</w:t>
            </w:r>
          </w:p>
        </w:tc>
      </w:tr>
      <w:tr>
        <w:trPr>
          <w:trHeight w:val="285"/>
        </w:trPr>
        <w:tc>
          <w:tcPr>
            <w:tcW w:w="1691" w:type="dxa"/>
            <w:tcMar>
              <w:left w:w="105" w:type="dxa"/>
              <w:right w:w="105" w:type="dxa"/>
            </w:tcMar>
          </w:tcPr>
          <w:p>
            <w:pPr>
              <w:rPr>
                <w:noProof/>
              </w:rPr>
            </w:pPr>
            <w:r>
              <w:rPr>
                <w:noProof/>
              </w:rPr>
              <w:t>Cooperarea cu părțile private</w:t>
            </w:r>
          </w:p>
        </w:tc>
        <w:tc>
          <w:tcPr>
            <w:tcW w:w="3127" w:type="dxa"/>
            <w:tcMar>
              <w:left w:w="105" w:type="dxa"/>
              <w:right w:w="105" w:type="dxa"/>
            </w:tcMar>
          </w:tcPr>
          <w:p>
            <w:pPr>
              <w:rPr>
                <w:noProof/>
              </w:rPr>
            </w:pPr>
            <w:r>
              <w:rPr>
                <w:noProof/>
              </w:rPr>
              <w:t>Furnizarea de informații părților private în situații de criză, pentru eliminarea și semnalarea conținutului online cu caracter terorist și a conținutului ilicit, pe baza unei platforme dedicate.</w:t>
            </w:r>
          </w:p>
          <w:p>
            <w:pPr>
              <w:rPr>
                <w:noProof/>
              </w:rPr>
            </w:pPr>
            <w:r>
              <w:rPr>
                <w:noProof/>
              </w:rPr>
              <w:t>Solicitarea de informații de la părți private prin intermediul ENU.</w:t>
            </w:r>
          </w:p>
        </w:tc>
        <w:tc>
          <w:tcPr>
            <w:tcW w:w="3823" w:type="dxa"/>
            <w:tcMar>
              <w:left w:w="105" w:type="dxa"/>
              <w:right w:w="105" w:type="dxa"/>
            </w:tcMar>
          </w:tcPr>
          <w:p>
            <w:pPr>
              <w:rPr>
                <w:noProof/>
              </w:rPr>
            </w:pPr>
            <w:r>
              <w:rPr>
                <w:noProof/>
              </w:rPr>
              <w:t>Articolele 14, 47 și 96-99</w:t>
            </w:r>
          </w:p>
          <w:p>
            <w:pPr>
              <w:rPr>
                <w:noProof/>
              </w:rPr>
            </w:pPr>
            <w:r>
              <w:rPr>
                <w:noProof/>
              </w:rPr>
              <w:t>Articolele 49, 50, 51, 53, 55 și 56</w:t>
            </w:r>
          </w:p>
        </w:tc>
        <w:tc>
          <w:tcPr>
            <w:tcW w:w="1765" w:type="dxa"/>
            <w:shd w:val="clear" w:color="auto" w:fill="EEECE1"/>
            <w:tcMar>
              <w:left w:w="105" w:type="dxa"/>
              <w:right w:w="105" w:type="dxa"/>
            </w:tcMar>
          </w:tcPr>
          <w:p>
            <w:pPr>
              <w:rPr>
                <w:noProof/>
              </w:rPr>
            </w:pPr>
          </w:p>
        </w:tc>
        <w:tc>
          <w:tcPr>
            <w:tcW w:w="2777" w:type="dxa"/>
            <w:tcMar>
              <w:left w:w="105" w:type="dxa"/>
              <w:right w:w="105" w:type="dxa"/>
            </w:tcMar>
          </w:tcPr>
          <w:p>
            <w:pPr>
              <w:rPr>
                <w:noProof/>
              </w:rPr>
            </w:pPr>
            <w:r>
              <w:rPr>
                <w:noProof/>
              </w:rPr>
              <w:t>UMF</w:t>
            </w:r>
          </w:p>
          <w:p>
            <w:pPr>
              <w:rPr>
                <w:noProof/>
              </w:rPr>
            </w:pPr>
          </w:p>
        </w:tc>
      </w:tr>
      <w:tr>
        <w:trPr>
          <w:trHeight w:val="285"/>
        </w:trPr>
        <w:tc>
          <w:tcPr>
            <w:tcW w:w="1691" w:type="dxa"/>
            <w:tcMar>
              <w:left w:w="105" w:type="dxa"/>
              <w:right w:w="105" w:type="dxa"/>
            </w:tcMar>
          </w:tcPr>
          <w:p>
            <w:pPr>
              <w:rPr>
                <w:noProof/>
              </w:rPr>
            </w:pPr>
            <w:r>
              <w:rPr>
                <w:noProof/>
              </w:rPr>
              <w:t>Sprijinirea analizei datelor operative în materie penală</w:t>
            </w:r>
          </w:p>
        </w:tc>
        <w:tc>
          <w:tcPr>
            <w:tcW w:w="3127" w:type="dxa"/>
            <w:tcMar>
              <w:left w:w="105" w:type="dxa"/>
              <w:right w:w="105" w:type="dxa"/>
            </w:tcMar>
          </w:tcPr>
          <w:p>
            <w:pPr>
              <w:rPr>
                <w:noProof/>
              </w:rPr>
            </w:pPr>
            <w:r>
              <w:rPr>
                <w:noProof/>
                <w:u w:val="single"/>
              </w:rPr>
              <w:t>Asigurarea analizei datelor operative în materie penală</w:t>
            </w:r>
          </w:p>
          <w:p>
            <w:pPr>
              <w:rPr>
                <w:noProof/>
              </w:rPr>
            </w:pPr>
            <w:r>
              <w:rPr>
                <w:noProof/>
              </w:rPr>
              <w:t>Mediul analitic al Europol cu criminalistică avansată.</w:t>
            </w:r>
          </w:p>
          <w:p>
            <w:pPr>
              <w:rPr>
                <w:noProof/>
              </w:rPr>
            </w:pPr>
            <w:r>
              <w:rPr>
                <w:noProof/>
              </w:rPr>
              <w:t>Set de instrumente analitice avansate și criminalistică</w:t>
            </w:r>
          </w:p>
          <w:p>
            <w:pPr>
              <w:rPr>
                <w:noProof/>
              </w:rPr>
            </w:pPr>
            <w:r>
              <w:rPr>
                <w:noProof/>
                <w:u w:val="single"/>
              </w:rPr>
              <w:t>Sprijină analiza penală comună</w:t>
            </w:r>
          </w:p>
          <w:p>
            <w:pPr>
              <w:rPr>
                <w:noProof/>
              </w:rPr>
            </w:pPr>
            <w:r>
              <w:rPr>
                <w:noProof/>
              </w:rPr>
              <w:t>Spațiul comun de date al poliției pentru cooperarea comună a statelor membre.</w:t>
            </w:r>
          </w:p>
          <w:p>
            <w:pPr>
              <w:rPr>
                <w:noProof/>
              </w:rPr>
            </w:pPr>
            <w:r>
              <w:rPr>
                <w:noProof/>
              </w:rPr>
              <w:t>Aceleași instrumente avansate ca cele de mai sus.</w:t>
            </w:r>
          </w:p>
        </w:tc>
        <w:tc>
          <w:tcPr>
            <w:tcW w:w="3823" w:type="dxa"/>
            <w:tcMar>
              <w:left w:w="105" w:type="dxa"/>
              <w:right w:w="105" w:type="dxa"/>
            </w:tcMar>
          </w:tcPr>
          <w:p>
            <w:pPr>
              <w:rPr>
                <w:noProof/>
              </w:rPr>
            </w:pPr>
            <w:r>
              <w:rPr>
                <w:noProof/>
              </w:rPr>
              <w:t>Articolele 13-19</w:t>
            </w:r>
          </w:p>
          <w:p>
            <w:pPr>
              <w:rPr>
                <w:noProof/>
              </w:rPr>
            </w:pPr>
            <w:r>
              <w:rPr>
                <w:noProof/>
              </w:rPr>
              <w:t>Articolele 48, 49, 50, 51, 53, 55 și 56</w:t>
            </w:r>
          </w:p>
          <w:p>
            <w:pPr>
              <w:rPr>
                <w:noProof/>
              </w:rPr>
            </w:pPr>
          </w:p>
          <w:p>
            <w:pPr>
              <w:rPr>
                <w:noProof/>
              </w:rPr>
            </w:pPr>
          </w:p>
          <w:p>
            <w:pPr>
              <w:rPr>
                <w:noProof/>
              </w:rPr>
            </w:pPr>
            <w:r>
              <w:rPr>
                <w:noProof/>
              </w:rPr>
              <w:t>Articolele 41-45</w:t>
            </w:r>
          </w:p>
          <w:p>
            <w:pPr>
              <w:rPr>
                <w:noProof/>
              </w:rPr>
            </w:pPr>
            <w:r>
              <w:rPr>
                <w:noProof/>
              </w:rPr>
              <w:t>Articolele 48, 49, 50, 51, 53, 55, 56 și 137</w:t>
            </w:r>
          </w:p>
        </w:tc>
        <w:tc>
          <w:tcPr>
            <w:tcW w:w="1765" w:type="dxa"/>
            <w:shd w:val="clear" w:color="auto" w:fill="EEECE1"/>
            <w:tcMar>
              <w:left w:w="105" w:type="dxa"/>
              <w:right w:w="105" w:type="dxa"/>
            </w:tcMar>
          </w:tcPr>
          <w:p>
            <w:pPr>
              <w:rPr>
                <w:noProof/>
              </w:rPr>
            </w:pPr>
          </w:p>
        </w:tc>
        <w:tc>
          <w:tcPr>
            <w:tcW w:w="2777" w:type="dxa"/>
            <w:tcMar>
              <w:left w:w="105" w:type="dxa"/>
              <w:right w:w="105" w:type="dxa"/>
            </w:tcMar>
          </w:tcPr>
          <w:p>
            <w:pPr>
              <w:rPr>
                <w:noProof/>
              </w:rPr>
            </w:pPr>
            <w:r>
              <w:rPr>
                <w:noProof/>
              </w:rPr>
              <w:t>UMF</w:t>
            </w:r>
          </w:p>
          <w:p>
            <w:pPr>
              <w:rPr>
                <w:noProof/>
              </w:rPr>
            </w:pPr>
            <w:r>
              <w:rPr>
                <w:noProof/>
              </w:rPr>
              <w:t>Set de măsuri și cadre de guvernanță pentru orientarea, standardizarea, coordonarea, dezvoltarea, implementarea și sprijinirea adoptării de către statele membre a unor capacități analitice avansate, inclusiv bazate pe IA: articolele 13-19, articolul 22 alineatul (3) litera (a), articolele 26, 53, 54, 55, 56 și 57-64</w:t>
            </w:r>
          </w:p>
        </w:tc>
      </w:tr>
      <w:tr>
        <w:trPr>
          <w:trHeight w:val="285"/>
        </w:trPr>
        <w:tc>
          <w:tcPr>
            <w:tcW w:w="1691" w:type="dxa"/>
            <w:tcMar>
              <w:left w:w="105" w:type="dxa"/>
              <w:right w:w="105" w:type="dxa"/>
            </w:tcMar>
          </w:tcPr>
          <w:p>
            <w:pPr>
              <w:rPr>
                <w:noProof/>
              </w:rPr>
            </w:pPr>
            <w:r>
              <w:rPr>
                <w:noProof/>
              </w:rPr>
              <w:t>Drepturile în materie de protecție a datelor</w:t>
            </w:r>
          </w:p>
        </w:tc>
        <w:tc>
          <w:tcPr>
            <w:tcW w:w="3127" w:type="dxa"/>
            <w:tcMar>
              <w:left w:w="105" w:type="dxa"/>
              <w:right w:w="105" w:type="dxa"/>
            </w:tcMar>
          </w:tcPr>
          <w:p>
            <w:pPr>
              <w:rPr>
                <w:noProof/>
                <w:u w:val="single"/>
              </w:rPr>
            </w:pPr>
            <w:r>
              <w:rPr>
                <w:noProof/>
                <w:u w:val="single"/>
              </w:rPr>
              <w:t>Aplicarea drepturilor persoanelor vizate în ceea ce privește protecția datelor și supravegherea</w:t>
            </w:r>
          </w:p>
        </w:tc>
        <w:tc>
          <w:tcPr>
            <w:tcW w:w="3823" w:type="dxa"/>
            <w:tcMar>
              <w:left w:w="105" w:type="dxa"/>
              <w:right w:w="105" w:type="dxa"/>
            </w:tcMar>
          </w:tcPr>
          <w:p>
            <w:pPr>
              <w:rPr>
                <w:noProof/>
              </w:rPr>
            </w:pPr>
            <w:r>
              <w:rPr>
                <w:noProof/>
              </w:rPr>
              <w:t>Articolele 103-106, articolul 116 alineatul (3) și articolul 117</w:t>
            </w:r>
          </w:p>
        </w:tc>
        <w:tc>
          <w:tcPr>
            <w:tcW w:w="1765" w:type="dxa"/>
            <w:shd w:val="clear" w:color="auto" w:fill="EEECE1"/>
            <w:tcMar>
              <w:left w:w="105" w:type="dxa"/>
              <w:right w:w="105" w:type="dxa"/>
            </w:tcMar>
          </w:tcPr>
          <w:p>
            <w:pPr>
              <w:rPr>
                <w:noProof/>
              </w:rPr>
            </w:pPr>
          </w:p>
        </w:tc>
        <w:tc>
          <w:tcPr>
            <w:tcW w:w="2777" w:type="dxa"/>
            <w:tcMar>
              <w:left w:w="105" w:type="dxa"/>
              <w:right w:w="105" w:type="dxa"/>
            </w:tcMar>
          </w:tcPr>
          <w:p>
            <w:pPr>
              <w:rPr>
                <w:noProof/>
              </w:rPr>
            </w:pPr>
            <w:r>
              <w:rPr>
                <w:noProof/>
              </w:rPr>
              <w:t>Nu se aplică</w:t>
            </w:r>
          </w:p>
        </w:tc>
      </w:tr>
    </w:tbl>
    <w:p>
      <w:pPr>
        <w:rPr>
          <w:rFonts w:eastAsia="Times New Roman"/>
          <w:i/>
          <w:noProof/>
          <w:color w:val="000000" w:themeColor="text1"/>
        </w:rPr>
      </w:pPr>
    </w:p>
    <w:p>
      <w:pPr>
        <w:rPr>
          <w:rFonts w:eastAsia="Times New Roman"/>
          <w:i/>
          <w:noProof/>
          <w:color w:val="000000" w:themeColor="text1"/>
        </w:rPr>
      </w:pPr>
      <w:r>
        <w:rPr>
          <w:i/>
          <w:noProof/>
          <w:color w:val="000000" w:themeColor="text1"/>
        </w:rPr>
        <w:t>Dependența serviciilor publice digitale de soluțiile digitale</w:t>
      </w:r>
    </w:p>
    <w:tbl>
      <w:tblPr>
        <w:tblStyle w:val="TableGrid"/>
        <w:tblW w:w="13213" w:type="dxa"/>
        <w:tblLook w:val="04A0" w:firstRow="1" w:lastRow="0" w:firstColumn="1" w:lastColumn="0" w:noHBand="0" w:noVBand="1"/>
      </w:tblPr>
      <w:tblGrid>
        <w:gridCol w:w="4479"/>
        <w:gridCol w:w="794"/>
        <w:gridCol w:w="794"/>
        <w:gridCol w:w="794"/>
        <w:gridCol w:w="794"/>
        <w:gridCol w:w="794"/>
        <w:gridCol w:w="794"/>
        <w:gridCol w:w="794"/>
        <w:gridCol w:w="794"/>
        <w:gridCol w:w="794"/>
        <w:gridCol w:w="794"/>
        <w:gridCol w:w="794"/>
      </w:tblGrid>
      <w:tr>
        <w:trPr>
          <w:cantSplit/>
          <w:trHeight w:val="3005"/>
        </w:trPr>
        <w:tc>
          <w:tcPr>
            <w:tcW w:w="4479" w:type="dxa"/>
            <w:vAlign w:val="bottom"/>
          </w:tcPr>
          <w:p>
            <w:pPr>
              <w:jc w:val="left"/>
              <w:rPr>
                <w:noProof/>
                <w:color w:val="000000" w:themeColor="text1"/>
              </w:rPr>
            </w:pPr>
            <w:r>
              <w:rPr>
                <w:noProof/>
                <w:color w:val="000000" w:themeColor="text1"/>
              </w:rPr>
              <w:t>X: depinde de</w:t>
            </w:r>
          </w:p>
          <w:p>
            <w:pPr>
              <w:jc w:val="left"/>
              <w:rPr>
                <w:noProof/>
                <w:color w:val="000000" w:themeColor="text1"/>
              </w:rPr>
            </w:pPr>
            <w:r>
              <w:rPr>
                <w:noProof/>
                <w:color w:val="000000" w:themeColor="text1"/>
              </w:rPr>
              <w:t>P: poate depinde de</w:t>
            </w:r>
          </w:p>
        </w:tc>
        <w:tc>
          <w:tcPr>
            <w:tcW w:w="794" w:type="dxa"/>
            <w:textDirection w:val="btLr"/>
          </w:tcPr>
          <w:p>
            <w:pPr>
              <w:ind w:left="113" w:right="113"/>
              <w:rPr>
                <w:noProof/>
                <w:color w:val="000000" w:themeColor="text1"/>
              </w:rPr>
            </w:pPr>
            <w:r>
              <w:rPr>
                <w:noProof/>
                <w:color w:val="000000" w:themeColor="text1"/>
              </w:rPr>
              <w:t>Serviciul Europol de verificare încrucișată</w:t>
            </w:r>
          </w:p>
        </w:tc>
        <w:tc>
          <w:tcPr>
            <w:tcW w:w="794" w:type="dxa"/>
            <w:textDirection w:val="btLr"/>
          </w:tcPr>
          <w:p>
            <w:pPr>
              <w:ind w:left="113" w:right="113"/>
              <w:rPr>
                <w:noProof/>
                <w:color w:val="000000" w:themeColor="text1"/>
              </w:rPr>
            </w:pPr>
            <w:r>
              <w:rPr>
                <w:noProof/>
                <w:color w:val="000000" w:themeColor="text1"/>
              </w:rPr>
              <w:t>Mediul analitic al Europol</w:t>
            </w:r>
          </w:p>
        </w:tc>
        <w:tc>
          <w:tcPr>
            <w:tcW w:w="794" w:type="dxa"/>
            <w:textDirection w:val="btLr"/>
          </w:tcPr>
          <w:p>
            <w:pPr>
              <w:ind w:left="113" w:right="113"/>
              <w:rPr>
                <w:noProof/>
                <w:color w:val="000000" w:themeColor="text1"/>
              </w:rPr>
            </w:pPr>
            <w:r>
              <w:rPr>
                <w:noProof/>
                <w:color w:val="000000" w:themeColor="text1"/>
              </w:rPr>
              <w:t>Spațiul comun de date al poliției</w:t>
            </w:r>
          </w:p>
        </w:tc>
        <w:tc>
          <w:tcPr>
            <w:tcW w:w="794" w:type="dxa"/>
            <w:textDirection w:val="btLr"/>
          </w:tcPr>
          <w:p>
            <w:pPr>
              <w:ind w:left="113" w:right="113"/>
              <w:rPr>
                <w:noProof/>
                <w:color w:val="000000" w:themeColor="text1"/>
              </w:rPr>
            </w:pPr>
            <w:r>
              <w:rPr>
                <w:noProof/>
                <w:color w:val="000000" w:themeColor="text1"/>
              </w:rPr>
              <w:t>SIENA</w:t>
            </w:r>
          </w:p>
        </w:tc>
        <w:tc>
          <w:tcPr>
            <w:tcW w:w="794" w:type="dxa"/>
            <w:textDirection w:val="btLr"/>
          </w:tcPr>
          <w:p>
            <w:pPr>
              <w:ind w:left="113" w:right="113"/>
              <w:rPr>
                <w:noProof/>
                <w:color w:val="000000" w:themeColor="text1"/>
              </w:rPr>
            </w:pPr>
            <w:r>
              <w:rPr>
                <w:noProof/>
                <w:color w:val="000000" w:themeColor="text1"/>
              </w:rPr>
              <w:t>Platforma de cooperare cu părțile private</w:t>
            </w:r>
          </w:p>
        </w:tc>
        <w:tc>
          <w:tcPr>
            <w:tcW w:w="794" w:type="dxa"/>
            <w:textDirection w:val="btLr"/>
          </w:tcPr>
          <w:p>
            <w:pPr>
              <w:ind w:left="113" w:right="113"/>
              <w:rPr>
                <w:noProof/>
                <w:color w:val="000000" w:themeColor="text1"/>
              </w:rPr>
            </w:pPr>
            <w:r>
              <w:rPr>
                <w:noProof/>
                <w:color w:val="000000" w:themeColor="text1"/>
              </w:rPr>
              <w:t>EPRIS</w:t>
            </w:r>
          </w:p>
        </w:tc>
        <w:tc>
          <w:tcPr>
            <w:tcW w:w="794" w:type="dxa"/>
            <w:textDirection w:val="btLr"/>
          </w:tcPr>
          <w:p>
            <w:pPr>
              <w:ind w:left="113" w:right="113"/>
              <w:rPr>
                <w:noProof/>
                <w:color w:val="000000" w:themeColor="text1"/>
              </w:rPr>
            </w:pPr>
            <w:r>
              <w:rPr>
                <w:noProof/>
                <w:color w:val="000000" w:themeColor="text1"/>
              </w:rPr>
              <w:t>Alte servicii și instrumente</w:t>
            </w:r>
          </w:p>
        </w:tc>
        <w:tc>
          <w:tcPr>
            <w:tcW w:w="794" w:type="dxa"/>
            <w:textDirection w:val="btLr"/>
          </w:tcPr>
          <w:p>
            <w:pPr>
              <w:ind w:left="113" w:right="113"/>
              <w:rPr>
                <w:noProof/>
                <w:color w:val="000000" w:themeColor="text1"/>
              </w:rPr>
            </w:pPr>
            <w:r>
              <w:rPr>
                <w:noProof/>
                <w:color w:val="000000" w:themeColor="text1"/>
              </w:rPr>
              <w:t>Infrastructura de cloud a Europol</w:t>
            </w:r>
          </w:p>
        </w:tc>
        <w:tc>
          <w:tcPr>
            <w:tcW w:w="794" w:type="dxa"/>
            <w:textDirection w:val="btLr"/>
          </w:tcPr>
          <w:p>
            <w:pPr>
              <w:ind w:left="113" w:right="113"/>
              <w:rPr>
                <w:noProof/>
                <w:color w:val="000000" w:themeColor="text1"/>
              </w:rPr>
            </w:pPr>
            <w:r>
              <w:rPr>
                <w:noProof/>
                <w:color w:val="000000" w:themeColor="text1"/>
              </w:rPr>
              <w:t>Identitatea digitală europeană pentru serviciile de poliție</w:t>
            </w:r>
          </w:p>
        </w:tc>
        <w:tc>
          <w:tcPr>
            <w:tcW w:w="794" w:type="dxa"/>
            <w:textDirection w:val="btLr"/>
          </w:tcPr>
          <w:p>
            <w:pPr>
              <w:ind w:left="113" w:right="113"/>
              <w:rPr>
                <w:noProof/>
                <w:color w:val="000000" w:themeColor="text1"/>
              </w:rPr>
            </w:pPr>
            <w:r>
              <w:rPr>
                <w:noProof/>
                <w:color w:val="000000" w:themeColor="text1"/>
              </w:rPr>
              <w:t>Statistici și instrument de raportare</w:t>
            </w:r>
          </w:p>
        </w:tc>
        <w:tc>
          <w:tcPr>
            <w:tcW w:w="794" w:type="dxa"/>
            <w:textDirection w:val="btLr"/>
          </w:tcPr>
          <w:p>
            <w:pPr>
              <w:ind w:left="113" w:right="113"/>
              <w:rPr>
                <w:noProof/>
                <w:color w:val="000000" w:themeColor="text1"/>
              </w:rPr>
            </w:pPr>
            <w:r>
              <w:rPr>
                <w:noProof/>
                <w:color w:val="000000" w:themeColor="text1"/>
              </w:rPr>
              <w:t>Aplicația UE pentru compararea profilurilor ADN</w:t>
            </w:r>
          </w:p>
        </w:tc>
      </w:tr>
      <w:tr>
        <w:tc>
          <w:tcPr>
            <w:tcW w:w="4479" w:type="dxa"/>
          </w:tcPr>
          <w:p>
            <w:pPr>
              <w:rPr>
                <w:noProof/>
                <w:color w:val="000000" w:themeColor="text1"/>
              </w:rPr>
            </w:pPr>
            <w:r>
              <w:rPr>
                <w:noProof/>
                <w:color w:val="000000" w:themeColor="text1"/>
              </w:rPr>
              <w:t>Sprijin strategic</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r>
      <w:tr>
        <w:tc>
          <w:tcPr>
            <w:tcW w:w="4479" w:type="dxa"/>
          </w:tcPr>
          <w:p>
            <w:pPr>
              <w:rPr>
                <w:noProof/>
                <w:color w:val="000000" w:themeColor="text1"/>
              </w:rPr>
            </w:pPr>
            <w:r>
              <w:rPr>
                <w:noProof/>
                <w:color w:val="000000" w:themeColor="text1"/>
              </w:rPr>
              <w:t>Facilitarea schimbului de informații</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X</w:t>
            </w:r>
          </w:p>
        </w:tc>
      </w:tr>
      <w:tr>
        <w:tc>
          <w:tcPr>
            <w:tcW w:w="4479" w:type="dxa"/>
          </w:tcPr>
          <w:p>
            <w:pPr>
              <w:rPr>
                <w:noProof/>
                <w:color w:val="000000" w:themeColor="text1"/>
              </w:rPr>
            </w:pPr>
            <w:r>
              <w:rPr>
                <w:noProof/>
                <w:color w:val="000000" w:themeColor="text1"/>
              </w:rPr>
              <w:t>Cooperarea cu părțile private</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p>
        </w:tc>
        <w:tc>
          <w:tcPr>
            <w:tcW w:w="794" w:type="dxa"/>
          </w:tcPr>
          <w:p>
            <w:pPr>
              <w:rPr>
                <w:noProof/>
                <w:color w:val="000000" w:themeColor="text1"/>
              </w:rPr>
            </w:pPr>
          </w:p>
        </w:tc>
      </w:tr>
      <w:tr>
        <w:tc>
          <w:tcPr>
            <w:tcW w:w="4479" w:type="dxa"/>
          </w:tcPr>
          <w:p>
            <w:pPr>
              <w:rPr>
                <w:noProof/>
                <w:color w:val="000000" w:themeColor="text1"/>
              </w:rPr>
            </w:pPr>
            <w:r>
              <w:rPr>
                <w:noProof/>
                <w:color w:val="000000" w:themeColor="text1"/>
              </w:rPr>
              <w:t>Sprijinirea analizei datelor operative în materie penală</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P</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r>
              <w:rPr>
                <w:noProof/>
                <w:color w:val="000000" w:themeColor="text1"/>
              </w:rPr>
              <w:t>X</w:t>
            </w:r>
          </w:p>
        </w:tc>
        <w:tc>
          <w:tcPr>
            <w:tcW w:w="794" w:type="dxa"/>
          </w:tcPr>
          <w:p>
            <w:pPr>
              <w:rPr>
                <w:noProof/>
                <w:color w:val="000000" w:themeColor="text1"/>
              </w:rPr>
            </w:pPr>
          </w:p>
        </w:tc>
        <w:tc>
          <w:tcPr>
            <w:tcW w:w="794" w:type="dxa"/>
          </w:tcPr>
          <w:p>
            <w:pPr>
              <w:rPr>
                <w:noProof/>
                <w:color w:val="000000" w:themeColor="text1"/>
              </w:rPr>
            </w:pPr>
            <w:r>
              <w:rPr>
                <w:noProof/>
                <w:color w:val="000000" w:themeColor="text1"/>
              </w:rPr>
              <w:t>X</w:t>
            </w:r>
          </w:p>
        </w:tc>
      </w:tr>
    </w:tbl>
    <w:p>
      <w:pPr>
        <w:rPr>
          <w:rFonts w:eastAsia="Times New Roman"/>
          <w:noProof/>
          <w:color w:val="000000" w:themeColor="text1"/>
        </w:rPr>
      </w:pPr>
    </w:p>
    <w:p>
      <w:pPr>
        <w:rPr>
          <w:rFonts w:eastAsia="Times New Roman"/>
          <w:noProof/>
          <w:color w:val="000000" w:themeColor="text1"/>
        </w:rPr>
      </w:pPr>
      <w:r>
        <w:rPr>
          <w:i/>
          <w:noProof/>
          <w:color w:val="000000" w:themeColor="text1"/>
        </w:rPr>
        <w:t>Impactul cerinței (cerințelor) de interoperabilitate transfrontalieră din perspectiva serviciului public digital</w:t>
      </w:r>
    </w:p>
    <w:p>
      <w:pPr>
        <w:rPr>
          <w:rFonts w:eastAsia="Times New Roman"/>
          <w:noProof/>
          <w:color w:val="000000" w:themeColor="text1"/>
          <w:szCs w:val="24"/>
        </w:rPr>
      </w:pPr>
      <w:r>
        <w:rPr>
          <w:b/>
          <w:noProof/>
          <w:color w:val="000000" w:themeColor="text1"/>
          <w:u w:val="single"/>
        </w:rPr>
        <w:t xml:space="preserve">Sprijin strategic </w:t>
      </w:r>
    </w:p>
    <w:tbl>
      <w:tblPr>
        <w:tblStyle w:val="TableGrid"/>
        <w:tblW w:w="13221"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960"/>
        <w:gridCol w:w="5955"/>
        <w:gridCol w:w="3306"/>
      </w:tblGrid>
      <w:tr>
        <w:trPr>
          <w:trHeight w:val="300"/>
        </w:trPr>
        <w:tc>
          <w:tcPr>
            <w:tcW w:w="3960" w:type="dxa"/>
            <w:tcMar>
              <w:left w:w="105" w:type="dxa"/>
              <w:right w:w="105" w:type="dxa"/>
            </w:tcMar>
          </w:tcPr>
          <w:p>
            <w:pPr>
              <w:rPr>
                <w:noProof/>
                <w:szCs w:val="24"/>
              </w:rPr>
            </w:pPr>
            <w:r>
              <w:rPr>
                <w:b/>
                <w:noProof/>
              </w:rPr>
              <w:t>Evaluare</w:t>
            </w:r>
          </w:p>
        </w:tc>
        <w:tc>
          <w:tcPr>
            <w:tcW w:w="5955" w:type="dxa"/>
            <w:tcMar>
              <w:left w:w="105" w:type="dxa"/>
              <w:right w:w="105" w:type="dxa"/>
            </w:tcMar>
          </w:tcPr>
          <w:p>
            <w:pPr>
              <w:rPr>
                <w:noProof/>
                <w:szCs w:val="24"/>
              </w:rPr>
            </w:pPr>
            <w:r>
              <w:rPr>
                <w:b/>
                <w:noProof/>
              </w:rPr>
              <w:t>Măsură (măsuri)</w:t>
            </w:r>
          </w:p>
        </w:tc>
        <w:tc>
          <w:tcPr>
            <w:tcW w:w="3306" w:type="dxa"/>
            <w:tcMar>
              <w:left w:w="105" w:type="dxa"/>
              <w:right w:w="105" w:type="dxa"/>
            </w:tcMar>
          </w:tcPr>
          <w:p>
            <w:pPr>
              <w:rPr>
                <w:noProof/>
                <w:szCs w:val="24"/>
              </w:rPr>
            </w:pPr>
            <w:r>
              <w:rPr>
                <w:b/>
                <w:noProof/>
              </w:rPr>
              <w:t>Obstacole potențiale rămase (dacă este cazul)</w:t>
            </w:r>
          </w:p>
        </w:tc>
      </w:tr>
      <w:tr>
        <w:trPr>
          <w:trHeight w:val="300"/>
        </w:trPr>
        <w:tc>
          <w:tcPr>
            <w:tcW w:w="3960" w:type="dxa"/>
            <w:tcMar>
              <w:left w:w="105" w:type="dxa"/>
              <w:right w:w="105" w:type="dxa"/>
            </w:tcMar>
          </w:tcPr>
          <w:p>
            <w:pPr>
              <w:rPr>
                <w:noProof/>
                <w:szCs w:val="24"/>
              </w:rPr>
            </w:pPr>
            <w:r>
              <w:rPr>
                <w:b/>
                <w:noProof/>
              </w:rPr>
              <w:t xml:space="preserve">Alinierea la politicile digitale și sectoriale existente </w:t>
            </w:r>
          </w:p>
        </w:tc>
        <w:tc>
          <w:tcPr>
            <w:tcW w:w="5955" w:type="dxa"/>
            <w:tcMar>
              <w:left w:w="105" w:type="dxa"/>
              <w:right w:w="105" w:type="dxa"/>
            </w:tcMar>
          </w:tcPr>
          <w:p>
            <w:pPr>
              <w:rPr>
                <w:noProof/>
                <w:szCs w:val="24"/>
              </w:rPr>
            </w:pPr>
            <w:r>
              <w:rPr>
                <w:noProof/>
              </w:rPr>
              <w:t>Nu a fost identificată nicio politică digitală sau sectorială.</w:t>
            </w:r>
          </w:p>
        </w:tc>
        <w:tc>
          <w:tcPr>
            <w:tcW w:w="3306" w:type="dxa"/>
            <w:tcMar>
              <w:left w:w="105" w:type="dxa"/>
              <w:right w:w="105" w:type="dxa"/>
            </w:tcMar>
          </w:tcPr>
          <w:p>
            <w:pPr>
              <w:pStyle w:val="ListParagraph"/>
              <w:numPr>
                <w:ilvl w:val="0"/>
                <w:numId w:val="25"/>
              </w:numPr>
              <w:tabs>
                <w:tab w:val="left" w:pos="5678"/>
              </w:tabs>
              <w:spacing w:before="0"/>
              <w:jc w:val="left"/>
              <w:rPr>
                <w:noProof/>
                <w:color w:val="0070C0"/>
                <w:szCs w:val="24"/>
              </w:rPr>
            </w:pPr>
          </w:p>
        </w:tc>
      </w:tr>
      <w:tr>
        <w:trPr>
          <w:trHeight w:val="300"/>
        </w:trPr>
        <w:tc>
          <w:tcPr>
            <w:tcW w:w="3960" w:type="dxa"/>
            <w:tcMar>
              <w:left w:w="105" w:type="dxa"/>
              <w:right w:w="105" w:type="dxa"/>
            </w:tcMar>
          </w:tcPr>
          <w:p>
            <w:pPr>
              <w:rPr>
                <w:noProof/>
                <w:szCs w:val="24"/>
              </w:rPr>
            </w:pPr>
            <w:r>
              <w:rPr>
                <w:b/>
                <w:noProof/>
              </w:rPr>
              <w:t>Măsurile organizatorice în vederea unei furnizări transfrontaliere fără probleme a serviciilor publice digitale</w:t>
            </w:r>
          </w:p>
        </w:tc>
        <w:tc>
          <w:tcPr>
            <w:tcW w:w="5955" w:type="dxa"/>
            <w:tcMar>
              <w:left w:w="105" w:type="dxa"/>
              <w:right w:w="105" w:type="dxa"/>
            </w:tcMar>
          </w:tcPr>
          <w:p>
            <w:pPr>
              <w:pStyle w:val="ListParagraph"/>
              <w:numPr>
                <w:ilvl w:val="0"/>
                <w:numId w:val="25"/>
              </w:numPr>
              <w:jc w:val="left"/>
              <w:rPr>
                <w:noProof/>
                <w:szCs w:val="24"/>
              </w:rPr>
            </w:pPr>
            <w:r>
              <w:rPr>
                <w:noProof/>
              </w:rPr>
              <w:t>Delegarea Consiliului de administrație către Comitetul executiv [articolul 75 alineatul (1)]</w:t>
            </w:r>
          </w:p>
          <w:p>
            <w:pPr>
              <w:pStyle w:val="ListParagraph"/>
              <w:numPr>
                <w:ilvl w:val="0"/>
                <w:numId w:val="25"/>
              </w:numPr>
              <w:jc w:val="left"/>
              <w:rPr>
                <w:noProof/>
                <w:szCs w:val="24"/>
              </w:rPr>
            </w:pPr>
            <w:r>
              <w:rPr>
                <w:noProof/>
              </w:rPr>
              <w:t>Comitetul executiv trebuie să sprijine deciziile Consiliului de administrație [articolul 75 alineatul (5)]</w:t>
            </w:r>
          </w:p>
          <w:p>
            <w:pPr>
              <w:pStyle w:val="ListParagraph"/>
              <w:numPr>
                <w:ilvl w:val="0"/>
                <w:numId w:val="25"/>
              </w:numPr>
              <w:jc w:val="left"/>
              <w:rPr>
                <w:noProof/>
                <w:szCs w:val="24"/>
              </w:rPr>
            </w:pPr>
            <w:r>
              <w:rPr>
                <w:noProof/>
              </w:rPr>
              <w:t>Reuniunea periodică a HENU [articolul 25 alineatul (4)].</w:t>
            </w:r>
          </w:p>
        </w:tc>
        <w:tc>
          <w:tcPr>
            <w:tcW w:w="3306" w:type="dxa"/>
            <w:tcMar>
              <w:left w:w="105" w:type="dxa"/>
              <w:right w:w="105" w:type="dxa"/>
            </w:tcMar>
          </w:tcPr>
          <w:p>
            <w:pPr>
              <w:pStyle w:val="ListParagraph"/>
              <w:numPr>
                <w:ilvl w:val="0"/>
                <w:numId w:val="25"/>
              </w:numPr>
              <w:tabs>
                <w:tab w:val="left" w:pos="5678"/>
              </w:tabs>
              <w:spacing w:before="0"/>
              <w:jc w:val="left"/>
              <w:rPr>
                <w:noProof/>
                <w:color w:val="0070C0"/>
                <w:szCs w:val="24"/>
              </w:rPr>
            </w:pPr>
          </w:p>
        </w:tc>
      </w:tr>
      <w:tr>
        <w:trPr>
          <w:trHeight w:val="300"/>
        </w:trPr>
        <w:tc>
          <w:tcPr>
            <w:tcW w:w="3960" w:type="dxa"/>
            <w:tcMar>
              <w:left w:w="105" w:type="dxa"/>
              <w:right w:w="105" w:type="dxa"/>
            </w:tcMar>
          </w:tcPr>
          <w:p>
            <w:pPr>
              <w:rPr>
                <w:noProof/>
                <w:szCs w:val="24"/>
              </w:rPr>
            </w:pPr>
            <w:r>
              <w:rPr>
                <w:b/>
                <w:noProof/>
              </w:rPr>
              <w:t>Măsurile luate pentru a asigura o înțelegere comună a datelor</w:t>
            </w:r>
          </w:p>
        </w:tc>
        <w:tc>
          <w:tcPr>
            <w:tcW w:w="5955" w:type="dxa"/>
            <w:tcMar>
              <w:left w:w="105" w:type="dxa"/>
              <w:right w:w="105" w:type="dxa"/>
            </w:tcMar>
          </w:tcPr>
          <w:p>
            <w:pPr>
              <w:pStyle w:val="ListParagraph"/>
              <w:numPr>
                <w:ilvl w:val="0"/>
                <w:numId w:val="25"/>
              </w:numPr>
              <w:spacing w:before="0"/>
              <w:jc w:val="left"/>
              <w:rPr>
                <w:noProof/>
                <w:szCs w:val="24"/>
              </w:rPr>
            </w:pPr>
            <w:r>
              <w:rPr>
                <w:noProof/>
              </w:rPr>
              <w:t>Europol trebuie să elaboreze standarde privind produsele strategice [articolul 7 alineatul (3)].</w:t>
            </w:r>
          </w:p>
        </w:tc>
        <w:tc>
          <w:tcPr>
            <w:tcW w:w="3306" w:type="dxa"/>
            <w:tcMar>
              <w:left w:w="105" w:type="dxa"/>
              <w:right w:w="105" w:type="dxa"/>
            </w:tcMar>
          </w:tcPr>
          <w:p>
            <w:pPr>
              <w:pStyle w:val="ListParagraph"/>
              <w:numPr>
                <w:ilvl w:val="0"/>
                <w:numId w:val="25"/>
              </w:numPr>
              <w:tabs>
                <w:tab w:val="left" w:pos="5678"/>
              </w:tabs>
              <w:spacing w:before="0"/>
              <w:jc w:val="left"/>
              <w:rPr>
                <w:noProof/>
                <w:color w:val="0070C0"/>
                <w:szCs w:val="24"/>
              </w:rPr>
            </w:pPr>
          </w:p>
        </w:tc>
      </w:tr>
      <w:tr>
        <w:trPr>
          <w:trHeight w:val="300"/>
        </w:trPr>
        <w:tc>
          <w:tcPr>
            <w:tcW w:w="3960" w:type="dxa"/>
            <w:tcMar>
              <w:left w:w="105" w:type="dxa"/>
              <w:right w:w="105" w:type="dxa"/>
            </w:tcMar>
          </w:tcPr>
          <w:p>
            <w:pPr>
              <w:rPr>
                <w:noProof/>
                <w:szCs w:val="24"/>
              </w:rPr>
            </w:pPr>
            <w:r>
              <w:rPr>
                <w:b/>
                <w:noProof/>
              </w:rPr>
              <w:t>Utilizarea specificațiilor și standardelor tehnice deschise convenite de comun acord</w:t>
            </w:r>
          </w:p>
        </w:tc>
        <w:tc>
          <w:tcPr>
            <w:tcW w:w="5955" w:type="dxa"/>
            <w:tcMar>
              <w:left w:w="105" w:type="dxa"/>
              <w:right w:w="105" w:type="dxa"/>
            </w:tcMar>
          </w:tcPr>
          <w:p>
            <w:pPr>
              <w:pStyle w:val="ListParagraph"/>
              <w:numPr>
                <w:ilvl w:val="0"/>
                <w:numId w:val="25"/>
              </w:numPr>
              <w:spacing w:before="0"/>
              <w:jc w:val="left"/>
              <w:rPr>
                <w:noProof/>
                <w:szCs w:val="24"/>
              </w:rPr>
            </w:pPr>
            <w:r>
              <w:rPr>
                <w:noProof/>
              </w:rPr>
              <w:t>Europol trebuie să elaboreze standarde privind produsele strategice [articolul 7 alineatul (3)].</w:t>
            </w:r>
          </w:p>
          <w:p>
            <w:pPr>
              <w:pStyle w:val="ListParagraph"/>
              <w:numPr>
                <w:ilvl w:val="0"/>
                <w:numId w:val="25"/>
              </w:numPr>
              <w:spacing w:before="0"/>
              <w:jc w:val="left"/>
              <w:rPr>
                <w:noProof/>
                <w:szCs w:val="24"/>
              </w:rPr>
            </w:pPr>
            <w:r>
              <w:rPr>
                <w:noProof/>
              </w:rPr>
              <w:t>Instrumentul comun de statistică și raportare, cu categorii definite printr-un act de punere în aplicare [articolul 52 alineatul (6)].</w:t>
            </w:r>
          </w:p>
        </w:tc>
        <w:tc>
          <w:tcPr>
            <w:tcW w:w="3306" w:type="dxa"/>
            <w:tcMar>
              <w:left w:w="105" w:type="dxa"/>
              <w:right w:w="105" w:type="dxa"/>
            </w:tcMar>
          </w:tcPr>
          <w:p>
            <w:pPr>
              <w:pStyle w:val="ListParagraph"/>
              <w:numPr>
                <w:ilvl w:val="0"/>
                <w:numId w:val="25"/>
              </w:numPr>
              <w:tabs>
                <w:tab w:val="left" w:pos="5678"/>
              </w:tabs>
              <w:spacing w:before="0"/>
              <w:jc w:val="left"/>
              <w:rPr>
                <w:noProof/>
                <w:color w:val="0070C0"/>
                <w:szCs w:val="24"/>
              </w:rPr>
            </w:pPr>
          </w:p>
        </w:tc>
      </w:tr>
    </w:tbl>
    <w:p>
      <w:pPr>
        <w:rPr>
          <w:rFonts w:eastAsia="Times New Roman"/>
          <w:noProof/>
          <w:color w:val="008000"/>
          <w:szCs w:val="24"/>
        </w:rPr>
      </w:pPr>
    </w:p>
    <w:p>
      <w:pPr>
        <w:keepNext/>
        <w:rPr>
          <w:rFonts w:eastAsia="Times New Roman"/>
          <w:noProof/>
          <w:color w:val="000000" w:themeColor="text1"/>
          <w:szCs w:val="24"/>
        </w:rPr>
      </w:pPr>
      <w:r>
        <w:rPr>
          <w:b/>
          <w:noProof/>
          <w:color w:val="000000" w:themeColor="text1"/>
          <w:u w:val="single"/>
        </w:rPr>
        <w:t>Facilitarea schimbului de informații</w:t>
      </w:r>
    </w:p>
    <w:tbl>
      <w:tblPr>
        <w:tblStyle w:val="TableGrid"/>
        <w:tblW w:w="13035"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881"/>
        <w:gridCol w:w="7779"/>
        <w:gridCol w:w="3375"/>
      </w:tblGrid>
      <w:tr>
        <w:trPr>
          <w:trHeight w:val="300"/>
        </w:trPr>
        <w:tc>
          <w:tcPr>
            <w:tcW w:w="1881" w:type="dxa"/>
            <w:tcMar>
              <w:left w:w="105" w:type="dxa"/>
              <w:right w:w="105" w:type="dxa"/>
            </w:tcMar>
          </w:tcPr>
          <w:p>
            <w:pPr>
              <w:keepNext/>
              <w:rPr>
                <w:noProof/>
                <w:szCs w:val="24"/>
              </w:rPr>
            </w:pPr>
            <w:r>
              <w:rPr>
                <w:b/>
                <w:noProof/>
              </w:rPr>
              <w:t>Evaluare</w:t>
            </w:r>
          </w:p>
        </w:tc>
        <w:tc>
          <w:tcPr>
            <w:tcW w:w="7779" w:type="dxa"/>
            <w:tcMar>
              <w:left w:w="105" w:type="dxa"/>
              <w:right w:w="105" w:type="dxa"/>
            </w:tcMar>
          </w:tcPr>
          <w:p>
            <w:pPr>
              <w:keepNext/>
              <w:rPr>
                <w:noProof/>
                <w:szCs w:val="24"/>
              </w:rPr>
            </w:pPr>
            <w:r>
              <w:rPr>
                <w:b/>
                <w:noProof/>
              </w:rPr>
              <w:t>Măsură (măsuri)</w:t>
            </w:r>
          </w:p>
        </w:tc>
        <w:tc>
          <w:tcPr>
            <w:tcW w:w="3375" w:type="dxa"/>
            <w:tcMar>
              <w:left w:w="105" w:type="dxa"/>
              <w:right w:w="105" w:type="dxa"/>
            </w:tcMar>
          </w:tcPr>
          <w:p>
            <w:pPr>
              <w:keepNext/>
              <w:rPr>
                <w:noProof/>
                <w:szCs w:val="24"/>
              </w:rPr>
            </w:pPr>
            <w:r>
              <w:rPr>
                <w:b/>
                <w:noProof/>
              </w:rPr>
              <w:t>Obstacole potențiale rămase (dacă este cazul)</w:t>
            </w:r>
          </w:p>
        </w:tc>
      </w:tr>
      <w:tr>
        <w:trPr>
          <w:trHeight w:val="300"/>
        </w:trPr>
        <w:tc>
          <w:tcPr>
            <w:tcW w:w="1881" w:type="dxa"/>
            <w:tcMar>
              <w:left w:w="105" w:type="dxa"/>
              <w:right w:w="105" w:type="dxa"/>
            </w:tcMar>
          </w:tcPr>
          <w:p>
            <w:pPr>
              <w:rPr>
                <w:noProof/>
                <w:szCs w:val="24"/>
              </w:rPr>
            </w:pPr>
            <w:r>
              <w:rPr>
                <w:b/>
                <w:noProof/>
              </w:rPr>
              <w:t xml:space="preserve">Alinierea la politicile digitale și sectoriale existente </w:t>
            </w:r>
          </w:p>
        </w:tc>
        <w:tc>
          <w:tcPr>
            <w:tcW w:w="7779" w:type="dxa"/>
            <w:tcMar>
              <w:left w:w="105" w:type="dxa"/>
              <w:right w:w="105" w:type="dxa"/>
            </w:tcMar>
          </w:tcPr>
          <w:p>
            <w:pPr>
              <w:rPr>
                <w:noProof/>
                <w:szCs w:val="24"/>
              </w:rPr>
            </w:pPr>
            <w:r>
              <w:rPr>
                <w:noProof/>
                <w:u w:val="single"/>
              </w:rPr>
              <w:t>Noua politică consolidează domeniul de aplicare material al celor două instrumente</w:t>
            </w:r>
          </w:p>
          <w:p>
            <w:pPr>
              <w:rPr>
                <w:noProof/>
                <w:szCs w:val="24"/>
              </w:rPr>
            </w:pPr>
            <w:r>
              <w:rPr>
                <w:noProof/>
              </w:rPr>
              <w:t>. Prüm II: Regulamentul (UE) 2024/982 se modifică pentru a extinde capacitatea Europol de a consulta bazele de date naționale (articolul 136); Europol dezvoltă o aplicație UE pentru compararea profilurilor ADN pentru a sprijini schimburile de date ADN în temeiul Prüm II (articolul 54). Responsabilitatea Europol în ceea ce privește EPRIS este explicată la articolul 48.</w:t>
            </w:r>
          </w:p>
          <w:p>
            <w:pPr>
              <w:rPr>
                <w:noProof/>
                <w:szCs w:val="24"/>
              </w:rPr>
            </w:pPr>
            <w:r>
              <w:rPr>
                <w:noProof/>
              </w:rPr>
              <w:t>. Directiva (UE) 2023/977 privind schimbul de informații: SIENA este utilizată de punctul unic de contact național pentru a furniza informații către Europol [articolul 46 alineatul (3)], ca un canal implicit pentru schimbul de informații cu Europol [articolul 46 alineatul (5)]; Crearea unui JOAC poate fi continuarea unui schimb de informații în temeiul directivei [articolul 46 alineatul (4)]; SIENA poate fi utilizată pentru schimbul de informații cu țările terțe [articolul 46 alineatul (7)].</w:t>
            </w:r>
          </w:p>
          <w:p>
            <w:pPr>
              <w:rPr>
                <w:noProof/>
                <w:szCs w:val="24"/>
              </w:rPr>
            </w:pPr>
            <w:r>
              <w:rPr>
                <w:noProof/>
              </w:rPr>
              <w:t>. Regulamentul (UE) 2017/1939 al Consiliului privind EPPO: în temeiul articolului 73 alineatul (3), informațiile care au generat un răspuns pozitiv trebuie să fie comunicate EPPO.</w:t>
            </w:r>
          </w:p>
          <w:p>
            <w:pPr>
              <w:rPr>
                <w:noProof/>
                <w:szCs w:val="24"/>
              </w:rPr>
            </w:pPr>
            <w:r>
              <w:rPr>
                <w:noProof/>
              </w:rPr>
              <w:t>. Regulamentul (UE) 2018/1727 privind Eurojust: accesul reciproc la informații în scopul verificării încrucișate.</w:t>
            </w:r>
          </w:p>
          <w:p>
            <w:pPr>
              <w:rPr>
                <w:noProof/>
                <w:szCs w:val="24"/>
              </w:rPr>
            </w:pPr>
            <w:r>
              <w:rPr>
                <w:noProof/>
              </w:rPr>
              <w:t xml:space="preserve">. Directiva (UE) 2024/1260 privind recuperarea activelor: conform politicii propuse, detaliază și extinde responsabilitățile și competențele agenției în cadrul de cooperare prevăzut la articolul 29 din directivă. În temeiul articolului 9, Europol obține acces la datele la care birourile de recuperare a activelor au acces direct sau indirect. </w:t>
            </w:r>
          </w:p>
          <w:p>
            <w:pPr>
              <w:rPr>
                <w:noProof/>
                <w:szCs w:val="24"/>
              </w:rPr>
            </w:pPr>
            <w:r>
              <w:rPr>
                <w:noProof/>
              </w:rPr>
              <w:t>. Regulamentul (UE) 2019/818 privind interoperabilitatea: Europol are sarcina de a sprijini dezvoltarea UMF (articolul 53).</w:t>
            </w:r>
          </w:p>
          <w:p>
            <w:pPr>
              <w:rPr>
                <w:noProof/>
                <w:szCs w:val="24"/>
              </w:rPr>
            </w:pPr>
            <w:r>
              <w:rPr>
                <w:noProof/>
                <w:u w:val="single"/>
              </w:rPr>
              <w:t>Responsabilități mai clare prin codificarea centrelor și a sistemelor</w:t>
            </w:r>
          </w:p>
          <w:p>
            <w:pPr>
              <w:rPr>
                <w:noProof/>
                <w:szCs w:val="24"/>
              </w:rPr>
            </w:pPr>
            <w:r>
              <w:rPr>
                <w:noProof/>
              </w:rPr>
              <w:t>. Regulamentul (UE) 2019/1240 privind ofițerii de legătură în materie de imigrație: obligațiile de a se conecta la SIENA; se clarifică obligațiile de a contribui la furnizarea de informații către Europol.</w:t>
            </w:r>
          </w:p>
          <w:p>
            <w:pPr>
              <w:rPr>
                <w:noProof/>
                <w:szCs w:val="24"/>
              </w:rPr>
            </w:pPr>
            <w:r>
              <w:rPr>
                <w:noProof/>
              </w:rPr>
              <w:t>. Directiva (UE) 2019/1153 privind informațiile financiare: se precizează că domeniul de aplicare al cooperării cu FIU poate fi mai larg decât spălarea banilor și finanțarea terorismului, iar aceste aspecte sunt regrupate în cadrul unui articol dedicat, și anume articolul 9 alineatele (4) și (5) privind sprijinul pentru investigațiile financiare și recuperarea activelor.</w:t>
            </w:r>
          </w:p>
          <w:p>
            <w:pPr>
              <w:rPr>
                <w:noProof/>
                <w:szCs w:val="24"/>
              </w:rPr>
            </w:pPr>
            <w:r>
              <w:rPr>
                <w:noProof/>
              </w:rPr>
              <w:t>. Regulamentul (UE) 2019/818 privind interoperabilitatea: accesul sistemelor informatice la scară largă ale UE și al Regulamentului privind screeningul la datele Europol pentru verificarea încrucișată (și anume sistemele centrale ETIAS și VIS) se bazează pe un canal securizat de comunicații instituit în temeiul articolului 36 alineatul (2) litera (e) cu portalul european de căutare (ESP).</w:t>
            </w:r>
          </w:p>
          <w:p>
            <w:pPr>
              <w:rPr>
                <w:noProof/>
                <w:szCs w:val="24"/>
              </w:rPr>
            </w:pPr>
            <w:r>
              <w:rPr>
                <w:noProof/>
              </w:rPr>
              <w:t>. Regulamentul (UE) 2024/1356 privind screeningul: accesul autorităților de screening se bazează în prezent pe canalul de comunicare stabilit între mecanismul de verificare încrucișată și ESP.</w:t>
            </w:r>
          </w:p>
          <w:p>
            <w:pPr>
              <w:rPr>
                <w:noProof/>
                <w:szCs w:val="24"/>
              </w:rPr>
            </w:pPr>
            <w:r>
              <w:rPr>
                <w:noProof/>
                <w:u w:val="single"/>
              </w:rPr>
              <w:t>Alinierea rămâne neschimbată/reformulare</w:t>
            </w:r>
          </w:p>
          <w:p>
            <w:pPr>
              <w:rPr>
                <w:noProof/>
                <w:szCs w:val="24"/>
              </w:rPr>
            </w:pPr>
            <w:r>
              <w:rPr>
                <w:noProof/>
              </w:rPr>
              <w:t>. SIS: Regulamentul (UE) 2018/1860, 1861, 1862, rolul Europol în ceea ce privește analiza informațiilor suplimentare, în introducerea semnalărilor în scop informativ, în ceea ce privește răspunsurile pozitive referitoare la semnalările în scop informativ și la semnalările privind activități teroriste, în conformitate cu regulamentele aplicabile.</w:t>
            </w:r>
          </w:p>
          <w:p>
            <w:pPr>
              <w:rPr>
                <w:noProof/>
                <w:szCs w:val="24"/>
              </w:rPr>
            </w:pPr>
            <w:r>
              <w:rPr>
                <w:noProof/>
              </w:rPr>
              <w:t>. Directiva (UE) 2015/849 privind FIU: garanția privind neinterferența în schimburile cu părți private în temeiul directivei rămâne aceeași.</w:t>
            </w:r>
          </w:p>
          <w:p>
            <w:pPr>
              <w:rPr>
                <w:noProof/>
                <w:szCs w:val="24"/>
              </w:rPr>
            </w:pPr>
            <w:r>
              <w:rPr>
                <w:noProof/>
              </w:rPr>
              <w:t>. Regulamentul (UE) 2019/881 privind securitatea cibernetică: Cooperarea cu ENISA rămâne identică.</w:t>
            </w:r>
          </w:p>
        </w:tc>
        <w:tc>
          <w:tcPr>
            <w:tcW w:w="3375" w:type="dxa"/>
            <w:tcMar>
              <w:left w:w="105" w:type="dxa"/>
              <w:right w:w="105" w:type="dxa"/>
            </w:tcMar>
          </w:tcPr>
          <w:p>
            <w:pPr>
              <w:rPr>
                <w:noProof/>
                <w:szCs w:val="24"/>
              </w:rPr>
            </w:pPr>
            <w:r>
              <w:rPr>
                <w:noProof/>
                <w:u w:val="single"/>
              </w:rPr>
              <w:t>Regulamentul nu conține prevederi cu privire la interacțiunea cu următoarele regulamente</w:t>
            </w:r>
            <w:r>
              <w:rPr>
                <w:noProof/>
              </w:rPr>
              <w:t xml:space="preserve"> privind dispoziții specifice referitoare la schimbul de informații în scopul prevenirii, depistării și investigării activităților infracționale</w:t>
            </w:r>
          </w:p>
          <w:p>
            <w:pPr>
              <w:rPr>
                <w:noProof/>
                <w:szCs w:val="24"/>
              </w:rPr>
            </w:pPr>
            <w:r>
              <w:rPr>
                <w:noProof/>
              </w:rPr>
              <w:t>. PNR: Directiva 2016/681</w:t>
            </w:r>
          </w:p>
          <w:p>
            <w:pPr>
              <w:rPr>
                <w:noProof/>
                <w:szCs w:val="24"/>
              </w:rPr>
            </w:pPr>
            <w:r>
              <w:rPr>
                <w:noProof/>
              </w:rPr>
              <w:t>. API: Regulamentul (UE) 2025/13</w:t>
            </w:r>
          </w:p>
          <w:p>
            <w:pPr>
              <w:rPr>
                <w:noProof/>
                <w:szCs w:val="24"/>
              </w:rPr>
            </w:pPr>
            <w:r>
              <w:rPr>
                <w:noProof/>
              </w:rPr>
              <w:t>. Regulamentul (UE) nr. 767/2008 privind VIS, Regulamentul 2017/2226 privind EES, Regulamentul (UE) 2018/1240 privind ETIAS, Regulamentul (UE) 2024/1358 privind Eurodac</w:t>
            </w:r>
          </w:p>
          <w:p>
            <w:pPr>
              <w:rPr>
                <w:noProof/>
                <w:szCs w:val="24"/>
              </w:rPr>
            </w:pPr>
            <w:r>
              <w:rPr>
                <w:noProof/>
              </w:rPr>
              <w:t xml:space="preserve">. Regulamentul (UE) 2023/1113 privind informațiile referitoare la criptoactive </w:t>
            </w:r>
          </w:p>
          <w:p>
            <w:pPr>
              <w:rPr>
                <w:noProof/>
                <w:szCs w:val="24"/>
              </w:rPr>
            </w:pPr>
            <w:r>
              <w:rPr>
                <w:noProof/>
              </w:rPr>
              <w:t>. Directiva (UE) 2021/555 și Regulamentul (UE) 2025/41 privind armele de foc</w:t>
            </w:r>
          </w:p>
          <w:p>
            <w:pPr>
              <w:rPr>
                <w:noProof/>
                <w:color w:val="0070C0"/>
                <w:szCs w:val="24"/>
              </w:rPr>
            </w:pPr>
          </w:p>
        </w:tc>
      </w:tr>
      <w:tr>
        <w:trPr>
          <w:trHeight w:val="300"/>
        </w:trPr>
        <w:tc>
          <w:tcPr>
            <w:tcW w:w="1881" w:type="dxa"/>
            <w:tcMar>
              <w:left w:w="105" w:type="dxa"/>
              <w:right w:w="105" w:type="dxa"/>
            </w:tcMar>
          </w:tcPr>
          <w:p>
            <w:pPr>
              <w:rPr>
                <w:noProof/>
                <w:szCs w:val="24"/>
              </w:rPr>
            </w:pPr>
            <w:r>
              <w:rPr>
                <w:b/>
                <w:noProof/>
              </w:rPr>
              <w:t>Măsurile organizatorice în vederea unei furnizări transfrontaliere fără probleme a serviciilor publice digitale</w:t>
            </w:r>
          </w:p>
        </w:tc>
        <w:tc>
          <w:tcPr>
            <w:tcW w:w="7779" w:type="dxa"/>
            <w:tcMar>
              <w:left w:w="105" w:type="dxa"/>
              <w:right w:w="105" w:type="dxa"/>
            </w:tcMar>
          </w:tcPr>
          <w:p>
            <w:pPr>
              <w:rPr>
                <w:noProof/>
                <w:szCs w:val="24"/>
              </w:rPr>
            </w:pPr>
            <w:r>
              <w:rPr>
                <w:noProof/>
              </w:rPr>
              <w:t>Privind dezvoltarea capacităților necesare pentru furnizarea de servicii publice digitale</w:t>
            </w:r>
          </w:p>
          <w:p>
            <w:pPr>
              <w:pStyle w:val="ListParagraph"/>
              <w:numPr>
                <w:ilvl w:val="0"/>
                <w:numId w:val="25"/>
              </w:numPr>
              <w:jc w:val="left"/>
              <w:rPr>
                <w:noProof/>
                <w:szCs w:val="24"/>
              </w:rPr>
            </w:pPr>
            <w:r>
              <w:rPr>
                <w:noProof/>
              </w:rPr>
              <w:t>Crearea Grupului de coordonare pentru TIC și gestionarea informațiilor (articolul 55).</w:t>
            </w:r>
          </w:p>
          <w:p>
            <w:pPr>
              <w:pStyle w:val="ListParagraph"/>
              <w:numPr>
                <w:ilvl w:val="0"/>
                <w:numId w:val="25"/>
              </w:numPr>
              <w:jc w:val="left"/>
              <w:rPr>
                <w:noProof/>
                <w:szCs w:val="24"/>
              </w:rPr>
            </w:pPr>
            <w:r>
              <w:rPr>
                <w:noProof/>
              </w:rPr>
              <w:t xml:space="preserve">Crearea Grupului consultativ pentru TIC și gestionarea informațiilor (articolul 56). </w:t>
            </w:r>
          </w:p>
          <w:p>
            <w:pPr>
              <w:pStyle w:val="ListParagraph"/>
              <w:numPr>
                <w:ilvl w:val="0"/>
                <w:numId w:val="25"/>
              </w:numPr>
              <w:jc w:val="left"/>
              <w:rPr>
                <w:noProof/>
                <w:szCs w:val="24"/>
              </w:rPr>
            </w:pPr>
            <w:r>
              <w:rPr>
                <w:noProof/>
              </w:rPr>
              <w:t>Europol trebuie să furnizeze sprijin tehnic pentru integrare [articolul 22 alineatul (2) paragraful al treilea].</w:t>
            </w:r>
          </w:p>
          <w:p>
            <w:pPr>
              <w:pStyle w:val="ListParagraph"/>
              <w:numPr>
                <w:ilvl w:val="0"/>
                <w:numId w:val="25"/>
              </w:numPr>
              <w:jc w:val="left"/>
              <w:rPr>
                <w:noProof/>
                <w:szCs w:val="24"/>
              </w:rPr>
            </w:pPr>
            <w:r>
              <w:rPr>
                <w:noProof/>
              </w:rPr>
              <w:t>Sarcinile unităților naționale Europol sunt clarificate în ceea ce privește adoptarea serviciului public digital [articolul 25 alineatul (6)], inclusiv cele de natură tehnică.</w:t>
            </w:r>
          </w:p>
          <w:p>
            <w:pPr>
              <w:pStyle w:val="ListParagraph"/>
              <w:numPr>
                <w:ilvl w:val="0"/>
                <w:numId w:val="25"/>
              </w:numPr>
              <w:jc w:val="left"/>
              <w:rPr>
                <w:noProof/>
                <w:szCs w:val="24"/>
              </w:rPr>
            </w:pPr>
            <w:r>
              <w:rPr>
                <w:noProof/>
              </w:rPr>
              <w:t>ENU este sprijinită de Biroul de sprijin Europol (articolul 26), care dispune de peste 150 de angajați Europol pe teritoriul UE.</w:t>
            </w:r>
          </w:p>
        </w:tc>
        <w:tc>
          <w:tcPr>
            <w:tcW w:w="3375" w:type="dxa"/>
            <w:tcMar>
              <w:left w:w="105" w:type="dxa"/>
              <w:right w:w="105" w:type="dxa"/>
            </w:tcMar>
          </w:tcPr>
          <w:p>
            <w:pPr>
              <w:pStyle w:val="ListParagraph"/>
              <w:numPr>
                <w:ilvl w:val="0"/>
                <w:numId w:val="25"/>
              </w:numPr>
              <w:tabs>
                <w:tab w:val="left" w:pos="5678"/>
              </w:tabs>
              <w:spacing w:before="0"/>
              <w:jc w:val="left"/>
              <w:rPr>
                <w:noProof/>
                <w:color w:val="0070C0"/>
                <w:szCs w:val="24"/>
              </w:rPr>
            </w:pPr>
          </w:p>
        </w:tc>
      </w:tr>
      <w:tr>
        <w:trPr>
          <w:trHeight w:val="300"/>
        </w:trPr>
        <w:tc>
          <w:tcPr>
            <w:tcW w:w="1881" w:type="dxa"/>
            <w:tcMar>
              <w:left w:w="105" w:type="dxa"/>
              <w:right w:w="105" w:type="dxa"/>
            </w:tcMar>
          </w:tcPr>
          <w:p>
            <w:pPr>
              <w:rPr>
                <w:noProof/>
                <w:szCs w:val="24"/>
              </w:rPr>
            </w:pPr>
            <w:r>
              <w:rPr>
                <w:b/>
                <w:noProof/>
              </w:rPr>
              <w:t>Măsurile luate pentru a asigura o înțelegere comună a datelor</w:t>
            </w:r>
          </w:p>
        </w:tc>
        <w:tc>
          <w:tcPr>
            <w:tcW w:w="7779" w:type="dxa"/>
            <w:tcMar>
              <w:left w:w="105" w:type="dxa"/>
              <w:right w:w="105" w:type="dxa"/>
            </w:tcMar>
          </w:tcPr>
          <w:p>
            <w:pPr>
              <w:pStyle w:val="ListParagraph"/>
              <w:numPr>
                <w:ilvl w:val="0"/>
                <w:numId w:val="25"/>
              </w:numPr>
              <w:spacing w:before="0"/>
              <w:jc w:val="left"/>
              <w:rPr>
                <w:noProof/>
                <w:szCs w:val="24"/>
              </w:rPr>
            </w:pPr>
            <w:r>
              <w:rPr>
                <w:noProof/>
              </w:rPr>
              <w:t>A se vedea sprijinul acordat de Europol, ENU și birourile de sprijin.</w:t>
            </w:r>
          </w:p>
        </w:tc>
        <w:tc>
          <w:tcPr>
            <w:tcW w:w="3375" w:type="dxa"/>
            <w:tcMar>
              <w:left w:w="105" w:type="dxa"/>
              <w:right w:w="105" w:type="dxa"/>
            </w:tcMar>
          </w:tcPr>
          <w:p>
            <w:pPr>
              <w:pStyle w:val="ListParagraph"/>
              <w:numPr>
                <w:ilvl w:val="0"/>
                <w:numId w:val="25"/>
              </w:numPr>
              <w:tabs>
                <w:tab w:val="left" w:pos="5678"/>
              </w:tabs>
              <w:spacing w:before="0"/>
              <w:jc w:val="left"/>
              <w:rPr>
                <w:noProof/>
                <w:color w:val="0070C0"/>
                <w:szCs w:val="24"/>
              </w:rPr>
            </w:pPr>
          </w:p>
        </w:tc>
      </w:tr>
      <w:tr>
        <w:trPr>
          <w:trHeight w:val="300"/>
        </w:trPr>
        <w:tc>
          <w:tcPr>
            <w:tcW w:w="1881" w:type="dxa"/>
            <w:tcMar>
              <w:left w:w="105" w:type="dxa"/>
              <w:right w:w="105" w:type="dxa"/>
            </w:tcMar>
          </w:tcPr>
          <w:p>
            <w:pPr>
              <w:rPr>
                <w:noProof/>
                <w:szCs w:val="24"/>
              </w:rPr>
            </w:pPr>
            <w:r>
              <w:rPr>
                <w:b/>
                <w:noProof/>
              </w:rPr>
              <w:t>Utilizarea specificațiilor și standardelor tehnice deschise convenite de comun acord</w:t>
            </w:r>
          </w:p>
        </w:tc>
        <w:tc>
          <w:tcPr>
            <w:tcW w:w="7779" w:type="dxa"/>
            <w:tcMar>
              <w:left w:w="105" w:type="dxa"/>
              <w:right w:w="105" w:type="dxa"/>
            </w:tcMar>
          </w:tcPr>
          <w:p>
            <w:pPr>
              <w:rPr>
                <w:noProof/>
                <w:szCs w:val="24"/>
              </w:rPr>
            </w:pPr>
            <w:r>
              <w:rPr>
                <w:noProof/>
              </w:rPr>
              <w:t>Generalizarea UMF:</w:t>
            </w:r>
          </w:p>
          <w:p>
            <w:pPr>
              <w:pStyle w:val="ListParagraph"/>
              <w:numPr>
                <w:ilvl w:val="0"/>
                <w:numId w:val="25"/>
              </w:numPr>
              <w:spacing w:before="0"/>
              <w:jc w:val="left"/>
              <w:rPr>
                <w:noProof/>
                <w:szCs w:val="24"/>
              </w:rPr>
            </w:pPr>
            <w:r>
              <w:rPr>
                <w:noProof/>
              </w:rPr>
              <w:t>Europol trebuie să sprijine dezvoltarea și adoptarea acestuia (articolul 53).</w:t>
            </w:r>
          </w:p>
          <w:p>
            <w:pPr>
              <w:pStyle w:val="ListParagraph"/>
              <w:numPr>
                <w:ilvl w:val="0"/>
                <w:numId w:val="25"/>
              </w:numPr>
              <w:jc w:val="left"/>
              <w:rPr>
                <w:noProof/>
                <w:szCs w:val="24"/>
              </w:rPr>
            </w:pPr>
            <w:r>
              <w:rPr>
                <w:noProof/>
              </w:rPr>
              <w:t>Grupul consultativ TIC/GI [articolul 56 alineatul (5) litera (c)] contribuie la identificarea și promovarea standardelor tehnice comune.</w:t>
            </w:r>
          </w:p>
          <w:p>
            <w:pPr>
              <w:pStyle w:val="ListParagraph"/>
              <w:numPr>
                <w:ilvl w:val="0"/>
                <w:numId w:val="25"/>
              </w:numPr>
              <w:jc w:val="left"/>
              <w:rPr>
                <w:noProof/>
                <w:szCs w:val="24"/>
              </w:rPr>
            </w:pPr>
            <w:r>
              <w:rPr>
                <w:noProof/>
              </w:rPr>
              <w:t>Sprijinirea de către Europol a proceselor de standardizare, inclusiv elaborarea și promovarea unor standarde comune, a unor cerințe de interoperabilitate și a unor specificații operaționale și tehnice relevante pentru cooperarea în materie de aplicare a legii [articolul 57 alineatul (3) litera (b)]: în special [articolul 65 alineatul (2) litera (b)], prin intermediul Serviciului său pentru capacități și inovare.</w:t>
            </w:r>
          </w:p>
          <w:p>
            <w:pPr>
              <w:pStyle w:val="ListParagraph"/>
              <w:numPr>
                <w:ilvl w:val="0"/>
                <w:numId w:val="25"/>
              </w:numPr>
              <w:jc w:val="left"/>
              <w:rPr>
                <w:noProof/>
                <w:szCs w:val="24"/>
              </w:rPr>
            </w:pPr>
            <w:r>
              <w:rPr>
                <w:noProof/>
              </w:rPr>
              <w:t>Europol trebuie să furnizeze sprijin tehnic pentru integrare [articolul 22 alineatul (2) paragraful al treilea].</w:t>
            </w:r>
          </w:p>
        </w:tc>
        <w:tc>
          <w:tcPr>
            <w:tcW w:w="3375" w:type="dxa"/>
            <w:tcMar>
              <w:left w:w="105" w:type="dxa"/>
              <w:right w:w="105" w:type="dxa"/>
            </w:tcMar>
          </w:tcPr>
          <w:p>
            <w:pPr>
              <w:pStyle w:val="ListParagraph"/>
              <w:numPr>
                <w:ilvl w:val="0"/>
                <w:numId w:val="25"/>
              </w:numPr>
              <w:tabs>
                <w:tab w:val="left" w:pos="5678"/>
              </w:tabs>
              <w:spacing w:before="0"/>
              <w:jc w:val="left"/>
              <w:rPr>
                <w:noProof/>
                <w:szCs w:val="24"/>
              </w:rPr>
            </w:pPr>
            <w:r>
              <w:rPr>
                <w:noProof/>
              </w:rPr>
              <w:t>UMF nu are mandatul de a dezvolta soluții digitale pentru Europol.</w:t>
            </w:r>
          </w:p>
          <w:p>
            <w:pPr>
              <w:pStyle w:val="ListParagraph"/>
              <w:numPr>
                <w:ilvl w:val="0"/>
                <w:numId w:val="25"/>
              </w:numPr>
              <w:tabs>
                <w:tab w:val="left" w:pos="5678"/>
              </w:tabs>
              <w:spacing w:before="0"/>
              <w:jc w:val="left"/>
              <w:rPr>
                <w:noProof/>
                <w:szCs w:val="24"/>
              </w:rPr>
            </w:pPr>
            <w:r>
              <w:rPr>
                <w:noProof/>
              </w:rPr>
              <w:t>UMF nu are mandatul de a asigura integrarea sistemelor naționale.</w:t>
            </w:r>
          </w:p>
        </w:tc>
      </w:tr>
    </w:tbl>
    <w:p>
      <w:pPr>
        <w:rPr>
          <w:rFonts w:eastAsia="Times New Roman"/>
          <w:noProof/>
          <w:color w:val="008000"/>
          <w:szCs w:val="24"/>
        </w:rPr>
      </w:pPr>
    </w:p>
    <w:p>
      <w:pPr>
        <w:rPr>
          <w:rFonts w:eastAsia="Times New Roman"/>
          <w:noProof/>
          <w:color w:val="000000" w:themeColor="text1"/>
          <w:szCs w:val="24"/>
        </w:rPr>
      </w:pPr>
      <w:r>
        <w:rPr>
          <w:b/>
          <w:noProof/>
          <w:color w:val="000000" w:themeColor="text1"/>
          <w:u w:val="single"/>
        </w:rPr>
        <w:t>Schimb cu părți private</w:t>
      </w:r>
    </w:p>
    <w:tbl>
      <w:tblPr>
        <w:tblStyle w:val="TableGrid"/>
        <w:tblW w:w="13170"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157"/>
        <w:gridCol w:w="6521"/>
        <w:gridCol w:w="3492"/>
      </w:tblGrid>
      <w:tr>
        <w:trPr>
          <w:trHeight w:val="300"/>
        </w:trPr>
        <w:tc>
          <w:tcPr>
            <w:tcW w:w="3157" w:type="dxa"/>
            <w:tcMar>
              <w:left w:w="105" w:type="dxa"/>
              <w:right w:w="105" w:type="dxa"/>
            </w:tcMar>
          </w:tcPr>
          <w:p>
            <w:pPr>
              <w:rPr>
                <w:noProof/>
                <w:szCs w:val="24"/>
              </w:rPr>
            </w:pPr>
            <w:r>
              <w:rPr>
                <w:b/>
                <w:noProof/>
              </w:rPr>
              <w:t>Evaluare</w:t>
            </w:r>
          </w:p>
        </w:tc>
        <w:tc>
          <w:tcPr>
            <w:tcW w:w="6521" w:type="dxa"/>
            <w:tcMar>
              <w:left w:w="105" w:type="dxa"/>
              <w:right w:w="105" w:type="dxa"/>
            </w:tcMar>
          </w:tcPr>
          <w:p>
            <w:pPr>
              <w:rPr>
                <w:noProof/>
                <w:szCs w:val="24"/>
              </w:rPr>
            </w:pPr>
            <w:r>
              <w:rPr>
                <w:b/>
                <w:noProof/>
              </w:rPr>
              <w:t>Măsură (măsuri)</w:t>
            </w:r>
          </w:p>
        </w:tc>
        <w:tc>
          <w:tcPr>
            <w:tcW w:w="3492" w:type="dxa"/>
            <w:tcMar>
              <w:left w:w="105" w:type="dxa"/>
              <w:right w:w="105" w:type="dxa"/>
            </w:tcMar>
          </w:tcPr>
          <w:p>
            <w:pPr>
              <w:rPr>
                <w:noProof/>
                <w:szCs w:val="24"/>
              </w:rPr>
            </w:pPr>
            <w:r>
              <w:rPr>
                <w:b/>
                <w:noProof/>
              </w:rPr>
              <w:t>Obstacole potențiale rămase (dacă este cazul)</w:t>
            </w:r>
          </w:p>
        </w:tc>
      </w:tr>
      <w:tr>
        <w:trPr>
          <w:trHeight w:val="300"/>
        </w:trPr>
        <w:tc>
          <w:tcPr>
            <w:tcW w:w="3157" w:type="dxa"/>
            <w:tcMar>
              <w:left w:w="105" w:type="dxa"/>
              <w:right w:w="105" w:type="dxa"/>
            </w:tcMar>
          </w:tcPr>
          <w:p>
            <w:pPr>
              <w:rPr>
                <w:noProof/>
                <w:szCs w:val="24"/>
              </w:rPr>
            </w:pPr>
            <w:r>
              <w:rPr>
                <w:b/>
                <w:noProof/>
              </w:rPr>
              <w:t xml:space="preserve">Alinierea la politicile digitale și sectoriale existente </w:t>
            </w:r>
          </w:p>
        </w:tc>
        <w:tc>
          <w:tcPr>
            <w:tcW w:w="6521" w:type="dxa"/>
            <w:tcMar>
              <w:left w:w="105" w:type="dxa"/>
              <w:right w:w="105" w:type="dxa"/>
            </w:tcMar>
          </w:tcPr>
          <w:p>
            <w:pPr>
              <w:rPr>
                <w:noProof/>
                <w:szCs w:val="24"/>
              </w:rPr>
            </w:pPr>
            <w:r>
              <w:rPr>
                <w:noProof/>
                <w:u w:val="single"/>
              </w:rPr>
              <w:t>Responsabilități mai clare prin reorganizarea centrelor și a sistemelor</w:t>
            </w:r>
          </w:p>
          <w:p>
            <w:pPr>
              <w:rPr>
                <w:noProof/>
                <w:szCs w:val="24"/>
              </w:rPr>
            </w:pPr>
            <w:r>
              <w:rPr>
                <w:noProof/>
              </w:rPr>
              <w:t xml:space="preserve">. Regulamentul (UE) 2021/784 privind TCO: </w:t>
            </w:r>
            <w:r>
              <w:rPr>
                <w:i/>
                <w:noProof/>
              </w:rPr>
              <w:t>Centrul european de combatere a terorismului</w:t>
            </w:r>
            <w:r>
              <w:rPr>
                <w:noProof/>
              </w:rPr>
              <w:t xml:space="preserve">, recent reorganizat, a preluat toate atribuțiile Europolului în ceea ce privește sesizările și eliminările și își desfășoară activitatea pe o </w:t>
            </w:r>
            <w:r>
              <w:rPr>
                <w:i/>
                <w:noProof/>
              </w:rPr>
              <w:t>platformă de cooperare digitală cu părțile private</w:t>
            </w:r>
            <w:r>
              <w:rPr>
                <w:noProof/>
              </w:rPr>
              <w:t>, nou înființată [articolul 47 alineatul (2) litera (a)].</w:t>
            </w:r>
          </w:p>
          <w:p>
            <w:pPr>
              <w:rPr>
                <w:noProof/>
                <w:szCs w:val="24"/>
              </w:rPr>
            </w:pPr>
            <w:r>
              <w:rPr>
                <w:noProof/>
              </w:rPr>
              <w:t>. Regulamentul (UE) 2022/2065 privind DSA: similar celui de mai sus de la articolul 47 alineatul (2) litera (a).</w:t>
            </w:r>
          </w:p>
          <w:p>
            <w:pPr>
              <w:rPr>
                <w:noProof/>
                <w:szCs w:val="24"/>
              </w:rPr>
            </w:pPr>
            <w:r>
              <w:rPr>
                <w:noProof/>
              </w:rPr>
              <w:t>. Cadrul UE privind materialele care conțin abuzuri sexuale asupra copiilor: Atribuțiile și capacitățile Europol în ceea ce privește schimbul de materiale care conțin abuzuri sexuale asupra copiilor sunt raționalizate în continuare cu regimul generic al schimburilor cu părțile private în temeiul articolului 97.</w:t>
            </w:r>
          </w:p>
          <w:p>
            <w:pPr>
              <w:rPr>
                <w:noProof/>
                <w:szCs w:val="24"/>
              </w:rPr>
            </w:pPr>
            <w:r>
              <w:rPr>
                <w:noProof/>
                <w:u w:val="single"/>
              </w:rPr>
              <w:t>Alinierea rămâne neschimbată/reformulare</w:t>
            </w:r>
          </w:p>
          <w:p>
            <w:pPr>
              <w:rPr>
                <w:noProof/>
                <w:szCs w:val="24"/>
              </w:rPr>
            </w:pPr>
            <w:r>
              <w:rPr>
                <w:noProof/>
              </w:rPr>
              <w:t>. Directiva (UE) 2015/849 privind FIU: garanția privind neinterferența în schimburile cu părți private în temeiul directivei rămâne aceeași.</w:t>
            </w:r>
          </w:p>
        </w:tc>
        <w:tc>
          <w:tcPr>
            <w:tcW w:w="3492" w:type="dxa"/>
            <w:tcMar>
              <w:left w:w="105" w:type="dxa"/>
              <w:right w:w="105" w:type="dxa"/>
            </w:tcMar>
          </w:tcPr>
          <w:p>
            <w:pPr>
              <w:rPr>
                <w:noProof/>
                <w:szCs w:val="24"/>
              </w:rPr>
            </w:pPr>
            <w:r>
              <w:rPr>
                <w:noProof/>
                <w:u w:val="single"/>
              </w:rPr>
              <w:t>Regulamentul nu conține prevederi cu privire la interacțiunea cu următoarele regulamente</w:t>
            </w:r>
            <w:r>
              <w:rPr>
                <w:noProof/>
              </w:rPr>
              <w:t xml:space="preserve"> privind dispoziții specifice referitoare la schimbul de informații în scopul prevenirii, depistării și investigării activităților infracționale.</w:t>
            </w:r>
          </w:p>
          <w:p>
            <w:pPr>
              <w:rPr>
                <w:noProof/>
                <w:szCs w:val="24"/>
              </w:rPr>
            </w:pPr>
          </w:p>
        </w:tc>
      </w:tr>
      <w:tr>
        <w:trPr>
          <w:trHeight w:val="300"/>
        </w:trPr>
        <w:tc>
          <w:tcPr>
            <w:tcW w:w="3157" w:type="dxa"/>
            <w:tcMar>
              <w:left w:w="105" w:type="dxa"/>
              <w:right w:w="105" w:type="dxa"/>
            </w:tcMar>
          </w:tcPr>
          <w:p>
            <w:pPr>
              <w:rPr>
                <w:noProof/>
                <w:szCs w:val="24"/>
              </w:rPr>
            </w:pPr>
            <w:r>
              <w:rPr>
                <w:b/>
                <w:noProof/>
              </w:rPr>
              <w:t>Măsurile organizatorice în vederea unei furnizări transfrontaliere fără probleme a serviciilor publice digitale</w:t>
            </w:r>
          </w:p>
        </w:tc>
        <w:tc>
          <w:tcPr>
            <w:tcW w:w="6521" w:type="dxa"/>
            <w:tcMar>
              <w:left w:w="105" w:type="dxa"/>
              <w:right w:w="105" w:type="dxa"/>
            </w:tcMar>
          </w:tcPr>
          <w:p>
            <w:pPr>
              <w:rPr>
                <w:noProof/>
                <w:szCs w:val="24"/>
              </w:rPr>
            </w:pPr>
            <w:r>
              <w:rPr>
                <w:noProof/>
              </w:rPr>
              <w:t>Privind dezvoltarea capacităților necesare pentru furnizarea de servicii publice digitale statelor membre și EUBOA: a se vedea mai sus „schimbul de informații”.</w:t>
            </w:r>
          </w:p>
          <w:p>
            <w:pPr>
              <w:rPr>
                <w:noProof/>
                <w:szCs w:val="24"/>
              </w:rPr>
            </w:pPr>
            <w:r>
              <w:rPr>
                <w:noProof/>
              </w:rPr>
              <w:t>În ceea ce privește implementarea/adoptarea de către părți private:</w:t>
            </w:r>
          </w:p>
          <w:p>
            <w:pPr>
              <w:pStyle w:val="ListParagraph"/>
              <w:numPr>
                <w:ilvl w:val="0"/>
                <w:numId w:val="25"/>
              </w:numPr>
              <w:jc w:val="left"/>
              <w:rPr>
                <w:noProof/>
                <w:szCs w:val="24"/>
              </w:rPr>
            </w:pPr>
            <w:r>
              <w:rPr>
                <w:noProof/>
              </w:rPr>
              <w:t>Europol poate stabili relații de cooperare cu părți private (articolul 91).</w:t>
            </w:r>
          </w:p>
          <w:p>
            <w:pPr>
              <w:pStyle w:val="ListParagraph"/>
              <w:numPr>
                <w:ilvl w:val="0"/>
                <w:numId w:val="25"/>
              </w:numPr>
              <w:jc w:val="left"/>
              <w:rPr>
                <w:noProof/>
                <w:szCs w:val="24"/>
              </w:rPr>
            </w:pPr>
            <w:r>
              <w:rPr>
                <w:noProof/>
              </w:rPr>
              <w:t>Europol stabilește o procedură de acordare sau retragere a accesului securizat al părților private la platformă [articolul 43 alineatul (3)].</w:t>
            </w:r>
          </w:p>
        </w:tc>
        <w:tc>
          <w:tcPr>
            <w:tcW w:w="3492" w:type="dxa"/>
            <w:tcMar>
              <w:left w:w="105" w:type="dxa"/>
              <w:right w:w="105" w:type="dxa"/>
            </w:tcMar>
          </w:tcPr>
          <w:p>
            <w:pPr>
              <w:pStyle w:val="ListParagraph"/>
              <w:numPr>
                <w:ilvl w:val="0"/>
                <w:numId w:val="25"/>
              </w:numPr>
              <w:tabs>
                <w:tab w:val="left" w:pos="5678"/>
              </w:tabs>
              <w:spacing w:before="0"/>
              <w:jc w:val="left"/>
              <w:rPr>
                <w:noProof/>
                <w:szCs w:val="24"/>
              </w:rPr>
            </w:pPr>
            <w:r>
              <w:rPr>
                <w:noProof/>
              </w:rPr>
              <w:t>Acordarea de sprijin părților private, în mod similar cu cel acordat statelor membre, la discreția Europol și în conformitate cu acordurile bilaterale.</w:t>
            </w:r>
          </w:p>
        </w:tc>
      </w:tr>
      <w:tr>
        <w:trPr>
          <w:trHeight w:val="1620"/>
        </w:trPr>
        <w:tc>
          <w:tcPr>
            <w:tcW w:w="3157" w:type="dxa"/>
            <w:tcMar>
              <w:left w:w="105" w:type="dxa"/>
              <w:right w:w="105" w:type="dxa"/>
            </w:tcMar>
          </w:tcPr>
          <w:p>
            <w:pPr>
              <w:rPr>
                <w:noProof/>
                <w:szCs w:val="24"/>
              </w:rPr>
            </w:pPr>
            <w:r>
              <w:rPr>
                <w:b/>
                <w:noProof/>
              </w:rPr>
              <w:t>Măsurile luate pentru a asigura o înțelegere comună a datelor</w:t>
            </w:r>
          </w:p>
        </w:tc>
        <w:tc>
          <w:tcPr>
            <w:tcW w:w="6521" w:type="dxa"/>
            <w:tcMar>
              <w:left w:w="105" w:type="dxa"/>
              <w:right w:w="105" w:type="dxa"/>
            </w:tcMar>
          </w:tcPr>
          <w:p>
            <w:pPr>
              <w:pStyle w:val="ListParagraph"/>
              <w:numPr>
                <w:ilvl w:val="0"/>
                <w:numId w:val="25"/>
              </w:numPr>
              <w:spacing w:before="0"/>
              <w:jc w:val="left"/>
              <w:rPr>
                <w:noProof/>
                <w:szCs w:val="24"/>
              </w:rPr>
            </w:pPr>
            <w:r>
              <w:rPr>
                <w:noProof/>
              </w:rPr>
              <w:t>A se vedea sprijinul acordat de Europol, ENU și birourile de sprijin.</w:t>
            </w:r>
          </w:p>
        </w:tc>
        <w:tc>
          <w:tcPr>
            <w:tcW w:w="3492" w:type="dxa"/>
            <w:tcMar>
              <w:left w:w="105" w:type="dxa"/>
              <w:right w:w="105" w:type="dxa"/>
            </w:tcMar>
          </w:tcPr>
          <w:p>
            <w:pPr>
              <w:pStyle w:val="ListParagraph"/>
              <w:numPr>
                <w:ilvl w:val="0"/>
                <w:numId w:val="25"/>
              </w:numPr>
              <w:tabs>
                <w:tab w:val="left" w:pos="5678"/>
              </w:tabs>
              <w:spacing w:before="0"/>
              <w:jc w:val="left"/>
              <w:rPr>
                <w:noProof/>
                <w:szCs w:val="24"/>
              </w:rPr>
            </w:pPr>
            <w:r>
              <w:rPr>
                <w:noProof/>
              </w:rPr>
              <w:t>Acordarea de sprijin părților private, în mod similar cu cel acordat statelor membre, la discreția Europol și în conformitate cu acordurile bilaterale</w:t>
            </w:r>
          </w:p>
        </w:tc>
      </w:tr>
      <w:tr>
        <w:trPr>
          <w:trHeight w:val="300"/>
        </w:trPr>
        <w:tc>
          <w:tcPr>
            <w:tcW w:w="3157" w:type="dxa"/>
            <w:tcMar>
              <w:left w:w="105" w:type="dxa"/>
              <w:right w:w="105" w:type="dxa"/>
            </w:tcMar>
          </w:tcPr>
          <w:p>
            <w:pPr>
              <w:rPr>
                <w:noProof/>
                <w:szCs w:val="24"/>
              </w:rPr>
            </w:pPr>
            <w:r>
              <w:rPr>
                <w:b/>
                <w:noProof/>
              </w:rPr>
              <w:t>Utilizarea specificațiilor și standardelor tehnice deschise convenite de comun acord</w:t>
            </w:r>
          </w:p>
        </w:tc>
        <w:tc>
          <w:tcPr>
            <w:tcW w:w="6521" w:type="dxa"/>
            <w:tcMar>
              <w:left w:w="105" w:type="dxa"/>
              <w:right w:w="105" w:type="dxa"/>
            </w:tcMar>
          </w:tcPr>
          <w:p>
            <w:pPr>
              <w:pStyle w:val="ListParagraph"/>
              <w:numPr>
                <w:ilvl w:val="0"/>
                <w:numId w:val="25"/>
              </w:numPr>
              <w:spacing w:before="0"/>
              <w:jc w:val="left"/>
              <w:rPr>
                <w:noProof/>
                <w:szCs w:val="24"/>
              </w:rPr>
            </w:pPr>
            <w:r>
              <w:rPr>
                <w:noProof/>
              </w:rPr>
              <w:t>Europol invită părțile private să contribuie la activitatea Grupului consultativ pentru inovare (articolul 67).</w:t>
            </w:r>
          </w:p>
        </w:tc>
        <w:tc>
          <w:tcPr>
            <w:tcW w:w="3492" w:type="dxa"/>
            <w:tcMar>
              <w:left w:w="105" w:type="dxa"/>
              <w:right w:w="105" w:type="dxa"/>
            </w:tcMar>
          </w:tcPr>
          <w:p>
            <w:pPr>
              <w:pStyle w:val="ListParagraph"/>
              <w:numPr>
                <w:ilvl w:val="0"/>
                <w:numId w:val="25"/>
              </w:numPr>
              <w:tabs>
                <w:tab w:val="left" w:pos="5678"/>
              </w:tabs>
              <w:spacing w:before="0"/>
              <w:jc w:val="left"/>
              <w:rPr>
                <w:noProof/>
                <w:szCs w:val="24"/>
              </w:rPr>
            </w:pPr>
            <w:r>
              <w:rPr>
                <w:noProof/>
              </w:rPr>
              <w:t>Invitație adresată părților private de a contribui la activitatea Grupului consultativ pentru inovare care nu vizează în mod explicit standardul (articolul 67)</w:t>
            </w:r>
          </w:p>
        </w:tc>
      </w:tr>
    </w:tbl>
    <w:p>
      <w:pPr>
        <w:rPr>
          <w:rFonts w:eastAsia="Times New Roman"/>
          <w:noProof/>
          <w:color w:val="008000"/>
          <w:szCs w:val="24"/>
        </w:rPr>
      </w:pPr>
    </w:p>
    <w:p>
      <w:pPr>
        <w:keepNext/>
        <w:rPr>
          <w:rFonts w:eastAsia="Times New Roman"/>
          <w:noProof/>
          <w:color w:val="000000" w:themeColor="text1"/>
          <w:szCs w:val="24"/>
        </w:rPr>
      </w:pPr>
      <w:r>
        <w:rPr>
          <w:b/>
          <w:noProof/>
          <w:color w:val="000000" w:themeColor="text1"/>
          <w:u w:val="single"/>
        </w:rPr>
        <w:t>Sprijinirea analizei datelor operative în materie penală</w:t>
      </w:r>
    </w:p>
    <w:tbl>
      <w:tblPr>
        <w:tblStyle w:val="TableGrid"/>
        <w:tblW w:w="13230"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299"/>
        <w:gridCol w:w="5528"/>
        <w:gridCol w:w="4403"/>
      </w:tblGrid>
      <w:tr>
        <w:trPr>
          <w:trHeight w:val="300"/>
        </w:trPr>
        <w:tc>
          <w:tcPr>
            <w:tcW w:w="3299" w:type="dxa"/>
            <w:tcMar>
              <w:left w:w="105" w:type="dxa"/>
              <w:right w:w="105" w:type="dxa"/>
            </w:tcMar>
          </w:tcPr>
          <w:p>
            <w:pPr>
              <w:rPr>
                <w:noProof/>
                <w:szCs w:val="24"/>
              </w:rPr>
            </w:pPr>
            <w:r>
              <w:rPr>
                <w:b/>
                <w:noProof/>
              </w:rPr>
              <w:t>Evaluare</w:t>
            </w:r>
          </w:p>
        </w:tc>
        <w:tc>
          <w:tcPr>
            <w:tcW w:w="5528" w:type="dxa"/>
            <w:tcMar>
              <w:left w:w="105" w:type="dxa"/>
              <w:right w:w="105" w:type="dxa"/>
            </w:tcMar>
          </w:tcPr>
          <w:p>
            <w:pPr>
              <w:rPr>
                <w:noProof/>
                <w:szCs w:val="24"/>
              </w:rPr>
            </w:pPr>
            <w:r>
              <w:rPr>
                <w:b/>
                <w:noProof/>
              </w:rPr>
              <w:t>Măsură (măsuri)</w:t>
            </w:r>
          </w:p>
        </w:tc>
        <w:tc>
          <w:tcPr>
            <w:tcW w:w="4403" w:type="dxa"/>
            <w:tcMar>
              <w:left w:w="105" w:type="dxa"/>
              <w:right w:w="105" w:type="dxa"/>
            </w:tcMar>
          </w:tcPr>
          <w:p>
            <w:pPr>
              <w:rPr>
                <w:noProof/>
                <w:szCs w:val="24"/>
              </w:rPr>
            </w:pPr>
            <w:r>
              <w:rPr>
                <w:b/>
                <w:noProof/>
              </w:rPr>
              <w:t>Obstacole potențiale rămase (dacă este cazul)</w:t>
            </w:r>
          </w:p>
        </w:tc>
      </w:tr>
      <w:tr>
        <w:trPr>
          <w:trHeight w:val="300"/>
        </w:trPr>
        <w:tc>
          <w:tcPr>
            <w:tcW w:w="3299" w:type="dxa"/>
            <w:tcMar>
              <w:left w:w="105" w:type="dxa"/>
              <w:right w:w="105" w:type="dxa"/>
            </w:tcMar>
          </w:tcPr>
          <w:p>
            <w:pPr>
              <w:rPr>
                <w:noProof/>
                <w:szCs w:val="24"/>
              </w:rPr>
            </w:pPr>
            <w:r>
              <w:rPr>
                <w:b/>
                <w:noProof/>
              </w:rPr>
              <w:t xml:space="preserve">Alinierea la politicile digitale și sectoriale existente </w:t>
            </w:r>
          </w:p>
        </w:tc>
        <w:tc>
          <w:tcPr>
            <w:tcW w:w="5528" w:type="dxa"/>
            <w:tcMar>
              <w:left w:w="105" w:type="dxa"/>
              <w:right w:w="105" w:type="dxa"/>
            </w:tcMar>
          </w:tcPr>
          <w:p>
            <w:pPr>
              <w:rPr>
                <w:noProof/>
                <w:szCs w:val="24"/>
              </w:rPr>
            </w:pPr>
            <w:r>
              <w:rPr>
                <w:noProof/>
                <w:u w:val="single"/>
              </w:rPr>
              <w:t>Noua politică consolidează domeniul de aplicare material al celor două instrumente</w:t>
            </w:r>
          </w:p>
          <w:p>
            <w:pPr>
              <w:rPr>
                <w:noProof/>
                <w:szCs w:val="24"/>
              </w:rPr>
            </w:pPr>
            <w:r>
              <w:rPr>
                <w:noProof/>
              </w:rPr>
              <w:t xml:space="preserve">Directiva (UE) 2024/1640 privind combaterea spălării banilor: Europol poate sprijini analiza comună efectuată de Oficiul European de Luptă Antifraudă (ACSB) în temeiul articolului 76 din directivă. </w:t>
            </w:r>
          </w:p>
          <w:p>
            <w:pPr>
              <w:rPr>
                <w:noProof/>
                <w:szCs w:val="24"/>
              </w:rPr>
            </w:pPr>
            <w:r>
              <w:rPr>
                <w:noProof/>
              </w:rPr>
              <w:t>Regulamentul (UE) 2019/1896 privind Frontex: Europol furnizează Frontex analize de risc pe baza informațiilor privind călătoriile [articolul 77 alineatul (1)]</w:t>
            </w:r>
          </w:p>
          <w:p>
            <w:pPr>
              <w:rPr>
                <w:noProof/>
                <w:szCs w:val="24"/>
              </w:rPr>
            </w:pPr>
          </w:p>
          <w:p>
            <w:pPr>
              <w:rPr>
                <w:noProof/>
                <w:szCs w:val="24"/>
              </w:rPr>
            </w:pPr>
            <w:r>
              <w:rPr>
                <w:noProof/>
                <w:u w:val="single"/>
              </w:rPr>
              <w:t>Alinierea rămâne neschimbată/reformulare</w:t>
            </w:r>
          </w:p>
          <w:p>
            <w:pPr>
              <w:rPr>
                <w:noProof/>
                <w:szCs w:val="24"/>
              </w:rPr>
            </w:pPr>
          </w:p>
        </w:tc>
        <w:tc>
          <w:tcPr>
            <w:tcW w:w="4403" w:type="dxa"/>
            <w:tcMar>
              <w:left w:w="105" w:type="dxa"/>
              <w:right w:w="105" w:type="dxa"/>
            </w:tcMar>
          </w:tcPr>
          <w:p>
            <w:pPr>
              <w:rPr>
                <w:noProof/>
                <w:szCs w:val="24"/>
              </w:rPr>
            </w:pPr>
            <w:r>
              <w:rPr>
                <w:noProof/>
                <w:u w:val="single"/>
              </w:rPr>
              <w:t>Regulamentul nu conține prevederi cu privire la interacțiunea cu următoarele regulamente</w:t>
            </w:r>
            <w:r>
              <w:rPr>
                <w:noProof/>
              </w:rPr>
              <w:t xml:space="preserve"> privind dispoziții specifice referitoare la schimbul de informații în scopul prevenirii, depistării și investigării activităților infracționale</w:t>
            </w:r>
          </w:p>
          <w:p>
            <w:pPr>
              <w:rPr>
                <w:noProof/>
                <w:szCs w:val="24"/>
              </w:rPr>
            </w:pPr>
            <w:r>
              <w:rPr>
                <w:noProof/>
              </w:rPr>
              <w:t xml:space="preserve">. Regulamentul (UE) 2022/850 privind sistemul </w:t>
            </w:r>
            <w:bookmarkStart w:id="56" w:name="_Int_LGh9Lhp7"/>
            <w:r>
              <w:rPr>
                <w:noProof/>
              </w:rPr>
              <w:t>e</w:t>
            </w:r>
            <w:bookmarkEnd w:id="56"/>
            <w:r>
              <w:rPr>
                <w:noProof/>
              </w:rPr>
              <w:t xml:space="preserve">-codex </w:t>
            </w:r>
          </w:p>
          <w:p>
            <w:pPr>
              <w:rPr>
                <w:noProof/>
                <w:szCs w:val="24"/>
              </w:rPr>
            </w:pPr>
            <w:r>
              <w:rPr>
                <w:noProof/>
              </w:rPr>
              <w:t xml:space="preserve">. Regulamentul (UE) 2023/969 privind platforma de colaborare JIT </w:t>
            </w:r>
          </w:p>
        </w:tc>
      </w:tr>
      <w:tr>
        <w:trPr>
          <w:trHeight w:val="300"/>
        </w:trPr>
        <w:tc>
          <w:tcPr>
            <w:tcW w:w="3299" w:type="dxa"/>
            <w:tcMar>
              <w:left w:w="105" w:type="dxa"/>
              <w:right w:w="105" w:type="dxa"/>
            </w:tcMar>
          </w:tcPr>
          <w:p>
            <w:pPr>
              <w:rPr>
                <w:noProof/>
                <w:szCs w:val="24"/>
              </w:rPr>
            </w:pPr>
            <w:r>
              <w:rPr>
                <w:b/>
                <w:noProof/>
              </w:rPr>
              <w:t>Măsurile organizatorice în vederea unei furnizări transfrontaliere fără probleme a serviciilor publice digitale</w:t>
            </w:r>
          </w:p>
        </w:tc>
        <w:tc>
          <w:tcPr>
            <w:tcW w:w="5528" w:type="dxa"/>
            <w:tcMar>
              <w:left w:w="105" w:type="dxa"/>
              <w:right w:w="105" w:type="dxa"/>
            </w:tcMar>
          </w:tcPr>
          <w:p>
            <w:pPr>
              <w:rPr>
                <w:noProof/>
                <w:szCs w:val="24"/>
              </w:rPr>
            </w:pPr>
            <w:r>
              <w:rPr>
                <w:noProof/>
              </w:rPr>
              <w:t>La fel ca în cazul „schimbului de informații”</w:t>
            </w:r>
          </w:p>
          <w:p>
            <w:pPr>
              <w:pStyle w:val="ListParagraph"/>
              <w:numPr>
                <w:ilvl w:val="0"/>
                <w:numId w:val="25"/>
              </w:numPr>
              <w:jc w:val="left"/>
              <w:rPr>
                <w:noProof/>
                <w:szCs w:val="24"/>
              </w:rPr>
            </w:pPr>
            <w:r>
              <w:rPr>
                <w:noProof/>
              </w:rPr>
              <w:t>Interes specific pentru noile obligații ale Europol care sprijină adoptarea de noi capacități analitice și criminalistice avansate în temeiul articolului 59</w:t>
            </w:r>
          </w:p>
        </w:tc>
        <w:tc>
          <w:tcPr>
            <w:tcW w:w="4403" w:type="dxa"/>
            <w:tcMar>
              <w:left w:w="105" w:type="dxa"/>
              <w:right w:w="105" w:type="dxa"/>
            </w:tcMar>
          </w:tcPr>
          <w:p>
            <w:pPr>
              <w:pStyle w:val="ListParagraph"/>
              <w:numPr>
                <w:ilvl w:val="0"/>
                <w:numId w:val="25"/>
              </w:numPr>
              <w:tabs>
                <w:tab w:val="left" w:pos="5678"/>
              </w:tabs>
              <w:spacing w:before="0"/>
              <w:jc w:val="left"/>
              <w:rPr>
                <w:noProof/>
                <w:color w:val="0070C0"/>
                <w:szCs w:val="24"/>
              </w:rPr>
            </w:pPr>
          </w:p>
        </w:tc>
      </w:tr>
      <w:tr>
        <w:trPr>
          <w:trHeight w:val="300"/>
        </w:trPr>
        <w:tc>
          <w:tcPr>
            <w:tcW w:w="3299" w:type="dxa"/>
            <w:tcMar>
              <w:left w:w="105" w:type="dxa"/>
              <w:right w:w="105" w:type="dxa"/>
            </w:tcMar>
          </w:tcPr>
          <w:p>
            <w:pPr>
              <w:rPr>
                <w:noProof/>
                <w:szCs w:val="24"/>
              </w:rPr>
            </w:pPr>
            <w:r>
              <w:rPr>
                <w:b/>
                <w:noProof/>
              </w:rPr>
              <w:t>Măsurile luate pentru a asigura o înțelegere comună a datelor</w:t>
            </w:r>
          </w:p>
        </w:tc>
        <w:tc>
          <w:tcPr>
            <w:tcW w:w="5528" w:type="dxa"/>
            <w:tcMar>
              <w:left w:w="105" w:type="dxa"/>
              <w:right w:w="105" w:type="dxa"/>
            </w:tcMar>
          </w:tcPr>
          <w:p>
            <w:pPr>
              <w:rPr>
                <w:noProof/>
                <w:szCs w:val="24"/>
              </w:rPr>
            </w:pPr>
            <w:r>
              <w:rPr>
                <w:noProof/>
              </w:rPr>
              <w:t>La fel ca în cazul „schimbului de informații”</w:t>
            </w:r>
          </w:p>
        </w:tc>
        <w:tc>
          <w:tcPr>
            <w:tcW w:w="4403" w:type="dxa"/>
            <w:tcMar>
              <w:left w:w="105" w:type="dxa"/>
              <w:right w:w="105" w:type="dxa"/>
            </w:tcMar>
          </w:tcPr>
          <w:p>
            <w:pPr>
              <w:pStyle w:val="ListParagraph"/>
              <w:numPr>
                <w:ilvl w:val="0"/>
                <w:numId w:val="25"/>
              </w:numPr>
              <w:tabs>
                <w:tab w:val="left" w:pos="5678"/>
              </w:tabs>
              <w:spacing w:before="0"/>
              <w:jc w:val="left"/>
              <w:rPr>
                <w:noProof/>
                <w:color w:val="0070C0"/>
                <w:szCs w:val="24"/>
              </w:rPr>
            </w:pPr>
          </w:p>
        </w:tc>
      </w:tr>
      <w:tr>
        <w:trPr>
          <w:trHeight w:val="300"/>
        </w:trPr>
        <w:tc>
          <w:tcPr>
            <w:tcW w:w="3299" w:type="dxa"/>
            <w:tcMar>
              <w:left w:w="105" w:type="dxa"/>
              <w:right w:w="105" w:type="dxa"/>
            </w:tcMar>
          </w:tcPr>
          <w:p>
            <w:pPr>
              <w:rPr>
                <w:noProof/>
                <w:szCs w:val="24"/>
              </w:rPr>
            </w:pPr>
            <w:r>
              <w:rPr>
                <w:b/>
                <w:noProof/>
              </w:rPr>
              <w:t>Utilizarea specificațiilor și standardelor tehnice deschise convenite de comun acord</w:t>
            </w:r>
          </w:p>
        </w:tc>
        <w:tc>
          <w:tcPr>
            <w:tcW w:w="5528" w:type="dxa"/>
            <w:tcMar>
              <w:left w:w="105" w:type="dxa"/>
              <w:right w:w="105" w:type="dxa"/>
            </w:tcMar>
          </w:tcPr>
          <w:p>
            <w:pPr>
              <w:rPr>
                <w:noProof/>
                <w:szCs w:val="24"/>
              </w:rPr>
            </w:pPr>
            <w:r>
              <w:rPr>
                <w:noProof/>
              </w:rPr>
              <w:t>La fel ca în cazul „schimbului de informații”</w:t>
            </w:r>
          </w:p>
        </w:tc>
        <w:tc>
          <w:tcPr>
            <w:tcW w:w="4403" w:type="dxa"/>
            <w:tcMar>
              <w:left w:w="105" w:type="dxa"/>
              <w:right w:w="105" w:type="dxa"/>
            </w:tcMar>
          </w:tcPr>
          <w:p>
            <w:pPr>
              <w:pStyle w:val="ListParagraph"/>
              <w:numPr>
                <w:ilvl w:val="0"/>
                <w:numId w:val="25"/>
              </w:numPr>
              <w:tabs>
                <w:tab w:val="left" w:pos="5678"/>
              </w:tabs>
              <w:spacing w:before="0"/>
              <w:jc w:val="left"/>
              <w:rPr>
                <w:noProof/>
                <w:szCs w:val="24"/>
              </w:rPr>
            </w:pPr>
          </w:p>
        </w:tc>
      </w:tr>
    </w:tbl>
    <w:p>
      <w:pPr>
        <w:keepNext/>
        <w:rPr>
          <w:rFonts w:eastAsia="Times New Roman"/>
          <w:noProof/>
          <w:color w:val="000000" w:themeColor="text1"/>
          <w:szCs w:val="24"/>
        </w:rPr>
      </w:pPr>
      <w:r>
        <w:rPr>
          <w:b/>
          <w:noProof/>
          <w:color w:val="000000" w:themeColor="text1"/>
        </w:rPr>
        <w:t>4.5. Măsuri de sprijinire a implementării digitale</w:t>
      </w:r>
    </w:p>
    <w:p>
      <w:pPr>
        <w:keepNext/>
        <w:rPr>
          <w:rFonts w:eastAsia="Times New Roman"/>
          <w:noProof/>
          <w:color w:val="000000" w:themeColor="text1"/>
          <w:szCs w:val="24"/>
        </w:rPr>
      </w:pPr>
      <w:r>
        <w:rPr>
          <w:i/>
          <w:noProof/>
          <w:color w:val="000000" w:themeColor="text1"/>
        </w:rPr>
        <w:t>Descriere generală a măsurilor care sprijină punerea în aplicare digitală</w:t>
      </w:r>
    </w:p>
    <w:tbl>
      <w:tblPr>
        <w:tblStyle w:val="TableGrid"/>
        <w:tblW w:w="13200" w:type="dxa"/>
        <w:tblInd w:w="-13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075"/>
        <w:gridCol w:w="2977"/>
        <w:gridCol w:w="2410"/>
        <w:gridCol w:w="2693"/>
        <w:gridCol w:w="2045"/>
      </w:tblGrid>
      <w:tr>
        <w:trPr>
          <w:trHeight w:val="285"/>
        </w:trPr>
        <w:tc>
          <w:tcPr>
            <w:tcW w:w="3075" w:type="dxa"/>
            <w:tcMar>
              <w:left w:w="105" w:type="dxa"/>
              <w:right w:w="105" w:type="dxa"/>
            </w:tcMar>
          </w:tcPr>
          <w:p>
            <w:pPr>
              <w:keepNext/>
              <w:rPr>
                <w:noProof/>
                <w:color w:val="000000" w:themeColor="text1"/>
                <w:szCs w:val="24"/>
              </w:rPr>
            </w:pPr>
            <w:r>
              <w:rPr>
                <w:b/>
                <w:noProof/>
              </w:rPr>
              <w:t>Descrierea</w:t>
            </w:r>
            <w:r>
              <w:rPr>
                <w:b/>
                <w:noProof/>
                <w:color w:val="000000" w:themeColor="text1"/>
              </w:rPr>
              <w:t xml:space="preserve"> măsurii</w:t>
            </w:r>
          </w:p>
        </w:tc>
        <w:tc>
          <w:tcPr>
            <w:tcW w:w="2977" w:type="dxa"/>
            <w:tcMar>
              <w:left w:w="105" w:type="dxa"/>
              <w:right w:w="105" w:type="dxa"/>
            </w:tcMar>
          </w:tcPr>
          <w:p>
            <w:pPr>
              <w:keepNext/>
              <w:rPr>
                <w:noProof/>
                <w:szCs w:val="24"/>
              </w:rPr>
            </w:pPr>
            <w:r>
              <w:rPr>
                <w:b/>
                <w:noProof/>
              </w:rPr>
              <w:t xml:space="preserve">Trimitere (trimiteri) la cerință (cerințe) </w:t>
            </w:r>
          </w:p>
        </w:tc>
        <w:tc>
          <w:tcPr>
            <w:tcW w:w="2410" w:type="dxa"/>
            <w:tcMar>
              <w:left w:w="105" w:type="dxa"/>
              <w:right w:w="105" w:type="dxa"/>
            </w:tcMar>
          </w:tcPr>
          <w:p>
            <w:pPr>
              <w:keepNext/>
              <w:rPr>
                <w:noProof/>
                <w:szCs w:val="24"/>
              </w:rPr>
            </w:pPr>
            <w:r>
              <w:rPr>
                <w:b/>
                <w:noProof/>
              </w:rPr>
              <w:t xml:space="preserve">Rolul Comisiei </w:t>
            </w:r>
          </w:p>
          <w:p>
            <w:pPr>
              <w:keepNext/>
              <w:rPr>
                <w:noProof/>
                <w:szCs w:val="24"/>
              </w:rPr>
            </w:pPr>
            <w:r>
              <w:rPr>
                <w:noProof/>
              </w:rPr>
              <w:t>(dacă este cazul)</w:t>
            </w:r>
          </w:p>
        </w:tc>
        <w:tc>
          <w:tcPr>
            <w:tcW w:w="2693" w:type="dxa"/>
            <w:tcMar>
              <w:left w:w="105" w:type="dxa"/>
              <w:right w:w="105" w:type="dxa"/>
            </w:tcMar>
          </w:tcPr>
          <w:p>
            <w:pPr>
              <w:keepNext/>
              <w:rPr>
                <w:noProof/>
                <w:szCs w:val="24"/>
              </w:rPr>
            </w:pPr>
            <w:r>
              <w:rPr>
                <w:b/>
                <w:noProof/>
              </w:rPr>
              <w:t>Actorii care urmează să fie implicați</w:t>
            </w:r>
          </w:p>
          <w:p>
            <w:pPr>
              <w:keepNext/>
              <w:rPr>
                <w:noProof/>
                <w:szCs w:val="24"/>
              </w:rPr>
            </w:pPr>
            <w:r>
              <w:rPr>
                <w:noProof/>
              </w:rPr>
              <w:t>(dacă este cazul)</w:t>
            </w:r>
          </w:p>
        </w:tc>
        <w:tc>
          <w:tcPr>
            <w:tcW w:w="2045" w:type="dxa"/>
            <w:tcMar>
              <w:left w:w="105" w:type="dxa"/>
              <w:right w:w="105" w:type="dxa"/>
            </w:tcMar>
          </w:tcPr>
          <w:p>
            <w:pPr>
              <w:keepNext/>
              <w:rPr>
                <w:noProof/>
                <w:szCs w:val="24"/>
              </w:rPr>
            </w:pPr>
            <w:r>
              <w:rPr>
                <w:b/>
                <w:noProof/>
              </w:rPr>
              <w:t>Calendarul preconizat</w:t>
            </w:r>
          </w:p>
          <w:p>
            <w:pPr>
              <w:keepNext/>
              <w:rPr>
                <w:noProof/>
                <w:szCs w:val="24"/>
              </w:rPr>
            </w:pPr>
            <w:r>
              <w:rPr>
                <w:noProof/>
              </w:rPr>
              <w:t>(dacă este cazul)</w:t>
            </w:r>
          </w:p>
        </w:tc>
      </w:tr>
      <w:tr>
        <w:trPr>
          <w:trHeight w:hRule="exact" w:val="3551"/>
        </w:trPr>
        <w:tc>
          <w:tcPr>
            <w:tcW w:w="3075" w:type="dxa"/>
            <w:tcMar>
              <w:left w:w="105" w:type="dxa"/>
              <w:right w:w="105" w:type="dxa"/>
            </w:tcMar>
          </w:tcPr>
          <w:p>
            <w:pPr>
              <w:rPr>
                <w:noProof/>
                <w:szCs w:val="24"/>
              </w:rPr>
            </w:pPr>
            <w:r>
              <w:rPr>
                <w:noProof/>
              </w:rPr>
              <w:t>Adoptarea actelor de punere în aplicare/delegate sau a orientărilor</w:t>
            </w:r>
          </w:p>
        </w:tc>
        <w:tc>
          <w:tcPr>
            <w:tcW w:w="2977" w:type="dxa"/>
            <w:tcMar>
              <w:left w:w="105" w:type="dxa"/>
              <w:right w:w="105" w:type="dxa"/>
            </w:tcMar>
          </w:tcPr>
          <w:p>
            <w:pPr>
              <w:rPr>
                <w:noProof/>
                <w:szCs w:val="24"/>
              </w:rPr>
            </w:pPr>
            <w:r>
              <w:rPr>
                <w:noProof/>
              </w:rPr>
              <w:t>Articolul 38 alineatul (3) și articolul 137 alineatul (1)</w:t>
            </w:r>
          </w:p>
          <w:p>
            <w:pPr>
              <w:rPr>
                <w:noProof/>
                <w:szCs w:val="24"/>
              </w:rPr>
            </w:pPr>
            <w:r>
              <w:rPr>
                <w:noProof/>
              </w:rPr>
              <w:t>Articolul 50 alineatul (9) și articolul 137 alineatul (2)</w:t>
            </w:r>
          </w:p>
          <w:p>
            <w:pPr>
              <w:rPr>
                <w:noProof/>
                <w:szCs w:val="24"/>
              </w:rPr>
            </w:pPr>
            <w:r>
              <w:rPr>
                <w:noProof/>
              </w:rPr>
              <w:t>Articolul 42 alineatul (4) și articolul 137 alineatul (3)</w:t>
            </w:r>
          </w:p>
          <w:p>
            <w:pPr>
              <w:rPr>
                <w:noProof/>
                <w:szCs w:val="24"/>
              </w:rPr>
            </w:pPr>
            <w:r>
              <w:rPr>
                <w:noProof/>
              </w:rPr>
              <w:t>Articolul 81 alineatul (8) și articolul 137 alineatul (4)</w:t>
            </w:r>
          </w:p>
          <w:p>
            <w:pPr>
              <w:rPr>
                <w:noProof/>
                <w:szCs w:val="24"/>
              </w:rPr>
            </w:pPr>
            <w:r>
              <w:rPr>
                <w:noProof/>
              </w:rPr>
              <w:t>Articolul 52 alineatul (6) și articolul 137 alineatul (5)</w:t>
            </w:r>
          </w:p>
          <w:p>
            <w:pPr>
              <w:rPr>
                <w:noProof/>
                <w:szCs w:val="24"/>
              </w:rPr>
            </w:pPr>
          </w:p>
        </w:tc>
        <w:tc>
          <w:tcPr>
            <w:tcW w:w="2410" w:type="dxa"/>
            <w:tcMar>
              <w:left w:w="105" w:type="dxa"/>
              <w:right w:w="105" w:type="dxa"/>
            </w:tcMar>
          </w:tcPr>
          <w:p>
            <w:pPr>
              <w:rPr>
                <w:noProof/>
                <w:szCs w:val="24"/>
              </w:rPr>
            </w:pPr>
            <w:r>
              <w:rPr>
                <w:noProof/>
              </w:rPr>
              <w:t>Adoptarea actelor</w:t>
            </w:r>
          </w:p>
        </w:tc>
        <w:tc>
          <w:tcPr>
            <w:tcW w:w="2693" w:type="dxa"/>
            <w:tcMar>
              <w:left w:w="105" w:type="dxa"/>
              <w:right w:w="105" w:type="dxa"/>
            </w:tcMar>
          </w:tcPr>
          <w:p>
            <w:pPr>
              <w:rPr>
                <w:noProof/>
                <w:szCs w:val="24"/>
              </w:rPr>
            </w:pPr>
            <w:r>
              <w:rPr>
                <w:noProof/>
              </w:rPr>
              <w:t>Statele membre</w:t>
            </w:r>
          </w:p>
        </w:tc>
        <w:tc>
          <w:tcPr>
            <w:tcW w:w="2045" w:type="dxa"/>
            <w:tcMar>
              <w:left w:w="105" w:type="dxa"/>
              <w:right w:w="105" w:type="dxa"/>
            </w:tcMar>
          </w:tcPr>
          <w:p>
            <w:pPr>
              <w:rPr>
                <w:noProof/>
                <w:szCs w:val="24"/>
              </w:rPr>
            </w:pPr>
            <w:r>
              <w:rPr>
                <w:noProof/>
              </w:rPr>
              <w:t>A0+1</w:t>
            </w:r>
          </w:p>
        </w:tc>
      </w:tr>
      <w:tr>
        <w:trPr>
          <w:trHeight w:hRule="exact" w:val="996"/>
        </w:trPr>
        <w:tc>
          <w:tcPr>
            <w:tcW w:w="3075" w:type="dxa"/>
            <w:tcMar>
              <w:left w:w="105" w:type="dxa"/>
              <w:right w:w="105" w:type="dxa"/>
            </w:tcMar>
          </w:tcPr>
          <w:p>
            <w:pPr>
              <w:rPr>
                <w:noProof/>
                <w:szCs w:val="24"/>
              </w:rPr>
            </w:pPr>
            <w:r>
              <w:rPr>
                <w:noProof/>
              </w:rPr>
              <w:t>Adoptarea normelor de punere în aplicare</w:t>
            </w:r>
          </w:p>
        </w:tc>
        <w:tc>
          <w:tcPr>
            <w:tcW w:w="2977" w:type="dxa"/>
            <w:tcMar>
              <w:left w:w="105" w:type="dxa"/>
              <w:right w:w="105" w:type="dxa"/>
            </w:tcMar>
          </w:tcPr>
          <w:p>
            <w:pPr>
              <w:rPr>
                <w:noProof/>
                <w:szCs w:val="24"/>
              </w:rPr>
            </w:pPr>
            <w:r>
              <w:rPr>
                <w:noProof/>
              </w:rPr>
              <w:t>Articolul 13 alineatul (5)</w:t>
            </w:r>
          </w:p>
          <w:p>
            <w:pPr>
              <w:rPr>
                <w:noProof/>
                <w:szCs w:val="24"/>
              </w:rPr>
            </w:pPr>
            <w:r>
              <w:rPr>
                <w:noProof/>
              </w:rPr>
              <w:t xml:space="preserve">Articolul 70 alineatul (2) litera (j) </w:t>
            </w:r>
          </w:p>
        </w:tc>
        <w:tc>
          <w:tcPr>
            <w:tcW w:w="2410" w:type="dxa"/>
            <w:tcMar>
              <w:left w:w="105" w:type="dxa"/>
              <w:right w:w="105" w:type="dxa"/>
            </w:tcMar>
          </w:tcPr>
          <w:p>
            <w:pPr>
              <w:rPr>
                <w:noProof/>
                <w:szCs w:val="24"/>
              </w:rPr>
            </w:pPr>
            <w:r>
              <w:rPr>
                <w:noProof/>
              </w:rPr>
              <w:t>Vot în cadrul Consiliului de administrație</w:t>
            </w:r>
          </w:p>
        </w:tc>
        <w:tc>
          <w:tcPr>
            <w:tcW w:w="2693" w:type="dxa"/>
            <w:tcMar>
              <w:left w:w="105" w:type="dxa"/>
              <w:right w:w="105" w:type="dxa"/>
            </w:tcMar>
          </w:tcPr>
          <w:p>
            <w:pPr>
              <w:rPr>
                <w:noProof/>
                <w:szCs w:val="24"/>
              </w:rPr>
            </w:pPr>
            <w:r>
              <w:rPr>
                <w:noProof/>
              </w:rPr>
              <w:t xml:space="preserve">Europol </w:t>
            </w:r>
            <w:r>
              <w:rPr>
                <w:noProof/>
              </w:rPr>
              <w:br/>
              <w:t xml:space="preserve">Statele membre </w:t>
            </w:r>
            <w:r>
              <w:rPr>
                <w:noProof/>
              </w:rPr>
              <w:br/>
              <w:t>Comisia</w:t>
            </w:r>
          </w:p>
        </w:tc>
        <w:tc>
          <w:tcPr>
            <w:tcW w:w="2045" w:type="dxa"/>
            <w:tcMar>
              <w:left w:w="105" w:type="dxa"/>
              <w:right w:w="105" w:type="dxa"/>
            </w:tcMar>
          </w:tcPr>
          <w:p>
            <w:pPr>
              <w:rPr>
                <w:noProof/>
                <w:szCs w:val="24"/>
              </w:rPr>
            </w:pPr>
            <w:r>
              <w:rPr>
                <w:noProof/>
              </w:rPr>
              <w:t>A0+1</w:t>
            </w:r>
          </w:p>
        </w:tc>
      </w:tr>
      <w:tr>
        <w:trPr>
          <w:trHeight w:val="285"/>
        </w:trPr>
        <w:tc>
          <w:tcPr>
            <w:tcW w:w="3075" w:type="dxa"/>
            <w:tcMar>
              <w:left w:w="105" w:type="dxa"/>
              <w:right w:w="105" w:type="dxa"/>
            </w:tcMar>
          </w:tcPr>
          <w:p>
            <w:pPr>
              <w:rPr>
                <w:noProof/>
                <w:szCs w:val="24"/>
              </w:rPr>
            </w:pPr>
            <w:r>
              <w:rPr>
                <w:noProof/>
              </w:rPr>
              <w:t>Sprijin pentru testare, implementare, integrare, asimilarea operațiunilor, inclusiv formare</w:t>
            </w:r>
          </w:p>
        </w:tc>
        <w:tc>
          <w:tcPr>
            <w:tcW w:w="2977" w:type="dxa"/>
            <w:tcMar>
              <w:left w:w="105" w:type="dxa"/>
              <w:right w:w="105" w:type="dxa"/>
            </w:tcMar>
          </w:tcPr>
          <w:p>
            <w:pPr>
              <w:tabs>
                <w:tab w:val="left" w:pos="3130"/>
              </w:tabs>
              <w:rPr>
                <w:noProof/>
                <w:szCs w:val="24"/>
              </w:rPr>
            </w:pPr>
            <w:r>
              <w:rPr>
                <w:noProof/>
              </w:rPr>
              <w:t>Articolele 25, 26</w:t>
            </w:r>
          </w:p>
          <w:p>
            <w:pPr>
              <w:tabs>
                <w:tab w:val="left" w:pos="3130"/>
              </w:tabs>
              <w:rPr>
                <w:noProof/>
                <w:szCs w:val="24"/>
              </w:rPr>
            </w:pPr>
            <w:r>
              <w:rPr>
                <w:noProof/>
              </w:rPr>
              <w:t>Articolul 65 alineatul (2) litera (b)</w:t>
            </w:r>
          </w:p>
          <w:p>
            <w:pPr>
              <w:tabs>
                <w:tab w:val="left" w:pos="3130"/>
              </w:tabs>
              <w:rPr>
                <w:noProof/>
                <w:szCs w:val="24"/>
              </w:rPr>
            </w:pPr>
            <w:r>
              <w:rPr>
                <w:noProof/>
              </w:rPr>
              <w:t>Articolul 66 alineatul (1)</w:t>
            </w:r>
          </w:p>
          <w:p>
            <w:pPr>
              <w:tabs>
                <w:tab w:val="left" w:pos="3130"/>
              </w:tabs>
              <w:rPr>
                <w:noProof/>
                <w:szCs w:val="24"/>
              </w:rPr>
            </w:pPr>
            <w:r>
              <w:rPr>
                <w:noProof/>
              </w:rPr>
              <w:t>Articolele 59, 62, 63, 64</w:t>
            </w:r>
          </w:p>
        </w:tc>
        <w:tc>
          <w:tcPr>
            <w:tcW w:w="2410" w:type="dxa"/>
            <w:tcMar>
              <w:left w:w="105" w:type="dxa"/>
              <w:right w:w="105" w:type="dxa"/>
            </w:tcMar>
          </w:tcPr>
          <w:p>
            <w:pPr>
              <w:rPr>
                <w:noProof/>
                <w:szCs w:val="24"/>
              </w:rPr>
            </w:pPr>
            <w:r>
              <w:rPr>
                <w:noProof/>
              </w:rPr>
              <w:t>Rol de supraveghere în Grupul de coordonare, Grupul consultativ GI/TIC</w:t>
            </w:r>
          </w:p>
        </w:tc>
        <w:tc>
          <w:tcPr>
            <w:tcW w:w="2693" w:type="dxa"/>
            <w:tcMar>
              <w:left w:w="105" w:type="dxa"/>
              <w:right w:w="105" w:type="dxa"/>
            </w:tcMar>
          </w:tcPr>
          <w:p>
            <w:pPr>
              <w:rPr>
                <w:noProof/>
                <w:szCs w:val="24"/>
              </w:rPr>
            </w:pPr>
            <w:r>
              <w:rPr>
                <w:noProof/>
              </w:rPr>
              <w:t xml:space="preserve">Europol </w:t>
            </w:r>
            <w:r>
              <w:rPr>
                <w:noProof/>
              </w:rPr>
              <w:br/>
              <w:t>Statele membre</w:t>
            </w:r>
          </w:p>
        </w:tc>
        <w:tc>
          <w:tcPr>
            <w:tcW w:w="2045" w:type="dxa"/>
            <w:tcMar>
              <w:left w:w="105" w:type="dxa"/>
              <w:right w:w="105" w:type="dxa"/>
            </w:tcMar>
          </w:tcPr>
          <w:p>
            <w:pPr>
              <w:rPr>
                <w:noProof/>
                <w:szCs w:val="24"/>
              </w:rPr>
            </w:pPr>
            <w:r>
              <w:rPr>
                <w:noProof/>
              </w:rPr>
              <w:t>Dependent de soluție; a se vedea § 1.5.1</w:t>
            </w:r>
          </w:p>
        </w:tc>
      </w:tr>
    </w:tbl>
    <w:p>
      <w:pPr>
        <w:rPr>
          <w:noProof/>
        </w:rPr>
      </w:pPr>
    </w:p>
    <w:sectPr>
      <w:pgSz w:w="16840" w:h="11907" w:orient="landscape"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EUAlbertina">
    <w:altName w:val="Cambri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A se vedea concluziile Consiliului European din 26-27 iunie 2025 privind lupta împotriva formelor grave de criminalitate și a criminalității organizate.</w:t>
      </w:r>
    </w:p>
  </w:footnote>
  <w:footnote w:id="2">
    <w:p>
      <w:pPr>
        <w:pStyle w:val="FootnoteText"/>
      </w:pPr>
      <w:r>
        <w:rPr>
          <w:rStyle w:val="FootnoteReference"/>
        </w:rPr>
        <w:footnoteRef/>
      </w:r>
      <w:r>
        <w:tab/>
        <w:t>A se vedea secțiunea 2.1 intitulată Coerența cu dispozițiile de politică deja existente în domeniul de politică vizat.</w:t>
      </w:r>
    </w:p>
  </w:footnote>
  <w:footnote w:id="3">
    <w:p>
      <w:pPr>
        <w:pStyle w:val="FootnoteText"/>
      </w:pPr>
      <w:r>
        <w:rPr>
          <w:rStyle w:val="FootnoteReference"/>
        </w:rPr>
        <w:footnoteRef/>
      </w:r>
      <w: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w:t>
      </w:r>
    </w:p>
  </w:footnote>
  <w:footnote w:id="4">
    <w:p>
      <w:pPr>
        <w:pStyle w:val="FootnoteText"/>
      </w:pPr>
      <w:r>
        <w:rPr>
          <w:rStyle w:val="FootnoteReference"/>
        </w:rPr>
        <w:footnoteRef/>
      </w:r>
      <w:r>
        <w:tab/>
        <w:t>Europa – în fața unei alegeri – Orientările politice pentru următoarea Comisie Europeană 2024-2029, iulie 2024.</w:t>
      </w:r>
    </w:p>
  </w:footnote>
  <w:footnote w:id="5">
    <w:p>
      <w:pPr>
        <w:pStyle w:val="FootnoteText"/>
      </w:pPr>
      <w:r>
        <w:rPr>
          <w:rStyle w:val="FootnoteReference"/>
        </w:rPr>
        <w:footnoteRef/>
      </w:r>
      <w:r>
        <w:tab/>
        <w:t xml:space="preserve">Comunicare a Comisiei către Parlamentul European, Consiliu, Comitetul Economic și Social European și Comitetul Regiunilor privind </w:t>
      </w:r>
      <w:r>
        <w:rPr>
          <w:i/>
        </w:rPr>
        <w:t>ProtectEU: o strategie europeană de securitate internă</w:t>
      </w:r>
      <w:r>
        <w:t>, COM(2025) 148 final, 1 aprilie 2025.</w:t>
      </w:r>
    </w:p>
  </w:footnote>
  <w:footnote w:id="6">
    <w:p>
      <w:pPr>
        <w:pStyle w:val="FootnoteText"/>
      </w:pPr>
      <w:r>
        <w:rPr>
          <w:rStyle w:val="FootnoteReference"/>
        </w:rPr>
        <w:footnoteRef/>
      </w:r>
      <w:r>
        <w:tab/>
        <w:t>Declarația șefilor de poliție europeni, 29 aprilie 2025.</w:t>
      </w:r>
    </w:p>
  </w:footnote>
  <w:footnote w:id="7">
    <w:p>
      <w:pPr>
        <w:pStyle w:val="FootnoteText"/>
      </w:pPr>
      <w:r>
        <w:rPr>
          <w:rStyle w:val="FootnoteReference"/>
        </w:rPr>
        <w:footnoteRef/>
      </w:r>
      <w:r>
        <w:tab/>
        <w:t>Regulamentul (UE) 2022/991 al Parlamentului European și al Consiliului din 8 iunie 2022 de modificare a Regulamentului (UE) 2016/794 în ceea ce privește cooperarea Europol cu părțile private, prelucrarea datelor cu caracter personal de către Europol în sprijinul anchetelor penale și rolul Europol în materie de cercetare și inovare, JO L 169, 27.6.2022, p. 1.</w:t>
      </w:r>
    </w:p>
  </w:footnote>
  <w:footnote w:id="8">
    <w:p>
      <w:pPr>
        <w:pStyle w:val="FootnoteText"/>
      </w:pPr>
      <w:r>
        <w:rPr>
          <w:rStyle w:val="FootnoteReference"/>
        </w:rPr>
        <w:footnoteRef/>
      </w:r>
      <w:r>
        <w:tab/>
        <w:t>Regulamentul (UE) 2018/1727 al Parlamentului European și al Consiliului din 14 noiembrie 2018 privind Agenția Uniunii Europene pentru Cooperare în Materie de Justiție Penală (Eurojust).</w:t>
      </w:r>
    </w:p>
  </w:footnote>
  <w:footnote w:id="9">
    <w:p>
      <w:pPr>
        <w:pStyle w:val="FootnoteText"/>
      </w:pPr>
      <w:r>
        <w:rPr>
          <w:rStyle w:val="FootnoteReference"/>
        </w:rPr>
        <w:footnoteRef/>
      </w:r>
      <w:r>
        <w:tab/>
        <w:t>Regulamentul (UE) 2017/1939 al Consiliului din 12 octombrie 2017 de punere în aplicare a unei forme de cooperare consolidată în ceea ce privește instituirea Parchetului European (EPPO).</w:t>
      </w:r>
    </w:p>
  </w:footnote>
  <w:footnote w:id="10">
    <w:p>
      <w:pPr>
        <w:pStyle w:val="FootnoteText"/>
      </w:pPr>
      <w:r>
        <w:rPr>
          <w:rStyle w:val="FootnoteReference"/>
        </w:rPr>
        <w:footnoteRef/>
      </w:r>
      <w:r>
        <w:tab/>
        <w:t>Regulamentul (UE) 2019/1896 al Parlamentului European și al Consiliului din 13 noiembrie 2019 privind Poliția de frontieră și garda de coastă la nivel european și de abrogare a Regulamentelor (UE) nr. 1052/2013 și (UE) 2016/1624.</w:t>
      </w:r>
    </w:p>
  </w:footnote>
  <w:footnote w:id="11">
    <w:p>
      <w:pPr>
        <w:pStyle w:val="FootnoteText"/>
      </w:pPr>
      <w:r>
        <w:rPr>
          <w:rStyle w:val="FootnoteReference"/>
        </w:rPr>
        <w:footnoteRef/>
      </w:r>
      <w:r>
        <w:tab/>
        <w:t>Regulamentul (UE, Euratom) nr. 883/2013 al Parlamentului European și al Consiliului din 11 septembrie 2013 privind investigațiile efectuate de Oficiul European de Luptă Antifraudă (OLAF).</w:t>
      </w:r>
    </w:p>
  </w:footnote>
  <w:footnote w:id="12">
    <w:p>
      <w:pPr>
        <w:pStyle w:val="FootnoteText"/>
      </w:pPr>
      <w:r>
        <w:rPr>
          <w:rStyle w:val="FootnoteReference"/>
        </w:rPr>
        <w:footnoteRef/>
      </w:r>
      <w:r>
        <w:tab/>
        <w:t>Regulamentul (UE) 2024/1620 al Parlamentului European și al Consiliului din 31 mai 2024 de instituire a Autorității pentru Combaterea Spălării Banilor și a Finanțării Terorismului (ACSB).</w:t>
      </w:r>
    </w:p>
  </w:footnote>
  <w:footnote w:id="13">
    <w:p>
      <w:pPr>
        <w:pStyle w:val="FootnoteText"/>
      </w:pPr>
      <w:r>
        <w:rPr>
          <w:rStyle w:val="FootnoteReference"/>
        </w:rPr>
        <w:footnoteRef/>
      </w:r>
      <w:r>
        <w:tab/>
        <w:t>Inclusiv evoluțiile care decurg din propunerea Comisiei de regulament al Parlamentului European și al Consiliului de înființare a Autorității vamale a Uniunii Europene și de abrogare a Regulamentului (UE) nr. 952/2013, COM(2023) 258 final, 17.5.2023.</w:t>
      </w:r>
    </w:p>
  </w:footnote>
  <w:footnote w:id="14">
    <w:p>
      <w:pPr>
        <w:pStyle w:val="FootnoteText"/>
      </w:pPr>
      <w:r>
        <w:rPr>
          <w:rStyle w:val="FootnoteReference"/>
        </w:rPr>
        <w:footnoteRef/>
      </w:r>
      <w:r>
        <w:tab/>
        <w:t>Directiva (UE) 2023/977 a Parlamentului European și a Consiliului din 10 mai 2023 privind schimbul de informații dintre autoritățile de aplicare a legii ale statelor membre și de abrogare a Deciziei-cadru 2006/960/JAI a Consiliului.</w:t>
      </w:r>
    </w:p>
  </w:footnote>
  <w:footnote w:id="15">
    <w:p>
      <w:pPr>
        <w:pStyle w:val="FootnoteText"/>
      </w:pPr>
      <w:r>
        <w:rPr>
          <w:rStyle w:val="FootnoteReference"/>
        </w:rPr>
        <w:footnoteRef/>
      </w:r>
      <w: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w:t>
      </w:r>
    </w:p>
  </w:footnote>
  <w:footnote w:id="16">
    <w:p>
      <w:pPr>
        <w:pStyle w:val="FootnoteText"/>
      </w:pPr>
      <w:r>
        <w:rPr>
          <w:rStyle w:val="FootnoteReference"/>
        </w:rPr>
        <w:footnoteRef/>
      </w:r>
      <w:r>
        <w:tab/>
        <w:t>Comunicare a Comisiei către Parlamentul European, Consiliu, Comitetul Economic și Social European și Comitetul Regiunilor, ProtectEU: Agenda privind prevenirea și combaterea terorismului, COM(2026) 101 final, 26 februarie 2026.</w:t>
      </w:r>
    </w:p>
  </w:footnote>
  <w:footnote w:id="17">
    <w:p>
      <w:pPr>
        <w:pStyle w:val="FootnoteText"/>
      </w:pPr>
      <w:r>
        <w:rPr>
          <w:rStyle w:val="FootnoteReference"/>
        </w:rPr>
        <w:footnoteRef/>
      </w:r>
      <w:r>
        <w:tab/>
        <w:t>Concluzii ale Consiliului privind consolidarea EMPACT și prioritățile UE în materie de criminalitate pentru următorul ciclu EMPACT 2026-2029, aprobate de Consiliu la 13 iunie 2025.</w:t>
      </w:r>
    </w:p>
  </w:footnote>
  <w:footnote w:id="18">
    <w:p>
      <w:pPr>
        <w:pStyle w:val="FootnoteText"/>
      </w:pPr>
      <w:r>
        <w:rPr>
          <w:rStyle w:val="FootnoteReference"/>
        </w:rPr>
        <w:footnoteRef/>
      </w:r>
      <w:r>
        <w:tab/>
        <w:t>COM(2025) 743 final, 4 decembrie 2025.</w:t>
      </w:r>
    </w:p>
  </w:footnote>
  <w:footnote w:id="19">
    <w:p>
      <w:pPr>
        <w:pStyle w:val="FootnoteText"/>
      </w:pPr>
      <w:r>
        <w:rPr>
          <w:rStyle w:val="FootnoteReference"/>
        </w:rPr>
        <w:footnoteRef/>
      </w:r>
      <w:r>
        <w:tab/>
        <w:t>COM(2025) 744 final, 4 decembrie 2025.</w:t>
      </w:r>
    </w:p>
  </w:footnote>
  <w:footnote w:id="20">
    <w:p>
      <w:pPr>
        <w:pStyle w:val="FootnoteText"/>
      </w:pPr>
      <w:r>
        <w:rPr>
          <w:rStyle w:val="FootnoteReference"/>
        </w:rPr>
        <w:footnoteRef/>
      </w:r>
      <w:r>
        <w:tab/>
        <w:t xml:space="preserve">Propunere de directivă a Parlamentului European și a Consiliului privind combaterea traficului ilicit de arme de foc și a altor infracțiuni legate de armele de foc, COM(2026) 102 final, adoptată de Comisie la 26 februarie 2026. </w:t>
      </w:r>
    </w:p>
  </w:footnote>
  <w:footnote w:id="21">
    <w:p>
      <w:pPr>
        <w:pStyle w:val="FootnoteText"/>
      </w:pPr>
      <w:r>
        <w:rPr>
          <w:rStyle w:val="FootnoteReference"/>
        </w:rPr>
        <w:footnoteRef/>
      </w:r>
      <w:r>
        <w:tab/>
        <w:t>Comunicare a Comisiei către Parlamentul European, Consiliu, Comitetul Economic și Social European și Comitetul Regiunilor, Foaie de parcurs privind accesul legal și efectiv la date pentru autoritățile de aplicare a legii, COM(2025) 349 final, 24 iunie 2025.</w:t>
      </w:r>
    </w:p>
  </w:footnote>
  <w:footnote w:id="22">
    <w:p>
      <w:pPr>
        <w:pStyle w:val="FootnoteText"/>
      </w:pPr>
      <w:r>
        <w:rPr>
          <w:rStyle w:val="FootnoteReference"/>
        </w:rPr>
        <w:footnoteRef/>
      </w:r>
      <w:r>
        <w:tab/>
        <w:t>Regulamentul (UE) 2018/1726 al Parlamentului European și al Consiliului din 14 noiembrie 2018 privind Agenția Uniunii Europene pentru Gestionarea Operațională a Sistemelor Informatice la Scară Largă în Spațiul de Libertate, Securitate și Justiție (eu-LISA) și de modificare a Regulamentului (CE) nr. 1987/2006 și a Deciziei 2007/533/JAI a Consiliului, precum și de abrogare a Regulamentului (UE) nr. 1077/2011.</w:t>
      </w:r>
    </w:p>
  </w:footnote>
  <w:footnote w:id="23">
    <w:p>
      <w:pPr>
        <w:pStyle w:val="FootnoteText"/>
      </w:pPr>
      <w:r>
        <w:rPr>
          <w:rStyle w:val="FootnoteReference"/>
        </w:rPr>
        <w:footnoteRef/>
      </w:r>
      <w:r>
        <w:tab/>
        <w:t>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w:t>
      </w:r>
    </w:p>
  </w:footnote>
  <w:footnote w:id="24">
    <w:p>
      <w:pPr>
        <w:pStyle w:val="FootnoteText"/>
      </w:pPr>
      <w:r>
        <w:rPr>
          <w:rStyle w:val="FootnoteReference"/>
        </w:rPr>
        <w:footnoteRef/>
      </w:r>
      <w:r>
        <w:tab/>
        <w:t>Comunicare a Comisiei către Parlamentul European, Consiliu, Comitetul Economic și Social European și Comitetul Regiunilor, O strategie europeană privind datele, COM(2020) 66 final, 19 februarie 2020.</w:t>
      </w:r>
    </w:p>
  </w:footnote>
  <w:footnote w:id="25">
    <w:p>
      <w:pPr>
        <w:pStyle w:val="FootnoteText"/>
      </w:pPr>
      <w:r>
        <w:rPr>
          <w:rStyle w:val="FootnoteReference"/>
        </w:rPr>
        <w:footnoteRef/>
      </w:r>
      <w:r>
        <w:tab/>
        <w:t>Decizia (UE) 2022/2481 a Parlamentului European și a Consiliului din 14 decembrie 2022 de instituire a programului de politică pentru 2030 privind deceniul digital.</w:t>
      </w:r>
    </w:p>
  </w:footnote>
  <w:footnote w:id="26">
    <w:p>
      <w:pPr>
        <w:pStyle w:val="FootnoteText"/>
      </w:pPr>
      <w:r>
        <w:rPr>
          <w:rStyle w:val="FootnoteReference"/>
        </w:rPr>
        <w:footnoteRef/>
      </w:r>
      <w:r>
        <w:tab/>
        <w:t>Comunicare a Comisiei către Parlamentul European, Consiliu, Comitetul Economic și Social și Comitetul Regiunilor, O strategie a UE privind centrele de date și serviciile cloud, COM(2024) [final].</w:t>
      </w:r>
    </w:p>
  </w:footnote>
  <w:footnote w:id="27">
    <w:p>
      <w:pPr>
        <w:pStyle w:val="FootnoteText"/>
      </w:pPr>
      <w:r>
        <w:rPr>
          <w:rStyle w:val="FootnoteReference"/>
        </w:rPr>
        <w:footnoteRef/>
      </w:r>
      <w:r>
        <w:tab/>
        <w:t>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w:t>
      </w:r>
    </w:p>
  </w:footnote>
  <w:footnote w:id="28">
    <w:p>
      <w:pPr>
        <w:pStyle w:val="FootnoteText"/>
      </w:pPr>
      <w:r>
        <w:rPr>
          <w:rStyle w:val="FootnoteReference"/>
        </w:rPr>
        <w:footnoteRef/>
      </w:r>
      <w:r>
        <w:tab/>
        <w:t>Propunere de regulament al Parlamentului European și al Consiliului de stabilire a unui cadru de măsuri pentru consolidarea ecosistemului european de cloud și IA (Actul legislativ privind dezvoltarea tehnologiilor de tip cloud și a IA); COM(2026) 502 final.</w:t>
      </w:r>
    </w:p>
  </w:footnote>
  <w:footnote w:id="29">
    <w:p>
      <w:pPr>
        <w:pStyle w:val="FootnoteText"/>
      </w:pPr>
      <w:r>
        <w:rPr>
          <w:rStyle w:val="FootnoteReference"/>
        </w:rPr>
        <w:footnoteRef/>
      </w:r>
      <w:r>
        <w:tab/>
        <w:t>Directiva (UE) 2022/2555 a Parlamentului European și a Consiliului din 14 decembrie 2022 privind măsuri pentru un nivel comun ridicat de securitate cibernetică în Uniune (Directiva NIS 2).</w:t>
      </w:r>
    </w:p>
  </w:footnote>
  <w:footnote w:id="30">
    <w:p>
      <w:pPr>
        <w:pStyle w:val="FootnoteText"/>
      </w:pPr>
      <w:r>
        <w:rPr>
          <w:rStyle w:val="FootnoteReference"/>
        </w:rPr>
        <w:footnoteRef/>
      </w:r>
      <w:r>
        <w:tab/>
        <w:t>Regulamentul (UE) 2021/695 al Parlamentului European și al Consiliului din 28 aprilie 2021 de instituire a programului-cadru pentru cercetare și inovare Orizont Europa.</w:t>
      </w:r>
    </w:p>
  </w:footnote>
  <w:footnote w:id="31">
    <w:p>
      <w:pPr>
        <w:pStyle w:val="FootnoteText"/>
      </w:pPr>
      <w:r>
        <w:rPr>
          <w:rStyle w:val="FootnoteReference"/>
        </w:rPr>
        <w:footnoteRef/>
      </w:r>
      <w:r>
        <w:tab/>
        <w:t>Comunicare a Comisiei către Parlamentul European, Consiliu, Comitetul Economic și Social European și Comitetul Regiunilor, O nouă agendă europeană de inovare, COM(2022) 332 final, 5 iulie 2022.</w:t>
      </w:r>
    </w:p>
  </w:footnote>
  <w:footnote w:id="32">
    <w:p>
      <w:pPr>
        <w:pStyle w:val="FootnoteText"/>
      </w:pPr>
      <w:r>
        <w:rPr>
          <w:rStyle w:val="FootnoteReference"/>
        </w:rPr>
        <w:footnoteRef/>
      </w:r>
      <w:r>
        <w:tab/>
        <w:t>Regulamentul (UE) 2024/1620 al Parlamentului European și al Consiliului din 31 mai 2024 de instituire a Autorității pentru Combaterea Spălării Banilor și a Finanțării Terorismului (ACSB), precum și Regulamentul (UE) 2024/1624 și Directiva (UE) 2024/1640, care fac parte din pachetul Uniunii privind combaterea spălării banilor.</w:t>
      </w:r>
    </w:p>
  </w:footnote>
  <w:footnote w:id="33">
    <w:p>
      <w:pPr>
        <w:pStyle w:val="FootnoteText"/>
      </w:pPr>
      <w:r>
        <w:rPr>
          <w:rStyle w:val="FootnoteReference"/>
        </w:rPr>
        <w:footnoteRef/>
      </w:r>
      <w:r>
        <w:tab/>
        <w:t>Directiva (UE) 2017/1371 a Parlamentului European și a Consiliului din 5 iulie 2017 privind combaterea fraudelor îndreptate împotriva intereselor financiare ale Uniunii prin mijloace de drept penal (Directiva PIF).</w:t>
      </w:r>
    </w:p>
  </w:footnote>
  <w:footnote w:id="34">
    <w:p>
      <w:pPr>
        <w:pStyle w:val="FootnoteText"/>
      </w:pPr>
      <w:r>
        <w:rPr>
          <w:rStyle w:val="FootnoteReference"/>
        </w:rPr>
        <w:footnoteRef/>
      </w:r>
      <w:r>
        <w:tab/>
        <w:t>COM(2025) 752 final.</w:t>
      </w:r>
    </w:p>
  </w:footnote>
  <w:footnote w:id="35">
    <w:p>
      <w:pPr>
        <w:pStyle w:val="FootnoteText"/>
      </w:pPr>
      <w:r>
        <w:rPr>
          <w:rStyle w:val="FootnoteReference"/>
        </w:rPr>
        <w:footnoteRef/>
      </w:r>
      <w:r>
        <w:tab/>
        <w:t>Instituite în temeiul Regulamentului (UE) 2024/1689 (Regulamentul privind inteligența artificială).</w:t>
      </w:r>
    </w:p>
  </w:footnote>
  <w:footnote w:id="36">
    <w:p>
      <w:pPr>
        <w:pStyle w:val="FootnoteText"/>
      </w:pPr>
      <w:r>
        <w:rPr>
          <w:rStyle w:val="FootnoteReference"/>
        </w:rPr>
        <w:footnoteRef/>
      </w:r>
      <w:r>
        <w:tab/>
        <w:t>Decizia 2009/371/JAI a Consiliului din 6 aprilie 2009 privind înființarea Oficiului European de Poliție (Europol) (JO L 121, 15.5.2009, p. 37, ELI: </w:t>
      </w:r>
      <w:hyperlink r:id="rId1" w:tooltip="Oferă acces la acest document prin identificatorul său uniform de resurse ELI." w:history="1">
        <w:r>
          <w:rPr>
            <w:rStyle w:val="Hyperlink"/>
          </w:rPr>
          <w:t>http://data.europa.eu/eli/dec/2009/371/oj</w:t>
        </w:r>
      </w:hyperlink>
      <w:r>
        <w:t>).</w:t>
      </w:r>
    </w:p>
  </w:footnote>
  <w:footnote w:id="37">
    <w:p>
      <w:pPr>
        <w:pStyle w:val="FootnoteText"/>
      </w:pPr>
      <w:r>
        <w:rPr>
          <w:rStyle w:val="FootnoteReference"/>
        </w:rPr>
        <w:footnoteRef/>
      </w:r>
      <w: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 ELI: </w:t>
      </w:r>
      <w:hyperlink r:id="rId2" w:tooltip="Oferă acces la acest document prin identificatorul său uniform de resurse ELI." w:history="1">
        <w:r>
          <w:rPr>
            <w:rStyle w:val="Hyperlink"/>
          </w:rPr>
          <w:t>http://data.europa.eu/eli/reg/2016/794/oj</w:t>
        </w:r>
      </w:hyperlink>
      <w:r>
        <w:t>).</w:t>
      </w:r>
    </w:p>
  </w:footnote>
  <w:footnote w:id="38">
    <w:p>
      <w:pPr>
        <w:pStyle w:val="FootnoteText"/>
      </w:pPr>
      <w:r>
        <w:rPr>
          <w:rStyle w:val="FootnoteReference"/>
        </w:rPr>
        <w:footnoteRef/>
      </w:r>
      <w:r>
        <w:tab/>
        <w:t xml:space="preserve">Directiva (UE) 2024/1385 a Parlamentului European și a Consiliului din 14 mai 2024 privind combaterea violenței împotriva femeilor și a violenței domestice (JO L, 2024/1385, 24.5.2024, ELI: </w:t>
      </w:r>
      <w:hyperlink r:id="rId3" w:tgtFrame="_blank" w:tooltip="Oferă acces la acest document prin identificatorul său uniform de resurse ELI." w:history="1">
        <w:r>
          <w:rPr>
            <w:rStyle w:val="Hyperlink"/>
          </w:rPr>
          <w:t>http://data.europa.eu/eli/dir/2024/1385/o</w:t>
        </w:r>
      </w:hyperlink>
      <w:r>
        <w:t>j).</w:t>
      </w:r>
    </w:p>
  </w:footnote>
  <w:footnote w:id="39">
    <w:p>
      <w:pPr>
        <w:pStyle w:val="FootnoteText"/>
      </w:pPr>
      <w:r>
        <w:rPr>
          <w:rStyle w:val="FootnoteReference"/>
        </w:rPr>
        <w:footnoteRef/>
      </w:r>
      <w:r>
        <w:tab/>
        <w:t>Regulamentul (UE) 2018/1727 al Parlamentului European și al Consiliului din 14 noiembrie 2018 privind Agenția Uniunii Europene pentru Cooperare în Materie de Justiție Penală (Eurojust) și de înlocuire și abrogare a Deciziei 2002/187/JAI a Consiliului (JO L 295, 21.11.2018, p. 138, ELI: </w:t>
      </w:r>
      <w:hyperlink r:id="rId4" w:tooltip="Oferă acces la acest document prin identificatorul său uniform de resurse ELI." w:history="1">
        <w:r>
          <w:rPr>
            <w:rStyle w:val="Hyperlink"/>
          </w:rPr>
          <w:t>http://data.europa.eu/eli/reg/2018/1727/oj</w:t>
        </w:r>
      </w:hyperlink>
      <w:r>
        <w:t>).</w:t>
      </w:r>
    </w:p>
  </w:footnote>
  <w:footnote w:id="40">
    <w:p>
      <w:pPr>
        <w:pStyle w:val="FootnoteText"/>
      </w:pPr>
      <w:r>
        <w:rPr>
          <w:rStyle w:val="FootnoteReference"/>
        </w:rPr>
        <w:footnoteRef/>
      </w:r>
      <w:r>
        <w:tab/>
        <w:t>Regulamentul (UE) 2017/1939 al Consiliului din 12 octombrie 2017 de punere în aplicare a unei forme de cooperare consolidată în ceea ce privește instituirea Parchetului European (EPPO) (JO L 283, 31.10.2017, p. 1, ELI: </w:t>
      </w:r>
      <w:hyperlink r:id="rId5" w:tooltip="Oferă acces la acest document prin identificatorul său uniform de resurse ELI." w:history="1">
        <w:r>
          <w:rPr>
            <w:rStyle w:val="Hyperlink"/>
          </w:rPr>
          <w:t>http://data.europa.eu/eli/reg/2017/1939/oj</w:t>
        </w:r>
      </w:hyperlink>
      <w:r>
        <w:t>).</w:t>
      </w:r>
    </w:p>
  </w:footnote>
  <w:footnote w:id="41">
    <w:p>
      <w:pPr>
        <w:pStyle w:val="FootnoteText"/>
      </w:pPr>
      <w:r>
        <w:rPr>
          <w:rStyle w:val="FootnoteReference"/>
        </w:rPr>
        <w:footnoteRef/>
      </w:r>
      <w:r>
        <w:tab/>
      </w:r>
      <w:r>
        <w:rPr>
          <w:shd w:val="clear" w:color="auto" w:fill="FFFFFF"/>
        </w:rPr>
        <w:t xml:space="preserve">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 (JO L 151, 7.6.2019, p. 15, ELI: </w:t>
      </w:r>
      <w:hyperlink r:id="rId6" w:tgtFrame="_blank" w:history="1">
        <w:r>
          <w:rPr>
            <w:rStyle w:val="Hyperlink"/>
          </w:rPr>
          <w:t>http://data.europa.eu/eli/reg/2019/881/oj</w:t>
        </w:r>
      </w:hyperlink>
      <w:r>
        <w:t>).</w:t>
      </w:r>
    </w:p>
  </w:footnote>
  <w:footnote w:id="42">
    <w:p>
      <w:pPr>
        <w:pStyle w:val="FootnoteText"/>
      </w:pPr>
      <w:r>
        <w:rPr>
          <w:rStyle w:val="FootnoteReference"/>
        </w:rPr>
        <w:footnoteRef/>
      </w:r>
      <w:r>
        <w:tab/>
      </w:r>
      <w:r>
        <w:rPr>
          <w:shd w:val="clear" w:color="auto" w:fill="FFFFFF"/>
        </w:rPr>
        <w:t xml:space="preserve">Directiva 2011/36/UE a Parlamentului European și a Consiliului din 5 aprilie 2011 privind prevenirea și combaterea traficului de persoane și protejarea victimelor acestuia, precum și de înlocuire a Deciziei-cadru 2002/629/JAI a Consiliului (JO L 101, 15.4.2011, p. 1, ELI: </w:t>
      </w:r>
      <w:hyperlink r:id="rId7" w:tgtFrame="_blank" w:history="1">
        <w:r>
          <w:rPr>
            <w:rStyle w:val="Hyperlink"/>
          </w:rPr>
          <w:t>http://data.europa.eu/eli/dir/2011/36/oj</w:t>
        </w:r>
      </w:hyperlink>
      <w:r>
        <w:t>).</w:t>
      </w:r>
    </w:p>
  </w:footnote>
  <w:footnote w:id="43">
    <w:p>
      <w:pPr>
        <w:pStyle w:val="FootnoteText"/>
      </w:pPr>
      <w:r>
        <w:rPr>
          <w:rStyle w:val="FootnoteReference"/>
        </w:rPr>
        <w:footnoteRef/>
      </w:r>
      <w:r>
        <w:tab/>
        <w:t xml:space="preserve">JO L 123, 12.5.2016, p. 1, ELI: </w:t>
      </w:r>
      <w:hyperlink r:id="rId8" w:history="1">
        <w:r>
          <w:rPr>
            <w:rStyle w:val="Hyperlink"/>
          </w:rPr>
          <w:t>http://data.europa.eu/eli/agree_interinstit/2016/512/oj</w:t>
        </w:r>
      </w:hyperlink>
      <w:r>
        <w:rPr>
          <w:rStyle w:val="Hyperlink"/>
        </w:rPr>
        <w:t>.</w:t>
      </w:r>
    </w:p>
  </w:footnote>
  <w:footnote w:id="44">
    <w:p>
      <w:pPr>
        <w:pStyle w:val="FootnoteText"/>
        <w:keepLines/>
      </w:pPr>
      <w:r>
        <w:rPr>
          <w:rStyle w:val="FootnoteReference"/>
        </w:rPr>
        <w:footnoteRef/>
      </w:r>
      <w:r>
        <w:tab/>
        <w:t xml:space="preserve">Regulamentul (UE) 2024/1356 al Parlamentului European și al Consiliului din 14 mai 2024 de introducere a screeningului resortisanților țărilor terțe la frontierele externe și de modificare a Regulamentelor (CE) nr. 767/2008, (UE) 2017/2226, (UE) 2018/1240 și (UE) 2019/817 (JO L, 2024/1356, 22.5.2024, ELI: </w:t>
      </w:r>
      <w:hyperlink r:id="rId9" w:tgtFrame="_blank" w:history="1">
        <w:r>
          <w:rPr>
            <w:rStyle w:val="Hyperlink"/>
          </w:rPr>
          <w:t>http://data.europa.eu/eli/reg/2024/1356/oj</w:t>
        </w:r>
      </w:hyperlink>
      <w:r>
        <w:rPr>
          <w:color w:val="515967"/>
          <w:shd w:val="clear" w:color="auto" w:fill="FFFFFF"/>
        </w:rPr>
        <w:t>).</w:t>
      </w:r>
    </w:p>
  </w:footnote>
  <w:footnote w:id="45">
    <w:p>
      <w:pPr>
        <w:pStyle w:val="FootnoteText"/>
      </w:pPr>
      <w:r>
        <w:rPr>
          <w:rStyle w:val="FootnoteReference"/>
        </w:rPr>
        <w:footnoteRef/>
      </w:r>
      <w:r>
        <w:tab/>
        <w:t xml:space="preserve">JO L 123, 12.5.2016, p. 1, ELI: </w:t>
      </w:r>
      <w:hyperlink r:id="rId10" w:history="1">
        <w:r>
          <w:rPr>
            <w:rStyle w:val="Hyperlink"/>
          </w:rPr>
          <w:t>http://data.europa.eu/eli/agree_interinstit/2016/512/oj</w:t>
        </w:r>
      </w:hyperlink>
      <w:r>
        <w:rPr>
          <w:rStyle w:val="Hyperlink"/>
        </w:rPr>
        <w:t>.</w:t>
      </w:r>
    </w:p>
  </w:footnote>
  <w:footnote w:id="46">
    <w:p>
      <w:pPr>
        <w:pStyle w:val="FootnoteText"/>
        <w:keepNext/>
        <w:keepLines/>
      </w:pPr>
      <w:r>
        <w:rPr>
          <w:rStyle w:val="FootnoteReference"/>
        </w:rPr>
        <w:footnoteRef/>
      </w:r>
      <w: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w:t>
      </w:r>
      <w:hyperlink r:id="rId11" w:history="1">
        <w:r>
          <w:rPr>
            <w:rStyle w:val="Hyperlink"/>
          </w:rPr>
          <w:t>JO L 295, 21.11.2018, p. 39</w:t>
        </w:r>
      </w:hyperlink>
      <w:r>
        <w:t>, ELI: </w:t>
      </w:r>
      <w:hyperlink r:id="rId12" w:tooltip="Oferă acces la acest document prin identificatorul său uniform de resurse ELI." w:history="1">
        <w:r>
          <w:rPr>
            <w:rStyle w:val="Hyperlink"/>
          </w:rPr>
          <w:t>http://data.europa.eu/eli/reg/2018/1725/oj</w:t>
        </w:r>
      </w:hyperlink>
      <w:r>
        <w:t>).</w:t>
      </w:r>
    </w:p>
  </w:footnote>
  <w:footnote w:id="47">
    <w:p>
      <w:pPr>
        <w:pStyle w:val="FootnoteText"/>
      </w:pPr>
      <w:r>
        <w:rPr>
          <w:rStyle w:val="FootnoteReference"/>
        </w:rPr>
        <w:footnoteRef/>
      </w:r>
      <w:r>
        <w:tab/>
        <w:t xml:space="preserve">Regulamentul (UE) 2021/784 al Parlamentului European și al Consiliului din 29 aprilie 2021 privind prevenirea diseminării conținutului online cu caracter terorist (JO L 172, 17.5.2021, p. 79, </w:t>
      </w:r>
      <w:hyperlink r:id="rId13" w:history="1">
        <w:r>
          <w:rPr>
            <w:rStyle w:val="Hyperlink"/>
          </w:rPr>
          <w:t>http://data.europa.eu/eli/reg/2021/784/oj</w:t>
        </w:r>
      </w:hyperlink>
      <w:r>
        <w:t>).</w:t>
      </w:r>
    </w:p>
  </w:footnote>
  <w:footnote w:id="48">
    <w:p>
      <w:pPr>
        <w:pStyle w:val="FootnoteText"/>
      </w:pPr>
      <w:r>
        <w:rPr>
          <w:rStyle w:val="FootnoteReference"/>
        </w:rPr>
        <w:footnoteRef/>
      </w:r>
      <w:r>
        <w:tab/>
      </w:r>
      <w:r>
        <w:rPr>
          <w:shd w:val="clear" w:color="auto" w:fill="FFFFFF"/>
        </w:rPr>
        <w:t xml:space="preserve">Regulamentul (UE) 2022/2065 al Parlamentului European și al Consiliului din 19 octombrie 2022 privind o piață unică pentru serviciile digitale și de modificare a Directivei 2000/31/CE (Regulamentul privind serviciile digitale) (JO L 277, 27.10.2022, p. 1, ELI: </w:t>
      </w:r>
      <w:hyperlink r:id="rId14" w:tgtFrame="_blank" w:history="1">
        <w:r>
          <w:rPr>
            <w:rStyle w:val="Hyperlink"/>
          </w:rPr>
          <w:t>http://data.europa.eu/eli/reg/2022/2065/oj</w:t>
        </w:r>
      </w:hyperlink>
      <w:r>
        <w:t>).</w:t>
      </w:r>
    </w:p>
  </w:footnote>
  <w:footnote w:id="49">
    <w:p>
      <w:pPr>
        <w:pStyle w:val="FootnoteText"/>
      </w:pPr>
      <w:r>
        <w:rPr>
          <w:rStyle w:val="FootnoteReference"/>
        </w:rPr>
        <w:footnoteRef/>
      </w:r>
      <w:r>
        <w:tab/>
      </w:r>
      <w:r>
        <w:rPr>
          <w:shd w:val="clear" w:color="auto" w:fill="FFFFFF"/>
        </w:rPr>
        <w:t xml:space="preserve">Regulamentul (UE) 2024/982 al Parlamentului European și al Consiliului din 13 martie 2024 privind căutarea și schimbul automatizat de date în scopul cooperării polițienești, și de modificare a Deciziilor 2008/615/JAI și 2008/616/JAI ale Consiliului și a Regulamentelor (UE) 2018/1726, (UE) 2019/817 și (UE) 2019/818 ale Parlamentului European și ale Consiliului (Regulamentul Prüm II) (JO L, 2024/982, 5.4.2024, ELI: </w:t>
      </w:r>
      <w:hyperlink r:id="rId15" w:tgtFrame="_blank" w:history="1">
        <w:r>
          <w:rPr>
            <w:rStyle w:val="Hyperlink"/>
          </w:rPr>
          <w:t>http://data.europa.eu/eli/reg/2024/982/oj</w:t>
        </w:r>
      </w:hyperlink>
      <w:r>
        <w:t>).</w:t>
      </w:r>
    </w:p>
  </w:footnote>
  <w:footnote w:id="50">
    <w:p>
      <w:pPr>
        <w:pStyle w:val="FootnoteText"/>
      </w:pPr>
      <w:r>
        <w:rPr>
          <w:rStyle w:val="FootnoteReference"/>
        </w:rPr>
        <w:footnoteRef/>
      </w:r>
      <w:r>
        <w:tab/>
      </w:r>
      <w:r>
        <w:rPr>
          <w:shd w:val="clear" w:color="auto" w:fill="FFFFFF"/>
        </w:rPr>
        <w:t xml:space="preserve">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p. 85, ELI: </w:t>
      </w:r>
      <w:hyperlink r:id="rId16" w:tgtFrame="_blank" w:history="1">
        <w:r>
          <w:rPr>
            <w:rStyle w:val="Hyperlink"/>
          </w:rPr>
          <w:t>http://data.europa.eu/eli/reg/2019/818/oj</w:t>
        </w:r>
      </w:hyperlink>
      <w:r>
        <w:t>).</w:t>
      </w:r>
    </w:p>
  </w:footnote>
  <w:footnote w:id="51">
    <w:p>
      <w:pPr>
        <w:pStyle w:val="FootnoteText"/>
      </w:pPr>
      <w:r>
        <w:rPr>
          <w:rStyle w:val="FootnoteReference"/>
        </w:rPr>
        <w:footnoteRef/>
      </w:r>
      <w:r>
        <w:tab/>
      </w:r>
      <w:r>
        <w:rPr>
          <w:shd w:val="clear" w:color="auto" w:fill="FFFFFF"/>
        </w:rPr>
        <w:t xml:space="preserve">Regulamentul (UE) 2022/2065 al Parlamentului European și al Consiliului din 19 octombrie 2022 privind o piață unică pentru serviciile digitale și de modificare a Directivei 2000/31/CE (Regulamentul privind serviciile digitale) (JO L 277, 27.10.2022, p. 1, ELI: </w:t>
      </w:r>
      <w:hyperlink r:id="rId17" w:tgtFrame="_blank" w:history="1">
        <w:r>
          <w:rPr>
            <w:rStyle w:val="Hyperlink"/>
          </w:rPr>
          <w:t>http://data.europa.eu/eli/reg/2022/2065/oj</w:t>
        </w:r>
      </w:hyperlink>
      <w:r>
        <w:t>).</w:t>
      </w:r>
    </w:p>
  </w:footnote>
  <w:footnote w:id="52">
    <w:p>
      <w:pPr>
        <w:pStyle w:val="FootnoteText"/>
      </w:pPr>
      <w:r>
        <w:rPr>
          <w:rStyle w:val="FootnoteReference"/>
        </w:rPr>
        <w:footnoteRef/>
      </w:r>
      <w:r>
        <w:tab/>
        <w:t>Regulamentul (UE) 2015/2219 al Parlamentului European și al Consiliului din 25 noiembrie 2015 privind Agenția Uniunii Europene pentru Formare în Materie de Aplicare a Legii (CEPOL) și de înlocuire și de abrogare a Deciziei 2005/681/JAI a Consiliului (JO L 319, 4.12.2015, p. 1, ELI: </w:t>
      </w:r>
      <w:hyperlink r:id="rId18" w:tooltip="Oferă acces la acest document prin identificatorul său uniform de resurse ELI." w:history="1">
        <w:r>
          <w:rPr>
            <w:rStyle w:val="Hyperlink"/>
          </w:rPr>
          <w:t>http://data.europa.eu/eli/reg/2015/2219/oj</w:t>
        </w:r>
      </w:hyperlink>
      <w:r>
        <w:t>).</w:t>
      </w:r>
    </w:p>
  </w:footnote>
  <w:footnote w:id="53">
    <w:p>
      <w:pPr>
        <w:pStyle w:val="FootnoteText"/>
      </w:pPr>
      <w:r>
        <w:rPr>
          <w:rStyle w:val="FootnoteReference"/>
        </w:rPr>
        <w:footnoteRef/>
      </w:r>
      <w:r>
        <w:tab/>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w:t>
      </w:r>
      <w:hyperlink r:id="rId19" w:history="1">
        <w:r>
          <w:rPr>
            <w:rStyle w:val="Hyperlink"/>
          </w:rPr>
          <w:t>JO L 122, 10.5.2019, p. 1</w:t>
        </w:r>
      </w:hyperlink>
      <w:r>
        <w:t xml:space="preserve">, ELI: </w:t>
      </w:r>
      <w:hyperlink r:id="rId20" w:history="1">
        <w:r>
          <w:rPr>
            <w:rStyle w:val="Hyperlink"/>
          </w:rPr>
          <w:t>http://data.europa.eu/eli/reg_del/2019/715/oj</w:t>
        </w:r>
      </w:hyperlink>
      <w:r>
        <w:t>).</w:t>
      </w:r>
    </w:p>
  </w:footnote>
  <w:footnote w:id="54">
    <w:p>
      <w:pPr>
        <w:pStyle w:val="FootnoteText"/>
      </w:pPr>
      <w:r>
        <w:rPr>
          <w:rStyle w:val="FootnoteReference"/>
        </w:rPr>
        <w:footnoteRef/>
      </w:r>
      <w:r>
        <w:tab/>
        <w:t>Regulamentul (UE) 2024/1620 al Parlamentului European și al Consiliului din 31 mai 2024 de instituire a Autorității pentru Combaterea Spălării Banilor și a Finanțării Terorismului și de modificare a Regulamentelor (UE) nr. 1093/2010, (UE) nr. 1094/2010 și (UE) nr. 1095/2010 (JO L, 2024/1620, 19.6.2024, ELI: </w:t>
      </w:r>
      <w:hyperlink r:id="rId21">
        <w:r>
          <w:rPr>
            <w:rStyle w:val="Hyperlink"/>
          </w:rPr>
          <w:t>http://data.europa.eu/eli/reg/2024/1620/oj</w:t>
        </w:r>
      </w:hyperlink>
      <w:r>
        <w:t>).</w:t>
      </w:r>
    </w:p>
  </w:footnote>
  <w:footnote w:id="55">
    <w:p>
      <w:pPr>
        <w:pStyle w:val="FootnoteText"/>
      </w:pPr>
      <w:r>
        <w:rPr>
          <w:rStyle w:val="FootnoteReference"/>
        </w:rPr>
        <w:footnoteRef/>
      </w:r>
      <w:r>
        <w:tab/>
        <w:t>Regulamentul (CEE, Euratom) nr. 1182/71 al Consiliului din 3 iunie 1971 privind stabilirea regulilor care se aplică termenelor, datelor și expirării termenelor (JO L 124, 8.6.1971, p. 1, ELI: </w:t>
      </w:r>
      <w:hyperlink r:id="rId22" w:tooltip="Oferă acces la acest document prin identificatorul său uniform de resurse ELI." w:history="1">
        <w:r>
          <w:rPr>
            <w:rStyle w:val="Hyperlink"/>
          </w:rPr>
          <w:t>http://data.europa.eu/eli/reg/1971/1182/oj</w:t>
        </w:r>
      </w:hyperlink>
      <w:r>
        <w:t>).</w:t>
      </w:r>
    </w:p>
  </w:footnote>
  <w:footnote w:id="56">
    <w:p>
      <w:pPr>
        <w:pStyle w:val="FootnoteText"/>
        <w:rPr>
          <w:color w:val="000000" w:themeColor="text1"/>
        </w:rPr>
      </w:pPr>
      <w:r>
        <w:rPr>
          <w:rStyle w:val="FootnoteReference"/>
        </w:rPr>
        <w:footnoteRef/>
      </w:r>
      <w:r>
        <w:tab/>
      </w:r>
      <w:r>
        <w:rPr>
          <w:color w:val="000000" w:themeColor="text1"/>
          <w:shd w:val="clear" w:color="auto" w:fill="FFFFFF"/>
        </w:rPr>
        <w:t xml:space="preserve">Regulamentul (CE) nr. 168/2007 al Consiliului din 15 februarie 2007 privind înființarea Agenției pentru Drepturi Fundamentale a Uniunii Europene (JO L 53, 22.2.2007, p. 1, ELI: </w:t>
      </w:r>
      <w:hyperlink r:id="rId23" w:tgtFrame="_blank" w:history="1">
        <w:r>
          <w:rPr>
            <w:rStyle w:val="Hyperlink"/>
          </w:rPr>
          <w:t>http://data.europa.eu/eli/reg/2007/168/oj</w:t>
        </w:r>
      </w:hyperlink>
      <w:r>
        <w:rPr>
          <w:color w:val="000000" w:themeColor="text1"/>
          <w:shd w:val="clear" w:color="auto" w:fill="FFFFFF"/>
        </w:rPr>
        <w:t>).</w:t>
      </w:r>
    </w:p>
  </w:footnote>
  <w:footnote w:id="57">
    <w:p>
      <w:pPr>
        <w:pStyle w:val="FootnoteText"/>
      </w:pPr>
      <w:r>
        <w:rPr>
          <w:rStyle w:val="FootnoteReference"/>
        </w:rPr>
        <w:footnoteRef/>
      </w:r>
      <w:r>
        <w:tab/>
        <w:t>Regulamentul (UE) 2018/1726 al Parlamentului European și al Consiliului …(JO…, ELI: ..).</w:t>
      </w:r>
    </w:p>
  </w:footnote>
  <w:footnote w:id="58">
    <w:p>
      <w:pPr>
        <w:pStyle w:val="FootnoteText"/>
      </w:pPr>
      <w:r>
        <w:rPr>
          <w:rStyle w:val="FootnoteReference"/>
        </w:rPr>
        <w:footnoteRef/>
      </w:r>
      <w:r>
        <w:tab/>
      </w:r>
      <w:r>
        <w:rPr>
          <w:shd w:val="clear" w:color="auto" w:fill="FFFFFF"/>
        </w:rPr>
        <w:t xml:space="preserve">Regulamentul (UE) 2019/1240 al Parlamentului European și al Consiliului din 20 iunie 2019 privind crearea unei rețele de ofițeri de legătură în materie de imigrație (JO L 198, 25.7.2019, p. 88, ELI: </w:t>
      </w:r>
      <w:hyperlink r:id="rId24" w:tgtFrame="_blank" w:history="1">
        <w:r>
          <w:rPr>
            <w:rStyle w:val="Hyperlink"/>
          </w:rPr>
          <w:t>http://data.europa.eu/eli/reg/2019/1240/oj</w:t>
        </w:r>
      </w:hyperlink>
      <w:r>
        <w:t>).</w:t>
      </w:r>
    </w:p>
  </w:footnote>
  <w:footnote w:id="59">
    <w:p>
      <w:pPr>
        <w:pStyle w:val="FootnoteText"/>
      </w:pPr>
      <w:r>
        <w:rPr>
          <w:rStyle w:val="FootnoteReference"/>
        </w:rPr>
        <w:footnoteRef/>
      </w:r>
      <w:r>
        <w:tab/>
        <w:t xml:space="preserve">Directiva (UE) 2023/977 a Parlamentului European și a Consiliului din 10 mai 2023 privind schimbul de informații dintre autoritățile de aplicare a legii ale statelor membre și de abrogare a Deciziei-cadru 2006/960/JAI a Consiliului (JO L 134, 22.5.2023, p. 1, ELI: </w:t>
      </w:r>
      <w:hyperlink r:id="rId25" w:tooltip="Oferă acces la acest document prin identificatorul său uniform de resurse ELI." w:history="1">
        <w:r>
          <w:rPr>
            <w:rStyle w:val="Hyperlink"/>
          </w:rPr>
          <w:t>http://data.europa.eu/eli/dir/2023/977/oj</w:t>
        </w:r>
      </w:hyperlink>
      <w:r>
        <w:t>).</w:t>
      </w:r>
    </w:p>
  </w:footnote>
  <w:footnote w:id="60">
    <w:p>
      <w:pPr>
        <w:pStyle w:val="FootnoteText"/>
      </w:pPr>
      <w:r>
        <w:rPr>
          <w:rStyle w:val="FootnoteReference"/>
        </w:rPr>
        <w:footnoteRef/>
      </w:r>
      <w:r>
        <w:tab/>
        <w:t>Decizia 2005/511/JAI a Consiliului din 12 iulie 2005 privind protecția monedei euro împotriva falsificării, prin desemnarea Europol ca fiind biroul central pentru combaterea falsificării monedei euro (JO L 185, 16.7.2005, p. 35, ELI: </w:t>
      </w:r>
      <w:hyperlink r:id="rId26" w:tooltip="Oferă acces la acest document prin identificatorul său uniform de resurse ELI." w:history="1">
        <w:r>
          <w:rPr>
            <w:rStyle w:val="Hyperlink"/>
          </w:rPr>
          <w:t>http://data.europa.eu/eli/dec/2005/511/oj</w:t>
        </w:r>
      </w:hyperlink>
      <w:r>
        <w:t>).</w:t>
      </w:r>
    </w:p>
  </w:footnote>
  <w:footnote w:id="61">
    <w:p>
      <w:pPr>
        <w:pStyle w:val="FootnoteText"/>
      </w:pPr>
      <w:r>
        <w:rPr>
          <w:rStyle w:val="FootnoteReference"/>
        </w:rPr>
        <w:footnoteRef/>
      </w:r>
      <w:r>
        <w:tab/>
        <w:t>Regulamentul (UE) 2019/452 al Parlamentului European și al Consiliului din 19 martie 2019 de stabilire a unui cadru pentru examinarea investițiilor străine directe în Uniune (JO L 79I, 21.3.2019, p. 1, ELI: </w:t>
      </w:r>
      <w:hyperlink r:id="rId27" w:tooltip="Oferă acces la acest document prin identificatorul său uniform de resurse ELI." w:history="1">
        <w:r>
          <w:rPr>
            <w:rStyle w:val="Hyperlink"/>
          </w:rPr>
          <w:t>http://data.europa.eu/eli/reg/2019/452/oj</w:t>
        </w:r>
      </w:hyperlink>
      <w:r>
        <w:t>).</w:t>
      </w:r>
    </w:p>
  </w:footnote>
  <w:footnote w:id="62">
    <w:p>
      <w:pPr>
        <w:pStyle w:val="FootnoteText"/>
      </w:pPr>
      <w:r>
        <w:rPr>
          <w:rStyle w:val="FootnoteReference"/>
        </w:rPr>
        <w:footnoteRef/>
      </w:r>
      <w:r>
        <w:tab/>
        <w:t>Regulamentul (UE) 2022/922 al Consiliului din 9 iunie 2022 privind instituirea și funcționarea unui mecanism de evaluare și monitorizare în vederea verificării aplicării acquis-ului Schengen și de abrogare a Regulamentului (UE) nr. 1053/2013 (JO L 160, 15.6.2022, p. 1, ELI: </w:t>
      </w:r>
      <w:hyperlink r:id="rId28" w:tooltip="Oferă acces la acest document prin identificatorul său uniform de resurse ELI." w:history="1">
        <w:r>
          <w:rPr>
            <w:rStyle w:val="Hyperlink"/>
          </w:rPr>
          <w:t>http://data.europa.eu/eli/reg/2022/922/oj</w:t>
        </w:r>
      </w:hyperlink>
      <w:r>
        <w:t>).</w:t>
      </w:r>
    </w:p>
  </w:footnote>
  <w:footnote w:id="63">
    <w:p>
      <w:pPr>
        <w:pStyle w:val="FootnoteText"/>
      </w:pPr>
      <w:r>
        <w:rPr>
          <w:rStyle w:val="FootnoteReference"/>
        </w:rPr>
        <w:footnoteRef/>
      </w:r>
      <w:r>
        <w:tab/>
      </w:r>
      <w:r>
        <w:rPr>
          <w:shd w:val="clear" w:color="auto" w:fill="FFFFFF"/>
        </w:rPr>
        <w:t xml:space="preserve">Directiva (UE) 2019/1153 a Parlamentului European și a Consiliului din 20 iunie 2019 de stabilire a normelor de facilitare a utilizării informațiilor financiare și de alt tip în scopul prevenirii, depistării, investigării sau urmăririi penale a anumitor infracțiuni și de abrogare a Deciziei 2000/642/JAI a Consiliului, (JO L 186, 11.7.2019, p. 122, ELI: </w:t>
      </w:r>
      <w:hyperlink r:id="rId29" w:tgtFrame="_blank" w:history="1">
        <w:r>
          <w:rPr>
            <w:rStyle w:val="Hyperlink"/>
          </w:rPr>
          <w:t>http://data.europa.eu/eli/dir/2019/1153/oj</w:t>
        </w:r>
      </w:hyperlink>
      <w:r>
        <w:t>).</w:t>
      </w:r>
    </w:p>
  </w:footnote>
  <w:footnote w:id="64">
    <w:p>
      <w:pPr>
        <w:pStyle w:val="FootnoteText"/>
      </w:pPr>
      <w:r>
        <w:rPr>
          <w:rStyle w:val="FootnoteReference"/>
        </w:rPr>
        <w:footnoteRef/>
      </w:r>
      <w:r>
        <w:tab/>
      </w:r>
      <w:r>
        <w:rPr>
          <w:shd w:val="clear" w:color="auto" w:fill="FFFFFF"/>
        </w:rPr>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 ELI</w:t>
      </w:r>
      <w:r>
        <w:rPr>
          <w:color w:val="515967"/>
          <w:shd w:val="clear" w:color="auto" w:fill="FFFFFF"/>
        </w:rPr>
        <w:t xml:space="preserve">: </w:t>
      </w:r>
      <w:hyperlink r:id="rId30" w:tgtFrame="_blank" w:history="1">
        <w:r>
          <w:rPr>
            <w:rStyle w:val="Hyperlink"/>
          </w:rPr>
          <w:t>http://data.europa.eu/eli/dir/2015/849/oj</w:t>
        </w:r>
      </w:hyperlink>
      <w:r>
        <w:t>).</w:t>
      </w:r>
    </w:p>
  </w:footnote>
  <w:footnote w:id="65">
    <w:p>
      <w:pPr>
        <w:pStyle w:val="FootnoteText"/>
      </w:pPr>
      <w:r>
        <w:rPr>
          <w:rStyle w:val="FootnoteReference"/>
        </w:rPr>
        <w:footnoteRef/>
      </w:r>
      <w:r>
        <w:tab/>
        <w:t>Decizia-cadru a Consiliului din 13 iunie 2002 privind echipele comune de anchetă (JO L 162, 20.6.2002, p. 1, ELI: </w:t>
      </w:r>
      <w:hyperlink r:id="rId31" w:tooltip="Oferă acces la acest document prin identificatorul său uniform de resurse ELI." w:history="1">
        <w:r>
          <w:rPr>
            <w:rStyle w:val="Hyperlink"/>
          </w:rPr>
          <w:t>http://data.europa.eu/eli/dec_framw/2002/465/oj</w:t>
        </w:r>
      </w:hyperlink>
      <w:r>
        <w:t>).</w:t>
      </w:r>
    </w:p>
  </w:footnote>
  <w:footnote w:id="66">
    <w:p>
      <w:pPr>
        <w:pStyle w:val="FootnoteText"/>
      </w:pPr>
      <w:r>
        <w:rPr>
          <w:rStyle w:val="FootnoteReference"/>
          <w:lang w:val="en-US"/>
        </w:rPr>
        <w:footnoteRef/>
      </w:r>
      <w:r>
        <w:tab/>
        <w:t>JO C 197, 12.7.2000, p. 3.</w:t>
      </w:r>
    </w:p>
  </w:footnote>
  <w:footnote w:id="67">
    <w:p>
      <w:pPr>
        <w:pStyle w:val="FootnoteText"/>
      </w:pPr>
      <w:r>
        <w:rPr>
          <w:rStyle w:val="FootnoteReference"/>
        </w:rPr>
        <w:footnoteRef/>
      </w:r>
      <w:r>
        <w:tab/>
        <w:t>Regulamentul (UE) 2018/1860 al Parlamentului European și al Consiliului din 28 noiembrie 2018 privind utilizarea Sistemului de informații Schengen pentru returnarea resortisanților țărilor terțe aflați în situație de ședere ilegală (JO L 312, 7.12.2018, p. 1, ELI: </w:t>
      </w:r>
      <w:hyperlink r:id="rId32">
        <w:r>
          <w:rPr>
            <w:rStyle w:val="Hyperlink"/>
          </w:rPr>
          <w:t>http://data.europa.eu/eli/reg/2018/1860/oj</w:t>
        </w:r>
      </w:hyperlink>
      <w:r>
        <w:t>).</w:t>
      </w:r>
    </w:p>
  </w:footnote>
  <w:footnote w:id="68">
    <w:p>
      <w:pPr>
        <w:pStyle w:val="FootnoteText"/>
      </w:pPr>
      <w:r>
        <w:rPr>
          <w:rStyle w:val="FootnoteReference"/>
        </w:rPr>
        <w:footnoteRef/>
      </w:r>
      <w:r>
        <w:tab/>
        <w:t>Regulamentul (UE) 2018/1861 al Parlamentului European și al Consiliului din 28 noiembrie 2018 privind instituirea, funcționarea și utilizarea Sistemului de informații Schengen (SIS) în domeniul verificărilor la frontiere, de modificare a Convenției de punere în aplicare a Acordului Schengen și de modificare și abrogare a Regulamentului (CE) nr. 1987/2006 (JO L 312, 7.12.2018, p. 14, ELI: </w:t>
      </w:r>
      <w:hyperlink r:id="rId33">
        <w:r>
          <w:rPr>
            <w:rStyle w:val="Hyperlink"/>
          </w:rPr>
          <w:t>http://data.europa.eu/eli/reg/2018/1861/oj</w:t>
        </w:r>
      </w:hyperlink>
      <w:r>
        <w:t>).</w:t>
      </w:r>
    </w:p>
  </w:footnote>
  <w:footnote w:id="69">
    <w:p>
      <w:pPr>
        <w:pStyle w:val="FootnoteText"/>
      </w:pPr>
      <w:r>
        <w:rPr>
          <w:rStyle w:val="FootnoteReference"/>
        </w:rPr>
        <w:footnoteRef/>
      </w:r>
      <w:r>
        <w:tab/>
        <w:t>Regulamentul (UE) 2018/1862 al Parlamentului European și al Consiliului din 28 noiembrie 2018 privind instituirea, funcționarea și utilizarea Sistemului de informații Schengen (SIS) în domeniul cooperării polițienești și al cooperării judiciare în materie penală, de modificare și de abrogare a Deciziei 2007/533/JAI a Consiliului și de abrogare a Regulamentului (CE) nr. 1986/2006 al Parlamentului European și al Consiliului și a Deciziei 2010/261/UE a Comisiei (JO L 312, 7.12.2018, p. 56, ELI: </w:t>
      </w:r>
      <w:hyperlink r:id="rId34">
        <w:r>
          <w:rPr>
            <w:rStyle w:val="Hyperlink"/>
          </w:rPr>
          <w:t>http://data.europa.eu/eli/reg/2018/1862/oj</w:t>
        </w:r>
      </w:hyperlink>
      <w:r>
        <w:t>).</w:t>
      </w:r>
    </w:p>
  </w:footnote>
  <w:footnote w:id="70">
    <w:p>
      <w:pPr>
        <w:pStyle w:val="FootnoteText"/>
      </w:pPr>
      <w:r>
        <w:rPr>
          <w:rStyle w:val="FootnoteReference"/>
        </w:rPr>
        <w:footnoteRef/>
      </w:r>
      <w:r>
        <w:tab/>
        <w:t>Regulamentul (CE) nr. 767/2008 al Parlamentului European și al Consiliului din 9 iulie 2008 privind Sistemul de informații privind vizele (VIS) și schimbul de date între statele membre cu privire la vizele de scurtă ședere (Regulamentul VIS) (JO L 218, 13.8.2008, p. 60, ELI: </w:t>
      </w:r>
      <w:hyperlink r:id="rId35" w:tooltip="Oferă acces la acest document prin identificatorul său uniform de resurse ELI." w:history="1">
        <w:r>
          <w:rPr>
            <w:rStyle w:val="Hyperlink"/>
          </w:rPr>
          <w:t>http://data.europa.eu/eli/reg/2008/767/oj</w:t>
        </w:r>
      </w:hyperlink>
      <w:r>
        <w:t>).</w:t>
      </w:r>
    </w:p>
  </w:footnote>
  <w:footnote w:id="71">
    <w:p>
      <w:pPr>
        <w:pStyle w:val="FootnoteText"/>
      </w:pPr>
      <w:r>
        <w:rPr>
          <w:rStyle w:val="FootnoteReference"/>
        </w:rPr>
        <w:footnoteRef/>
      </w:r>
      <w:r>
        <w:tab/>
        <w:t>Regulamentul (CE) nr. 767/2008 al Parlamentului European și al Consiliului din 9 iulie 2008 privind Sistemul de informații privind vizele (VIS) și schimbul de date între statele membre cu privire la vizele de scurtă ședere (Regulamentul VIS) (JO L 218, 13.8.2008, p. 60, ELI: </w:t>
      </w:r>
      <w:hyperlink r:id="rId36" w:tooltip="Oferă acces la acest document prin identificatorul său uniform de resurse ELI." w:history="1">
        <w:r>
          <w:rPr>
            <w:rStyle w:val="Hyperlink"/>
          </w:rPr>
          <w:t>http://data.europa.eu/eli/reg/2008/767/oj</w:t>
        </w:r>
      </w:hyperlink>
      <w:r>
        <w:t>).</w:t>
      </w:r>
    </w:p>
  </w:footnote>
  <w:footnote w:id="72">
    <w:p>
      <w:pPr>
        <w:pStyle w:val="FootnoteText"/>
      </w:pPr>
      <w:r>
        <w:rPr>
          <w:rStyle w:val="FootnoteReference"/>
        </w:rPr>
        <w:footnoteRef/>
      </w:r>
      <w: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 ELI: </w:t>
      </w:r>
      <w:hyperlink r:id="rId37" w:tooltip="Oferă acces la acest document prin identificatorul său uniform de resurse ELI." w:history="1">
        <w:r>
          <w:rPr>
            <w:rStyle w:val="Hyperlink"/>
          </w:rPr>
          <w:t>http://data.europa.eu/eli/dir/2016/680/oj</w:t>
        </w:r>
      </w:hyperlink>
      <w:r>
        <w:t>).</w:t>
      </w:r>
    </w:p>
  </w:footnote>
  <w:footnote w:id="73">
    <w:p>
      <w:pPr>
        <w:pStyle w:val="FootnoteText"/>
      </w:pPr>
      <w:r>
        <w:rPr>
          <w:rStyle w:val="FootnoteReference"/>
        </w:rPr>
        <w:footnoteRef/>
      </w:r>
      <w:r>
        <w:tab/>
        <w:t>Regulamentul (UE) nr. 910/2014 al Parlamentului European și al Consiliului din 23 iulie 2014 privind identificarea electronică și serviciile de încredere pentru tranzacțiile electronice pe piața internă și de abrogare a Directivei 1999/93/CE (JO L 257, 28.8.2014, p. 73, ELI: </w:t>
      </w:r>
      <w:hyperlink r:id="rId38" w:tooltip="Oferă acces la acest document prin identificatorul său uniform de resurse ELI." w:history="1">
        <w:r>
          <w:rPr>
            <w:rStyle w:val="Hyperlink"/>
          </w:rPr>
          <w:t>http://data.europa.eu/eli/reg/2014/910/oj</w:t>
        </w:r>
      </w:hyperlink>
      <w:r>
        <w:t>).</w:t>
      </w:r>
    </w:p>
  </w:footnote>
  <w:footnote w:id="74">
    <w:p>
      <w:pPr>
        <w:pStyle w:val="FootnoteText"/>
      </w:pPr>
      <w:r>
        <w:rPr>
          <w:rStyle w:val="FootnoteReference"/>
        </w:rPr>
        <w:footnoteRef/>
      </w:r>
      <w:r>
        <w:tab/>
        <w:t>Directiva (UE) 2024/1640 a Parlamentului European și a Consiliului din 31 mai 2024 privind mecanismele care trebuie instituite de statele membre pentru prevenirea utilizării sistemului financiar în scopul spălării banilor sau finanțării terorismului, de modificare a Directivei (UE) 2019/1937 și de modificare și abrogare a Directivei (UE) 2015/849 (JO L, 2024/1640, 19.6.2024, ELI: </w:t>
      </w:r>
      <w:hyperlink r:id="rId39" w:tgtFrame="_blank" w:tooltip="Oferă acces la acest document prin identificatorul său uniform de resurse ELI." w:history="1">
        <w:r>
          <w:rPr>
            <w:rStyle w:val="Hyperlink"/>
          </w:rPr>
          <w:t>http://data.europa.eu/eli/dir/2024/1640/oj</w:t>
        </w:r>
      </w:hyperlink>
      <w:r>
        <w:t>).</w:t>
      </w:r>
    </w:p>
  </w:footnote>
  <w:footnote w:id="75">
    <w:p>
      <w:pPr>
        <w:pStyle w:val="FootnoteText"/>
      </w:pPr>
      <w:r>
        <w:rPr>
          <w:rStyle w:val="FootnoteReference"/>
        </w:rPr>
        <w:footnoteRef/>
      </w:r>
      <w:r>
        <w:tab/>
      </w:r>
      <w:r>
        <w:rPr>
          <w:shd w:val="clear" w:color="auto" w:fill="FFFFFF"/>
        </w:rPr>
        <w:t xml:space="preserve">Regulamentul (UE) 2023/1322 al Parlamentului European și al Consiliului din 27 iunie 2023 cu privire la Agenția Uniunii Europene privind Drogurile (EUDA) și de abrogare a Regulamentului (CE) nr. 1920/2006 (JO L 166, 30.6.2023, p. 6, ELI: </w:t>
      </w:r>
      <w:hyperlink r:id="rId40" w:tgtFrame="_blank" w:history="1">
        <w:r>
          <w:rPr>
            <w:rStyle w:val="Hyperlink"/>
          </w:rPr>
          <w:t>http://data.europa.eu/eli/reg/2023/1322/oj</w:t>
        </w:r>
      </w:hyperlink>
      <w:r>
        <w:t>).</w:t>
      </w:r>
    </w:p>
  </w:footnote>
  <w:footnote w:id="76">
    <w:p>
      <w:pPr>
        <w:pStyle w:val="FootnoteText"/>
      </w:pPr>
      <w:r>
        <w:rPr>
          <w:rStyle w:val="FootnoteReference"/>
        </w:rPr>
        <w:footnoteRef/>
      </w:r>
      <w:r>
        <w:tab/>
        <w:t xml:space="preserve">Regulamentul (CE) nr. 1049/2001 al Parlamentului European și al Consiliului din 30 mai 2001 privind accesul public la documentele Parlamentului European, ale Consiliului și ale Comisiei (JO L 145, 31.5.2001, p. 43, ELI: </w:t>
      </w:r>
      <w:r>
        <w:rPr>
          <w:rStyle w:val="Hyperlink"/>
        </w:rPr>
        <w:t>http://data.europa.eu/eli/reg/2001/1049/oj</w:t>
      </w:r>
      <w:r>
        <w:t>).</w:t>
      </w:r>
    </w:p>
  </w:footnote>
  <w:footnote w:id="77">
    <w:p>
      <w:pPr>
        <w:pStyle w:val="FootnoteText"/>
      </w:pPr>
      <w:r>
        <w:rPr>
          <w:rStyle w:val="FootnoteReference"/>
        </w:rPr>
        <w:footnoteRef/>
      </w:r>
      <w:r>
        <w:tab/>
        <w:t>Regulamentul (CE) nr. 2965/94 al Consiliului din 28 noiembrie 1994 de înființare a Centrului de Traduceri pentru Organismele Uniunii Europene (JO L 314, 7.12.1994, p. 1, ELI: </w:t>
      </w:r>
      <w:hyperlink r:id="rId41" w:tooltip="Oferă acces la acest document prin identificatorul său uniform de resurse ELI." w:history="1">
        <w:r>
          <w:rPr>
            <w:rStyle w:val="Hyperlink"/>
          </w:rPr>
          <w:t>http://data.europa.eu/eli/reg/1994/2965/oj</w:t>
        </w:r>
      </w:hyperlink>
      <w:r>
        <w:t>).</w:t>
      </w:r>
    </w:p>
  </w:footnote>
  <w:footnote w:id="78">
    <w:p>
      <w:pPr>
        <w:pStyle w:val="FootnoteText"/>
        <w:keepLines/>
      </w:pPr>
      <w:r>
        <w:rPr>
          <w:rStyle w:val="FootnoteReference"/>
        </w:rPr>
        <w:footnoteRef/>
      </w:r>
      <w:r>
        <w:tab/>
      </w:r>
      <w:r>
        <w:rPr>
          <w:shd w:val="clear" w:color="auto" w:fill="FFFFFF"/>
        </w:rPr>
        <w:t xml:space="preserve">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 ELI: </w:t>
      </w:r>
      <w:hyperlink r:id="rId42" w:tgtFrame="_blank" w:history="1">
        <w:r>
          <w:rPr>
            <w:rStyle w:val="Hyperlink"/>
          </w:rPr>
          <w:t>http://data.europa.eu/eli/reg/2013/883/oj</w:t>
        </w:r>
      </w:hyperlink>
      <w:r>
        <w:rPr>
          <w:rStyle w:val="Hyperlink"/>
        </w:rPr>
        <w:t>)</w:t>
      </w:r>
      <w:r>
        <w:t>.</w:t>
      </w:r>
    </w:p>
  </w:footnote>
  <w:footnote w:id="79">
    <w:p>
      <w:pPr>
        <w:pStyle w:val="FootnoteText"/>
      </w:pPr>
      <w:r>
        <w:rPr>
          <w:rStyle w:val="FootnoteReference"/>
        </w:rPr>
        <w:footnoteRef/>
      </w:r>
      <w:r>
        <w:tab/>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 ELI: </w:t>
      </w:r>
      <w:hyperlink r:id="rId43" w:tooltip="Oferă acces la acest document prin identificatorul său uniform de resurse ELI." w:history="1">
        <w:r>
          <w:rPr>
            <w:rStyle w:val="Hyperlink"/>
          </w:rPr>
          <w:t>http://data.europa.eu/eli/reg/1996/2185/oj</w:t>
        </w:r>
      </w:hyperlink>
      <w:r>
        <w:t>).</w:t>
      </w:r>
    </w:p>
  </w:footnote>
  <w:footnote w:id="80">
    <w:p>
      <w:pPr>
        <w:pStyle w:val="FootnoteText"/>
      </w:pPr>
      <w:r>
        <w:rPr>
          <w:rStyle w:val="FootnoteReference"/>
        </w:rPr>
        <w:footnoteRef/>
      </w:r>
      <w:r>
        <w:tab/>
      </w:r>
      <w:r>
        <w:rPr>
          <w:shd w:val="clear" w:color="auto" w:fill="FFFFFF"/>
        </w:rPr>
        <w:t xml:space="preserve">Directiva (UE) 2017/1371 a Parlamentului European și a Consiliului din 5 iulie 2017 privind combaterea fraudelor îndreptate împotriva intereselor financiare ale Uniunii prin mijloace de drept penal (JO L 198, 28.7.2017, p. 29, ELI: </w:t>
      </w:r>
      <w:hyperlink r:id="rId44" w:tgtFrame="_blank" w:history="1">
        <w:r>
          <w:rPr>
            <w:rStyle w:val="Hyperlink"/>
          </w:rPr>
          <w:t>http://data.europa.eu/eli/dir/2017/1371/oj</w:t>
        </w:r>
      </w:hyperlink>
      <w:r>
        <w:t>).</w:t>
      </w:r>
    </w:p>
  </w:footnote>
  <w:footnote w:id="81">
    <w:p>
      <w:pPr>
        <w:pStyle w:val="FootnoteText"/>
      </w:pPr>
      <w:r>
        <w:rPr>
          <w:rStyle w:val="FootnoteReference"/>
        </w:rPr>
        <w:footnoteRef/>
      </w:r>
      <w:r>
        <w:tab/>
        <w:t>Decizia (UE, Euratom) 2015/443 a Comisiei din 13 martie 2015 privind securitatea în cadrul Comisiei (JO L 72, 17.3.2015, p. 41, ELI: </w:t>
      </w:r>
      <w:hyperlink r:id="rId45" w:tooltip="Oferă acces la acest document prin identificatorul său uniform de resurse ELI." w:history="1">
        <w:r>
          <w:rPr>
            <w:rStyle w:val="Hyperlink"/>
          </w:rPr>
          <w:t>http://data.europa.eu/eli/dec/2015/443/oj</w:t>
        </w:r>
      </w:hyperlink>
      <w:r>
        <w:t>).</w:t>
      </w:r>
    </w:p>
  </w:footnote>
  <w:footnote w:id="82">
    <w:p>
      <w:pPr>
        <w:pStyle w:val="FootnoteText"/>
      </w:pPr>
      <w:r>
        <w:rPr>
          <w:rStyle w:val="FootnoteReference"/>
        </w:rPr>
        <w:footnoteRef/>
      </w:r>
      <w:r>
        <w:tab/>
        <w:t>Decizia (UE, Euratom) 2015/444 a Comisiei din 13 martie 2015 privind normele de securitate pentru protecția informațiilor UE clasificate (JO L 72, 17.3.2015, p. 53, ELI: </w:t>
      </w:r>
      <w:hyperlink r:id="rId46" w:tooltip="Oferă acces la acest document prin identificatorul său uniform de resurse ELI." w:history="1">
        <w:r>
          <w:rPr>
            <w:rStyle w:val="Hyperlink"/>
          </w:rPr>
          <w:t>http://data.europa.eu/eli/dec/2015/444/oj</w:t>
        </w:r>
      </w:hyperlink>
      <w:r>
        <w:t>).</w:t>
      </w:r>
    </w:p>
  </w:footnote>
  <w:footnote w:id="83">
    <w:p>
      <w:pPr>
        <w:pStyle w:val="FootnoteText"/>
      </w:pPr>
      <w:r>
        <w:rPr>
          <w:rStyle w:val="FootnoteReference"/>
        </w:rPr>
        <w:footnoteRef/>
      </w:r>
      <w:r>
        <w:tab/>
        <w:t>Decizia 2015/444 (UE, Euratom) a Comisiei din 13 martie 2015 privind normele de securitate pentru protecția informațiilor UE clasificate (JO L 72, 17.3.2015, p. 53).</w:t>
      </w:r>
    </w:p>
  </w:footnote>
  <w:footnote w:id="84">
    <w:p>
      <w:pPr>
        <w:pStyle w:val="FootnoteText"/>
      </w:pPr>
      <w:r>
        <w:rPr>
          <w:rStyle w:val="FootnoteReference"/>
        </w:rPr>
        <w:footnoteRef/>
      </w:r>
      <w:r>
        <w:tab/>
        <w:t>Conform evaluării Comisiei, între 10 % și 15 % din anchetele penale justifică utilizarea instrumentelor de IA.</w:t>
      </w:r>
    </w:p>
  </w:footnote>
  <w:footnote w:id="85">
    <w:p>
      <w:pPr>
        <w:pStyle w:val="FootnoteText"/>
      </w:pPr>
      <w:r>
        <w:rPr>
          <w:rStyle w:val="FootnoteReference"/>
        </w:rPr>
        <w:footnoteRef/>
      </w:r>
      <w:r>
        <w:tab/>
        <w:t>Infracțiuni, suspecți și infractori, astfel cum sunt definiți la https://ec.europa.eu/eurostat/cache/metadata/en/crim_sims.htm.</w:t>
      </w:r>
    </w:p>
  </w:footnote>
  <w:footnote w:id="86">
    <w:p>
      <w:pPr>
        <w:pStyle w:val="FootnoteText"/>
      </w:pPr>
      <w:r>
        <w:rPr>
          <w:rStyle w:val="FootnoteReference"/>
        </w:rPr>
        <w:footnoteRef/>
      </w:r>
      <w:r>
        <w:tab/>
        <w:t>Astfel cum se menționează la articolul 58 alineatul (2) litera (a) sau (b) din Regulamentul financiar.</w:t>
      </w:r>
    </w:p>
  </w:footnote>
  <w:footnote w:id="87">
    <w:p>
      <w:pPr>
        <w:pStyle w:val="FootnoteText"/>
      </w:pPr>
      <w:r>
        <w:rPr>
          <w:rStyle w:val="FootnoteReference"/>
        </w:rPr>
        <w:footnoteRef/>
      </w:r>
      <w:r>
        <w:tab/>
        <w:t>COM(2025) 570 final; https://eur-lex.europa.eu/legal-content/RO/TXT/?uri=CELEX:52025DC0570.</w:t>
      </w:r>
    </w:p>
  </w:footnote>
  <w:footnote w:id="88">
    <w:p>
      <w:pPr>
        <w:pStyle w:val="FootnoteText"/>
      </w:pPr>
      <w:r>
        <w:rPr>
          <w:rStyle w:val="FootnoteReference"/>
        </w:rPr>
        <w:footnoteRef/>
      </w:r>
      <w:r>
        <w:tab/>
        <w:t xml:space="preserve">Regulamentul (UE) 2016/794 al Parlamentului European și al Consiliului din 11 mai 2016 privind Agenția Uniunii Europene pentru Cooperare în Materie de Aplicare a Legii (Europol) </w:t>
      </w:r>
      <w:hyperlink r:id="rId47" w:history="1">
        <w:r>
          <w:rPr>
            <w:rStyle w:val="Hyperlink"/>
          </w:rPr>
          <w:t>http://data.europa.eu/eli/reg/2016/794/2026-01-11</w:t>
        </w:r>
      </w:hyperlink>
      <w:r>
        <w:t xml:space="preserve">. </w:t>
      </w:r>
    </w:p>
  </w:footnote>
  <w:footnote w:id="89">
    <w:p>
      <w:pPr>
        <w:pStyle w:val="FootnoteText"/>
      </w:pPr>
      <w:r>
        <w:rPr>
          <w:rStyle w:val="FootnoteReference"/>
        </w:rPr>
        <w:footnoteRef/>
      </w:r>
      <w:r>
        <w:tab/>
        <w:t>În principiu, se preconizează că funcțiile de guvernanță ale Europol vor rămâne, în linii mari, stabile în ceea ce privește personalul. Se preconizează că propunerea va genera câștiguri în materie de eficiență, în special prin simplificarea și raționalizarea procedurilor legate de protecția datelor, limitând astfel nevoile suplimentare de personal pentru funcțiile de guvernanță orizontală și administrative.</w:t>
      </w:r>
    </w:p>
  </w:footnote>
  <w:footnote w:id="90">
    <w:p>
      <w:pPr>
        <w:pStyle w:val="FootnoteText"/>
      </w:pPr>
      <w:r>
        <w:rPr>
          <w:rStyle w:val="FootnoteReference"/>
        </w:rPr>
        <w:footnoteRef/>
      </w:r>
      <w:r>
        <w:tab/>
        <w:t>Regulamentul financiar aplicabil bugetului general al Uniunii.</w:t>
      </w:r>
    </w:p>
  </w:footnote>
  <w:footnote w:id="91">
    <w:p>
      <w:pPr>
        <w:pStyle w:val="FootnoteText"/>
      </w:pPr>
      <w:r>
        <w:rPr>
          <w:rStyle w:val="FootnoteReference"/>
        </w:rPr>
        <w:footnoteRef/>
      </w:r>
      <w:r>
        <w:tab/>
        <w:t>Declarație comună privind agențiile descentralizate.</w:t>
      </w:r>
    </w:p>
  </w:footnote>
  <w:footnote w:id="92">
    <w:p>
      <w:pPr>
        <w:pStyle w:val="FootnoteText"/>
        <w:rPr>
          <w:szCs w:val="24"/>
        </w:rPr>
      </w:pPr>
      <w:r>
        <w:rPr>
          <w:rStyle w:val="FootnoteReference"/>
        </w:rPr>
        <w:footnoteRef/>
      </w:r>
      <w:r>
        <w:tab/>
        <w:t>Dif. = credite diferențiate / Nedif. = credite nediferențiate.</w:t>
      </w:r>
    </w:p>
  </w:footnote>
  <w:footnote w:id="93">
    <w:p>
      <w:pPr>
        <w:pStyle w:val="FootnoteText"/>
        <w:rPr>
          <w:szCs w:val="24"/>
        </w:rPr>
      </w:pPr>
      <w:r>
        <w:rPr>
          <w:rStyle w:val="FootnoteReference"/>
        </w:rPr>
        <w:footnoteRef/>
      </w:r>
      <w:r>
        <w:tab/>
        <w:t xml:space="preserve">AELS: Asociația Europeană a Liberului Schimb. </w:t>
      </w:r>
    </w:p>
  </w:footnote>
  <w:footnote w:id="94">
    <w:p>
      <w:pPr>
        <w:pStyle w:val="FootnoteText"/>
        <w:rPr>
          <w:szCs w:val="24"/>
        </w:rPr>
      </w:pPr>
      <w:r>
        <w:rPr>
          <w:rStyle w:val="FootnoteReference"/>
        </w:rPr>
        <w:footnoteRef/>
      </w:r>
      <w:r>
        <w:tab/>
        <w:t>Țările candidate și, după caz, potențial candidate din Balcanii de Vest.</w:t>
      </w:r>
    </w:p>
  </w:footnote>
  <w:footnote w:id="95">
    <w:p>
      <w:pPr>
        <w:pStyle w:val="FootnoteText"/>
      </w:pPr>
      <w:r>
        <w:rPr>
          <w:rStyle w:val="FootnoteReference"/>
        </w:rPr>
        <w:footnoteRef/>
      </w:r>
      <w:r>
        <w:tab/>
        <w:t>Angajamentele și plățile sunt identice.</w:t>
      </w:r>
    </w:p>
  </w:footnote>
  <w:footnote w:id="96">
    <w:p>
      <w:pPr>
        <w:pStyle w:val="FootnoteText"/>
      </w:pPr>
      <w:r>
        <w:rPr>
          <w:rStyle w:val="FootnoteReference"/>
        </w:rPr>
        <w:footnoteRef/>
      </w:r>
      <w:r>
        <w:tab/>
        <w:t>Angajamentele și plățile sunt identice.</w:t>
      </w:r>
    </w:p>
  </w:footnote>
  <w:footnote w:id="97">
    <w:p>
      <w:pPr>
        <w:pStyle w:val="FootnoteText"/>
      </w:pPr>
      <w:r>
        <w:rPr>
          <w:rStyle w:val="FootnoteReference"/>
        </w:rPr>
        <w:footnoteRef/>
      </w:r>
      <w:r>
        <w:tab/>
        <w:t xml:space="preserve">A se vedea nota de subsol </w:t>
      </w:r>
      <w:r>
        <w:fldChar w:fldCharType="begin"/>
      </w:r>
      <w:r>
        <w:instrText xml:space="preserve"> NOTEREF _Ref232089180 \h </w:instrText>
      </w:r>
      <w:r>
        <w:fldChar w:fldCharType="separate"/>
      </w:r>
      <w:r>
        <w:rPr>
          <w:b/>
        </w:rPr>
        <w:t>Error! Bookmark not defined.</w:t>
      </w:r>
      <w:r>
        <w:fldChar w:fldCharType="end"/>
      </w:r>
      <w:r>
        <w:t>.</w:t>
      </w:r>
    </w:p>
  </w:footnote>
  <w:footnote w:id="98">
    <w:p>
      <w:pPr>
        <w:pStyle w:val="FootnoteText"/>
      </w:pPr>
      <w:r>
        <w:rPr>
          <w:rStyle w:val="FootnoteReference"/>
        </w:rPr>
        <w:footnoteRef/>
      </w:r>
      <w:r>
        <w:tab/>
        <w:t xml:space="preserve">A se vedea nota de subsol </w:t>
      </w:r>
      <w:r>
        <w:fldChar w:fldCharType="begin"/>
      </w:r>
      <w:r>
        <w:instrText xml:space="preserve"> NOTEREF _Ref232089180 \h </w:instrText>
      </w:r>
      <w:r>
        <w:fldChar w:fldCharType="separate"/>
      </w:r>
      <w:r>
        <w:rPr>
          <w:b/>
        </w:rPr>
        <w:t>Error! Bookmark not defined.</w:t>
      </w:r>
      <w:r>
        <w:fldChar w:fldCharType="end"/>
      </w:r>
      <w:r>
        <w:t>.</w:t>
      </w:r>
    </w:p>
  </w:footnote>
  <w:footnote w:id="99">
    <w:p>
      <w:pPr>
        <w:pStyle w:val="FootnoteText"/>
      </w:pPr>
      <w:r>
        <w:rPr>
          <w:rStyle w:val="FootnoteReference"/>
        </w:rPr>
        <w:footnoteRef/>
      </w:r>
      <w:r>
        <w:tab/>
        <w:t xml:space="preserve">A se vedea nota de subsol </w:t>
      </w:r>
      <w:r>
        <w:fldChar w:fldCharType="begin"/>
      </w:r>
      <w:r>
        <w:instrText xml:space="preserve"> NOTEREF _Ref232089180 \h </w:instrText>
      </w:r>
      <w:r>
        <w:fldChar w:fldCharType="separate"/>
      </w:r>
      <w:r>
        <w:rPr>
          <w:b/>
        </w:rPr>
        <w:t>Error! Bookmark not defined.</w:t>
      </w:r>
      <w:r>
        <w:fldChar w:fldCharType="end"/>
      </w:r>
      <w:r>
        <w:t>.</w:t>
      </w:r>
    </w:p>
  </w:footnote>
  <w:footnote w:id="100">
    <w:p>
      <w:pPr>
        <w:pStyle w:val="FootnoteText"/>
      </w:pPr>
      <w:r>
        <w:rPr>
          <w:rStyle w:val="FootnoteReference"/>
        </w:rPr>
        <w:footnoteRef/>
      </w:r>
      <w:r>
        <w:tab/>
        <w:t xml:space="preserve">A se vedea nota de subsol </w:t>
      </w:r>
      <w:r>
        <w:fldChar w:fldCharType="begin"/>
      </w:r>
      <w:r>
        <w:instrText xml:space="preserve"> NOTEREF _Ref232089180 \h </w:instrText>
      </w:r>
      <w:r>
        <w:fldChar w:fldCharType="separate"/>
      </w:r>
      <w:r>
        <w:rPr>
          <w:b/>
        </w:rPr>
        <w:t>Error! Bookmark not defined.</w:t>
      </w:r>
      <w:r>
        <w:fldChar w:fldCharType="end"/>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47377CA"/>
    <w:multiLevelType w:val="hybridMultilevel"/>
    <w:tmpl w:val="FA18163E"/>
    <w:lvl w:ilvl="0" w:tplc="D1C2B4D2">
      <w:start w:val="1"/>
      <w:numFmt w:val="lowerLetter"/>
      <w:lvlText w:val="%1)"/>
      <w:lvlJc w:val="left"/>
      <w:pPr>
        <w:ind w:left="1080" w:hanging="720"/>
      </w:pPr>
      <w:rPr>
        <w:rFonts w:ascii="Times New Roman" w:hAnsi="Times New Roman" w:hint="default"/>
      </w:rPr>
    </w:lvl>
    <w:lvl w:ilvl="1" w:tplc="5A108E56">
      <w:start w:val="1"/>
      <w:numFmt w:val="lowerLetter"/>
      <w:lvlText w:val="%2."/>
      <w:lvlJc w:val="left"/>
      <w:pPr>
        <w:ind w:left="1440" w:hanging="360"/>
      </w:pPr>
    </w:lvl>
    <w:lvl w:ilvl="2" w:tplc="063A600A">
      <w:start w:val="1"/>
      <w:numFmt w:val="lowerRoman"/>
      <w:lvlText w:val="%3."/>
      <w:lvlJc w:val="right"/>
      <w:pPr>
        <w:ind w:left="2160" w:hanging="180"/>
      </w:pPr>
    </w:lvl>
    <w:lvl w:ilvl="3" w:tplc="ECC83C94">
      <w:start w:val="1"/>
      <w:numFmt w:val="decimal"/>
      <w:lvlText w:val="%4."/>
      <w:lvlJc w:val="left"/>
      <w:pPr>
        <w:ind w:left="2880" w:hanging="360"/>
      </w:pPr>
    </w:lvl>
    <w:lvl w:ilvl="4" w:tplc="5BC4063E">
      <w:start w:val="1"/>
      <w:numFmt w:val="lowerLetter"/>
      <w:lvlText w:val="%5."/>
      <w:lvlJc w:val="left"/>
      <w:pPr>
        <w:ind w:left="3600" w:hanging="360"/>
      </w:pPr>
    </w:lvl>
    <w:lvl w:ilvl="5" w:tplc="D832B0A0">
      <w:start w:val="1"/>
      <w:numFmt w:val="lowerRoman"/>
      <w:lvlText w:val="%6."/>
      <w:lvlJc w:val="right"/>
      <w:pPr>
        <w:ind w:left="4320" w:hanging="180"/>
      </w:pPr>
    </w:lvl>
    <w:lvl w:ilvl="6" w:tplc="62864682">
      <w:start w:val="1"/>
      <w:numFmt w:val="decimal"/>
      <w:lvlText w:val="%7."/>
      <w:lvlJc w:val="left"/>
      <w:pPr>
        <w:ind w:left="5040" w:hanging="360"/>
      </w:pPr>
    </w:lvl>
    <w:lvl w:ilvl="7" w:tplc="751A02CC">
      <w:start w:val="1"/>
      <w:numFmt w:val="lowerLetter"/>
      <w:lvlText w:val="%8."/>
      <w:lvlJc w:val="left"/>
      <w:pPr>
        <w:ind w:left="5760" w:hanging="360"/>
      </w:pPr>
    </w:lvl>
    <w:lvl w:ilvl="8" w:tplc="C430F5D2">
      <w:start w:val="1"/>
      <w:numFmt w:val="lowerRoman"/>
      <w:lvlText w:val="%9."/>
      <w:lvlJc w:val="right"/>
      <w:pPr>
        <w:ind w:left="6480" w:hanging="180"/>
      </w:pPr>
    </w:lvl>
  </w:abstractNum>
  <w:abstractNum w:abstractNumId="7" w15:restartNumberingAfterBreak="0">
    <w:nsid w:val="26B5C666"/>
    <w:multiLevelType w:val="hybridMultilevel"/>
    <w:tmpl w:val="2DD498C8"/>
    <w:lvl w:ilvl="0" w:tplc="D2F832CE">
      <w:start w:val="4"/>
      <w:numFmt w:val="bullet"/>
      <w:lvlText w:val="-"/>
      <w:lvlJc w:val="left"/>
      <w:pPr>
        <w:ind w:left="360" w:hanging="360"/>
      </w:pPr>
      <w:rPr>
        <w:rFonts w:ascii="Calibri" w:hAnsi="Calibri" w:hint="default"/>
      </w:rPr>
    </w:lvl>
    <w:lvl w:ilvl="1" w:tplc="5450DDBC">
      <w:start w:val="1"/>
      <w:numFmt w:val="bullet"/>
      <w:lvlText w:val="o"/>
      <w:lvlJc w:val="left"/>
      <w:pPr>
        <w:ind w:left="1440" w:hanging="360"/>
      </w:pPr>
      <w:rPr>
        <w:rFonts w:ascii="Courier New" w:hAnsi="Courier New" w:hint="default"/>
      </w:rPr>
    </w:lvl>
    <w:lvl w:ilvl="2" w:tplc="2BAA6AC0">
      <w:start w:val="1"/>
      <w:numFmt w:val="bullet"/>
      <w:lvlText w:val=""/>
      <w:lvlJc w:val="left"/>
      <w:pPr>
        <w:ind w:left="2160" w:hanging="360"/>
      </w:pPr>
      <w:rPr>
        <w:rFonts w:ascii="Wingdings" w:hAnsi="Wingdings" w:hint="default"/>
      </w:rPr>
    </w:lvl>
    <w:lvl w:ilvl="3" w:tplc="AB76666E">
      <w:start w:val="1"/>
      <w:numFmt w:val="bullet"/>
      <w:lvlText w:val=""/>
      <w:lvlJc w:val="left"/>
      <w:pPr>
        <w:ind w:left="2880" w:hanging="360"/>
      </w:pPr>
      <w:rPr>
        <w:rFonts w:ascii="Symbol" w:hAnsi="Symbol" w:hint="default"/>
      </w:rPr>
    </w:lvl>
    <w:lvl w:ilvl="4" w:tplc="193A06C4">
      <w:start w:val="1"/>
      <w:numFmt w:val="bullet"/>
      <w:lvlText w:val="o"/>
      <w:lvlJc w:val="left"/>
      <w:pPr>
        <w:ind w:left="3600" w:hanging="360"/>
      </w:pPr>
      <w:rPr>
        <w:rFonts w:ascii="Courier New" w:hAnsi="Courier New" w:hint="default"/>
      </w:rPr>
    </w:lvl>
    <w:lvl w:ilvl="5" w:tplc="E6F85698">
      <w:start w:val="1"/>
      <w:numFmt w:val="bullet"/>
      <w:lvlText w:val=""/>
      <w:lvlJc w:val="left"/>
      <w:pPr>
        <w:ind w:left="4320" w:hanging="360"/>
      </w:pPr>
      <w:rPr>
        <w:rFonts w:ascii="Wingdings" w:hAnsi="Wingdings" w:hint="default"/>
      </w:rPr>
    </w:lvl>
    <w:lvl w:ilvl="6" w:tplc="729C322C">
      <w:start w:val="1"/>
      <w:numFmt w:val="bullet"/>
      <w:lvlText w:val=""/>
      <w:lvlJc w:val="left"/>
      <w:pPr>
        <w:ind w:left="5040" w:hanging="360"/>
      </w:pPr>
      <w:rPr>
        <w:rFonts w:ascii="Symbol" w:hAnsi="Symbol" w:hint="default"/>
      </w:rPr>
    </w:lvl>
    <w:lvl w:ilvl="7" w:tplc="3BCEA9FE">
      <w:start w:val="1"/>
      <w:numFmt w:val="bullet"/>
      <w:lvlText w:val="o"/>
      <w:lvlJc w:val="left"/>
      <w:pPr>
        <w:ind w:left="5760" w:hanging="360"/>
      </w:pPr>
      <w:rPr>
        <w:rFonts w:ascii="Courier New" w:hAnsi="Courier New" w:hint="default"/>
      </w:rPr>
    </w:lvl>
    <w:lvl w:ilvl="8" w:tplc="EAFEBA2E">
      <w:start w:val="1"/>
      <w:numFmt w:val="bullet"/>
      <w:lvlText w:val=""/>
      <w:lvlJc w:val="left"/>
      <w:pPr>
        <w:ind w:left="6480" w:hanging="360"/>
      </w:pPr>
      <w:rPr>
        <w:rFonts w:ascii="Wingdings" w:hAnsi="Wingdings" w:hint="default"/>
      </w:rPr>
    </w:lvl>
  </w:abstractNum>
  <w:abstractNum w:abstractNumId="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2"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CC62DFB"/>
    <w:multiLevelType w:val="multilevel"/>
    <w:tmpl w:val="C8DA0E76"/>
    <w:name w:val="NumPar9"/>
    <w:lvl w:ilvl="0">
      <w:start w:val="1"/>
      <w:numFmt w:val="decimal"/>
      <w:lvlRestart w:val="0"/>
      <w:pStyle w:val="Numb"/>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1417"/>
        </w:tabs>
        <w:ind w:left="1417" w:hanging="1417"/>
      </w:pPr>
      <w:rPr>
        <w:rFonts w:hint="default"/>
      </w:rPr>
    </w:lvl>
    <w:lvl w:ilvl="5">
      <w:start w:val="1"/>
      <w:numFmt w:val="decimal"/>
      <w:lvlText w:val="%1.%2.%3.%4.%5.%6."/>
      <w:lvlJc w:val="left"/>
      <w:pPr>
        <w:tabs>
          <w:tab w:val="num" w:pos="1417"/>
        </w:tabs>
        <w:ind w:left="1417" w:hanging="1417"/>
      </w:pPr>
      <w:rPr>
        <w:rFonts w:hint="default"/>
      </w:rPr>
    </w:lvl>
    <w:lvl w:ilvl="6">
      <w:start w:val="1"/>
      <w:numFmt w:val="decimal"/>
      <w:lvlText w:val="%1.%2.%3.%4.%5.%6.%7."/>
      <w:lvlJc w:val="left"/>
      <w:pPr>
        <w:tabs>
          <w:tab w:val="num" w:pos="1417"/>
        </w:tabs>
        <w:ind w:left="1417" w:hanging="141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0D413A7"/>
    <w:multiLevelType w:val="hybridMultilevel"/>
    <w:tmpl w:val="EDC644FE"/>
    <w:lvl w:ilvl="0" w:tplc="943C47C0">
      <w:start w:val="1"/>
      <w:numFmt w:val="bullet"/>
      <w:lvlText w:val="-"/>
      <w:lvlJc w:val="left"/>
      <w:pPr>
        <w:ind w:left="360" w:hanging="360"/>
      </w:pPr>
      <w:rPr>
        <w:rFonts w:ascii="Times New Roman" w:eastAsiaTheme="minorHAnsi" w:hAnsi="Times New Roman"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5" w15:restartNumberingAfterBreak="0">
    <w:nsid w:val="77E97453"/>
    <w:multiLevelType w:val="multilevel"/>
    <w:tmpl w:val="B1602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C066A2"/>
    <w:multiLevelType w:val="hybridMultilevel"/>
    <w:tmpl w:val="8902A890"/>
    <w:lvl w:ilvl="0" w:tplc="396EC3C2">
      <w:start w:val="1"/>
      <w:numFmt w:val="bullet"/>
      <w:lvlText w:val="-"/>
      <w:lvlJc w:val="left"/>
      <w:pPr>
        <w:ind w:left="360" w:hanging="360"/>
      </w:pPr>
      <w:rPr>
        <w:rFonts w:ascii="Times New Roman" w:eastAsiaTheme="minorHAnsi" w:hAnsi="Times New Roman"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5"/>
  </w:num>
  <w:num w:numId="3">
    <w:abstractNumId w:val="11"/>
  </w:num>
  <w:num w:numId="4">
    <w:abstractNumId w:val="21"/>
  </w:num>
  <w:num w:numId="5">
    <w:abstractNumId w:val="20"/>
  </w:num>
  <w:num w:numId="6">
    <w:abstractNumId w:val="32"/>
  </w:num>
  <w:num w:numId="7">
    <w:abstractNumId w:val="29"/>
  </w:num>
  <w:num w:numId="8">
    <w:abstractNumId w:val="33"/>
  </w:num>
  <w:num w:numId="9">
    <w:abstractNumId w:val="34"/>
  </w:num>
  <w:num w:numId="10">
    <w:abstractNumId w:val="2"/>
  </w:num>
  <w:num w:numId="11">
    <w:abstractNumId w:val="13"/>
  </w:num>
  <w:num w:numId="12">
    <w:abstractNumId w:val="3"/>
  </w:num>
  <w:num w:numId="13">
    <w:abstractNumId w:val="14"/>
  </w:num>
  <w:num w:numId="14">
    <w:abstractNumId w:val="12"/>
  </w:num>
  <w:num w:numId="15">
    <w:abstractNumId w:val="23"/>
  </w:num>
  <w:num w:numId="16">
    <w:abstractNumId w:val="10"/>
  </w:num>
  <w:num w:numId="17">
    <w:abstractNumId w:val="15"/>
  </w:num>
  <w:num w:numId="18">
    <w:abstractNumId w:val="19"/>
    <w:lvlOverride w:ilvl="0">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22"/>
  </w:num>
  <w:num w:numId="23">
    <w:abstractNumId w:val="35"/>
  </w:num>
  <w:num w:numId="24">
    <w:abstractNumId w:val="1"/>
  </w:num>
  <w:num w:numId="25">
    <w:abstractNumId w:val="7"/>
  </w:num>
  <w:num w:numId="26">
    <w:abstractNumId w:val="6"/>
  </w:num>
  <w:num w:numId="27">
    <w:abstractNumId w:val="28"/>
    <w:lvlOverride w:ilvl="0">
      <w:startOverride w:val="1"/>
    </w:lvlOverride>
  </w:num>
  <w:num w:numId="28">
    <w:abstractNumId w:val="28"/>
    <w:lvlOverride w:ilvl="0">
      <w:startOverride w:val="1"/>
    </w:lvlOverride>
  </w:num>
  <w:num w:numId="29">
    <w:abstractNumId w:val="28"/>
    <w:lvlOverride w:ilvl="0">
      <w:startOverride w:val="1"/>
    </w:lvlOverride>
  </w:num>
  <w:num w:numId="30">
    <w:abstractNumId w:val="28"/>
    <w:lvlOverride w:ilvl="0">
      <w:startOverride w:val="1"/>
    </w:lvlOverride>
  </w:num>
  <w:num w:numId="31">
    <w:abstractNumId w:val="16"/>
    <w:lvlOverride w:ilvl="0">
      <w:startOverride w:val="1"/>
    </w:lvlOverride>
  </w:num>
  <w:num w:numId="32">
    <w:abstractNumId w:val="28"/>
    <w:lvlOverride w:ilvl="0">
      <w:startOverride w:val="1"/>
    </w:lvlOverride>
  </w:num>
  <w:num w:numId="33">
    <w:abstractNumId w:val="16"/>
    <w:lvlOverride w:ilvl="0">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num>
  <w:num w:numId="39">
    <w:abstractNumId w:val="16"/>
  </w:num>
  <w:num w:numId="40">
    <w:abstractNumId w:val="31"/>
  </w:num>
  <w:num w:numId="41">
    <w:abstractNumId w:val="9"/>
  </w:num>
  <w:num w:numId="42">
    <w:abstractNumId w:val="17"/>
  </w:num>
  <w:num w:numId="43">
    <w:abstractNumId w:val="18"/>
  </w:num>
  <w:num w:numId="44">
    <w:abstractNumId w:val="5"/>
  </w:num>
  <w:num w:numId="45">
    <w:abstractNumId w:val="30"/>
  </w:num>
  <w:num w:numId="46">
    <w:abstractNumId w:val="4"/>
  </w:num>
  <w:num w:numId="47">
    <w:abstractNumId w:val="19"/>
  </w:num>
  <w:num w:numId="48">
    <w:abstractNumId w:val="26"/>
  </w:num>
  <w:num w:numId="49">
    <w:abstractNumId w:val="27"/>
  </w:num>
  <w:num w:numId="50">
    <w:abstractNumId w:val="8"/>
  </w:num>
  <w:num w:numId="51">
    <w:abstractNumId w:val="24"/>
  </w:num>
  <w:num w:numId="52">
    <w:abstractNumId w:val="3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1 08:01: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36A9E41-5C5A-4DA3-BA33-5CD1BC06BCC0"/>
    <w:docVar w:name="LW_COVERPAGE_TYPE" w:val="1"/>
    <w:docVar w:name="LW_CreatedUtc" w:val="2026-06-15T17:10:12.4969462Z"/>
    <w:docVar w:name="LW_CROSSREFERENCE" w:val="{SEC(2026) 580 final} - {SWD(2026) 580 final} - {SWD(2026) 581 final} - {SWD(2026) 582 final}"/>
    <w:docVar w:name="LW_DocType" w:val="COM"/>
    <w:docVar w:name="LW_EMISSION" w:val="24.6.2026"/>
    <w:docVar w:name="LW_EMISSION_ISODATE" w:val="2026-06-24"/>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65"/>
    <w:docVar w:name="LW_REF.II.NEW.CP_YEAR" w:val="2026"/>
    <w:docVar w:name="LW_REF.INST.NEW" w:val="COM"/>
    <w:docVar w:name="LW_REF.INST.NEW_ADOPTED" w:val="final"/>
    <w:docVar w:name="LW_REF.INST.NEW_TEXT" w:val="(2026) 5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Agen\u539?ia Uniunii Europene pentru Cooperare în Materie de Aplicare a Legii (Europol), de modificare a Regulamentelor (UE) 2018/1726 \u537?i (UE) 2024/982 \u537?i de abrogare a Regulamentului (UE) 2016/794"/>
    <w:docVar w:name="LW_TYPE.DOC.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70B54A0-33F9-436F-A16B-1A98C7066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uiPriority w:val="5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uiPriority w:val="20"/>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CRMarker">
    <w:name w:val="CR Marker"/>
    <w:basedOn w:val="DefaultParagraphFont"/>
    <w:uiPriority w:val="99"/>
    <w:rPr>
      <w:rFonts w:ascii="Wingdings" w:hAnsi="Wingdings" w:cs="Wingdings"/>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eastAsia="en-IE"/>
    </w:rPr>
  </w:style>
  <w:style w:type="paragraph" w:styleId="NormalWeb">
    <w:name w:val="Normal (Web)"/>
    <w:basedOn w:val="Normal"/>
    <w:uiPriority w:val="99"/>
    <w:semiHidden/>
    <w:unhideWhenUsed/>
    <w:rPr>
      <w:szCs w:val="24"/>
    </w:rPr>
  </w:style>
  <w:style w:type="paragraph" w:customStyle="1" w:styleId="CommentText1">
    <w:name w:val="Comment Text1"/>
    <w:basedOn w:val="Normal"/>
    <w:unhideWhenUsed/>
    <w:rPr>
      <w:sz w:val="20"/>
      <w:szCs w:val="20"/>
    </w:rPr>
  </w:style>
  <w:style w:type="character" w:customStyle="1" w:styleId="CommentReference1">
    <w:name w:val="Comment Reference1"/>
    <w:basedOn w:val="DefaultParagraphFont"/>
    <w:unhideWhenUsed/>
    <w:rPr>
      <w:sz w:val="16"/>
      <w:szCs w:val="16"/>
    </w:rPr>
  </w:style>
  <w:style w:type="paragraph" w:customStyle="1" w:styleId="CommentSubject1">
    <w:name w:val="Comment Subject1"/>
    <w:basedOn w:val="CommentText1"/>
    <w:next w:val="CommentText1"/>
    <w:unhideWhenUsed/>
    <w:rPr>
      <w:b/>
      <w:bCs/>
    </w:rPr>
  </w:style>
  <w:style w:type="character" w:customStyle="1" w:styleId="CommentTextChar1">
    <w:name w:val="Comment Text Char1"/>
    <w:basedOn w:val="DefaultParagraphFont"/>
    <w:rPr>
      <w:rFonts w:ascii="Times New Roman" w:hAnsi="Times New Roman" w:cs="Times New Roman"/>
      <w:sz w:val="20"/>
      <w:szCs w:val="20"/>
      <w:lang w:val="ro-RO"/>
    </w:rPr>
  </w:style>
  <w:style w:type="character" w:customStyle="1" w:styleId="CommentSubjectChar1">
    <w:name w:val="Comment Subject Char1"/>
    <w:basedOn w:val="CommentTextChar1"/>
    <w:semiHidden/>
    <w:rPr>
      <w:rFonts w:ascii="Times New Roman" w:hAnsi="Times New Roman" w:cs="Times New Roman"/>
      <w:b/>
      <w:bCs/>
      <w:sz w:val="20"/>
      <w:szCs w:val="20"/>
      <w:lang w:val="ro-RO"/>
    </w:rPr>
  </w:style>
  <w:style w:type="paragraph" w:customStyle="1" w:styleId="Point">
    <w:name w:val="Point"/>
    <w:basedOn w:val="Normal"/>
  </w:style>
  <w:style w:type="paragraph" w:customStyle="1" w:styleId="apointletter">
    <w:name w:val="(a) point letter"/>
    <w:basedOn w:val="Normal"/>
  </w:style>
  <w:style w:type="paragraph" w:customStyle="1" w:styleId="Norml">
    <w:name w:val="Norml"/>
    <w:basedOn w:val="NumPar1"/>
    <w:pPr>
      <w:numPr>
        <w:numId w:val="0"/>
      </w:numPr>
      <w:tabs>
        <w:tab w:val="num" w:pos="850"/>
      </w:tabs>
      <w:ind w:left="850" w:hanging="850"/>
    </w:pPr>
  </w:style>
  <w:style w:type="paragraph" w:customStyle="1" w:styleId="Numb">
    <w:name w:val="Numb"/>
    <w:basedOn w:val="Normal"/>
    <w:pPr>
      <w:numPr>
        <w:numId w:val="17"/>
      </w:numPr>
    </w:pPr>
    <w:rPr>
      <w:u w:color="A100B2"/>
    </w:rPr>
  </w:style>
  <w:style w:type="table" w:customStyle="1" w:styleId="TableGrid1">
    <w:name w:val="Table Grid1"/>
    <w:basedOn w:val="TableNormal"/>
    <w:next w:val="TableGrid"/>
    <w:uiPriority w:val="5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
    <w:name w:val="Expl"/>
    <w:basedOn w:val="Pagedecouverture"/>
    <w:pPr>
      <w:jc w:val="center"/>
    </w:p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8"/>
      </w:numPr>
    </w:pPr>
  </w:style>
  <w:style w:type="paragraph" w:customStyle="1" w:styleId="Tiret1">
    <w:name w:val="Tiret 1"/>
    <w:basedOn w:val="Point1"/>
    <w:pPr>
      <w:numPr>
        <w:numId w:val="39"/>
      </w:numPr>
    </w:pPr>
  </w:style>
  <w:style w:type="paragraph" w:customStyle="1" w:styleId="Tiret2">
    <w:name w:val="Tiret 2"/>
    <w:basedOn w:val="Point2"/>
    <w:pPr>
      <w:numPr>
        <w:numId w:val="40"/>
      </w:numPr>
    </w:pPr>
  </w:style>
  <w:style w:type="paragraph" w:customStyle="1" w:styleId="Tiret3">
    <w:name w:val="Tiret 3"/>
    <w:basedOn w:val="Point3"/>
    <w:pPr>
      <w:numPr>
        <w:numId w:val="41"/>
      </w:numPr>
    </w:pPr>
  </w:style>
  <w:style w:type="paragraph" w:customStyle="1" w:styleId="Tiret4">
    <w:name w:val="Tiret 4"/>
    <w:basedOn w:val="Point4"/>
    <w:pPr>
      <w:numPr>
        <w:numId w:val="42"/>
      </w:numPr>
    </w:pPr>
  </w:style>
  <w:style w:type="paragraph" w:customStyle="1" w:styleId="Tiret5">
    <w:name w:val="Tiret 5"/>
    <w:basedOn w:val="Point5"/>
    <w:pPr>
      <w:numPr>
        <w:numId w:val="4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4"/>
      </w:numPr>
    </w:pPr>
  </w:style>
  <w:style w:type="paragraph" w:customStyle="1" w:styleId="NumPar2">
    <w:name w:val="NumPar 2"/>
    <w:basedOn w:val="Normal"/>
    <w:next w:val="Text1"/>
    <w:pPr>
      <w:numPr>
        <w:ilvl w:val="1"/>
        <w:numId w:val="44"/>
      </w:numPr>
    </w:pPr>
  </w:style>
  <w:style w:type="paragraph" w:customStyle="1" w:styleId="NumPar3">
    <w:name w:val="NumPar 3"/>
    <w:basedOn w:val="Normal"/>
    <w:next w:val="Text1"/>
    <w:pPr>
      <w:numPr>
        <w:ilvl w:val="2"/>
        <w:numId w:val="44"/>
      </w:numPr>
    </w:pPr>
  </w:style>
  <w:style w:type="paragraph" w:customStyle="1" w:styleId="NumPar4">
    <w:name w:val="NumPar 4"/>
    <w:basedOn w:val="Normal"/>
    <w:next w:val="Text1"/>
    <w:pPr>
      <w:numPr>
        <w:ilvl w:val="3"/>
        <w:numId w:val="44"/>
      </w:numPr>
    </w:pPr>
  </w:style>
  <w:style w:type="paragraph" w:customStyle="1" w:styleId="NumPar5">
    <w:name w:val="NumPar 5"/>
    <w:basedOn w:val="Normal"/>
    <w:next w:val="Text2"/>
    <w:pPr>
      <w:numPr>
        <w:ilvl w:val="4"/>
        <w:numId w:val="44"/>
      </w:numPr>
    </w:pPr>
  </w:style>
  <w:style w:type="paragraph" w:customStyle="1" w:styleId="NumPar6">
    <w:name w:val="NumPar 6"/>
    <w:basedOn w:val="Normal"/>
    <w:next w:val="Text2"/>
    <w:pPr>
      <w:numPr>
        <w:ilvl w:val="5"/>
        <w:numId w:val="44"/>
      </w:numPr>
    </w:pPr>
  </w:style>
  <w:style w:type="paragraph" w:customStyle="1" w:styleId="NumPar7">
    <w:name w:val="NumPar 7"/>
    <w:basedOn w:val="Normal"/>
    <w:next w:val="Text2"/>
    <w:pPr>
      <w:numPr>
        <w:ilvl w:val="6"/>
        <w:numId w:val="4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6"/>
      </w:numPr>
    </w:pPr>
  </w:style>
  <w:style w:type="paragraph" w:customStyle="1" w:styleId="Point1number">
    <w:name w:val="Point 1 (number)"/>
    <w:basedOn w:val="Normal"/>
    <w:pPr>
      <w:numPr>
        <w:ilvl w:val="2"/>
        <w:numId w:val="46"/>
      </w:numPr>
    </w:pPr>
  </w:style>
  <w:style w:type="paragraph" w:customStyle="1" w:styleId="Point2number">
    <w:name w:val="Point 2 (number)"/>
    <w:basedOn w:val="Normal"/>
    <w:pPr>
      <w:numPr>
        <w:ilvl w:val="4"/>
        <w:numId w:val="46"/>
      </w:numPr>
    </w:pPr>
  </w:style>
  <w:style w:type="paragraph" w:customStyle="1" w:styleId="Point3number">
    <w:name w:val="Point 3 (number)"/>
    <w:basedOn w:val="Normal"/>
    <w:pPr>
      <w:numPr>
        <w:ilvl w:val="6"/>
        <w:numId w:val="46"/>
      </w:numPr>
    </w:pPr>
  </w:style>
  <w:style w:type="paragraph" w:customStyle="1" w:styleId="Point0letter">
    <w:name w:val="Point 0 (letter)"/>
    <w:basedOn w:val="Normal"/>
    <w:pPr>
      <w:numPr>
        <w:ilvl w:val="1"/>
        <w:numId w:val="46"/>
      </w:numPr>
    </w:pPr>
  </w:style>
  <w:style w:type="paragraph" w:customStyle="1" w:styleId="Point1letter">
    <w:name w:val="Point 1 (letter)"/>
    <w:basedOn w:val="Normal"/>
    <w:pPr>
      <w:numPr>
        <w:ilvl w:val="3"/>
        <w:numId w:val="46"/>
      </w:numPr>
    </w:pPr>
  </w:style>
  <w:style w:type="paragraph" w:customStyle="1" w:styleId="Point2letter">
    <w:name w:val="Point 2 (letter)"/>
    <w:basedOn w:val="Normal"/>
    <w:pPr>
      <w:numPr>
        <w:ilvl w:val="5"/>
        <w:numId w:val="46"/>
      </w:numPr>
    </w:pPr>
  </w:style>
  <w:style w:type="paragraph" w:customStyle="1" w:styleId="Point3letter">
    <w:name w:val="Point 3 (letter)"/>
    <w:basedOn w:val="Normal"/>
    <w:pPr>
      <w:numPr>
        <w:ilvl w:val="7"/>
        <w:numId w:val="46"/>
      </w:numPr>
    </w:pPr>
  </w:style>
  <w:style w:type="paragraph" w:customStyle="1" w:styleId="Point4letter">
    <w:name w:val="Point 4 (letter)"/>
    <w:basedOn w:val="Normal"/>
    <w:pPr>
      <w:numPr>
        <w:ilvl w:val="8"/>
        <w:numId w:val="46"/>
      </w:numPr>
    </w:pPr>
  </w:style>
  <w:style w:type="paragraph" w:customStyle="1" w:styleId="Bullet0">
    <w:name w:val="Bullet 0"/>
    <w:basedOn w:val="Normal"/>
    <w:pPr>
      <w:numPr>
        <w:numId w:val="47"/>
      </w:numPr>
    </w:pPr>
  </w:style>
  <w:style w:type="paragraph" w:customStyle="1" w:styleId="Bullet1">
    <w:name w:val="Bullet 1"/>
    <w:basedOn w:val="Normal"/>
    <w:pPr>
      <w:numPr>
        <w:numId w:val="48"/>
      </w:numPr>
    </w:pPr>
  </w:style>
  <w:style w:type="paragraph" w:customStyle="1" w:styleId="Bullet2">
    <w:name w:val="Bullet 2"/>
    <w:basedOn w:val="Normal"/>
    <w:pPr>
      <w:numPr>
        <w:numId w:val="49"/>
      </w:numPr>
    </w:pPr>
  </w:style>
  <w:style w:type="paragraph" w:customStyle="1" w:styleId="Bullet3">
    <w:name w:val="Bullet 3"/>
    <w:basedOn w:val="Normal"/>
    <w:pPr>
      <w:numPr>
        <w:numId w:val="50"/>
      </w:numPr>
    </w:pPr>
  </w:style>
  <w:style w:type="paragraph" w:customStyle="1" w:styleId="Bullet4">
    <w:name w:val="Bullet 4"/>
    <w:basedOn w:val="Normal"/>
    <w:pPr>
      <w:numPr>
        <w:numId w:val="5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256672">
      <w:bodyDiv w:val="1"/>
      <w:marLeft w:val="0"/>
      <w:marRight w:val="0"/>
      <w:marTop w:val="0"/>
      <w:marBottom w:val="0"/>
      <w:divBdr>
        <w:top w:val="none" w:sz="0" w:space="0" w:color="auto"/>
        <w:left w:val="none" w:sz="0" w:space="0" w:color="auto"/>
        <w:bottom w:val="none" w:sz="0" w:space="0" w:color="auto"/>
        <w:right w:val="none" w:sz="0" w:space="0" w:color="auto"/>
      </w:divBdr>
    </w:div>
    <w:div w:id="471599332">
      <w:bodyDiv w:val="1"/>
      <w:marLeft w:val="0"/>
      <w:marRight w:val="0"/>
      <w:marTop w:val="0"/>
      <w:marBottom w:val="0"/>
      <w:divBdr>
        <w:top w:val="none" w:sz="0" w:space="0" w:color="auto"/>
        <w:left w:val="none" w:sz="0" w:space="0" w:color="auto"/>
        <w:bottom w:val="none" w:sz="0" w:space="0" w:color="auto"/>
        <w:right w:val="none" w:sz="0" w:space="0" w:color="auto"/>
      </w:divBdr>
    </w:div>
    <w:div w:id="984700753">
      <w:bodyDiv w:val="1"/>
      <w:marLeft w:val="0"/>
      <w:marRight w:val="0"/>
      <w:marTop w:val="0"/>
      <w:marBottom w:val="0"/>
      <w:divBdr>
        <w:top w:val="none" w:sz="0" w:space="0" w:color="auto"/>
        <w:left w:val="none" w:sz="0" w:space="0" w:color="auto"/>
        <w:bottom w:val="none" w:sz="0" w:space="0" w:color="auto"/>
        <w:right w:val="none" w:sz="0" w:space="0" w:color="auto"/>
      </w:divBdr>
    </w:div>
    <w:div w:id="1195389853">
      <w:bodyDiv w:val="1"/>
      <w:marLeft w:val="0"/>
      <w:marRight w:val="0"/>
      <w:marTop w:val="0"/>
      <w:marBottom w:val="0"/>
      <w:divBdr>
        <w:top w:val="none" w:sz="0" w:space="0" w:color="auto"/>
        <w:left w:val="none" w:sz="0" w:space="0" w:color="auto"/>
        <w:bottom w:val="none" w:sz="0" w:space="0" w:color="auto"/>
        <w:right w:val="none" w:sz="0" w:space="0" w:color="auto"/>
      </w:divBdr>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2019/452/oj" TargetMode="External"/><Relationship Id="rId18" Type="http://schemas.openxmlformats.org/officeDocument/2006/relationships/hyperlink" Target="http://data.europa.eu/eli/reg/2024/982/oj" TargetMode="External"/><Relationship Id="rId26" Type="http://schemas.openxmlformats.org/officeDocument/2006/relationships/footer" Target="footer3.xml"/><Relationship Id="rId21" Type="http://schemas.openxmlformats.org/officeDocument/2006/relationships/hyperlink" Target="http://data.europa.eu/eli/reg/2018/1725/art_3/pnt_2/oj" TargetMode="External"/><Relationship Id="rId34" Type="http://schemas.openxmlformats.org/officeDocument/2006/relationships/header" Target="header5.xml"/><Relationship Id="rId7" Type="http://schemas.openxmlformats.org/officeDocument/2006/relationships/image" Target="media/image1.emf"/><Relationship Id="rId12" Type="http://schemas.openxmlformats.org/officeDocument/2006/relationships/hyperlink" Target="http://data.europa.eu/eli/dec/2005/511/oj" TargetMode="External"/><Relationship Id="rId17" Type="http://schemas.openxmlformats.org/officeDocument/2006/relationships/hyperlink" Target="http://data.europa.eu/eli/reg/2018/1726/oj" TargetMode="External"/><Relationship Id="rId25" Type="http://schemas.openxmlformats.org/officeDocument/2006/relationships/header" Target="header1.xml"/><Relationship Id="rId33" Type="http://schemas.openxmlformats.org/officeDocument/2006/relationships/footer" Target="footer7.xml"/><Relationship Id="rId2" Type="http://schemas.openxmlformats.org/officeDocument/2006/relationships/styles" Target="styles.xml"/><Relationship Id="rId16" Type="http://schemas.openxmlformats.org/officeDocument/2006/relationships/hyperlink" Target="http://data.europa.eu/eli/reg/2019/1896/oj" TargetMode="External"/><Relationship Id="rId20" Type="http://schemas.openxmlformats.org/officeDocument/2006/relationships/hyperlink" Target="http://data.europa.eu/eli/reg/2018/1725/oj" TargetMode="External"/><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ta.europa.eu/eli/reg/2021/784/art_2/pnt_7/oj" TargetMode="External"/><Relationship Id="rId24" Type="http://schemas.openxmlformats.org/officeDocument/2006/relationships/hyperlink" Target="http://data.europa.eu/eli/reg_del/2019/715/oj"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ata.europa.eu/eli/reg/2022/922/oj" TargetMode="External"/><Relationship Id="rId23" Type="http://schemas.openxmlformats.org/officeDocument/2006/relationships/hyperlink" Target="http://data.europa.eu/eli/reg/2018/1725/oj" TargetMode="External"/><Relationship Id="rId28" Type="http://schemas.openxmlformats.org/officeDocument/2006/relationships/header" Target="header2.xml"/><Relationship Id="rId36" Type="http://schemas.openxmlformats.org/officeDocument/2006/relationships/fontTable" Target="fontTable.xml"/><Relationship Id="rId10" Type="http://schemas.openxmlformats.org/officeDocument/2006/relationships/hyperlink" Target="https://home-affairs.ec.europa.eu/executive-summary-impact-assessment_en" TargetMode="External"/><Relationship Id="rId19" Type="http://schemas.openxmlformats.org/officeDocument/2006/relationships/hyperlink" Target="http://data.europa.eu/eli/reg/2024/1689/art_57/oj" TargetMode="External"/><Relationship Id="rId3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data.europa.eu/eli/reg/2022/922/oj" TargetMode="External"/><Relationship Id="rId22" Type="http://schemas.openxmlformats.org/officeDocument/2006/relationships/hyperlink" Target="http://data.europa.eu/eli/reg/2018/1725/oj" TargetMode="External"/><Relationship Id="rId27" Type="http://schemas.openxmlformats.org/officeDocument/2006/relationships/footer" Target="footer4.xml"/><Relationship Id="rId30" Type="http://schemas.openxmlformats.org/officeDocument/2006/relationships/header" Target="header3.xml"/><Relationship Id="rId35" Type="http://schemas.openxmlformats.org/officeDocument/2006/relationships/footer" Target="footer8.xml"/><Relationship Id="rId8" Type="http://schemas.openxmlformats.org/officeDocument/2006/relationships/footer" Target="footer1.xm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1/784/oj" TargetMode="External"/><Relationship Id="rId18" Type="http://schemas.openxmlformats.org/officeDocument/2006/relationships/hyperlink" Target="http://data.europa.eu/eli/reg/2015/2219/oj" TargetMode="External"/><Relationship Id="rId26" Type="http://schemas.openxmlformats.org/officeDocument/2006/relationships/hyperlink" Target="http://data.europa.eu/eli/dec/2005/511/oj" TargetMode="External"/><Relationship Id="rId39" Type="http://schemas.openxmlformats.org/officeDocument/2006/relationships/hyperlink" Target="http://data.europa.eu/eli/dir/2024/1640/oj" TargetMode="External"/><Relationship Id="rId21" Type="http://schemas.openxmlformats.org/officeDocument/2006/relationships/hyperlink" Target="http://data.europa.eu/eli/reg/2024/1620/oj" TargetMode="External"/><Relationship Id="rId34" Type="http://schemas.openxmlformats.org/officeDocument/2006/relationships/hyperlink" Target="http://data.europa.eu/eli/reg/2018/1862/oj" TargetMode="External"/><Relationship Id="rId42" Type="http://schemas.openxmlformats.org/officeDocument/2006/relationships/hyperlink" Target="http://data.europa.eu/eli/reg/2013/883/oj" TargetMode="External"/><Relationship Id="rId47" Type="http://schemas.openxmlformats.org/officeDocument/2006/relationships/hyperlink" Target="http://data.europa.eu/eli/reg/2016/794/2026-01-11" TargetMode="External"/><Relationship Id="rId7" Type="http://schemas.openxmlformats.org/officeDocument/2006/relationships/hyperlink" Target="http://data.europa.eu/eli/dir/2011/36/oj" TargetMode="External"/><Relationship Id="rId2" Type="http://schemas.openxmlformats.org/officeDocument/2006/relationships/hyperlink" Target="http://data.europa.eu/eli/reg/2016/794/oj" TargetMode="External"/><Relationship Id="rId16" Type="http://schemas.openxmlformats.org/officeDocument/2006/relationships/hyperlink" Target="http://data.europa.eu/eli/reg/2019/818/oj" TargetMode="External"/><Relationship Id="rId29" Type="http://schemas.openxmlformats.org/officeDocument/2006/relationships/hyperlink" Target="http://data.europa.eu/eli/dir/2019/1153/oj" TargetMode="External"/><Relationship Id="rId1" Type="http://schemas.openxmlformats.org/officeDocument/2006/relationships/hyperlink" Target="http://data.europa.eu/eli/dec/2009/371/oj" TargetMode="External"/><Relationship Id="rId6" Type="http://schemas.openxmlformats.org/officeDocument/2006/relationships/hyperlink" Target="http://data.europa.eu/eli/reg/2019/881/oj" TargetMode="External"/><Relationship Id="rId11" Type="http://schemas.openxmlformats.org/officeDocument/2006/relationships/hyperlink" Target="https://eur-lex.europa.eu/legal-content/RO/AUTO/?uri=OJ:L:2018:295:TOC" TargetMode="External"/><Relationship Id="rId24" Type="http://schemas.openxmlformats.org/officeDocument/2006/relationships/hyperlink" Target="http://data.europa.eu/eli/reg/2019/1240/oj" TargetMode="External"/><Relationship Id="rId32" Type="http://schemas.openxmlformats.org/officeDocument/2006/relationships/hyperlink" Target="http://data.europa.eu/eli/reg/2018/1860/oj" TargetMode="External"/><Relationship Id="rId37" Type="http://schemas.openxmlformats.org/officeDocument/2006/relationships/hyperlink" Target="http://data.europa.eu/eli/dir/2016/680/oj" TargetMode="External"/><Relationship Id="rId40" Type="http://schemas.openxmlformats.org/officeDocument/2006/relationships/hyperlink" Target="http://data.europa.eu/eli/reg/2023/1322/oj" TargetMode="External"/><Relationship Id="rId45" Type="http://schemas.openxmlformats.org/officeDocument/2006/relationships/hyperlink" Target="http://data.europa.eu/eli/dec/2015/443/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24/982/oj" TargetMode="External"/><Relationship Id="rId23" Type="http://schemas.openxmlformats.org/officeDocument/2006/relationships/hyperlink" Target="http://data.europa.eu/eli/reg/2007/168/oj" TargetMode="External"/><Relationship Id="rId28" Type="http://schemas.openxmlformats.org/officeDocument/2006/relationships/hyperlink" Target="http://data.europa.eu/eli/reg/2022/922/oj" TargetMode="External"/><Relationship Id="rId36" Type="http://schemas.openxmlformats.org/officeDocument/2006/relationships/hyperlink" Target="http://data.europa.eu/eli/reg/2008/767/oj" TargetMode="External"/><Relationship Id="rId10" Type="http://schemas.openxmlformats.org/officeDocument/2006/relationships/hyperlink" Target="http://data.europa.eu/eli/agree_interinstit/2016/512/oj" TargetMode="External"/><Relationship Id="rId19" Type="http://schemas.openxmlformats.org/officeDocument/2006/relationships/hyperlink" Target="https://eur-lex.europa.eu/legal-content/RO/AUTO/?uri=OJ:L:2019:122:TOC" TargetMode="External"/><Relationship Id="rId31" Type="http://schemas.openxmlformats.org/officeDocument/2006/relationships/hyperlink" Target="http://data.europa.eu/eli/dec_framw/2002/465/oj" TargetMode="External"/><Relationship Id="rId44" Type="http://schemas.openxmlformats.org/officeDocument/2006/relationships/hyperlink" Target="http://data.europa.eu/eli/dir/2017/1371/oj" TargetMode="External"/><Relationship Id="rId4" Type="http://schemas.openxmlformats.org/officeDocument/2006/relationships/hyperlink" Target="http://data.europa.eu/eli/reg/2018/1727/oj" TargetMode="External"/><Relationship Id="rId9" Type="http://schemas.openxmlformats.org/officeDocument/2006/relationships/hyperlink" Target="http://data.europa.eu/eli/reg/2024/1356/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reg/1971/1182/oj" TargetMode="External"/><Relationship Id="rId27" Type="http://schemas.openxmlformats.org/officeDocument/2006/relationships/hyperlink" Target="http://data.europa.eu/eli/reg/2019/452/oj" TargetMode="External"/><Relationship Id="rId30" Type="http://schemas.openxmlformats.org/officeDocument/2006/relationships/hyperlink" Target="http://data.europa.eu/eli/dir/2015/849/oj" TargetMode="External"/><Relationship Id="rId35" Type="http://schemas.openxmlformats.org/officeDocument/2006/relationships/hyperlink" Target="http://data.europa.eu/eli/reg/2008/767/oj" TargetMode="External"/><Relationship Id="rId43" Type="http://schemas.openxmlformats.org/officeDocument/2006/relationships/hyperlink" Target="http://data.europa.eu/eli/reg/1996/2185/oj" TargetMode="External"/><Relationship Id="rId8" Type="http://schemas.openxmlformats.org/officeDocument/2006/relationships/hyperlink" Target="http://data.europa.eu/eli/agree_interinstit/2016/512/oj" TargetMode="External"/><Relationship Id="rId3" Type="http://schemas.openxmlformats.org/officeDocument/2006/relationships/hyperlink" Target="http://data.europa.eu/eli/dir/2024/1385/oj" TargetMode="External"/><Relationship Id="rId12" Type="http://schemas.openxmlformats.org/officeDocument/2006/relationships/hyperlink" Target="http://data.europa.eu/eli/reg/2018/1725/oj" TargetMode="External"/><Relationship Id="rId17" Type="http://schemas.openxmlformats.org/officeDocument/2006/relationships/hyperlink" Target="http://data.europa.eu/eli/reg/2022/2065/oj" TargetMode="External"/><Relationship Id="rId25" Type="http://schemas.openxmlformats.org/officeDocument/2006/relationships/hyperlink" Target="http://data.europa.eu/eli/dir/2023/977/oj" TargetMode="External"/><Relationship Id="rId33" Type="http://schemas.openxmlformats.org/officeDocument/2006/relationships/hyperlink" Target="http://data.europa.eu/eli/reg/2018/1861/oj" TargetMode="External"/><Relationship Id="rId38" Type="http://schemas.openxmlformats.org/officeDocument/2006/relationships/hyperlink" Target="http://data.europa.eu/eli/reg/2014/910/oj" TargetMode="External"/><Relationship Id="rId46" Type="http://schemas.openxmlformats.org/officeDocument/2006/relationships/hyperlink" Target="http://data.europa.eu/eli/dec/2015/444/oj" TargetMode="External"/><Relationship Id="rId20" Type="http://schemas.openxmlformats.org/officeDocument/2006/relationships/hyperlink" Target="http://data.europa.eu/eli/reg_del/2019/715/oj" TargetMode="External"/><Relationship Id="rId41" Type="http://schemas.openxmlformats.org/officeDocument/2006/relationships/hyperlink" Target="http://data.europa.eu/eli/reg/1994/296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135</TotalTime>
  <Pages>24</Pages>
  <Words>93039</Words>
  <Characters>530323</Characters>
  <Application>Microsoft Office Word</Application>
  <DocSecurity>0</DocSecurity>
  <Lines>4419</Lines>
  <Paragraphs>1244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622118</CharactersWithSpaces>
  <SharedDoc>false</SharedDoc>
  <HLinks>
    <vt:vector size="366" baseType="variant">
      <vt:variant>
        <vt:i4>7536662</vt:i4>
      </vt:variant>
      <vt:variant>
        <vt:i4>39</vt:i4>
      </vt:variant>
      <vt:variant>
        <vt:i4>0</vt:i4>
      </vt:variant>
      <vt:variant>
        <vt:i4>5</vt:i4>
      </vt:variant>
      <vt:variant>
        <vt:lpwstr>http://data.europa.eu/eli/reg_del/2019/715/oj</vt:lpwstr>
      </vt:variant>
      <vt:variant>
        <vt:lpwstr/>
      </vt:variant>
      <vt:variant>
        <vt:i4>6488173</vt:i4>
      </vt:variant>
      <vt:variant>
        <vt:i4>36</vt:i4>
      </vt:variant>
      <vt:variant>
        <vt:i4>0</vt:i4>
      </vt:variant>
      <vt:variant>
        <vt:i4>5</vt:i4>
      </vt:variant>
      <vt:variant>
        <vt:lpwstr>http://data.europa.eu/eli/reg/2018/1725/oj</vt:lpwstr>
      </vt:variant>
      <vt:variant>
        <vt:lpwstr/>
      </vt:variant>
      <vt:variant>
        <vt:i4>6488173</vt:i4>
      </vt:variant>
      <vt:variant>
        <vt:i4>33</vt:i4>
      </vt:variant>
      <vt:variant>
        <vt:i4>0</vt:i4>
      </vt:variant>
      <vt:variant>
        <vt:i4>5</vt:i4>
      </vt:variant>
      <vt:variant>
        <vt:lpwstr>http://data.europa.eu/eli/reg/2018/1725/oj</vt:lpwstr>
      </vt:variant>
      <vt:variant>
        <vt:lpwstr/>
      </vt:variant>
      <vt:variant>
        <vt:i4>8323197</vt:i4>
      </vt:variant>
      <vt:variant>
        <vt:i4>30</vt:i4>
      </vt:variant>
      <vt:variant>
        <vt:i4>0</vt:i4>
      </vt:variant>
      <vt:variant>
        <vt:i4>5</vt:i4>
      </vt:variant>
      <vt:variant>
        <vt:lpwstr>http://data.europa.eu/eli/reg/2018/1725/art_3/pnt_2/oj</vt:lpwstr>
      </vt:variant>
      <vt:variant>
        <vt:lpwstr/>
      </vt:variant>
      <vt:variant>
        <vt:i4>6488173</vt:i4>
      </vt:variant>
      <vt:variant>
        <vt:i4>27</vt:i4>
      </vt:variant>
      <vt:variant>
        <vt:i4>0</vt:i4>
      </vt:variant>
      <vt:variant>
        <vt:i4>5</vt:i4>
      </vt:variant>
      <vt:variant>
        <vt:lpwstr>http://data.europa.eu/eli/reg/2018/1725/oj</vt:lpwstr>
      </vt:variant>
      <vt:variant>
        <vt:lpwstr/>
      </vt:variant>
      <vt:variant>
        <vt:i4>7995395</vt:i4>
      </vt:variant>
      <vt:variant>
        <vt:i4>24</vt:i4>
      </vt:variant>
      <vt:variant>
        <vt:i4>0</vt:i4>
      </vt:variant>
      <vt:variant>
        <vt:i4>5</vt:i4>
      </vt:variant>
      <vt:variant>
        <vt:lpwstr>http://data.europa.eu/eli/reg/2024/1689/art_57/oj</vt:lpwstr>
      </vt:variant>
      <vt:variant>
        <vt:lpwstr/>
      </vt:variant>
      <vt:variant>
        <vt:i4>5046292</vt:i4>
      </vt:variant>
      <vt:variant>
        <vt:i4>21</vt:i4>
      </vt:variant>
      <vt:variant>
        <vt:i4>0</vt:i4>
      </vt:variant>
      <vt:variant>
        <vt:i4>5</vt:i4>
      </vt:variant>
      <vt:variant>
        <vt:lpwstr>http://data.europa.eu/eli/reg/2024/982/oj</vt:lpwstr>
      </vt:variant>
      <vt:variant>
        <vt:lpwstr/>
      </vt:variant>
      <vt:variant>
        <vt:i4>6488174</vt:i4>
      </vt:variant>
      <vt:variant>
        <vt:i4>18</vt:i4>
      </vt:variant>
      <vt:variant>
        <vt:i4>0</vt:i4>
      </vt:variant>
      <vt:variant>
        <vt:i4>5</vt:i4>
      </vt:variant>
      <vt:variant>
        <vt:lpwstr>http://data.europa.eu/eli/reg/2018/1726/oj</vt:lpwstr>
      </vt:variant>
      <vt:variant>
        <vt:lpwstr/>
      </vt:variant>
      <vt:variant>
        <vt:i4>6881377</vt:i4>
      </vt:variant>
      <vt:variant>
        <vt:i4>15</vt:i4>
      </vt:variant>
      <vt:variant>
        <vt:i4>0</vt:i4>
      </vt:variant>
      <vt:variant>
        <vt:i4>5</vt:i4>
      </vt:variant>
      <vt:variant>
        <vt:lpwstr>http://data.europa.eu/eli/reg/2019/1896/oj</vt:lpwstr>
      </vt:variant>
      <vt:variant>
        <vt:lpwstr/>
      </vt:variant>
      <vt:variant>
        <vt:i4>4915230</vt:i4>
      </vt:variant>
      <vt:variant>
        <vt:i4>12</vt:i4>
      </vt:variant>
      <vt:variant>
        <vt:i4>0</vt:i4>
      </vt:variant>
      <vt:variant>
        <vt:i4>5</vt:i4>
      </vt:variant>
      <vt:variant>
        <vt:lpwstr>http://data.europa.eu/eli/reg/2022/922/oj</vt:lpwstr>
      </vt:variant>
      <vt:variant>
        <vt:lpwstr/>
      </vt:variant>
      <vt:variant>
        <vt:i4>4915230</vt:i4>
      </vt:variant>
      <vt:variant>
        <vt:i4>9</vt:i4>
      </vt:variant>
      <vt:variant>
        <vt:i4>0</vt:i4>
      </vt:variant>
      <vt:variant>
        <vt:i4>5</vt:i4>
      </vt:variant>
      <vt:variant>
        <vt:lpwstr>http://data.europa.eu/eli/reg/2022/922/oj</vt:lpwstr>
      </vt:variant>
      <vt:variant>
        <vt:lpwstr/>
      </vt:variant>
      <vt:variant>
        <vt:i4>5046298</vt:i4>
      </vt:variant>
      <vt:variant>
        <vt:i4>6</vt:i4>
      </vt:variant>
      <vt:variant>
        <vt:i4>0</vt:i4>
      </vt:variant>
      <vt:variant>
        <vt:i4>5</vt:i4>
      </vt:variant>
      <vt:variant>
        <vt:lpwstr>http://data.europa.eu/eli/reg/2019/452/oj</vt:lpwstr>
      </vt:variant>
      <vt:variant>
        <vt:lpwstr/>
      </vt:variant>
      <vt:variant>
        <vt:i4>4390925</vt:i4>
      </vt:variant>
      <vt:variant>
        <vt:i4>3</vt:i4>
      </vt:variant>
      <vt:variant>
        <vt:i4>0</vt:i4>
      </vt:variant>
      <vt:variant>
        <vt:i4>5</vt:i4>
      </vt:variant>
      <vt:variant>
        <vt:lpwstr>http://data.europa.eu/eli/dec/2005/511/oj</vt:lpwstr>
      </vt:variant>
      <vt:variant>
        <vt:lpwstr/>
      </vt:variant>
      <vt:variant>
        <vt:i4>5505032</vt:i4>
      </vt:variant>
      <vt:variant>
        <vt:i4>0</vt:i4>
      </vt:variant>
      <vt:variant>
        <vt:i4>0</vt:i4>
      </vt:variant>
      <vt:variant>
        <vt:i4>5</vt:i4>
      </vt:variant>
      <vt:variant>
        <vt:lpwstr>http://data.europa.eu/eli/reg/2021/784/art_2/pnt_7/oj</vt:lpwstr>
      </vt:variant>
      <vt:variant>
        <vt:lpwstr/>
      </vt:variant>
      <vt:variant>
        <vt:i4>327693</vt:i4>
      </vt:variant>
      <vt:variant>
        <vt:i4>138</vt:i4>
      </vt:variant>
      <vt:variant>
        <vt:i4>0</vt:i4>
      </vt:variant>
      <vt:variant>
        <vt:i4>5</vt:i4>
      </vt:variant>
      <vt:variant>
        <vt:lpwstr>http://data.europa.eu/eli/reg/2016/794/2026-01-11</vt:lpwstr>
      </vt:variant>
      <vt:variant>
        <vt:lpwstr/>
      </vt:variant>
      <vt:variant>
        <vt:i4>4653065</vt:i4>
      </vt:variant>
      <vt:variant>
        <vt:i4>135</vt:i4>
      </vt:variant>
      <vt:variant>
        <vt:i4>0</vt:i4>
      </vt:variant>
      <vt:variant>
        <vt:i4>5</vt:i4>
      </vt:variant>
      <vt:variant>
        <vt:lpwstr>http://data.europa.eu/eli/dec/2015/444/oj</vt:lpwstr>
      </vt:variant>
      <vt:variant>
        <vt:lpwstr/>
      </vt:variant>
      <vt:variant>
        <vt:i4>4194313</vt:i4>
      </vt:variant>
      <vt:variant>
        <vt:i4>132</vt:i4>
      </vt:variant>
      <vt:variant>
        <vt:i4>0</vt:i4>
      </vt:variant>
      <vt:variant>
        <vt:i4>5</vt:i4>
      </vt:variant>
      <vt:variant>
        <vt:lpwstr>http://data.europa.eu/eli/dec/2015/443/oj</vt:lpwstr>
      </vt:variant>
      <vt:variant>
        <vt:lpwstr/>
      </vt:variant>
      <vt:variant>
        <vt:i4>6619246</vt:i4>
      </vt:variant>
      <vt:variant>
        <vt:i4>129</vt:i4>
      </vt:variant>
      <vt:variant>
        <vt:i4>0</vt:i4>
      </vt:variant>
      <vt:variant>
        <vt:i4>5</vt:i4>
      </vt:variant>
      <vt:variant>
        <vt:lpwstr>http://data.europa.eu/eli/dir/2017/1371/oj</vt:lpwstr>
      </vt:variant>
      <vt:variant>
        <vt:lpwstr/>
      </vt:variant>
      <vt:variant>
        <vt:i4>7143520</vt:i4>
      </vt:variant>
      <vt:variant>
        <vt:i4>126</vt:i4>
      </vt:variant>
      <vt:variant>
        <vt:i4>0</vt:i4>
      </vt:variant>
      <vt:variant>
        <vt:i4>5</vt:i4>
      </vt:variant>
      <vt:variant>
        <vt:lpwstr>http://data.europa.eu/eli/reg/1996/2185/oj</vt:lpwstr>
      </vt:variant>
      <vt:variant>
        <vt:lpwstr/>
      </vt:variant>
      <vt:variant>
        <vt:i4>4849687</vt:i4>
      </vt:variant>
      <vt:variant>
        <vt:i4>123</vt:i4>
      </vt:variant>
      <vt:variant>
        <vt:i4>0</vt:i4>
      </vt:variant>
      <vt:variant>
        <vt:i4>5</vt:i4>
      </vt:variant>
      <vt:variant>
        <vt:lpwstr>http://data.europa.eu/eli/reg/2013/883/oj</vt:lpwstr>
      </vt:variant>
      <vt:variant>
        <vt:lpwstr/>
      </vt:variant>
      <vt:variant>
        <vt:i4>6357096</vt:i4>
      </vt:variant>
      <vt:variant>
        <vt:i4>120</vt:i4>
      </vt:variant>
      <vt:variant>
        <vt:i4>0</vt:i4>
      </vt:variant>
      <vt:variant>
        <vt:i4>5</vt:i4>
      </vt:variant>
      <vt:variant>
        <vt:lpwstr>http://data.europa.eu/eli/reg/1994/2965/oj</vt:lpwstr>
      </vt:variant>
      <vt:variant>
        <vt:lpwstr/>
      </vt:variant>
      <vt:variant>
        <vt:i4>6815853</vt:i4>
      </vt:variant>
      <vt:variant>
        <vt:i4>117</vt:i4>
      </vt:variant>
      <vt:variant>
        <vt:i4>0</vt:i4>
      </vt:variant>
      <vt:variant>
        <vt:i4>5</vt:i4>
      </vt:variant>
      <vt:variant>
        <vt:lpwstr>http://data.europa.eu/eli/reg/2023/1322/oj</vt:lpwstr>
      </vt:variant>
      <vt:variant>
        <vt:lpwstr/>
      </vt:variant>
      <vt:variant>
        <vt:i4>6619241</vt:i4>
      </vt:variant>
      <vt:variant>
        <vt:i4>114</vt:i4>
      </vt:variant>
      <vt:variant>
        <vt:i4>0</vt:i4>
      </vt:variant>
      <vt:variant>
        <vt:i4>5</vt:i4>
      </vt:variant>
      <vt:variant>
        <vt:lpwstr>http://data.europa.eu/eli/dir/2024/1640/oj</vt:lpwstr>
      </vt:variant>
      <vt:variant>
        <vt:lpwstr/>
      </vt:variant>
      <vt:variant>
        <vt:i4>5177374</vt:i4>
      </vt:variant>
      <vt:variant>
        <vt:i4>111</vt:i4>
      </vt:variant>
      <vt:variant>
        <vt:i4>0</vt:i4>
      </vt:variant>
      <vt:variant>
        <vt:i4>5</vt:i4>
      </vt:variant>
      <vt:variant>
        <vt:lpwstr>http://data.europa.eu/eli/reg/2014/910/oj</vt:lpwstr>
      </vt:variant>
      <vt:variant>
        <vt:lpwstr/>
      </vt:variant>
      <vt:variant>
        <vt:i4>5111828</vt:i4>
      </vt:variant>
      <vt:variant>
        <vt:i4>108</vt:i4>
      </vt:variant>
      <vt:variant>
        <vt:i4>0</vt:i4>
      </vt:variant>
      <vt:variant>
        <vt:i4>5</vt:i4>
      </vt:variant>
      <vt:variant>
        <vt:lpwstr>http://data.europa.eu/eli/dir/2016/680/oj</vt:lpwstr>
      </vt:variant>
      <vt:variant>
        <vt:lpwstr/>
      </vt:variant>
      <vt:variant>
        <vt:i4>4849688</vt:i4>
      </vt:variant>
      <vt:variant>
        <vt:i4>105</vt:i4>
      </vt:variant>
      <vt:variant>
        <vt:i4>0</vt:i4>
      </vt:variant>
      <vt:variant>
        <vt:i4>5</vt:i4>
      </vt:variant>
      <vt:variant>
        <vt:lpwstr>http://data.europa.eu/eli/reg/2008/767/oj</vt:lpwstr>
      </vt:variant>
      <vt:variant>
        <vt:lpwstr/>
      </vt:variant>
      <vt:variant>
        <vt:i4>4849688</vt:i4>
      </vt:variant>
      <vt:variant>
        <vt:i4>102</vt:i4>
      </vt:variant>
      <vt:variant>
        <vt:i4>0</vt:i4>
      </vt:variant>
      <vt:variant>
        <vt:i4>5</vt:i4>
      </vt:variant>
      <vt:variant>
        <vt:lpwstr>http://data.europa.eu/eli/reg/2008/767/oj</vt:lpwstr>
      </vt:variant>
      <vt:variant>
        <vt:lpwstr/>
      </vt:variant>
      <vt:variant>
        <vt:i4>6750309</vt:i4>
      </vt:variant>
      <vt:variant>
        <vt:i4>99</vt:i4>
      </vt:variant>
      <vt:variant>
        <vt:i4>0</vt:i4>
      </vt:variant>
      <vt:variant>
        <vt:i4>5</vt:i4>
      </vt:variant>
      <vt:variant>
        <vt:lpwstr>http://data.europa.eu/eli/reg/2018/1862/oj</vt:lpwstr>
      </vt:variant>
      <vt:variant>
        <vt:lpwstr/>
      </vt:variant>
      <vt:variant>
        <vt:i4>6750310</vt:i4>
      </vt:variant>
      <vt:variant>
        <vt:i4>96</vt:i4>
      </vt:variant>
      <vt:variant>
        <vt:i4>0</vt:i4>
      </vt:variant>
      <vt:variant>
        <vt:i4>5</vt:i4>
      </vt:variant>
      <vt:variant>
        <vt:lpwstr>http://data.europa.eu/eli/reg/2018/1861/oj</vt:lpwstr>
      </vt:variant>
      <vt:variant>
        <vt:lpwstr/>
      </vt:variant>
      <vt:variant>
        <vt:i4>6750311</vt:i4>
      </vt:variant>
      <vt:variant>
        <vt:i4>93</vt:i4>
      </vt:variant>
      <vt:variant>
        <vt:i4>0</vt:i4>
      </vt:variant>
      <vt:variant>
        <vt:i4>5</vt:i4>
      </vt:variant>
      <vt:variant>
        <vt:lpwstr>http://data.europa.eu/eli/reg/2018/1860/oj</vt:lpwstr>
      </vt:variant>
      <vt:variant>
        <vt:lpwstr/>
      </vt:variant>
      <vt:variant>
        <vt:i4>65658</vt:i4>
      </vt:variant>
      <vt:variant>
        <vt:i4>90</vt:i4>
      </vt:variant>
      <vt:variant>
        <vt:i4>0</vt:i4>
      </vt:variant>
      <vt:variant>
        <vt:i4>5</vt:i4>
      </vt:variant>
      <vt:variant>
        <vt:lpwstr>http://data.europa.eu/eli/dec_framw/2002/465/oj</vt:lpwstr>
      </vt:variant>
      <vt:variant>
        <vt:lpwstr/>
      </vt:variant>
      <vt:variant>
        <vt:i4>4849688</vt:i4>
      </vt:variant>
      <vt:variant>
        <vt:i4>87</vt:i4>
      </vt:variant>
      <vt:variant>
        <vt:i4>0</vt:i4>
      </vt:variant>
      <vt:variant>
        <vt:i4>5</vt:i4>
      </vt:variant>
      <vt:variant>
        <vt:lpwstr>http://data.europa.eu/eli/dir/2015/849/oj</vt:lpwstr>
      </vt:variant>
      <vt:variant>
        <vt:lpwstr/>
      </vt:variant>
      <vt:variant>
        <vt:i4>6881390</vt:i4>
      </vt:variant>
      <vt:variant>
        <vt:i4>84</vt:i4>
      </vt:variant>
      <vt:variant>
        <vt:i4>0</vt:i4>
      </vt:variant>
      <vt:variant>
        <vt:i4>5</vt:i4>
      </vt:variant>
      <vt:variant>
        <vt:lpwstr>http://data.europa.eu/eli/dir/2019/1153/oj</vt:lpwstr>
      </vt:variant>
      <vt:variant>
        <vt:lpwstr/>
      </vt:variant>
      <vt:variant>
        <vt:i4>4915230</vt:i4>
      </vt:variant>
      <vt:variant>
        <vt:i4>81</vt:i4>
      </vt:variant>
      <vt:variant>
        <vt:i4>0</vt:i4>
      </vt:variant>
      <vt:variant>
        <vt:i4>5</vt:i4>
      </vt:variant>
      <vt:variant>
        <vt:lpwstr>http://data.europa.eu/eli/reg/2022/922/oj</vt:lpwstr>
      </vt:variant>
      <vt:variant>
        <vt:lpwstr/>
      </vt:variant>
      <vt:variant>
        <vt:i4>5046298</vt:i4>
      </vt:variant>
      <vt:variant>
        <vt:i4>78</vt:i4>
      </vt:variant>
      <vt:variant>
        <vt:i4>0</vt:i4>
      </vt:variant>
      <vt:variant>
        <vt:i4>5</vt:i4>
      </vt:variant>
      <vt:variant>
        <vt:lpwstr>http://data.europa.eu/eli/reg/2019/452/oj</vt:lpwstr>
      </vt:variant>
      <vt:variant>
        <vt:lpwstr/>
      </vt:variant>
      <vt:variant>
        <vt:i4>4390925</vt:i4>
      </vt:variant>
      <vt:variant>
        <vt:i4>75</vt:i4>
      </vt:variant>
      <vt:variant>
        <vt:i4>0</vt:i4>
      </vt:variant>
      <vt:variant>
        <vt:i4>5</vt:i4>
      </vt:variant>
      <vt:variant>
        <vt:lpwstr>http://data.europa.eu/eli/dec/2005/511/oj</vt:lpwstr>
      </vt:variant>
      <vt:variant>
        <vt:lpwstr/>
      </vt:variant>
      <vt:variant>
        <vt:i4>4390936</vt:i4>
      </vt:variant>
      <vt:variant>
        <vt:i4>72</vt:i4>
      </vt:variant>
      <vt:variant>
        <vt:i4>0</vt:i4>
      </vt:variant>
      <vt:variant>
        <vt:i4>5</vt:i4>
      </vt:variant>
      <vt:variant>
        <vt:lpwstr>http://data.europa.eu/eli/dir/2023/977/oj</vt:lpwstr>
      </vt:variant>
      <vt:variant>
        <vt:lpwstr/>
      </vt:variant>
      <vt:variant>
        <vt:i4>6553709</vt:i4>
      </vt:variant>
      <vt:variant>
        <vt:i4>69</vt:i4>
      </vt:variant>
      <vt:variant>
        <vt:i4>0</vt:i4>
      </vt:variant>
      <vt:variant>
        <vt:i4>5</vt:i4>
      </vt:variant>
      <vt:variant>
        <vt:lpwstr>http://data.europa.eu/eli/reg/2019/1240/oj</vt:lpwstr>
      </vt:variant>
      <vt:variant>
        <vt:lpwstr/>
      </vt:variant>
      <vt:variant>
        <vt:i4>4980760</vt:i4>
      </vt:variant>
      <vt:variant>
        <vt:i4>66</vt:i4>
      </vt:variant>
      <vt:variant>
        <vt:i4>0</vt:i4>
      </vt:variant>
      <vt:variant>
        <vt:i4>5</vt:i4>
      </vt:variant>
      <vt:variant>
        <vt:lpwstr>http://data.europa.eu/eli/reg/2007/168/oj</vt:lpwstr>
      </vt:variant>
      <vt:variant>
        <vt:lpwstr/>
      </vt:variant>
      <vt:variant>
        <vt:i4>6881385</vt:i4>
      </vt:variant>
      <vt:variant>
        <vt:i4>63</vt:i4>
      </vt:variant>
      <vt:variant>
        <vt:i4>0</vt:i4>
      </vt:variant>
      <vt:variant>
        <vt:i4>5</vt:i4>
      </vt:variant>
      <vt:variant>
        <vt:lpwstr>http://data.europa.eu/eli/reg/1971/1182/oj</vt:lpwstr>
      </vt:variant>
      <vt:variant>
        <vt:lpwstr/>
      </vt:variant>
      <vt:variant>
        <vt:i4>7274602</vt:i4>
      </vt:variant>
      <vt:variant>
        <vt:i4>60</vt:i4>
      </vt:variant>
      <vt:variant>
        <vt:i4>0</vt:i4>
      </vt:variant>
      <vt:variant>
        <vt:i4>5</vt:i4>
      </vt:variant>
      <vt:variant>
        <vt:lpwstr>http://data.europa.eu/eli/reg/2024/1620/oj</vt:lpwstr>
      </vt:variant>
      <vt:variant>
        <vt:lpwstr/>
      </vt:variant>
      <vt:variant>
        <vt:i4>7536662</vt:i4>
      </vt:variant>
      <vt:variant>
        <vt:i4>57</vt:i4>
      </vt:variant>
      <vt:variant>
        <vt:i4>0</vt:i4>
      </vt:variant>
      <vt:variant>
        <vt:i4>5</vt:i4>
      </vt:variant>
      <vt:variant>
        <vt:lpwstr>http://data.europa.eu/eli/reg_del/2019/715/oj</vt:lpwstr>
      </vt:variant>
      <vt:variant>
        <vt:lpwstr/>
      </vt:variant>
      <vt:variant>
        <vt:i4>7995516</vt:i4>
      </vt:variant>
      <vt:variant>
        <vt:i4>54</vt:i4>
      </vt:variant>
      <vt:variant>
        <vt:i4>0</vt:i4>
      </vt:variant>
      <vt:variant>
        <vt:i4>5</vt:i4>
      </vt:variant>
      <vt:variant>
        <vt:lpwstr>https://eur-lex.europa.eu/legal-content/EN/AUTO/?uri=OJ:L:2019:122:TOC</vt:lpwstr>
      </vt:variant>
      <vt:variant>
        <vt:lpwstr/>
      </vt:variant>
      <vt:variant>
        <vt:i4>7209060</vt:i4>
      </vt:variant>
      <vt:variant>
        <vt:i4>51</vt:i4>
      </vt:variant>
      <vt:variant>
        <vt:i4>0</vt:i4>
      </vt:variant>
      <vt:variant>
        <vt:i4>5</vt:i4>
      </vt:variant>
      <vt:variant>
        <vt:lpwstr>http://data.europa.eu/eli/reg/2015/2219/oj</vt:lpwstr>
      </vt:variant>
      <vt:variant>
        <vt:lpwstr/>
      </vt:variant>
      <vt:variant>
        <vt:i4>7209065</vt:i4>
      </vt:variant>
      <vt:variant>
        <vt:i4>48</vt:i4>
      </vt:variant>
      <vt:variant>
        <vt:i4>0</vt:i4>
      </vt:variant>
      <vt:variant>
        <vt:i4>5</vt:i4>
      </vt:variant>
      <vt:variant>
        <vt:lpwstr>http://data.europa.eu/eli/reg/2022/2065/oj</vt:lpwstr>
      </vt:variant>
      <vt:variant>
        <vt:lpwstr/>
      </vt:variant>
      <vt:variant>
        <vt:i4>4915230</vt:i4>
      </vt:variant>
      <vt:variant>
        <vt:i4>45</vt:i4>
      </vt:variant>
      <vt:variant>
        <vt:i4>0</vt:i4>
      </vt:variant>
      <vt:variant>
        <vt:i4>5</vt:i4>
      </vt:variant>
      <vt:variant>
        <vt:lpwstr>http://data.europa.eu/eli/reg/2019/818/oj</vt:lpwstr>
      </vt:variant>
      <vt:variant>
        <vt:lpwstr/>
      </vt:variant>
      <vt:variant>
        <vt:i4>5046292</vt:i4>
      </vt:variant>
      <vt:variant>
        <vt:i4>42</vt:i4>
      </vt:variant>
      <vt:variant>
        <vt:i4>0</vt:i4>
      </vt:variant>
      <vt:variant>
        <vt:i4>5</vt:i4>
      </vt:variant>
      <vt:variant>
        <vt:lpwstr>http://data.europa.eu/eli/reg/2024/982/oj</vt:lpwstr>
      </vt:variant>
      <vt:variant>
        <vt:lpwstr/>
      </vt:variant>
      <vt:variant>
        <vt:i4>7209065</vt:i4>
      </vt:variant>
      <vt:variant>
        <vt:i4>39</vt:i4>
      </vt:variant>
      <vt:variant>
        <vt:i4>0</vt:i4>
      </vt:variant>
      <vt:variant>
        <vt:i4>5</vt:i4>
      </vt:variant>
      <vt:variant>
        <vt:lpwstr>http://data.europa.eu/eli/reg/2022/2065/oj</vt:lpwstr>
      </vt:variant>
      <vt:variant>
        <vt:lpwstr/>
      </vt:variant>
      <vt:variant>
        <vt:i4>4194324</vt:i4>
      </vt:variant>
      <vt:variant>
        <vt:i4>36</vt:i4>
      </vt:variant>
      <vt:variant>
        <vt:i4>0</vt:i4>
      </vt:variant>
      <vt:variant>
        <vt:i4>5</vt:i4>
      </vt:variant>
      <vt:variant>
        <vt:lpwstr>http://data.europa.eu/eli/reg/2021/784/oj</vt:lpwstr>
      </vt:variant>
      <vt:variant>
        <vt:lpwstr/>
      </vt:variant>
      <vt:variant>
        <vt:i4>6488173</vt:i4>
      </vt:variant>
      <vt:variant>
        <vt:i4>33</vt:i4>
      </vt:variant>
      <vt:variant>
        <vt:i4>0</vt:i4>
      </vt:variant>
      <vt:variant>
        <vt:i4>5</vt:i4>
      </vt:variant>
      <vt:variant>
        <vt:lpwstr>http://data.europa.eu/eli/reg/2018/1725/oj</vt:lpwstr>
      </vt:variant>
      <vt:variant>
        <vt:lpwstr/>
      </vt:variant>
      <vt:variant>
        <vt:i4>8323191</vt:i4>
      </vt:variant>
      <vt:variant>
        <vt:i4>30</vt:i4>
      </vt:variant>
      <vt:variant>
        <vt:i4>0</vt:i4>
      </vt:variant>
      <vt:variant>
        <vt:i4>5</vt:i4>
      </vt:variant>
      <vt:variant>
        <vt:lpwstr>https://eur-lex.europa.eu/legal-content/EN/AUTO/?uri=OJ:L:2018:295:TOC</vt:lpwstr>
      </vt:variant>
      <vt:variant>
        <vt:lpwstr/>
      </vt:variant>
      <vt:variant>
        <vt:i4>196732</vt:i4>
      </vt:variant>
      <vt:variant>
        <vt:i4>27</vt:i4>
      </vt:variant>
      <vt:variant>
        <vt:i4>0</vt:i4>
      </vt:variant>
      <vt:variant>
        <vt:i4>5</vt:i4>
      </vt:variant>
      <vt:variant>
        <vt:lpwstr>http://data.europa.eu/eli/agree_interinstit/2016/512/oj</vt:lpwstr>
      </vt:variant>
      <vt:variant>
        <vt:lpwstr/>
      </vt:variant>
      <vt:variant>
        <vt:i4>6815849</vt:i4>
      </vt:variant>
      <vt:variant>
        <vt:i4>24</vt:i4>
      </vt:variant>
      <vt:variant>
        <vt:i4>0</vt:i4>
      </vt:variant>
      <vt:variant>
        <vt:i4>5</vt:i4>
      </vt:variant>
      <vt:variant>
        <vt:lpwstr>http://data.europa.eu/eli/reg/2024/1356/oj</vt:lpwstr>
      </vt:variant>
      <vt:variant>
        <vt:lpwstr/>
      </vt:variant>
      <vt:variant>
        <vt:i4>196732</vt:i4>
      </vt:variant>
      <vt:variant>
        <vt:i4>21</vt:i4>
      </vt:variant>
      <vt:variant>
        <vt:i4>0</vt:i4>
      </vt:variant>
      <vt:variant>
        <vt:i4>5</vt:i4>
      </vt:variant>
      <vt:variant>
        <vt:lpwstr>http://data.europa.eu/eli/agree_interinstit/2016/512/oj</vt:lpwstr>
      </vt:variant>
      <vt:variant>
        <vt:lpwstr/>
      </vt:variant>
      <vt:variant>
        <vt:i4>5636186</vt:i4>
      </vt:variant>
      <vt:variant>
        <vt:i4>18</vt:i4>
      </vt:variant>
      <vt:variant>
        <vt:i4>0</vt:i4>
      </vt:variant>
      <vt:variant>
        <vt:i4>5</vt:i4>
      </vt:variant>
      <vt:variant>
        <vt:lpwstr>http://data.europa.eu/eli/dir/2011/36/oj</vt:lpwstr>
      </vt:variant>
      <vt:variant>
        <vt:lpwstr/>
      </vt:variant>
      <vt:variant>
        <vt:i4>4325399</vt:i4>
      </vt:variant>
      <vt:variant>
        <vt:i4>15</vt:i4>
      </vt:variant>
      <vt:variant>
        <vt:i4>0</vt:i4>
      </vt:variant>
      <vt:variant>
        <vt:i4>5</vt:i4>
      </vt:variant>
      <vt:variant>
        <vt:lpwstr>http://data.europa.eu/eli/reg/2019/881/oj</vt:lpwstr>
      </vt:variant>
      <vt:variant>
        <vt:lpwstr/>
      </vt:variant>
      <vt:variant>
        <vt:i4>7143535</vt:i4>
      </vt:variant>
      <vt:variant>
        <vt:i4>12</vt:i4>
      </vt:variant>
      <vt:variant>
        <vt:i4>0</vt:i4>
      </vt:variant>
      <vt:variant>
        <vt:i4>5</vt:i4>
      </vt:variant>
      <vt:variant>
        <vt:lpwstr>http://data.europa.eu/eli/reg/2017/1939/oj</vt:lpwstr>
      </vt:variant>
      <vt:variant>
        <vt:lpwstr/>
      </vt:variant>
      <vt:variant>
        <vt:i4>6488175</vt:i4>
      </vt:variant>
      <vt:variant>
        <vt:i4>9</vt:i4>
      </vt:variant>
      <vt:variant>
        <vt:i4>0</vt:i4>
      </vt:variant>
      <vt:variant>
        <vt:i4>5</vt:i4>
      </vt:variant>
      <vt:variant>
        <vt:lpwstr>http://data.europa.eu/eli/reg/2018/1727/oj</vt:lpwstr>
      </vt:variant>
      <vt:variant>
        <vt:lpwstr/>
      </vt:variant>
      <vt:variant>
        <vt:i4>6881385</vt:i4>
      </vt:variant>
      <vt:variant>
        <vt:i4>6</vt:i4>
      </vt:variant>
      <vt:variant>
        <vt:i4>0</vt:i4>
      </vt:variant>
      <vt:variant>
        <vt:i4>5</vt:i4>
      </vt:variant>
      <vt:variant>
        <vt:lpwstr>http://data.europa.eu/eli/dir/2024/1385/oj</vt:lpwstr>
      </vt:variant>
      <vt:variant>
        <vt:lpwstr/>
      </vt:variant>
      <vt:variant>
        <vt:i4>4653078</vt:i4>
      </vt:variant>
      <vt:variant>
        <vt:i4>3</vt:i4>
      </vt:variant>
      <vt:variant>
        <vt:i4>0</vt:i4>
      </vt:variant>
      <vt:variant>
        <vt:i4>5</vt:i4>
      </vt:variant>
      <vt:variant>
        <vt:lpwstr>http://data.europa.eu/eli/reg/2016/794/oj</vt:lpwstr>
      </vt:variant>
      <vt:variant>
        <vt:lpwstr/>
      </vt:variant>
      <vt:variant>
        <vt:i4>4784139</vt:i4>
      </vt:variant>
      <vt:variant>
        <vt:i4>0</vt:i4>
      </vt:variant>
      <vt:variant>
        <vt:i4>0</vt:i4>
      </vt:variant>
      <vt:variant>
        <vt:i4>5</vt:i4>
      </vt:variant>
      <vt:variant>
        <vt:lpwstr>http://data.europa.eu/eli/dec/2009/371/oj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32</cp:revision>
  <dcterms:created xsi:type="dcterms:W3CDTF">2026-06-23T12:40:00Z</dcterms:created>
  <dcterms:modified xsi:type="dcterms:W3CDTF">2026-09-11T06:01:00Z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MSIP_Label_6bd9ddd1-4d20-43f6-abfa-fc3c07406f94_Enabled">
    <vt:lpwstr>true</vt:lpwstr>
  </property>
  <property fmtid="{D5CDD505-2E9C-101B-9397-08002B2CF9AE}" pid="9" name="MSIP_Label_6bd9ddd1-4d20-43f6-abfa-fc3c07406f94_SetDate">
    <vt:lpwstr>2026-06-21T18:33:32Z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ebd5f777-d0e6-4554-9cda-37c59788045d</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DQCStatus">
    <vt:lpwstr>Green (DQC version 03)</vt:lpwstr>
  </property>
</Properties>
</file>