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85873" w14:textId="50BD297B" w:rsidR="00E46E5E" w:rsidRDefault="00FB433C" w:rsidP="00405E4C">
      <w:pPr>
        <w:pStyle w:val="Pagedecouverture"/>
        <w:rPr>
          <w:noProof/>
        </w:rPr>
      </w:pPr>
      <w:bookmarkStart w:id="0" w:name="LW_BM_COVERPAGE"/>
      <w:bookmarkStart w:id="1" w:name="GUID0C83FB94D4D5468DAEDF020B9CAAF142"/>
      <w:r>
        <w:rPr>
          <w:noProof/>
        </w:rPr>
        <w:pict w14:anchorId="59C969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DAD6655-CF3B-4245-8140-B45FAF26B51B" style="width:455pt;height:354.5pt">
            <v:imagedata r:id="rId8" o:title=""/>
          </v:shape>
        </w:pict>
      </w:r>
    </w:p>
    <w:bookmarkEnd w:id="0"/>
    <w:p w14:paraId="56819F7E" w14:textId="09535223" w:rsidR="00C3471D" w:rsidRPr="00C3471D" w:rsidRDefault="00C3471D" w:rsidP="00C3471D">
      <w:pPr>
        <w:pStyle w:val="Pagedecouverture"/>
        <w:rPr>
          <w:noProof/>
        </w:rPr>
        <w:sectPr w:rsidR="00C3471D" w:rsidRPr="00C3471D" w:rsidSect="00405E4C">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7" w:h="16839"/>
          <w:pgMar w:top="1134" w:right="1417" w:bottom="1134" w:left="1417" w:header="709" w:footer="709" w:gutter="0"/>
          <w:pgNumType w:start="0"/>
          <w:cols w:space="720"/>
          <w:docGrid w:linePitch="360"/>
        </w:sectPr>
      </w:pPr>
    </w:p>
    <w:p w14:paraId="3F4D3AAB" w14:textId="77777777" w:rsidR="009331D7" w:rsidRDefault="009331D7" w:rsidP="00D85738">
      <w:pPr>
        <w:rPr>
          <w:noProof/>
        </w:rPr>
      </w:pPr>
    </w:p>
    <w:p w14:paraId="5AF1D865" w14:textId="46CFB80F" w:rsidR="009331D7" w:rsidRPr="00D00781" w:rsidRDefault="009331D7" w:rsidP="00D00781">
      <w:pPr>
        <w:numPr>
          <w:ilvl w:val="0"/>
          <w:numId w:val="1"/>
        </w:numPr>
        <w:ind w:left="567" w:hanging="567"/>
        <w:rPr>
          <w:b/>
          <w:bCs/>
          <w:noProof/>
        </w:rPr>
      </w:pPr>
      <w:r w:rsidRPr="009331D7">
        <w:rPr>
          <w:b/>
          <w:bCs/>
          <w:noProof/>
        </w:rPr>
        <w:t>PURPOSE OF THE REPORT</w:t>
      </w:r>
    </w:p>
    <w:p w14:paraId="06DCB12B" w14:textId="2639A77B" w:rsidR="00F410AB" w:rsidRDefault="00F410AB" w:rsidP="004D64E3">
      <w:pPr>
        <w:ind w:left="567"/>
        <w:rPr>
          <w:noProof/>
        </w:rPr>
      </w:pPr>
      <w:r>
        <w:rPr>
          <w:noProof/>
        </w:rPr>
        <w:t xml:space="preserve">The euro is </w:t>
      </w:r>
      <w:r w:rsidR="00AE5B66">
        <w:rPr>
          <w:noProof/>
        </w:rPr>
        <w:t xml:space="preserve">intended </w:t>
      </w:r>
      <w:r>
        <w:rPr>
          <w:noProof/>
        </w:rPr>
        <w:t xml:space="preserve">to be the single currency of the European Union as a whole. It is </w:t>
      </w:r>
      <w:r w:rsidR="00AE5B66">
        <w:rPr>
          <w:noProof/>
        </w:rPr>
        <w:t xml:space="preserve">currently </w:t>
      </w:r>
      <w:r>
        <w:rPr>
          <w:noProof/>
        </w:rPr>
        <w:t xml:space="preserve">used every day by around 355 million people in the 21 Member States of the euro area. The practical benefits </w:t>
      </w:r>
      <w:r w:rsidR="00AE5B66">
        <w:rPr>
          <w:noProof/>
        </w:rPr>
        <w:t xml:space="preserve">of the euro </w:t>
      </w:r>
      <w:r>
        <w:rPr>
          <w:noProof/>
        </w:rPr>
        <w:t xml:space="preserve">include </w:t>
      </w:r>
      <w:r w:rsidRPr="003E111F">
        <w:rPr>
          <w:noProof/>
        </w:rPr>
        <w:t>more</w:t>
      </w:r>
      <w:r>
        <w:rPr>
          <w:noProof/>
        </w:rPr>
        <w:t xml:space="preserve"> stable prices, lower transaction costs for people and businesses, more transparent and competitive markets and increased </w:t>
      </w:r>
      <w:r w:rsidR="00AE5B66">
        <w:rPr>
          <w:noProof/>
        </w:rPr>
        <w:t>trade within the EU and with the rest of the world</w:t>
      </w:r>
      <w:r>
        <w:rPr>
          <w:noProof/>
        </w:rPr>
        <w:t xml:space="preserve">. The euro is </w:t>
      </w:r>
      <w:r w:rsidR="00AE5B66">
        <w:rPr>
          <w:noProof/>
        </w:rPr>
        <w:t>currently</w:t>
      </w:r>
      <w:r>
        <w:rPr>
          <w:noProof/>
        </w:rPr>
        <w:t xml:space="preserve"> the second most used currency worldwide.</w:t>
      </w:r>
    </w:p>
    <w:p w14:paraId="63AE047A" w14:textId="40F99D16" w:rsidR="009C6F80" w:rsidRDefault="00F410AB" w:rsidP="004D64E3">
      <w:pPr>
        <w:ind w:left="567"/>
        <w:rPr>
          <w:noProof/>
        </w:rPr>
      </w:pPr>
      <w:r w:rsidRPr="00362F14">
        <w:rPr>
          <w:noProof/>
        </w:rPr>
        <w:t xml:space="preserve">Article 140(1) of the Treaty on the Functioning of the European Union (TFEU) requires the Commission and the European Central Bank (ECB) to report to the Council at least once every </w:t>
      </w:r>
      <w:r w:rsidR="00A3247F">
        <w:rPr>
          <w:noProof/>
        </w:rPr>
        <w:t>two</w:t>
      </w:r>
      <w:r w:rsidRPr="00362F14">
        <w:rPr>
          <w:noProof/>
        </w:rPr>
        <w:t xml:space="preserve"> years, or at the request of a Member State with a derogation</w:t>
      </w:r>
      <w:r>
        <w:rPr>
          <w:rStyle w:val="FootnoteReference"/>
          <w:noProof/>
        </w:rPr>
        <w:footnoteReference w:id="2"/>
      </w:r>
      <w:r w:rsidRPr="00362F14">
        <w:rPr>
          <w:noProof/>
        </w:rPr>
        <w:t xml:space="preserve">, on the progress </w:t>
      </w:r>
      <w:r w:rsidR="001A4CBB">
        <w:rPr>
          <w:noProof/>
        </w:rPr>
        <w:t xml:space="preserve">that </w:t>
      </w:r>
      <w:r w:rsidRPr="00362F14">
        <w:rPr>
          <w:noProof/>
        </w:rPr>
        <w:t>Member States</w:t>
      </w:r>
      <w:r w:rsidR="00A3247F">
        <w:rPr>
          <w:noProof/>
        </w:rPr>
        <w:t xml:space="preserve"> with </w:t>
      </w:r>
      <w:r w:rsidR="2EDB0902">
        <w:rPr>
          <w:noProof/>
        </w:rPr>
        <w:t xml:space="preserve">a </w:t>
      </w:r>
      <w:r w:rsidR="00A3247F">
        <w:rPr>
          <w:noProof/>
        </w:rPr>
        <w:t>derogation</w:t>
      </w:r>
      <w:r w:rsidRPr="00362F14">
        <w:rPr>
          <w:noProof/>
        </w:rPr>
        <w:t xml:space="preserve"> </w:t>
      </w:r>
      <w:r w:rsidR="001A4CBB">
        <w:rPr>
          <w:noProof/>
        </w:rPr>
        <w:t xml:space="preserve">have made </w:t>
      </w:r>
      <w:r w:rsidRPr="00362F14">
        <w:rPr>
          <w:noProof/>
        </w:rPr>
        <w:t xml:space="preserve">in fulfilling their obligations </w:t>
      </w:r>
      <w:r w:rsidR="001A4CBB">
        <w:rPr>
          <w:noProof/>
        </w:rPr>
        <w:t xml:space="preserve">to achieve </w:t>
      </w:r>
      <w:r w:rsidRPr="00362F14">
        <w:rPr>
          <w:noProof/>
        </w:rPr>
        <w:t xml:space="preserve">economic and monetary union. The latest Commission and ECB </w:t>
      </w:r>
      <w:r w:rsidR="005355E7">
        <w:rPr>
          <w:noProof/>
        </w:rPr>
        <w:t xml:space="preserve">regular </w:t>
      </w:r>
      <w:r w:rsidRPr="003E111F">
        <w:rPr>
          <w:noProof/>
        </w:rPr>
        <w:t>convergence reports</w:t>
      </w:r>
      <w:r w:rsidRPr="00362F14">
        <w:rPr>
          <w:noProof/>
        </w:rPr>
        <w:t xml:space="preserve"> were adopted in June 202</w:t>
      </w:r>
      <w:r>
        <w:rPr>
          <w:noProof/>
        </w:rPr>
        <w:t>4</w:t>
      </w:r>
      <w:r w:rsidRPr="00362F14">
        <w:rPr>
          <w:noProof/>
        </w:rPr>
        <w:t>.</w:t>
      </w:r>
      <w:r w:rsidR="005355E7" w:rsidRPr="005355E7">
        <w:rPr>
          <w:noProof/>
        </w:rPr>
        <w:t xml:space="preserve"> </w:t>
      </w:r>
    </w:p>
    <w:p w14:paraId="011A551A" w14:textId="76607163" w:rsidR="009C6F80" w:rsidRDefault="2CB1302E" w:rsidP="009C6F80">
      <w:pPr>
        <w:ind w:left="567"/>
        <w:rPr>
          <w:noProof/>
        </w:rPr>
      </w:pPr>
      <w:r>
        <w:rPr>
          <w:noProof/>
        </w:rPr>
        <w:t>On 25 February 2025, Bulgaria submitted a request for an ad</w:t>
      </w:r>
      <w:r w:rsidR="19089A5C">
        <w:rPr>
          <w:noProof/>
        </w:rPr>
        <w:t xml:space="preserve"> </w:t>
      </w:r>
      <w:r>
        <w:rPr>
          <w:noProof/>
        </w:rPr>
        <w:t xml:space="preserve">hoc convergence assessment. Following the preparation of a </w:t>
      </w:r>
      <w:r w:rsidR="19089A5C">
        <w:rPr>
          <w:noProof/>
        </w:rPr>
        <w:t>C</w:t>
      </w:r>
      <w:r>
        <w:rPr>
          <w:noProof/>
        </w:rPr>
        <w:t xml:space="preserve">onvergence </w:t>
      </w:r>
      <w:r w:rsidR="19089A5C">
        <w:rPr>
          <w:noProof/>
        </w:rPr>
        <w:t>R</w:t>
      </w:r>
      <w:r>
        <w:rPr>
          <w:noProof/>
        </w:rPr>
        <w:t xml:space="preserve">eport on Bulgaria and on the basis of a proposal by the Commission, the Council decided in July 2025 that Bulgaria fulfilled the necessary conditions for adopting the euro </w:t>
      </w:r>
      <w:r w:rsidR="19089A5C">
        <w:rPr>
          <w:noProof/>
        </w:rPr>
        <w:t xml:space="preserve">on </w:t>
      </w:r>
      <w:r>
        <w:rPr>
          <w:noProof/>
        </w:rPr>
        <w:t>1 January 2026</w:t>
      </w:r>
      <w:r w:rsidR="00052DDE">
        <w:rPr>
          <w:rStyle w:val="FootnoteReference"/>
          <w:noProof/>
        </w:rPr>
        <w:footnoteReference w:id="3"/>
      </w:r>
      <w:r>
        <w:rPr>
          <w:noProof/>
        </w:rPr>
        <w:t xml:space="preserve">. </w:t>
      </w:r>
    </w:p>
    <w:p w14:paraId="293A9D79" w14:textId="6CEAEC15" w:rsidR="00F410AB" w:rsidRDefault="00F410AB" w:rsidP="004D64E3">
      <w:pPr>
        <w:ind w:left="567"/>
        <w:rPr>
          <w:noProof/>
        </w:rPr>
      </w:pPr>
      <w:r w:rsidRPr="002E41A8">
        <w:rPr>
          <w:noProof/>
        </w:rPr>
        <w:t>Th</w:t>
      </w:r>
      <w:r w:rsidR="00E47C31">
        <w:rPr>
          <w:noProof/>
        </w:rPr>
        <w:t>is</w:t>
      </w:r>
      <w:r w:rsidRPr="002E41A8">
        <w:rPr>
          <w:noProof/>
        </w:rPr>
        <w:t xml:space="preserve"> 202</w:t>
      </w:r>
      <w:r>
        <w:rPr>
          <w:noProof/>
        </w:rPr>
        <w:t>6</w:t>
      </w:r>
      <w:r w:rsidRPr="002E41A8">
        <w:rPr>
          <w:noProof/>
        </w:rPr>
        <w:t xml:space="preserve"> Convergence Report covers the following </w:t>
      </w:r>
      <w:r>
        <w:rPr>
          <w:noProof/>
        </w:rPr>
        <w:t>five</w:t>
      </w:r>
      <w:r w:rsidRPr="002E41A8">
        <w:rPr>
          <w:noProof/>
        </w:rPr>
        <w:t xml:space="preserve"> Member States with a derogation: Czechia, </w:t>
      </w:r>
      <w:r>
        <w:rPr>
          <w:noProof/>
        </w:rPr>
        <w:t>H</w:t>
      </w:r>
      <w:r w:rsidRPr="002E41A8">
        <w:rPr>
          <w:noProof/>
        </w:rPr>
        <w:t>ungary, Poland, Romania and Sweden</w:t>
      </w:r>
      <w:r>
        <w:rPr>
          <w:rStyle w:val="FootnoteReference"/>
          <w:noProof/>
        </w:rPr>
        <w:footnoteReference w:id="4"/>
      </w:r>
      <w:r w:rsidRPr="002E41A8">
        <w:rPr>
          <w:noProof/>
        </w:rPr>
        <w:t>. The staff working document accompanying this report provides a more detailed assessment of the state of convergence in these Member States</w:t>
      </w:r>
      <w:r>
        <w:rPr>
          <w:rStyle w:val="FootnoteReference"/>
          <w:noProof/>
        </w:rPr>
        <w:footnoteReference w:id="5"/>
      </w:r>
      <w:r>
        <w:rPr>
          <w:noProof/>
        </w:rPr>
        <w:t>.</w:t>
      </w:r>
    </w:p>
    <w:p w14:paraId="175EA11C" w14:textId="5ACDA170" w:rsidR="00D85CC2" w:rsidRDefault="00D85CC2" w:rsidP="00D85CC2">
      <w:pPr>
        <w:ind w:left="567"/>
        <w:rPr>
          <w:noProof/>
        </w:rPr>
      </w:pPr>
      <w:r>
        <w:rPr>
          <w:noProof/>
        </w:rPr>
        <w:t xml:space="preserve">Article 140(1) TFEU requires the reports to include an examination of the compatibility of national legislation, including the statutes of national central banks, with Articles 130 and 131 TFEU and the Statute of the European System of Central Banks and of the European Central Bank (‘the ESCB/ECB Statute’). The reports must also examine whether a high degree of sustainable convergence has been achieved in the Member State concerned </w:t>
      </w:r>
      <w:r w:rsidR="00420D87">
        <w:rPr>
          <w:noProof/>
        </w:rPr>
        <w:t xml:space="preserve">(i) </w:t>
      </w:r>
      <w:r>
        <w:rPr>
          <w:noProof/>
        </w:rPr>
        <w:t xml:space="preserve">by </w:t>
      </w:r>
      <w:r w:rsidR="00420D87">
        <w:rPr>
          <w:noProof/>
        </w:rPr>
        <w:t xml:space="preserve">referring </w:t>
      </w:r>
      <w:r>
        <w:rPr>
          <w:noProof/>
        </w:rPr>
        <w:t>to the fulfilment of the four convergence criteria (price stability, public finances, exchange rate stability and long-term interest rates)</w:t>
      </w:r>
      <w:r w:rsidR="00420D87">
        <w:rPr>
          <w:noProof/>
        </w:rPr>
        <w:t>;</w:t>
      </w:r>
      <w:r>
        <w:rPr>
          <w:noProof/>
        </w:rPr>
        <w:t xml:space="preserve"> and </w:t>
      </w:r>
      <w:r w:rsidR="00420D87">
        <w:rPr>
          <w:noProof/>
        </w:rPr>
        <w:t xml:space="preserve">(ii) </w:t>
      </w:r>
      <w:r>
        <w:rPr>
          <w:noProof/>
        </w:rPr>
        <w:t>by taking account of other factors relevant to economic integration and convergence mentioned in the final subparagraph of Article 140(1) TFEU. The four convergence criteria are developed further in a protocol annexed to the Treaties (Protocol No 13 on the convergence criteria).</w:t>
      </w:r>
    </w:p>
    <w:p w14:paraId="2EFDAC89" w14:textId="30C5D669" w:rsidR="0027082F" w:rsidRDefault="0027082F" w:rsidP="0027082F">
      <w:pPr>
        <w:ind w:left="567"/>
        <w:rPr>
          <w:noProof/>
        </w:rPr>
      </w:pPr>
      <w:r w:rsidRPr="009A3619">
        <w:rPr>
          <w:noProof/>
        </w:rPr>
        <w:t>The convergence</w:t>
      </w:r>
      <w:r>
        <w:rPr>
          <w:noProof/>
        </w:rPr>
        <w:t xml:space="preserve"> assessment in this report is presented against the back</w:t>
      </w:r>
      <w:r w:rsidR="004E6C8D">
        <w:rPr>
          <w:noProof/>
        </w:rPr>
        <w:t>drop</w:t>
      </w:r>
      <w:r>
        <w:rPr>
          <w:noProof/>
        </w:rPr>
        <w:t xml:space="preserve"> of several major economic and policy developments </w:t>
      </w:r>
      <w:r w:rsidR="004E6C8D">
        <w:rPr>
          <w:noProof/>
        </w:rPr>
        <w:t xml:space="preserve">over the course of </w:t>
      </w:r>
      <w:r>
        <w:rPr>
          <w:noProof/>
        </w:rPr>
        <w:t xml:space="preserve">2025 and the first half of 2026. </w:t>
      </w:r>
      <w:bookmarkStart w:id="2" w:name="_Hlk232343565"/>
      <w:r>
        <w:rPr>
          <w:noProof/>
        </w:rPr>
        <w:t xml:space="preserve">In 2025, volatility in US trade policy and the increase in the US trade tariffs, although lower than originally announced, disrupted global trade flows and led to heightened policy uncertainty. However, despite this </w:t>
      </w:r>
      <w:r w:rsidRPr="002C5724">
        <w:rPr>
          <w:noProof/>
        </w:rPr>
        <w:t>challenging external environment</w:t>
      </w:r>
      <w:r>
        <w:rPr>
          <w:noProof/>
        </w:rPr>
        <w:t xml:space="preserve">, the EU economy showed resilience and continued to grow at a steady pace. Following moderate economic growth of 1.0% in 2024, the EU economy gained momentum in 2025, with GDP </w:t>
      </w:r>
      <w:r w:rsidR="004E6C8D">
        <w:rPr>
          <w:noProof/>
        </w:rPr>
        <w:t xml:space="preserve">consequently </w:t>
      </w:r>
      <w:r>
        <w:rPr>
          <w:noProof/>
        </w:rPr>
        <w:t xml:space="preserve">growing by 1.4%. This growth was underpinned by a strong labour market, easing inflationary pressures, and favourable financial conditions. Following its peak in 2022-23, annual consumer price inflation </w:t>
      </w:r>
      <w:r w:rsidR="007A2903">
        <w:rPr>
          <w:noProof/>
        </w:rPr>
        <w:t>fell</w:t>
      </w:r>
      <w:r>
        <w:rPr>
          <w:noProof/>
        </w:rPr>
        <w:t xml:space="preserve"> to 2.6% in 2024 and 2.5% in 2025. D</w:t>
      </w:r>
      <w:r w:rsidRPr="00504112">
        <w:rPr>
          <w:noProof/>
        </w:rPr>
        <w:t xml:space="preserve">riven by lower energy prices and </w:t>
      </w:r>
      <w:r w:rsidR="007A2903">
        <w:rPr>
          <w:noProof/>
        </w:rPr>
        <w:t>falling</w:t>
      </w:r>
      <w:r w:rsidR="007A2903" w:rsidRPr="00504112">
        <w:rPr>
          <w:noProof/>
        </w:rPr>
        <w:t xml:space="preserve"> </w:t>
      </w:r>
      <w:r w:rsidRPr="00504112">
        <w:rPr>
          <w:noProof/>
        </w:rPr>
        <w:t>service</w:t>
      </w:r>
      <w:r w:rsidR="007A2903">
        <w:rPr>
          <w:noProof/>
        </w:rPr>
        <w:t>s</w:t>
      </w:r>
      <w:r w:rsidR="003E4B48">
        <w:rPr>
          <w:noProof/>
        </w:rPr>
        <w:t xml:space="preserve"> inflation</w:t>
      </w:r>
      <w:r>
        <w:rPr>
          <w:noProof/>
        </w:rPr>
        <w:t xml:space="preserve">, it continued to fall across the EU during the first half of 2025, before stabilising </w:t>
      </w:r>
      <w:r w:rsidR="007A2903">
        <w:rPr>
          <w:noProof/>
        </w:rPr>
        <w:t>at</w:t>
      </w:r>
      <w:r w:rsidR="0013593B">
        <w:rPr>
          <w:noProof/>
        </w:rPr>
        <w:t xml:space="preserve"> </w:t>
      </w:r>
      <w:r>
        <w:rPr>
          <w:noProof/>
        </w:rPr>
        <w:t xml:space="preserve">around 2% during the second half of the year and the first two months of 2026. </w:t>
      </w:r>
    </w:p>
    <w:bookmarkEnd w:id="2"/>
    <w:p w14:paraId="4A3E1D3A" w14:textId="4EA7EB95" w:rsidR="00816876" w:rsidRDefault="00816876" w:rsidP="00816876">
      <w:pPr>
        <w:ind w:left="567"/>
        <w:rPr>
          <w:noProof/>
        </w:rPr>
      </w:pPr>
      <w:r w:rsidRPr="009009D6">
        <w:rPr>
          <w:noProof/>
        </w:rPr>
        <w:t xml:space="preserve">However, the outbreak of the war in the Middle East on 28 February 2026 materially changed this picture, by </w:t>
      </w:r>
      <w:r w:rsidR="00A22024">
        <w:rPr>
          <w:noProof/>
        </w:rPr>
        <w:t>creating</w:t>
      </w:r>
      <w:r w:rsidRPr="009009D6">
        <w:rPr>
          <w:noProof/>
        </w:rPr>
        <w:t xml:space="preserve"> the most significant global </w:t>
      </w:r>
      <w:r w:rsidR="00572411">
        <w:rPr>
          <w:noProof/>
        </w:rPr>
        <w:t xml:space="preserve">energy </w:t>
      </w:r>
      <w:r w:rsidRPr="009009D6">
        <w:rPr>
          <w:noProof/>
        </w:rPr>
        <w:t xml:space="preserve">supply disruption in recent history. The Middle East conflict was followed by the virtual closure of the Strait of Hormuz, which reduced seaborne flows of oil and LNG and led to a surge in energy prices. Between the outbreak of the Middle East conflict </w:t>
      </w:r>
      <w:r w:rsidRPr="009009D6">
        <w:rPr>
          <w:noProof/>
        </w:rPr>
        <w:lastRenderedPageBreak/>
        <w:t xml:space="preserve">and 29 April - the cut-off date for the technical assumptions of the Commission’s Spring </w:t>
      </w:r>
      <w:r w:rsidR="001116B4">
        <w:rPr>
          <w:noProof/>
        </w:rPr>
        <w:t xml:space="preserve">2026 </w:t>
      </w:r>
      <w:r w:rsidRPr="009009D6">
        <w:rPr>
          <w:noProof/>
        </w:rPr>
        <w:t>Economic Forecast, which is the basis for the sustainability assessment in this Convergence Report - oil and gas prices increased by 65% and 50% respectively, leading to a strong acceleration of energy inflation. Price pressures are set to broaden progressively, as rising energy costs feed through the production chain and are partially passed through to consumers. The external assumption</w:t>
      </w:r>
      <w:r w:rsidR="0012408F">
        <w:rPr>
          <w:noProof/>
        </w:rPr>
        <w:t>s</w:t>
      </w:r>
      <w:r w:rsidRPr="009009D6">
        <w:rPr>
          <w:noProof/>
        </w:rPr>
        <w:t xml:space="preserve"> of the Commission’s Spring </w:t>
      </w:r>
      <w:r w:rsidR="001116B4">
        <w:rPr>
          <w:noProof/>
        </w:rPr>
        <w:t xml:space="preserve">2026 </w:t>
      </w:r>
      <w:r w:rsidRPr="009009D6">
        <w:rPr>
          <w:noProof/>
        </w:rPr>
        <w:t xml:space="preserve">Economic Forecast </w:t>
      </w:r>
      <w:r w:rsidR="004812A1">
        <w:rPr>
          <w:noProof/>
        </w:rPr>
        <w:t xml:space="preserve">take into account </w:t>
      </w:r>
      <w:r w:rsidRPr="009009D6">
        <w:rPr>
          <w:noProof/>
        </w:rPr>
        <w:t>the path of futures prices for energy commodities at the time of the cut-off date of the forecast. These energy commodity assumptions suggest a relatively swift, albeit partial, normalisation of supply conditions, with oil and gas prices expected to stabilise at around 20% above pre-war levels by 2027.</w:t>
      </w:r>
    </w:p>
    <w:p w14:paraId="348908B6" w14:textId="2872B05C" w:rsidR="0027082F" w:rsidRDefault="0027082F" w:rsidP="0027082F">
      <w:pPr>
        <w:ind w:left="567"/>
        <w:rPr>
          <w:noProof/>
        </w:rPr>
      </w:pPr>
      <w:r>
        <w:rPr>
          <w:noProof/>
        </w:rPr>
        <w:t xml:space="preserve">In parallel, </w:t>
      </w:r>
      <w:r w:rsidRPr="00AD0BF9">
        <w:rPr>
          <w:noProof/>
        </w:rPr>
        <w:t xml:space="preserve">Russia’s </w:t>
      </w:r>
      <w:r>
        <w:rPr>
          <w:noProof/>
        </w:rPr>
        <w:t xml:space="preserve">continued </w:t>
      </w:r>
      <w:r w:rsidR="006C724C">
        <w:rPr>
          <w:noProof/>
        </w:rPr>
        <w:t xml:space="preserve">war of </w:t>
      </w:r>
      <w:r w:rsidRPr="00AD0BF9">
        <w:rPr>
          <w:noProof/>
        </w:rPr>
        <w:t xml:space="preserve">aggression </w:t>
      </w:r>
      <w:r w:rsidR="006C724C">
        <w:rPr>
          <w:noProof/>
        </w:rPr>
        <w:t>against</w:t>
      </w:r>
      <w:r w:rsidRPr="00AD0BF9">
        <w:rPr>
          <w:noProof/>
        </w:rPr>
        <w:t xml:space="preserve"> Ukraine </w:t>
      </w:r>
      <w:r>
        <w:rPr>
          <w:noProof/>
        </w:rPr>
        <w:t xml:space="preserve">implies </w:t>
      </w:r>
      <w:r w:rsidRPr="00AD0BF9">
        <w:rPr>
          <w:noProof/>
        </w:rPr>
        <w:t xml:space="preserve">a significant </w:t>
      </w:r>
      <w:r>
        <w:rPr>
          <w:noProof/>
        </w:rPr>
        <w:t xml:space="preserve">threat to </w:t>
      </w:r>
      <w:r w:rsidRPr="00AD0BF9">
        <w:rPr>
          <w:noProof/>
        </w:rPr>
        <w:t>European security</w:t>
      </w:r>
      <w:r>
        <w:rPr>
          <w:noProof/>
        </w:rPr>
        <w:t xml:space="preserve"> and requires spending </w:t>
      </w:r>
      <w:r w:rsidR="00CE5103">
        <w:rPr>
          <w:noProof/>
        </w:rPr>
        <w:t xml:space="preserve">to be increased </w:t>
      </w:r>
      <w:r>
        <w:rPr>
          <w:noProof/>
        </w:rPr>
        <w:t xml:space="preserve">on defence </w:t>
      </w:r>
      <w:r w:rsidR="00CE5103">
        <w:rPr>
          <w:noProof/>
        </w:rPr>
        <w:t>for</w:t>
      </w:r>
      <w:r>
        <w:rPr>
          <w:noProof/>
        </w:rPr>
        <w:t xml:space="preserve"> the foreseeable future. </w:t>
      </w:r>
      <w:r w:rsidR="000B4C8A">
        <w:rPr>
          <w:noProof/>
        </w:rPr>
        <w:t xml:space="preserve">As part of this, </w:t>
      </w:r>
      <w:r w:rsidRPr="00D405B9">
        <w:rPr>
          <w:noProof/>
        </w:rPr>
        <w:t>the Commission</w:t>
      </w:r>
      <w:r w:rsidR="000B4C8A">
        <w:rPr>
          <w:noProof/>
        </w:rPr>
        <w:t xml:space="preserve"> presented a defence package</w:t>
      </w:r>
      <w:r w:rsidRPr="00D405B9">
        <w:rPr>
          <w:noProof/>
        </w:rPr>
        <w:t xml:space="preserve"> </w:t>
      </w:r>
      <w:r>
        <w:rPr>
          <w:noProof/>
        </w:rPr>
        <w:t xml:space="preserve">in March 2025 </w:t>
      </w:r>
      <w:r w:rsidR="000B4C8A">
        <w:rPr>
          <w:noProof/>
        </w:rPr>
        <w:t>under</w:t>
      </w:r>
      <w:r w:rsidRPr="00D405B9">
        <w:rPr>
          <w:noProof/>
        </w:rPr>
        <w:t xml:space="preserve"> the ReArm Europe Plan/Readiness 2030</w:t>
      </w:r>
      <w:r w:rsidR="000B4C8A">
        <w:rPr>
          <w:noProof/>
        </w:rPr>
        <w:t xml:space="preserve"> initiative</w:t>
      </w:r>
      <w:r>
        <w:rPr>
          <w:noProof/>
        </w:rPr>
        <w:t xml:space="preserve">. </w:t>
      </w:r>
      <w:r w:rsidR="000B4C8A">
        <w:rPr>
          <w:noProof/>
        </w:rPr>
        <w:t>Under</w:t>
      </w:r>
      <w:r w:rsidRPr="00D405B9">
        <w:rPr>
          <w:noProof/>
        </w:rPr>
        <w:t xml:space="preserve"> this plan, the Commission invited Member States to </w:t>
      </w:r>
      <w:r w:rsidR="000B4C8A">
        <w:rPr>
          <w:noProof/>
        </w:rPr>
        <w:t>request</w:t>
      </w:r>
      <w:r w:rsidRPr="00D405B9">
        <w:rPr>
          <w:noProof/>
        </w:rPr>
        <w:t xml:space="preserve"> the activation of the </w:t>
      </w:r>
      <w:r w:rsidR="008079DA">
        <w:rPr>
          <w:noProof/>
        </w:rPr>
        <w:t>N</w:t>
      </w:r>
      <w:r w:rsidRPr="00D405B9">
        <w:rPr>
          <w:noProof/>
        </w:rPr>
        <w:t xml:space="preserve">ational </w:t>
      </w:r>
      <w:r w:rsidR="008079DA">
        <w:rPr>
          <w:noProof/>
        </w:rPr>
        <w:t>E</w:t>
      </w:r>
      <w:r w:rsidRPr="00D405B9">
        <w:rPr>
          <w:noProof/>
        </w:rPr>
        <w:t xml:space="preserve">scape </w:t>
      </w:r>
      <w:r w:rsidR="008079DA">
        <w:rPr>
          <w:noProof/>
        </w:rPr>
        <w:t>C</w:t>
      </w:r>
      <w:r w:rsidRPr="00D405B9">
        <w:rPr>
          <w:noProof/>
        </w:rPr>
        <w:t>lause of the Stability and Growth Pact, which provide</w:t>
      </w:r>
      <w:r>
        <w:rPr>
          <w:noProof/>
        </w:rPr>
        <w:t>s</w:t>
      </w:r>
      <w:r w:rsidRPr="00D405B9">
        <w:rPr>
          <w:noProof/>
        </w:rPr>
        <w:t xml:space="preserve"> them additional budgetary space to transition to a durably higher level of defence expenditure, within the EU fiscal rules. The amount of the planned deviation </w:t>
      </w:r>
      <w:r w:rsidR="000B4C8A">
        <w:rPr>
          <w:noProof/>
        </w:rPr>
        <w:t xml:space="preserve">from the recommended net expenditure path </w:t>
      </w:r>
      <w:r w:rsidRPr="00D405B9">
        <w:rPr>
          <w:noProof/>
        </w:rPr>
        <w:t xml:space="preserve">under the escape clause </w:t>
      </w:r>
      <w:r>
        <w:rPr>
          <w:noProof/>
        </w:rPr>
        <w:t xml:space="preserve">is </w:t>
      </w:r>
      <w:r w:rsidRPr="00D405B9">
        <w:rPr>
          <w:noProof/>
        </w:rPr>
        <w:t>capped at 1.5%</w:t>
      </w:r>
      <w:r w:rsidR="000B4C8A">
        <w:rPr>
          <w:noProof/>
        </w:rPr>
        <w:t xml:space="preserve"> of</w:t>
      </w:r>
      <w:r w:rsidRPr="00D405B9">
        <w:rPr>
          <w:noProof/>
        </w:rPr>
        <w:t xml:space="preserve"> GDP, available for a period of four years.</w:t>
      </w:r>
      <w:r>
        <w:rPr>
          <w:noProof/>
        </w:rPr>
        <w:t xml:space="preserve"> In addition, the </w:t>
      </w:r>
      <w:r w:rsidRPr="00D405B9">
        <w:rPr>
          <w:noProof/>
        </w:rPr>
        <w:t xml:space="preserve">new Security Action for Europe (SAFE) </w:t>
      </w:r>
      <w:r>
        <w:rPr>
          <w:noProof/>
        </w:rPr>
        <w:t xml:space="preserve">package provides loans of </w:t>
      </w:r>
      <w:r w:rsidRPr="00D405B9">
        <w:rPr>
          <w:noProof/>
        </w:rPr>
        <w:t>up to EUR 150 billion to help EU Member States quickly and substantially increase investments in Europe’s defence capabilities.</w:t>
      </w:r>
    </w:p>
    <w:p w14:paraId="081FEEC9" w14:textId="1988B75D" w:rsidR="0027082F" w:rsidRPr="00834F0C" w:rsidRDefault="00B812A0" w:rsidP="0027082F">
      <w:pPr>
        <w:ind w:left="567"/>
        <w:rPr>
          <w:noProof/>
        </w:rPr>
      </w:pPr>
      <w:r>
        <w:rPr>
          <w:noProof/>
        </w:rPr>
        <w:t xml:space="preserve">Faster </w:t>
      </w:r>
      <w:r w:rsidR="0027082F" w:rsidRPr="00834F0C">
        <w:rPr>
          <w:noProof/>
        </w:rPr>
        <w:t xml:space="preserve">implementation of the </w:t>
      </w:r>
      <w:r>
        <w:rPr>
          <w:noProof/>
        </w:rPr>
        <w:t xml:space="preserve">national </w:t>
      </w:r>
      <w:r w:rsidR="00E503A7">
        <w:rPr>
          <w:noProof/>
        </w:rPr>
        <w:t>r</w:t>
      </w:r>
      <w:r w:rsidR="0027082F" w:rsidRPr="00834F0C">
        <w:rPr>
          <w:noProof/>
        </w:rPr>
        <w:t xml:space="preserve">ecovery and </w:t>
      </w:r>
      <w:r w:rsidR="00E503A7">
        <w:rPr>
          <w:noProof/>
        </w:rPr>
        <w:t>r</w:t>
      </w:r>
      <w:r w:rsidR="0027082F" w:rsidRPr="00834F0C">
        <w:rPr>
          <w:noProof/>
        </w:rPr>
        <w:t xml:space="preserve">esilience </w:t>
      </w:r>
      <w:r w:rsidR="00E503A7">
        <w:rPr>
          <w:noProof/>
        </w:rPr>
        <w:t>p</w:t>
      </w:r>
      <w:r w:rsidR="0027082F" w:rsidRPr="00834F0C">
        <w:rPr>
          <w:noProof/>
        </w:rPr>
        <w:t xml:space="preserve">lans (RRPs), ahead of the closure of the Recovery and Resilience Facility (RRF) at the end of the year, </w:t>
      </w:r>
      <w:r w:rsidR="00E503A7">
        <w:rPr>
          <w:noProof/>
        </w:rPr>
        <w:t xml:space="preserve">along with </w:t>
      </w:r>
      <w:r w:rsidR="0027082F" w:rsidRPr="00834F0C">
        <w:rPr>
          <w:noProof/>
        </w:rPr>
        <w:t xml:space="preserve">progress </w:t>
      </w:r>
      <w:r w:rsidR="00E503A7">
        <w:rPr>
          <w:noProof/>
        </w:rPr>
        <w:t xml:space="preserve">in the implementation of </w:t>
      </w:r>
      <w:r w:rsidR="0027082F" w:rsidRPr="00834F0C">
        <w:rPr>
          <w:noProof/>
        </w:rPr>
        <w:t xml:space="preserve">2021-2027 cohesion policy programmes are expected to partly offset the negative consequences of the </w:t>
      </w:r>
      <w:r w:rsidR="00E503A7">
        <w:rPr>
          <w:noProof/>
        </w:rPr>
        <w:t xml:space="preserve">current </w:t>
      </w:r>
      <w:r w:rsidR="0027082F" w:rsidRPr="00834F0C">
        <w:rPr>
          <w:noProof/>
        </w:rPr>
        <w:t xml:space="preserve">geopolitical instability and contribute to the convergence process of non-euro area EU Member States. Besides contributing to higher growth and improved public finances, the RRF and </w:t>
      </w:r>
      <w:r w:rsidR="00E4174D">
        <w:rPr>
          <w:noProof/>
        </w:rPr>
        <w:t>c</w:t>
      </w:r>
      <w:r w:rsidR="0027082F" w:rsidRPr="00834F0C">
        <w:rPr>
          <w:noProof/>
        </w:rPr>
        <w:t xml:space="preserve">ohesion </w:t>
      </w:r>
      <w:r w:rsidR="00E4174D">
        <w:rPr>
          <w:noProof/>
        </w:rPr>
        <w:t>p</w:t>
      </w:r>
      <w:r w:rsidR="0027082F" w:rsidRPr="00834F0C">
        <w:rPr>
          <w:noProof/>
        </w:rPr>
        <w:t xml:space="preserve">olicy programmes strengthen Member States’ long-term growth and resilience by supporting major reforms and investments that help address both long-standing and new challenges, such as diversifying energy supplies. By the end of </w:t>
      </w:r>
      <w:r w:rsidR="00FB5154">
        <w:rPr>
          <w:noProof/>
        </w:rPr>
        <w:t xml:space="preserve">May </w:t>
      </w:r>
      <w:r w:rsidR="0027082F" w:rsidRPr="004329A0">
        <w:rPr>
          <w:noProof/>
        </w:rPr>
        <w:t>2026,</w:t>
      </w:r>
      <w:r w:rsidR="0027082F" w:rsidRPr="00834F0C">
        <w:rPr>
          <w:noProof/>
        </w:rPr>
        <w:t xml:space="preserve"> RRF disbursements reached </w:t>
      </w:r>
      <w:r w:rsidR="0027082F" w:rsidRPr="00FB5154">
        <w:rPr>
          <w:noProof/>
        </w:rPr>
        <w:t xml:space="preserve">EUR </w:t>
      </w:r>
      <w:r w:rsidR="0027082F" w:rsidRPr="00E55FB5">
        <w:rPr>
          <w:noProof/>
        </w:rPr>
        <w:t>40</w:t>
      </w:r>
      <w:r w:rsidR="00A77298" w:rsidRPr="00E55FB5">
        <w:rPr>
          <w:noProof/>
        </w:rPr>
        <w:t>5</w:t>
      </w:r>
      <w:r w:rsidR="000A053D">
        <w:rPr>
          <w:noProof/>
        </w:rPr>
        <w:t>.9</w:t>
      </w:r>
      <w:r w:rsidR="0027082F" w:rsidRPr="004329A0">
        <w:rPr>
          <w:noProof/>
        </w:rPr>
        <w:t xml:space="preserve"> billion,</w:t>
      </w:r>
      <w:r w:rsidR="0027082F" w:rsidRPr="00834F0C">
        <w:rPr>
          <w:noProof/>
        </w:rPr>
        <w:t xml:space="preserve"> which is around </w:t>
      </w:r>
      <w:r w:rsidR="00FB5154">
        <w:rPr>
          <w:noProof/>
        </w:rPr>
        <w:t>70%</w:t>
      </w:r>
      <w:r w:rsidR="0027082F" w:rsidRPr="00834F0C">
        <w:rPr>
          <w:noProof/>
        </w:rPr>
        <w:t xml:space="preserve"> of the total amount of support committed under the RRF. </w:t>
      </w:r>
      <w:r w:rsidR="00E4174D">
        <w:rPr>
          <w:noProof/>
        </w:rPr>
        <w:t>For the 2021-2027 period, the EU will provide c</w:t>
      </w:r>
      <w:r w:rsidR="0027082F" w:rsidRPr="00834F0C">
        <w:rPr>
          <w:noProof/>
        </w:rPr>
        <w:t xml:space="preserve">ohesion </w:t>
      </w:r>
      <w:r w:rsidR="00E4174D">
        <w:rPr>
          <w:noProof/>
        </w:rPr>
        <w:t>p</w:t>
      </w:r>
      <w:r w:rsidR="0027082F" w:rsidRPr="00834F0C">
        <w:rPr>
          <w:noProof/>
        </w:rPr>
        <w:t>olicy fund</w:t>
      </w:r>
      <w:r w:rsidR="00E4174D">
        <w:rPr>
          <w:noProof/>
        </w:rPr>
        <w:t xml:space="preserve">ing of </w:t>
      </w:r>
      <w:r w:rsidR="0027082F" w:rsidRPr="00834F0C">
        <w:rPr>
          <w:noProof/>
        </w:rPr>
        <w:t xml:space="preserve">EUR </w:t>
      </w:r>
      <w:r w:rsidR="00B0278C">
        <w:rPr>
          <w:noProof/>
        </w:rPr>
        <w:t>420</w:t>
      </w:r>
      <w:r w:rsidR="0027082F" w:rsidRPr="00834F0C">
        <w:rPr>
          <w:noProof/>
        </w:rPr>
        <w:t xml:space="preserve"> billion to Member States. </w:t>
      </w:r>
      <w:r w:rsidR="0027082F" w:rsidRPr="00834F0C" w:rsidDel="00067D71">
        <w:rPr>
          <w:noProof/>
        </w:rPr>
        <w:t xml:space="preserve">Cohesion policy </w:t>
      </w:r>
      <w:r w:rsidR="00E4174D">
        <w:rPr>
          <w:noProof/>
        </w:rPr>
        <w:t xml:space="preserve">is </w:t>
      </w:r>
      <w:r w:rsidR="0027082F" w:rsidRPr="00834F0C" w:rsidDel="00067D71">
        <w:rPr>
          <w:noProof/>
        </w:rPr>
        <w:t>concentrate</w:t>
      </w:r>
      <w:r w:rsidR="00E4174D">
        <w:rPr>
          <w:noProof/>
        </w:rPr>
        <w:t>d</w:t>
      </w:r>
      <w:r w:rsidR="0027082F" w:rsidRPr="00834F0C" w:rsidDel="00067D71">
        <w:rPr>
          <w:noProof/>
        </w:rPr>
        <w:t xml:space="preserve"> </w:t>
      </w:r>
      <w:r w:rsidR="00E4174D">
        <w:rPr>
          <w:noProof/>
        </w:rPr>
        <w:t>on</w:t>
      </w:r>
      <w:r w:rsidR="0027082F" w:rsidRPr="00834F0C" w:rsidDel="00067D71">
        <w:rPr>
          <w:noProof/>
        </w:rPr>
        <w:t xml:space="preserve"> fields that are critical for promoting convergence and competitiveness</w:t>
      </w:r>
      <w:r w:rsidR="00D32A11">
        <w:rPr>
          <w:noProof/>
        </w:rPr>
        <w:t xml:space="preserve">. It supports </w:t>
      </w:r>
      <w:r w:rsidR="0027082F" w:rsidRPr="00834F0C" w:rsidDel="00067D71">
        <w:rPr>
          <w:noProof/>
        </w:rPr>
        <w:t>long-term investment in line with EU priorities</w:t>
      </w:r>
      <w:r w:rsidR="00D32A11">
        <w:rPr>
          <w:noProof/>
        </w:rPr>
        <w:t>, encourages</w:t>
      </w:r>
      <w:r w:rsidR="0027082F" w:rsidRPr="00834F0C" w:rsidDel="00067D71">
        <w:rPr>
          <w:noProof/>
        </w:rPr>
        <w:t xml:space="preserve"> EU GDP growth, </w:t>
      </w:r>
      <w:r w:rsidR="00D32A11">
        <w:rPr>
          <w:noProof/>
        </w:rPr>
        <w:t xml:space="preserve">and has </w:t>
      </w:r>
      <w:r w:rsidR="0027082F" w:rsidRPr="00834F0C" w:rsidDel="00067D71">
        <w:rPr>
          <w:noProof/>
        </w:rPr>
        <w:t xml:space="preserve">a particularly high impact </w:t>
      </w:r>
      <w:r w:rsidR="00D32A11">
        <w:rPr>
          <w:noProof/>
        </w:rPr>
        <w:t>on</w:t>
      </w:r>
      <w:r w:rsidR="0027082F" w:rsidRPr="00834F0C" w:rsidDel="00067D71">
        <w:rPr>
          <w:noProof/>
        </w:rPr>
        <w:t xml:space="preserve"> the Member States and regions that are the main beneficiaries of the policy.</w:t>
      </w:r>
      <w:r w:rsidR="0027082F" w:rsidRPr="00834F0C">
        <w:rPr>
          <w:noProof/>
        </w:rPr>
        <w:t xml:space="preserve"> The mid-term review of cohesion policy, which was concluded in autumn 2025, provide</w:t>
      </w:r>
      <w:r w:rsidR="00D32A11">
        <w:rPr>
          <w:noProof/>
        </w:rPr>
        <w:t>d</w:t>
      </w:r>
      <w:r w:rsidR="0027082F" w:rsidRPr="00834F0C">
        <w:rPr>
          <w:noProof/>
        </w:rPr>
        <w:t xml:space="preserve"> Member States with greater flexibility and incentives to deploy existing resources more rapidly and accelerate programme implementation</w:t>
      </w:r>
      <w:r w:rsidR="0064654F">
        <w:rPr>
          <w:noProof/>
        </w:rPr>
        <w:t xml:space="preserve"> and better align funding with key EU priorities</w:t>
      </w:r>
      <w:r w:rsidR="0027082F" w:rsidRPr="00834F0C">
        <w:rPr>
          <w:noProof/>
        </w:rPr>
        <w:t xml:space="preserve">. </w:t>
      </w:r>
    </w:p>
    <w:p w14:paraId="4C183F21" w14:textId="2967696B" w:rsidR="0027082F" w:rsidRDefault="0027082F" w:rsidP="0027082F">
      <w:pPr>
        <w:ind w:left="567"/>
        <w:rPr>
          <w:noProof/>
        </w:rPr>
      </w:pPr>
      <w:r w:rsidRPr="00834F0C">
        <w:rPr>
          <w:noProof/>
        </w:rPr>
        <w:t xml:space="preserve">On 22 April 2026, the Commission adopted the </w:t>
      </w:r>
      <w:r w:rsidR="00F85DAE">
        <w:rPr>
          <w:noProof/>
        </w:rPr>
        <w:t>‘</w:t>
      </w:r>
      <w:r w:rsidRPr="00834F0C">
        <w:rPr>
          <w:noProof/>
        </w:rPr>
        <w:t>AccelerateEU</w:t>
      </w:r>
      <w:r w:rsidR="00F85DAE">
        <w:rPr>
          <w:noProof/>
        </w:rPr>
        <w:t>’ Communication</w:t>
      </w:r>
      <w:r w:rsidRPr="00834F0C">
        <w:rPr>
          <w:noProof/>
        </w:rPr>
        <w:t xml:space="preserve">, which </w:t>
      </w:r>
      <w:r w:rsidR="00F85DAE">
        <w:rPr>
          <w:noProof/>
        </w:rPr>
        <w:t xml:space="preserve">presented a </w:t>
      </w:r>
      <w:r w:rsidRPr="00834F0C">
        <w:rPr>
          <w:noProof/>
        </w:rPr>
        <w:t xml:space="preserve">comprehensive </w:t>
      </w:r>
      <w:r w:rsidR="00F85DAE">
        <w:rPr>
          <w:noProof/>
        </w:rPr>
        <w:t xml:space="preserve">set </w:t>
      </w:r>
      <w:r w:rsidRPr="00834F0C">
        <w:rPr>
          <w:noProof/>
        </w:rPr>
        <w:t xml:space="preserve">of actions and measures to address rising energy costs and further reduce dependency on volatile fossil fuel markets, while putting Europe on a steady pathway to energy independence. The plan aims </w:t>
      </w:r>
      <w:r w:rsidR="00F85DAE">
        <w:rPr>
          <w:noProof/>
        </w:rPr>
        <w:t>to</w:t>
      </w:r>
      <w:r w:rsidRPr="00834F0C">
        <w:rPr>
          <w:noProof/>
        </w:rPr>
        <w:t xml:space="preserve"> provid</w:t>
      </w:r>
      <w:r w:rsidR="00F85DAE">
        <w:rPr>
          <w:noProof/>
        </w:rPr>
        <w:t>e</w:t>
      </w:r>
      <w:r w:rsidRPr="00834F0C">
        <w:rPr>
          <w:noProof/>
        </w:rPr>
        <w:t xml:space="preserve"> relief to consumers facing energy price spikes and accelerat</w:t>
      </w:r>
      <w:r w:rsidR="00F85DAE">
        <w:rPr>
          <w:noProof/>
        </w:rPr>
        <w:t>e</w:t>
      </w:r>
      <w:r w:rsidRPr="00834F0C">
        <w:rPr>
          <w:noProof/>
        </w:rPr>
        <w:t xml:space="preserve"> the transition to clean, secure and affordable energy. </w:t>
      </w:r>
      <w:r w:rsidR="00482D27" w:rsidRPr="00482D27">
        <w:rPr>
          <w:noProof/>
        </w:rPr>
        <w:t>Many Member States have adopted budgetary policy measures to mitigate the social and economic impact of high energy prices on households and businesses. According to the Commission</w:t>
      </w:r>
      <w:r w:rsidR="00F85DAE">
        <w:rPr>
          <w:noProof/>
        </w:rPr>
        <w:t>’s</w:t>
      </w:r>
      <w:r w:rsidR="00482D27" w:rsidRPr="00482D27">
        <w:rPr>
          <w:noProof/>
        </w:rPr>
        <w:t xml:space="preserve"> 2026 Spring </w:t>
      </w:r>
      <w:r w:rsidR="00F85DAE">
        <w:rPr>
          <w:noProof/>
        </w:rPr>
        <w:t>Economic</w:t>
      </w:r>
      <w:r w:rsidR="00482D27" w:rsidRPr="00482D27">
        <w:rPr>
          <w:noProof/>
        </w:rPr>
        <w:t xml:space="preserve"> Forecast</w:t>
      </w:r>
      <w:r w:rsidR="00482D27" w:rsidRPr="00A52766">
        <w:rPr>
          <w:noProof/>
          <w:szCs w:val="20"/>
        </w:rPr>
        <w:t xml:space="preserve">, the </w:t>
      </w:r>
      <w:r w:rsidR="00305003" w:rsidRPr="00A52766">
        <w:rPr>
          <w:noProof/>
          <w:szCs w:val="20"/>
        </w:rPr>
        <w:t xml:space="preserve">total </w:t>
      </w:r>
      <w:r w:rsidR="00482D27" w:rsidRPr="00A52766">
        <w:rPr>
          <w:noProof/>
          <w:szCs w:val="20"/>
        </w:rPr>
        <w:t xml:space="preserve">budgetary cost of such measures </w:t>
      </w:r>
      <w:r w:rsidR="00305003" w:rsidRPr="00A52766">
        <w:rPr>
          <w:noProof/>
          <w:szCs w:val="20"/>
        </w:rPr>
        <w:t xml:space="preserve">is EUR </w:t>
      </w:r>
      <w:r w:rsidR="00482D27" w:rsidRPr="00A52766">
        <w:rPr>
          <w:noProof/>
          <w:szCs w:val="20"/>
        </w:rPr>
        <w:t>14.6 b</w:t>
      </w:r>
      <w:r w:rsidR="00305003" w:rsidRPr="00A52766">
        <w:rPr>
          <w:noProof/>
          <w:szCs w:val="20"/>
        </w:rPr>
        <w:t>illio</w:t>
      </w:r>
      <w:r w:rsidR="00482D27" w:rsidRPr="00A52766">
        <w:rPr>
          <w:noProof/>
          <w:szCs w:val="20"/>
        </w:rPr>
        <w:t>n, or 0.07% of EU GDP in 2026, with</w:t>
      </w:r>
      <w:r w:rsidR="00482D27" w:rsidRPr="00482D27">
        <w:rPr>
          <w:noProof/>
        </w:rPr>
        <w:t xml:space="preserve"> large differences </w:t>
      </w:r>
      <w:r w:rsidR="00036B87">
        <w:rPr>
          <w:noProof/>
        </w:rPr>
        <w:t>between</w:t>
      </w:r>
      <w:r w:rsidR="00A128BA">
        <w:rPr>
          <w:noProof/>
        </w:rPr>
        <w:t xml:space="preserve"> </w:t>
      </w:r>
      <w:r w:rsidR="00482D27" w:rsidRPr="00482D27">
        <w:rPr>
          <w:noProof/>
        </w:rPr>
        <w:t xml:space="preserve">Member States. </w:t>
      </w:r>
    </w:p>
    <w:p w14:paraId="6B464E2F" w14:textId="5F0A399E" w:rsidR="009A1B23" w:rsidRDefault="009A1B23" w:rsidP="009A1B23">
      <w:pPr>
        <w:ind w:left="567"/>
        <w:rPr>
          <w:noProof/>
        </w:rPr>
      </w:pPr>
      <w:r w:rsidRPr="00AD4AD5">
        <w:rPr>
          <w:noProof/>
        </w:rPr>
        <w:t xml:space="preserve">On 3 June 2026, the Commission published its </w:t>
      </w:r>
      <w:r w:rsidR="00D350DE" w:rsidRPr="00AD4AD5">
        <w:rPr>
          <w:noProof/>
        </w:rPr>
        <w:t xml:space="preserve">2026 </w:t>
      </w:r>
      <w:r w:rsidRPr="00AD4AD5">
        <w:rPr>
          <w:noProof/>
        </w:rPr>
        <w:t xml:space="preserve">European Semester Spring </w:t>
      </w:r>
      <w:r w:rsidR="00D350DE" w:rsidRPr="00AD4AD5">
        <w:rPr>
          <w:noProof/>
        </w:rPr>
        <w:t>P</w:t>
      </w:r>
      <w:r w:rsidRPr="00AD4AD5">
        <w:rPr>
          <w:noProof/>
        </w:rPr>
        <w:t xml:space="preserve">ackage. </w:t>
      </w:r>
      <w:r w:rsidR="00F433C2" w:rsidRPr="00E55FB5">
        <w:rPr>
          <w:noProof/>
        </w:rPr>
        <w:t>The package includes the Commission’s assessment of Member States’ compliance with the relevant Council recommendations on fiscal policy.</w:t>
      </w:r>
      <w:r w:rsidR="00FD3323" w:rsidRPr="00E55FB5">
        <w:rPr>
          <w:noProof/>
        </w:rPr>
        <w:t xml:space="preserve"> </w:t>
      </w:r>
      <w:r w:rsidR="00F433C2" w:rsidRPr="00E55FB5">
        <w:rPr>
          <w:noProof/>
        </w:rPr>
        <w:t>For the 10 Member States currently under excessive deficit procedure (EDP), including Hungary, Poland and Romania, the Commission assessed the action taken in response to the Council recommendations under the EDP. For the other Member States (not currently in EDP), including Czechia and Sweden, the Commission assessed progress with the implementation of the medium-term plans and compliance with the relevant Council recommendations.</w:t>
      </w:r>
      <w:r w:rsidR="00FC4150" w:rsidRPr="00AD4AD5">
        <w:rPr>
          <w:noProof/>
        </w:rPr>
        <w:t xml:space="preserve"> </w:t>
      </w:r>
      <w:r w:rsidR="00953468" w:rsidRPr="00AD4AD5">
        <w:rPr>
          <w:noProof/>
        </w:rPr>
        <w:t>For</w:t>
      </w:r>
      <w:r w:rsidR="00953468" w:rsidRPr="00953468">
        <w:rPr>
          <w:noProof/>
        </w:rPr>
        <w:t xml:space="preserve"> Member States that benefit from a fiscal adjustment period of seven instead of four years in the context of their medium-term plans</w:t>
      </w:r>
      <w:r w:rsidR="00953468">
        <w:rPr>
          <w:noProof/>
        </w:rPr>
        <w:t xml:space="preserve">, including </w:t>
      </w:r>
      <w:r w:rsidR="00953468" w:rsidRPr="00953468">
        <w:rPr>
          <w:noProof/>
        </w:rPr>
        <w:t>Romania</w:t>
      </w:r>
      <w:r w:rsidR="00953468">
        <w:rPr>
          <w:noProof/>
        </w:rPr>
        <w:t xml:space="preserve">, the </w:t>
      </w:r>
      <w:r w:rsidR="00953468" w:rsidRPr="00953468">
        <w:rPr>
          <w:noProof/>
        </w:rPr>
        <w:t>Commission also assessed the implementation of the key steps of reform and investment commitments underpinning the extension</w:t>
      </w:r>
      <w:r w:rsidR="00953468">
        <w:rPr>
          <w:noProof/>
        </w:rPr>
        <w:t xml:space="preserve">. </w:t>
      </w:r>
      <w:r w:rsidR="00FC4150">
        <w:rPr>
          <w:noProof/>
        </w:rPr>
        <w:t xml:space="preserve">The Commission also announced that </w:t>
      </w:r>
      <w:r w:rsidR="00FC4150" w:rsidRPr="00FC4150">
        <w:rPr>
          <w:noProof/>
        </w:rPr>
        <w:t>Member States that take action to strengthen Europe's energy security and accelerate the transition away from fossil fuels may request limited fiscal flexibility under the current National Escape Clause for defence spending. Upon request by the Member State, the scope of the clause can be expanded to include measures undertaken since February 2026 that reduce the dependence on imported fossil fuels</w:t>
      </w:r>
      <w:r w:rsidR="00FC4150">
        <w:rPr>
          <w:noProof/>
        </w:rPr>
        <w:t xml:space="preserve">, subject to </w:t>
      </w:r>
      <w:r w:rsidR="00FC4150" w:rsidRPr="00FC4150">
        <w:rPr>
          <w:noProof/>
        </w:rPr>
        <w:t>a dedicated annual cap for the period 2026-2028 (0.3% of GDP) and a cumulative cap (0.6% of GDP)</w:t>
      </w:r>
      <w:r w:rsidR="00FC4150">
        <w:rPr>
          <w:noProof/>
        </w:rPr>
        <w:t xml:space="preserve">. </w:t>
      </w:r>
    </w:p>
    <w:p w14:paraId="46CB412A" w14:textId="77777777" w:rsidR="001B33BE" w:rsidRPr="00B60C8D" w:rsidRDefault="001B33BE" w:rsidP="001B33BE">
      <w:pPr>
        <w:ind w:left="567"/>
        <w:rPr>
          <w:i/>
          <w:iCs/>
          <w:noProof/>
          <w:u w:val="single"/>
        </w:rPr>
      </w:pPr>
      <w:r w:rsidRPr="00B60C8D">
        <w:rPr>
          <w:i/>
          <w:iCs/>
          <w:noProof/>
          <w:u w:val="single"/>
        </w:rPr>
        <w:t>Convergence criteria</w:t>
      </w:r>
    </w:p>
    <w:p w14:paraId="7E8FB402" w14:textId="1D92510E" w:rsidR="001B33BE" w:rsidRDefault="001B33BE" w:rsidP="001B33BE">
      <w:pPr>
        <w:ind w:left="567"/>
        <w:rPr>
          <w:noProof/>
        </w:rPr>
      </w:pPr>
      <w:r w:rsidRPr="00B60C8D">
        <w:rPr>
          <w:noProof/>
        </w:rPr>
        <w:t xml:space="preserve">The examination of the </w:t>
      </w:r>
      <w:r w:rsidRPr="00B60C8D">
        <w:rPr>
          <w:b/>
          <w:bCs/>
          <w:noProof/>
        </w:rPr>
        <w:t>compatibility of national legislation</w:t>
      </w:r>
      <w:r w:rsidRPr="00B60C8D">
        <w:rPr>
          <w:noProof/>
        </w:rPr>
        <w:t xml:space="preserve">, including the statutes of national central banks of Member States with a derogation, together with Article 130 TFEU and the compliance duty under Article 131 TFEU, includes an assessment of observance of the prohibition of monetary financing (Article 123 TFEU) and the prohibition of privileged access to financial institutions (Article 124 TFEU); </w:t>
      </w:r>
      <w:r>
        <w:rPr>
          <w:noProof/>
        </w:rPr>
        <w:t xml:space="preserve">the </w:t>
      </w:r>
      <w:r w:rsidRPr="00B60C8D">
        <w:rPr>
          <w:noProof/>
        </w:rPr>
        <w:t>consistency with the ESCB</w:t>
      </w:r>
      <w:r>
        <w:rPr>
          <w:noProof/>
        </w:rPr>
        <w:t>’</w:t>
      </w:r>
      <w:r w:rsidRPr="00B60C8D">
        <w:rPr>
          <w:noProof/>
        </w:rPr>
        <w:t>s objectives (Article 127(1) TFEU) and tasks (Article 127(2) TFEU)</w:t>
      </w:r>
      <w:r>
        <w:rPr>
          <w:noProof/>
        </w:rPr>
        <w:t>;</w:t>
      </w:r>
      <w:r w:rsidRPr="00B60C8D">
        <w:rPr>
          <w:noProof/>
        </w:rPr>
        <w:t xml:space="preserve"> and other aspects relating to the integration of national central banks into the </w:t>
      </w:r>
      <w:r w:rsidR="1B760C0F">
        <w:rPr>
          <w:noProof/>
        </w:rPr>
        <w:t>Eurosystem</w:t>
      </w:r>
      <w:r w:rsidR="00300C8F">
        <w:rPr>
          <w:rStyle w:val="FootnoteReference"/>
          <w:noProof/>
        </w:rPr>
        <w:footnoteReference w:id="6"/>
      </w:r>
      <w:r>
        <w:rPr>
          <w:noProof/>
        </w:rPr>
        <w:t>.</w:t>
      </w:r>
      <w:r w:rsidR="176F4E30">
        <w:rPr>
          <w:noProof/>
        </w:rPr>
        <w:t xml:space="preserve"> </w:t>
      </w:r>
    </w:p>
    <w:p w14:paraId="69F9A311" w14:textId="77777777" w:rsidR="001B33BE" w:rsidRDefault="001B33BE" w:rsidP="001B33BE">
      <w:pPr>
        <w:ind w:left="567"/>
        <w:rPr>
          <w:i/>
          <w:iCs/>
          <w:noProof/>
        </w:rPr>
      </w:pPr>
      <w:r w:rsidRPr="00C17CF0">
        <w:rPr>
          <w:noProof/>
        </w:rPr>
        <w:t>T</w:t>
      </w:r>
      <w:r>
        <w:rPr>
          <w:noProof/>
        </w:rPr>
        <w:t xml:space="preserve">he first indent of Article 140(1) TFEU defines the </w:t>
      </w:r>
      <w:r w:rsidRPr="00447AF6">
        <w:rPr>
          <w:b/>
          <w:bCs/>
          <w:noProof/>
        </w:rPr>
        <w:t>price stability criterion</w:t>
      </w:r>
      <w:r>
        <w:rPr>
          <w:noProof/>
        </w:rPr>
        <w:t xml:space="preserve"> as </w:t>
      </w:r>
      <w:r w:rsidRPr="14433F98">
        <w:rPr>
          <w:i/>
          <w:iCs/>
          <w:noProof/>
        </w:rPr>
        <w:t>‘the achievement of a high degree of price stability; this will be apparent from a rate of inflation which is close to that of, at most, the three best performing Member States in terms of price stability’</w:t>
      </w:r>
      <w:r w:rsidRPr="00065E75">
        <w:rPr>
          <w:i/>
          <w:iCs/>
          <w:noProof/>
        </w:rPr>
        <w:t>.</w:t>
      </w:r>
    </w:p>
    <w:p w14:paraId="28F1A436" w14:textId="77777777" w:rsidR="001B33BE" w:rsidRDefault="001B33BE" w:rsidP="001B33BE">
      <w:pPr>
        <w:ind w:left="567"/>
        <w:rPr>
          <w:i/>
          <w:iCs/>
          <w:noProof/>
        </w:rPr>
      </w:pPr>
      <w:r w:rsidRPr="00671A82">
        <w:rPr>
          <w:noProof/>
        </w:rPr>
        <w:t xml:space="preserve">Article 1 of the Protocol on the convergence criteria further provides that </w:t>
      </w:r>
      <w:r w:rsidRPr="14433F98">
        <w:rPr>
          <w:i/>
          <w:iCs/>
          <w:noProof/>
        </w:rPr>
        <w:t>‘the criterion on price stability […] shall mean that a Member State has a price performance that is sustainable and an average rate of inflation, observed over a period of one year before the examination, that does not exceed by more than 1.5 percentage points that of, at most, the three best-performing Member States in terms of price stability. Inflation shall be measured by means of the consumer price index on a comparable basis, taking into account differences in national definitions’</w:t>
      </w:r>
      <w:r w:rsidRPr="14433F98">
        <w:rPr>
          <w:rStyle w:val="FootnoteReference"/>
          <w:i/>
          <w:iCs/>
          <w:noProof/>
        </w:rPr>
        <w:footnoteReference w:id="7"/>
      </w:r>
      <w:r w:rsidRPr="14433F98">
        <w:rPr>
          <w:i/>
          <w:iCs/>
          <w:noProof/>
        </w:rPr>
        <w:t>.</w:t>
      </w:r>
    </w:p>
    <w:p w14:paraId="593567B5" w14:textId="77777777" w:rsidR="001B33BE" w:rsidRPr="00975939" w:rsidRDefault="001B33BE" w:rsidP="001B33BE">
      <w:pPr>
        <w:ind w:left="567"/>
        <w:rPr>
          <w:noProof/>
        </w:rPr>
      </w:pPr>
      <w:r w:rsidRPr="00D56A82">
        <w:rPr>
          <w:noProof/>
        </w:rPr>
        <w:t>The sustainability requirement implies that the satisfactory inflation performance must be attribut</w:t>
      </w:r>
      <w:r>
        <w:rPr>
          <w:noProof/>
        </w:rPr>
        <w:t>ed</w:t>
      </w:r>
      <w:r w:rsidRPr="00D56A82">
        <w:rPr>
          <w:noProof/>
        </w:rPr>
        <w:t xml:space="preserve"> to the behaviour of input costs and other factors that influence price developments in a structural manner, rather than the influence of temporary factors. The</w:t>
      </w:r>
      <w:r>
        <w:rPr>
          <w:noProof/>
        </w:rPr>
        <w:t>refore, the</w:t>
      </w:r>
      <w:r w:rsidRPr="00D56A82">
        <w:rPr>
          <w:noProof/>
        </w:rPr>
        <w:t xml:space="preserve"> convergence examination includes an assessment of the factors that </w:t>
      </w:r>
      <w:r>
        <w:rPr>
          <w:noProof/>
        </w:rPr>
        <w:t>affect</w:t>
      </w:r>
      <w:r w:rsidRPr="00D56A82">
        <w:rPr>
          <w:noProof/>
        </w:rPr>
        <w:t xml:space="preserve"> the inflation outlook and is complemented by a reference to the most recent Commission inflation forecast</w:t>
      </w:r>
      <w:r w:rsidRPr="00975939">
        <w:rPr>
          <w:rStyle w:val="FootnoteReference"/>
          <w:noProof/>
        </w:rPr>
        <w:footnoteReference w:id="8"/>
      </w:r>
      <w:r w:rsidRPr="00D56A82">
        <w:rPr>
          <w:noProof/>
        </w:rPr>
        <w:t xml:space="preserve">. </w:t>
      </w:r>
    </w:p>
    <w:p w14:paraId="70D87E84" w14:textId="1FC77FEB" w:rsidR="001B33BE" w:rsidRDefault="001B33BE" w:rsidP="001B33BE">
      <w:pPr>
        <w:ind w:left="567"/>
        <w:rPr>
          <w:noProof/>
        </w:rPr>
      </w:pPr>
      <w:r>
        <w:rPr>
          <w:noProof/>
        </w:rPr>
        <w:t>T</w:t>
      </w:r>
      <w:r w:rsidRPr="00FD284C">
        <w:rPr>
          <w:noProof/>
        </w:rPr>
        <w:t xml:space="preserve">he inflation reference value was </w:t>
      </w:r>
      <w:r w:rsidRPr="00E766C7">
        <w:rPr>
          <w:noProof/>
        </w:rPr>
        <w:t xml:space="preserve">calculated as </w:t>
      </w:r>
      <w:r w:rsidR="00F10BB1">
        <w:rPr>
          <w:noProof/>
        </w:rPr>
        <w:t>2.7</w:t>
      </w:r>
      <w:r w:rsidRPr="00A44951">
        <w:rPr>
          <w:noProof/>
        </w:rPr>
        <w:t xml:space="preserve">% in </w:t>
      </w:r>
      <w:r w:rsidR="004A2198">
        <w:rPr>
          <w:noProof/>
        </w:rPr>
        <w:t>May 2026</w:t>
      </w:r>
      <w:r w:rsidRPr="00A44951">
        <w:rPr>
          <w:noProof/>
        </w:rPr>
        <w:t xml:space="preserve">, with </w:t>
      </w:r>
      <w:r w:rsidR="004A2198" w:rsidRPr="00BE0276">
        <w:rPr>
          <w:noProof/>
        </w:rPr>
        <w:t>Cyprus, France and Denmark</w:t>
      </w:r>
      <w:r w:rsidRPr="00F10BB1">
        <w:rPr>
          <w:noProof/>
        </w:rPr>
        <w:t xml:space="preserve"> being the three ‘best-performing Member States’</w:t>
      </w:r>
      <w:r w:rsidRPr="00F10BB1">
        <w:rPr>
          <w:rStyle w:val="FootnoteReference"/>
          <w:noProof/>
        </w:rPr>
        <w:footnoteReference w:id="9"/>
      </w:r>
      <w:r w:rsidRPr="00F10BB1">
        <w:rPr>
          <w:noProof/>
        </w:rPr>
        <w:t>.</w:t>
      </w:r>
    </w:p>
    <w:p w14:paraId="3C7A8025" w14:textId="77777777" w:rsidR="001B33BE" w:rsidRDefault="001B33BE" w:rsidP="001B33BE">
      <w:pPr>
        <w:ind w:left="567"/>
        <w:rPr>
          <w:noProof/>
        </w:rPr>
      </w:pPr>
      <w:r w:rsidRPr="0080478E">
        <w:rPr>
          <w:noProof/>
        </w:rPr>
        <w:t>No Member States were identified as outliers in terms of inflation performance for calculat</w:t>
      </w:r>
      <w:r>
        <w:rPr>
          <w:noProof/>
        </w:rPr>
        <w:t>ing</w:t>
      </w:r>
      <w:r w:rsidRPr="0080478E">
        <w:rPr>
          <w:noProof/>
        </w:rPr>
        <w:t xml:space="preserve"> the reference value, as none of their inflation rates</w:t>
      </w:r>
      <w:r>
        <w:rPr>
          <w:noProof/>
        </w:rPr>
        <w:t xml:space="preserve"> </w:t>
      </w:r>
      <w:r w:rsidRPr="0080478E">
        <w:rPr>
          <w:noProof/>
        </w:rPr>
        <w:t xml:space="preserve">deviated </w:t>
      </w:r>
      <w:r>
        <w:rPr>
          <w:noProof/>
        </w:rPr>
        <w:t xml:space="preserve">by a wide margin </w:t>
      </w:r>
      <w:r w:rsidRPr="0080478E">
        <w:rPr>
          <w:noProof/>
        </w:rPr>
        <w:t>from the euro area average due to country-specific circumstances.</w:t>
      </w:r>
    </w:p>
    <w:p w14:paraId="4292DE63" w14:textId="113C35E5" w:rsidR="001B33BE" w:rsidRDefault="001B33BE" w:rsidP="001B33BE">
      <w:pPr>
        <w:ind w:left="567"/>
        <w:rPr>
          <w:i/>
          <w:iCs/>
          <w:noProof/>
        </w:rPr>
      </w:pPr>
      <w:r>
        <w:rPr>
          <w:noProof/>
        </w:rPr>
        <w:t xml:space="preserve">The </w:t>
      </w:r>
      <w:r w:rsidRPr="00B419F3">
        <w:rPr>
          <w:noProof/>
        </w:rPr>
        <w:t>second indent of Article</w:t>
      </w:r>
      <w:r>
        <w:rPr>
          <w:noProof/>
        </w:rPr>
        <w:t xml:space="preserve"> 140(1) TFEU defines the convergence </w:t>
      </w:r>
      <w:r w:rsidRPr="14433F98">
        <w:rPr>
          <w:b/>
          <w:bCs/>
          <w:noProof/>
        </w:rPr>
        <w:t>criterion dealing with</w:t>
      </w:r>
      <w:r>
        <w:rPr>
          <w:noProof/>
        </w:rPr>
        <w:t xml:space="preserve"> </w:t>
      </w:r>
      <w:r w:rsidRPr="14433F98">
        <w:rPr>
          <w:b/>
          <w:bCs/>
          <w:noProof/>
        </w:rPr>
        <w:t>public finances</w:t>
      </w:r>
      <w:r>
        <w:rPr>
          <w:noProof/>
        </w:rPr>
        <w:t xml:space="preserve"> as </w:t>
      </w:r>
      <w:r w:rsidRPr="14433F98">
        <w:rPr>
          <w:i/>
          <w:iCs/>
          <w:noProof/>
        </w:rPr>
        <w:t>‘the sustainability of the government financial position; this will be apparent from having achieved a government budgetary position without a deficit that is excessive as determined in accordance with Article 126(6)’</w:t>
      </w:r>
      <w:r w:rsidRPr="00065E75">
        <w:rPr>
          <w:i/>
          <w:iCs/>
          <w:noProof/>
        </w:rPr>
        <w:t xml:space="preserve">. </w:t>
      </w:r>
    </w:p>
    <w:p w14:paraId="176A58BB" w14:textId="77777777" w:rsidR="001B33BE" w:rsidRDefault="001B33BE" w:rsidP="001B33BE">
      <w:pPr>
        <w:ind w:left="567"/>
        <w:rPr>
          <w:noProof/>
        </w:rPr>
      </w:pPr>
      <w:r>
        <w:rPr>
          <w:noProof/>
        </w:rPr>
        <w:t xml:space="preserve">Furthermore, Article 2 of the Protocol on the convergence criteria states that this criterion means that </w:t>
      </w:r>
      <w:r w:rsidRPr="00736DB6">
        <w:rPr>
          <w:i/>
          <w:iCs/>
          <w:noProof/>
        </w:rPr>
        <w:t>‘at the time of the examination the Member State is not the subject of a Council decision under Article 126(6) of the said Treaty that an excessive deficit exists’</w:t>
      </w:r>
      <w:r>
        <w:rPr>
          <w:noProof/>
        </w:rPr>
        <w:t>.</w:t>
      </w:r>
    </w:p>
    <w:p w14:paraId="65DAAC76" w14:textId="77777777" w:rsidR="001B33BE" w:rsidRPr="00065E75" w:rsidRDefault="001B33BE" w:rsidP="001B33BE">
      <w:pPr>
        <w:ind w:left="567"/>
        <w:rPr>
          <w:i/>
          <w:iCs/>
          <w:noProof/>
        </w:rPr>
      </w:pPr>
      <w:r>
        <w:rPr>
          <w:noProof/>
        </w:rPr>
        <w:t xml:space="preserve">The TFEU refers to the </w:t>
      </w:r>
      <w:r w:rsidRPr="14433F98">
        <w:rPr>
          <w:b/>
          <w:bCs/>
          <w:noProof/>
        </w:rPr>
        <w:t>exchange rate criterion</w:t>
      </w:r>
      <w:r>
        <w:rPr>
          <w:noProof/>
        </w:rPr>
        <w:t xml:space="preserve"> in the third indent of Article</w:t>
      </w:r>
      <w:r w:rsidRPr="14433F98">
        <w:rPr>
          <w:noProof/>
        </w:rPr>
        <w:t xml:space="preserve"> 140(1) as </w:t>
      </w:r>
      <w:r w:rsidRPr="00065E75">
        <w:rPr>
          <w:i/>
          <w:iCs/>
          <w:noProof/>
        </w:rPr>
        <w:t>‘the observance of the normal fluctuation margins provided for by the exchange-rate mechanism of the European Monetary System, for at least two years, without devaluing against the euro’.</w:t>
      </w:r>
    </w:p>
    <w:p w14:paraId="1117235B" w14:textId="77777777" w:rsidR="001B33BE" w:rsidRPr="00065E75" w:rsidRDefault="001B33BE" w:rsidP="001B33BE">
      <w:pPr>
        <w:ind w:left="567"/>
        <w:rPr>
          <w:i/>
          <w:iCs/>
          <w:noProof/>
        </w:rPr>
      </w:pPr>
      <w:r w:rsidRPr="00E06321">
        <w:rPr>
          <w:noProof/>
        </w:rPr>
        <w:t xml:space="preserve">Article 3 of the Protocol on the convergence criteria provides that: </w:t>
      </w:r>
      <w:r w:rsidRPr="14433F98">
        <w:rPr>
          <w:i/>
          <w:iCs/>
          <w:noProof/>
        </w:rPr>
        <w:t>‘The criterion on participation in the exchange rate mechanism of the European Monetary System […] shall mean that a Member State has respected the normal fluctuation margins provided for by the exchange-rate mechanism of the European Monetary System without severe tensions for at least the last two years before the examination. In particular, the Member State shall not have devalued its currency’s bilateral central rate against the euro on its own initiative for the same period’</w:t>
      </w:r>
      <w:r w:rsidRPr="14433F98">
        <w:rPr>
          <w:rStyle w:val="FootnoteReference"/>
          <w:i/>
          <w:iCs/>
          <w:noProof/>
        </w:rPr>
        <w:footnoteReference w:id="10"/>
      </w:r>
      <w:r w:rsidRPr="00065E75">
        <w:rPr>
          <w:i/>
          <w:iCs/>
          <w:noProof/>
        </w:rPr>
        <w:t>.</w:t>
      </w:r>
    </w:p>
    <w:p w14:paraId="3FB41088" w14:textId="7EE7D4C6" w:rsidR="001B33BE" w:rsidRDefault="001B33BE" w:rsidP="001B33BE">
      <w:pPr>
        <w:ind w:left="567"/>
        <w:rPr>
          <w:noProof/>
        </w:rPr>
      </w:pPr>
      <w:r w:rsidRPr="00350E26">
        <w:rPr>
          <w:noProof/>
        </w:rPr>
        <w:t xml:space="preserve">The relevant </w:t>
      </w:r>
      <w:r>
        <w:rPr>
          <w:noProof/>
        </w:rPr>
        <w:t>two-</w:t>
      </w:r>
      <w:r w:rsidRPr="00350E26">
        <w:rPr>
          <w:noProof/>
        </w:rPr>
        <w:t xml:space="preserve">year period for assessing exchange rate stability in this report ran from </w:t>
      </w:r>
      <w:r w:rsidR="001911F3" w:rsidRPr="001911F3">
        <w:rPr>
          <w:noProof/>
        </w:rPr>
        <w:t>18 June 2024 to 17 June 2026</w:t>
      </w:r>
      <w:r w:rsidRPr="00350E26">
        <w:rPr>
          <w:noProof/>
        </w:rPr>
        <w:t xml:space="preserve">. In its assessment of the exchange rate stability criterion, the Commission takes into account developments in auxiliary indicators such as foreign reserve developments and short-term interest rates. It also takes into account the role of policy measures (including foreign exchange </w:t>
      </w:r>
      <w:r w:rsidRPr="00E976E2">
        <w:rPr>
          <w:noProof/>
        </w:rPr>
        <w:t xml:space="preserve">interventions) </w:t>
      </w:r>
      <w:r w:rsidRPr="00D05515">
        <w:rPr>
          <w:noProof/>
        </w:rPr>
        <w:t>and international financial assistance (wherever relevant)</w:t>
      </w:r>
      <w:r w:rsidRPr="00E976E2">
        <w:rPr>
          <w:noProof/>
        </w:rPr>
        <w:t xml:space="preserve"> in</w:t>
      </w:r>
      <w:r w:rsidRPr="00350E26">
        <w:rPr>
          <w:noProof/>
        </w:rPr>
        <w:t xml:space="preserve"> maintaining exchange rate stability. </w:t>
      </w:r>
    </w:p>
    <w:p w14:paraId="79EB0D44" w14:textId="77777777" w:rsidR="001B33BE" w:rsidRDefault="001B33BE" w:rsidP="001B33BE">
      <w:pPr>
        <w:ind w:left="567"/>
        <w:rPr>
          <w:i/>
          <w:iCs/>
          <w:noProof/>
        </w:rPr>
      </w:pPr>
      <w:r>
        <w:rPr>
          <w:noProof/>
        </w:rPr>
        <w:t xml:space="preserve">The fourth indent of Article 140(1) TFEU requires </w:t>
      </w:r>
      <w:r w:rsidRPr="14433F98">
        <w:rPr>
          <w:i/>
          <w:iCs/>
          <w:noProof/>
        </w:rPr>
        <w:t xml:space="preserve">‘the durability of convergence achieved by the Member State with a derogation and of its participation in the exchange rate </w:t>
      </w:r>
      <w:r w:rsidRPr="00B419F3">
        <w:rPr>
          <w:i/>
          <w:iCs/>
          <w:noProof/>
        </w:rPr>
        <w:t xml:space="preserve">mechanism’ </w:t>
      </w:r>
      <w:r w:rsidRPr="00B419F3">
        <w:rPr>
          <w:noProof/>
        </w:rPr>
        <w:t>to be</w:t>
      </w:r>
      <w:r>
        <w:rPr>
          <w:noProof/>
        </w:rPr>
        <w:t xml:space="preserve"> </w:t>
      </w:r>
      <w:r w:rsidRPr="14433F98">
        <w:rPr>
          <w:i/>
          <w:iCs/>
          <w:noProof/>
        </w:rPr>
        <w:t xml:space="preserve">‘reflected in the </w:t>
      </w:r>
      <w:r w:rsidRPr="14433F98">
        <w:rPr>
          <w:b/>
          <w:bCs/>
          <w:i/>
          <w:iCs/>
          <w:noProof/>
        </w:rPr>
        <w:t>long-term interest rate levels</w:t>
      </w:r>
      <w:r w:rsidRPr="14433F98">
        <w:rPr>
          <w:i/>
          <w:iCs/>
          <w:noProof/>
        </w:rPr>
        <w:t>’.</w:t>
      </w:r>
    </w:p>
    <w:p w14:paraId="4968DE11" w14:textId="77777777" w:rsidR="001B33BE" w:rsidRDefault="001B33BE" w:rsidP="001B33BE">
      <w:pPr>
        <w:ind w:left="567"/>
        <w:rPr>
          <w:i/>
          <w:iCs/>
          <w:noProof/>
        </w:rPr>
      </w:pPr>
      <w:r>
        <w:rPr>
          <w:noProof/>
        </w:rPr>
        <w:t>Article 4 of the Protocol on the convergence criteria further states that</w:t>
      </w:r>
      <w:r w:rsidRPr="14433F98">
        <w:rPr>
          <w:i/>
          <w:iCs/>
          <w:noProof/>
        </w:rPr>
        <w:t xml:space="preserve"> ‘the criterion on the convergence of interest rates […] shall mean that, observed over a period of one year before the examination, a Member State has had an average nominal long-term interest rate that does not exceed by more than 2 percentage points that of, at most, the three best-performing Member States in terms of price stability. Interest rates shall be measured on the basis of long-term government bonds or comparable securities, taking into account differences in national definitions’.</w:t>
      </w:r>
    </w:p>
    <w:p w14:paraId="571C0F76" w14:textId="0B484DFD" w:rsidR="001B33BE" w:rsidRDefault="001B33BE" w:rsidP="001B33BE">
      <w:pPr>
        <w:ind w:left="567"/>
        <w:rPr>
          <w:noProof/>
        </w:rPr>
      </w:pPr>
      <w:r w:rsidRPr="002E7F0A">
        <w:rPr>
          <w:noProof/>
        </w:rPr>
        <w:t xml:space="preserve">The interest rate reference value was </w:t>
      </w:r>
      <w:r w:rsidRPr="00E757ED">
        <w:rPr>
          <w:noProof/>
        </w:rPr>
        <w:t xml:space="preserve">calculated as </w:t>
      </w:r>
      <w:r>
        <w:rPr>
          <w:noProof/>
        </w:rPr>
        <w:t>5.1</w:t>
      </w:r>
      <w:r w:rsidRPr="00E757ED">
        <w:rPr>
          <w:noProof/>
        </w:rPr>
        <w:t>%</w:t>
      </w:r>
      <w:r w:rsidRPr="002E7F0A">
        <w:rPr>
          <w:noProof/>
        </w:rPr>
        <w:t xml:space="preserve"> in </w:t>
      </w:r>
      <w:r w:rsidR="001C1C6B">
        <w:rPr>
          <w:noProof/>
        </w:rPr>
        <w:t>May</w:t>
      </w:r>
      <w:r>
        <w:rPr>
          <w:noProof/>
        </w:rPr>
        <w:t xml:space="preserve"> 202</w:t>
      </w:r>
      <w:r w:rsidR="001C1C6B">
        <w:rPr>
          <w:noProof/>
        </w:rPr>
        <w:t>6</w:t>
      </w:r>
      <w:r>
        <w:rPr>
          <w:rStyle w:val="FootnoteReference"/>
          <w:noProof/>
        </w:rPr>
        <w:footnoteReference w:id="11"/>
      </w:r>
      <w:r w:rsidRPr="002E7F0A">
        <w:rPr>
          <w:noProof/>
        </w:rPr>
        <w:t>.</w:t>
      </w:r>
    </w:p>
    <w:p w14:paraId="6A8A012C" w14:textId="4DEC4152" w:rsidR="001B33BE" w:rsidRDefault="001B33BE" w:rsidP="001B33BE">
      <w:pPr>
        <w:ind w:left="567"/>
        <w:rPr>
          <w:noProof/>
        </w:rPr>
      </w:pPr>
      <w:r>
        <w:rPr>
          <w:noProof/>
        </w:rPr>
        <w:t xml:space="preserve">Article 140(1) TFEU also requires the reports to take into account </w:t>
      </w:r>
      <w:r w:rsidRPr="14433F98">
        <w:rPr>
          <w:b/>
          <w:bCs/>
          <w:noProof/>
        </w:rPr>
        <w:t>other factors</w:t>
      </w:r>
      <w:r>
        <w:rPr>
          <w:noProof/>
        </w:rPr>
        <w:t xml:space="preserve"> relevant to economic integration and convergence. These include the integration of markets, the development of the balance of payments on the current account and of unit labour costs and other price indices. The additional factors to be considered are important indicators of whether a Member State would integrate into the euro area without </w:t>
      </w:r>
      <w:r w:rsidRPr="00B419F3">
        <w:rPr>
          <w:noProof/>
        </w:rPr>
        <w:t>difficulties.</w:t>
      </w:r>
      <w:r>
        <w:rPr>
          <w:noProof/>
        </w:rPr>
        <w:t xml:space="preserve"> They also broaden the view on the </w:t>
      </w:r>
      <w:r w:rsidR="00A53451">
        <w:rPr>
          <w:noProof/>
        </w:rPr>
        <w:t>required high degree of sustainable</w:t>
      </w:r>
      <w:r>
        <w:rPr>
          <w:noProof/>
        </w:rPr>
        <w:t xml:space="preserve"> convergence.</w:t>
      </w:r>
    </w:p>
    <w:p w14:paraId="4B5BF6FC" w14:textId="65B1BB9B" w:rsidR="001B33BE" w:rsidRDefault="001B33BE" w:rsidP="001B33BE">
      <w:pPr>
        <w:ind w:left="567"/>
        <w:rPr>
          <w:noProof/>
        </w:rPr>
      </w:pPr>
      <w:r w:rsidRPr="00052BC8">
        <w:rPr>
          <w:noProof/>
        </w:rPr>
        <w:t xml:space="preserve">The assessment of the degree of sustainable convergence for </w:t>
      </w:r>
      <w:r w:rsidR="00D4014A">
        <w:rPr>
          <w:noProof/>
        </w:rPr>
        <w:t xml:space="preserve">the Member States with a derogation </w:t>
      </w:r>
      <w:r w:rsidRPr="00052BC8">
        <w:rPr>
          <w:noProof/>
        </w:rPr>
        <w:t>presented in this report draws on the Commission’s Spring 202</w:t>
      </w:r>
      <w:r w:rsidR="00D4014A">
        <w:rPr>
          <w:noProof/>
        </w:rPr>
        <w:t>6</w:t>
      </w:r>
      <w:r w:rsidRPr="00052BC8">
        <w:rPr>
          <w:noProof/>
        </w:rPr>
        <w:t xml:space="preserve"> Economic Forecast and the policy guidance provided under the </w:t>
      </w:r>
      <w:r w:rsidR="004619C3">
        <w:rPr>
          <w:noProof/>
        </w:rPr>
        <w:t xml:space="preserve">2026 </w:t>
      </w:r>
      <w:r w:rsidRPr="00052BC8">
        <w:rPr>
          <w:noProof/>
        </w:rPr>
        <w:t>European Semester</w:t>
      </w:r>
      <w:r w:rsidR="004619C3">
        <w:rPr>
          <w:noProof/>
        </w:rPr>
        <w:t xml:space="preserve"> Spring Package</w:t>
      </w:r>
      <w:r w:rsidR="00761BDF">
        <w:rPr>
          <w:rStyle w:val="FootnoteReference"/>
          <w:noProof/>
        </w:rPr>
        <w:footnoteReference w:id="12"/>
      </w:r>
      <w:r w:rsidRPr="00052BC8">
        <w:rPr>
          <w:noProof/>
        </w:rPr>
        <w:t xml:space="preserve">. </w:t>
      </w:r>
      <w:r w:rsidRPr="00C6104E">
        <w:rPr>
          <w:noProof/>
        </w:rPr>
        <w:t>It is informed in particular by:</w:t>
      </w:r>
      <w:r w:rsidR="001458A3" w:rsidRPr="0098405B">
        <w:rPr>
          <w:noProof/>
        </w:rPr>
        <w:t xml:space="preserve"> the C</w:t>
      </w:r>
      <w:r w:rsidR="00C62C49" w:rsidRPr="0098405B">
        <w:rPr>
          <w:noProof/>
        </w:rPr>
        <w:t>hapeau Communication for</w:t>
      </w:r>
      <w:r w:rsidR="003F2ABE" w:rsidRPr="0098405B">
        <w:rPr>
          <w:noProof/>
        </w:rPr>
        <w:t xml:space="preserve"> the Spring package, </w:t>
      </w:r>
      <w:r w:rsidR="00800A57" w:rsidRPr="0098405B">
        <w:rPr>
          <w:noProof/>
        </w:rPr>
        <w:t>including the conclusion</w:t>
      </w:r>
      <w:r w:rsidR="00642DFD" w:rsidRPr="0098405B">
        <w:rPr>
          <w:noProof/>
        </w:rPr>
        <w:t>s</w:t>
      </w:r>
      <w:r w:rsidR="00800A57" w:rsidRPr="0098405B">
        <w:rPr>
          <w:noProof/>
        </w:rPr>
        <w:t xml:space="preserve"> on </w:t>
      </w:r>
      <w:r w:rsidRPr="00C6104E">
        <w:rPr>
          <w:noProof/>
        </w:rPr>
        <w:t>(i) the fiscal surveillance carried out under the Stability and Growth Pact and (ii) the Macroeconomic Imbalance Procedure.</w:t>
      </w:r>
      <w:r w:rsidR="00AC1FDE" w:rsidRPr="0098405B">
        <w:rPr>
          <w:noProof/>
        </w:rPr>
        <w:t xml:space="preserve"> The</w:t>
      </w:r>
      <w:r w:rsidR="003C2B7F" w:rsidRPr="0098405B">
        <w:rPr>
          <w:noProof/>
        </w:rPr>
        <w:t xml:space="preserve"> assessment also refers to the findings in the </w:t>
      </w:r>
      <w:r w:rsidR="00974FE8" w:rsidRPr="0098405B">
        <w:rPr>
          <w:noProof/>
        </w:rPr>
        <w:t>202</w:t>
      </w:r>
      <w:r w:rsidR="008709B3" w:rsidRPr="0098405B">
        <w:rPr>
          <w:noProof/>
        </w:rPr>
        <w:t>6</w:t>
      </w:r>
      <w:r w:rsidR="00974FE8" w:rsidRPr="0098405B">
        <w:rPr>
          <w:noProof/>
        </w:rPr>
        <w:t xml:space="preserve"> </w:t>
      </w:r>
      <w:r w:rsidR="007141FC" w:rsidRPr="0098405B">
        <w:rPr>
          <w:noProof/>
        </w:rPr>
        <w:t>In-Depth Reviews</w:t>
      </w:r>
      <w:r w:rsidR="00364098" w:rsidRPr="0098405B">
        <w:rPr>
          <w:noProof/>
        </w:rPr>
        <w:t xml:space="preserve"> and the </w:t>
      </w:r>
      <w:r w:rsidR="00C7583C" w:rsidRPr="0098405B">
        <w:rPr>
          <w:noProof/>
        </w:rPr>
        <w:t>2026 Country Reports</w:t>
      </w:r>
      <w:r w:rsidR="00457D7E">
        <w:rPr>
          <w:noProof/>
        </w:rPr>
        <w:t xml:space="preserve">. </w:t>
      </w:r>
      <w:r w:rsidR="00E05BD1">
        <w:rPr>
          <w:noProof/>
        </w:rPr>
        <w:t xml:space="preserve">The assessment </w:t>
      </w:r>
      <w:r w:rsidRPr="00C6104E">
        <w:rPr>
          <w:noProof/>
        </w:rPr>
        <w:t>also reflects the Commission’s assessments of fiscal sustainability risks and of the national fiscal framework, as well as the implementation of the RRP.</w:t>
      </w:r>
      <w:r w:rsidR="00457D7E" w:rsidRPr="00457D7E">
        <w:rPr>
          <w:noProof/>
        </w:rPr>
        <w:t xml:space="preserve"> </w:t>
      </w:r>
      <w:r w:rsidR="00457D7E">
        <w:rPr>
          <w:noProof/>
        </w:rPr>
        <w:t>L</w:t>
      </w:r>
      <w:r w:rsidR="00457D7E" w:rsidRPr="00E05BD1">
        <w:rPr>
          <w:noProof/>
        </w:rPr>
        <w:t>abour</w:t>
      </w:r>
      <w:r w:rsidR="00457D7E">
        <w:rPr>
          <w:noProof/>
        </w:rPr>
        <w:t xml:space="preserve"> and product</w:t>
      </w:r>
      <w:r w:rsidR="00457D7E" w:rsidRPr="00E05BD1">
        <w:rPr>
          <w:noProof/>
        </w:rPr>
        <w:t xml:space="preserve"> market performance, </w:t>
      </w:r>
      <w:r w:rsidR="007B4C38">
        <w:rPr>
          <w:noProof/>
        </w:rPr>
        <w:t xml:space="preserve">labour </w:t>
      </w:r>
      <w:r w:rsidR="00457D7E" w:rsidRPr="00E05BD1">
        <w:rPr>
          <w:noProof/>
        </w:rPr>
        <w:t>participation, skills availability, wage formation, social resilience and territorial cohesion are also relevant, as they</w:t>
      </w:r>
      <w:r w:rsidR="00457D7E">
        <w:rPr>
          <w:noProof/>
        </w:rPr>
        <w:t xml:space="preserve"> contribute to</w:t>
      </w:r>
      <w:r w:rsidR="00457D7E" w:rsidRPr="00E05BD1">
        <w:rPr>
          <w:noProof/>
        </w:rPr>
        <w:t xml:space="preserve"> shape adjustment capacity, competitiveness and the ability to participate smoothly in the euro area</w:t>
      </w:r>
      <w:r w:rsidR="00457D7E">
        <w:rPr>
          <w:noProof/>
        </w:rPr>
        <w:t>.</w:t>
      </w:r>
    </w:p>
    <w:p w14:paraId="0DB4D347" w14:textId="77777777" w:rsidR="00A97E17" w:rsidRDefault="00A97E17" w:rsidP="00F62737">
      <w:pPr>
        <w:ind w:left="567"/>
        <w:rPr>
          <w:noProof/>
        </w:rPr>
      </w:pPr>
    </w:p>
    <w:p w14:paraId="14CBCF34" w14:textId="522550A8" w:rsidR="009331D7" w:rsidRDefault="003C562C" w:rsidP="003C562C">
      <w:pPr>
        <w:numPr>
          <w:ilvl w:val="0"/>
          <w:numId w:val="1"/>
        </w:numPr>
        <w:ind w:left="567" w:hanging="567"/>
        <w:rPr>
          <w:b/>
          <w:bCs/>
          <w:noProof/>
        </w:rPr>
      </w:pPr>
      <w:r>
        <w:rPr>
          <w:b/>
          <w:bCs/>
          <w:noProof/>
        </w:rPr>
        <w:t>CZECHIA</w:t>
      </w:r>
    </w:p>
    <w:p w14:paraId="6F74E9F8" w14:textId="60B310C5" w:rsidR="003834D9" w:rsidRPr="003834D9" w:rsidRDefault="003834D9" w:rsidP="003834D9">
      <w:pPr>
        <w:ind w:left="567"/>
        <w:rPr>
          <w:b/>
          <w:bCs/>
          <w:noProof/>
        </w:rPr>
      </w:pPr>
      <w:r w:rsidRPr="003834D9">
        <w:rPr>
          <w:b/>
          <w:bCs/>
          <w:noProof/>
        </w:rPr>
        <w:t xml:space="preserve">In the light of its assessment on legal compatibility and on the fulfilment of the convergence criteria, and taking into account the additional relevant factors, the Commission considers that Czechia does not fulfil the conditions for </w:t>
      </w:r>
      <w:r w:rsidR="002B4145">
        <w:rPr>
          <w:b/>
          <w:bCs/>
          <w:noProof/>
        </w:rPr>
        <w:t xml:space="preserve">adopting </w:t>
      </w:r>
      <w:r w:rsidRPr="003834D9">
        <w:rPr>
          <w:b/>
          <w:bCs/>
          <w:noProof/>
        </w:rPr>
        <w:t>the euro.</w:t>
      </w:r>
    </w:p>
    <w:p w14:paraId="7340D1B1" w14:textId="2884BF56" w:rsidR="003834D9" w:rsidRDefault="003834D9" w:rsidP="003834D9">
      <w:pPr>
        <w:ind w:left="567"/>
        <w:rPr>
          <w:noProof/>
        </w:rPr>
      </w:pPr>
      <w:r w:rsidRPr="003834D9">
        <w:rPr>
          <w:b/>
          <w:bCs/>
          <w:noProof/>
        </w:rPr>
        <w:t>Legislation in Czechia</w:t>
      </w:r>
      <w:r w:rsidR="00451A08" w:rsidRPr="00E55FB5">
        <w:rPr>
          <w:noProof/>
        </w:rPr>
        <w:t>,</w:t>
      </w:r>
      <w:r>
        <w:rPr>
          <w:noProof/>
        </w:rPr>
        <w:t xml:space="preserve"> in particular the Czech National Council Act No 6/1993 Coll. on the Česká národní banka (the ČNB Law)</w:t>
      </w:r>
      <w:r w:rsidR="00451A08">
        <w:rPr>
          <w:noProof/>
        </w:rPr>
        <w:t>,</w:t>
      </w:r>
      <w:r>
        <w:rPr>
          <w:noProof/>
        </w:rPr>
        <w:t xml:space="preserve"> </w:t>
      </w:r>
      <w:r w:rsidRPr="00F87783">
        <w:rPr>
          <w:b/>
          <w:bCs/>
          <w:noProof/>
        </w:rPr>
        <w:t xml:space="preserve">is </w:t>
      </w:r>
      <w:r w:rsidRPr="002775BF">
        <w:rPr>
          <w:b/>
          <w:noProof/>
        </w:rPr>
        <w:t>not fully</w:t>
      </w:r>
      <w:r w:rsidRPr="00F87783">
        <w:rPr>
          <w:b/>
          <w:bCs/>
          <w:noProof/>
        </w:rPr>
        <w:t xml:space="preserve"> compatible</w:t>
      </w:r>
      <w:r>
        <w:rPr>
          <w:noProof/>
        </w:rPr>
        <w:t xml:space="preserve"> with the requirements of Article 131 TFEU. Incompatibilities concern the independence of the central bank</w:t>
      </w:r>
      <w:r w:rsidR="474C99E3">
        <w:rPr>
          <w:noProof/>
        </w:rPr>
        <w:t xml:space="preserve">, </w:t>
      </w:r>
      <w:r w:rsidR="16B63ECE">
        <w:rPr>
          <w:noProof/>
        </w:rPr>
        <w:t xml:space="preserve">prohibition of </w:t>
      </w:r>
      <w:r w:rsidR="474C99E3">
        <w:rPr>
          <w:noProof/>
        </w:rPr>
        <w:t>monetary financing,</w:t>
      </w:r>
      <w:r>
        <w:rPr>
          <w:noProof/>
        </w:rPr>
        <w:t xml:space="preserve"> and </w:t>
      </w:r>
      <w:r w:rsidR="00451A08">
        <w:rPr>
          <w:noProof/>
        </w:rPr>
        <w:t xml:space="preserve">the integration of the </w:t>
      </w:r>
      <w:r>
        <w:rPr>
          <w:noProof/>
        </w:rPr>
        <w:t>central bank in</w:t>
      </w:r>
      <w:r w:rsidR="0093149A">
        <w:rPr>
          <w:noProof/>
        </w:rPr>
        <w:t>to</w:t>
      </w:r>
      <w:r>
        <w:rPr>
          <w:noProof/>
        </w:rPr>
        <w:t xml:space="preserve"> the </w:t>
      </w:r>
      <w:r w:rsidR="5F76264C">
        <w:rPr>
          <w:noProof/>
        </w:rPr>
        <w:t>Eurosystem</w:t>
      </w:r>
      <w:r>
        <w:rPr>
          <w:noProof/>
        </w:rPr>
        <w:t xml:space="preserve"> with regard to the ČNB's objectives and the ESCB</w:t>
      </w:r>
      <w:r w:rsidR="4A83EA90">
        <w:rPr>
          <w:noProof/>
        </w:rPr>
        <w:t>/ECB</w:t>
      </w:r>
      <w:r>
        <w:rPr>
          <w:noProof/>
        </w:rPr>
        <w:t xml:space="preserve"> </w:t>
      </w:r>
      <w:r w:rsidR="1F9CAD75">
        <w:rPr>
          <w:noProof/>
        </w:rPr>
        <w:t xml:space="preserve">objectives and </w:t>
      </w:r>
      <w:r>
        <w:rPr>
          <w:noProof/>
        </w:rPr>
        <w:t>tasks laid down in Article 127(</w:t>
      </w:r>
      <w:r w:rsidR="47378D8A">
        <w:rPr>
          <w:noProof/>
        </w:rPr>
        <w:t xml:space="preserve">1) and </w:t>
      </w:r>
      <w:r>
        <w:rPr>
          <w:noProof/>
        </w:rPr>
        <w:t>(2) TFEU and Article</w:t>
      </w:r>
      <w:r w:rsidR="009F4F47">
        <w:rPr>
          <w:noProof/>
        </w:rPr>
        <w:t>s</w:t>
      </w:r>
      <w:r>
        <w:rPr>
          <w:noProof/>
        </w:rPr>
        <w:t xml:space="preserve"> </w:t>
      </w:r>
      <w:r w:rsidR="3AE89812">
        <w:rPr>
          <w:noProof/>
        </w:rPr>
        <w:t xml:space="preserve">2 and </w:t>
      </w:r>
      <w:r>
        <w:rPr>
          <w:noProof/>
        </w:rPr>
        <w:t>3 of the ESCB/ECB Statute. In addition, the ČNB Law also contains imperfections relating to ESCB</w:t>
      </w:r>
      <w:r w:rsidR="3C9A191E">
        <w:rPr>
          <w:noProof/>
        </w:rPr>
        <w:t>/ECB</w:t>
      </w:r>
      <w:r>
        <w:rPr>
          <w:noProof/>
        </w:rPr>
        <w:t xml:space="preserve"> tasks.</w:t>
      </w:r>
    </w:p>
    <w:p w14:paraId="22BD389F" w14:textId="52053BAB" w:rsidR="00F32307" w:rsidRDefault="00F32307" w:rsidP="00F32307">
      <w:pPr>
        <w:ind w:left="567"/>
        <w:rPr>
          <w:noProof/>
        </w:rPr>
      </w:pPr>
      <w:r w:rsidRPr="00E24151">
        <w:rPr>
          <w:b/>
          <w:bCs/>
          <w:noProof/>
        </w:rPr>
        <w:t xml:space="preserve">Czechia </w:t>
      </w:r>
      <w:r w:rsidRPr="00E55FB5">
        <w:rPr>
          <w:b/>
          <w:bCs/>
          <w:noProof/>
        </w:rPr>
        <w:t>fulfils</w:t>
      </w:r>
      <w:r w:rsidRPr="00E24151">
        <w:rPr>
          <w:b/>
          <w:bCs/>
          <w:noProof/>
        </w:rPr>
        <w:t xml:space="preserve"> the</w:t>
      </w:r>
      <w:r w:rsidRPr="00FA20AB">
        <w:rPr>
          <w:b/>
          <w:bCs/>
          <w:noProof/>
        </w:rPr>
        <w:t xml:space="preserve"> criterion on price stability.</w:t>
      </w:r>
      <w:r>
        <w:rPr>
          <w:noProof/>
        </w:rPr>
        <w:t xml:space="preserve"> The average inflation rate in Czechia during the 12 months to May 2026 was </w:t>
      </w:r>
      <w:r w:rsidR="00BA5DD6">
        <w:rPr>
          <w:noProof/>
        </w:rPr>
        <w:t>1.</w:t>
      </w:r>
      <w:r w:rsidR="00BA5DD6" w:rsidRPr="00BA5DD6">
        <w:rPr>
          <w:noProof/>
        </w:rPr>
        <w:t>9</w:t>
      </w:r>
      <w:r w:rsidRPr="00BA5DD6">
        <w:rPr>
          <w:noProof/>
        </w:rPr>
        <w:t xml:space="preserve">%, </w:t>
      </w:r>
      <w:r w:rsidRPr="00BE0276">
        <w:rPr>
          <w:noProof/>
        </w:rPr>
        <w:t>below</w:t>
      </w:r>
      <w:r w:rsidRPr="00BA5DD6">
        <w:rPr>
          <w:noProof/>
        </w:rPr>
        <w:t xml:space="preserve"> the reference value</w:t>
      </w:r>
      <w:r w:rsidR="00D62747" w:rsidRPr="00BA5DD6">
        <w:rPr>
          <w:noProof/>
        </w:rPr>
        <w:t xml:space="preserve"> of </w:t>
      </w:r>
      <w:r w:rsidR="00BA5DD6" w:rsidRPr="00BA5DD6">
        <w:rPr>
          <w:noProof/>
        </w:rPr>
        <w:t>2.7</w:t>
      </w:r>
      <w:r w:rsidR="00D62747" w:rsidRPr="00BA5DD6">
        <w:rPr>
          <w:noProof/>
        </w:rPr>
        <w:t>%</w:t>
      </w:r>
      <w:r w:rsidRPr="00BA5DD6">
        <w:rPr>
          <w:noProof/>
        </w:rPr>
        <w:t xml:space="preserve">. </w:t>
      </w:r>
      <w:r w:rsidR="00E30236" w:rsidRPr="00BA5DD6">
        <w:rPr>
          <w:noProof/>
        </w:rPr>
        <w:t xml:space="preserve">It is projected to </w:t>
      </w:r>
      <w:r w:rsidR="00DB40E3" w:rsidRPr="00BA5DD6">
        <w:rPr>
          <w:noProof/>
        </w:rPr>
        <w:t>in</w:t>
      </w:r>
      <w:r w:rsidR="00E30236" w:rsidRPr="00BA5DD6">
        <w:rPr>
          <w:noProof/>
        </w:rPr>
        <w:t xml:space="preserve">crease by the end of 2026 </w:t>
      </w:r>
      <w:r w:rsidR="00E27B91" w:rsidRPr="00BA5DD6">
        <w:rPr>
          <w:noProof/>
        </w:rPr>
        <w:t xml:space="preserve">and </w:t>
      </w:r>
      <w:r w:rsidR="007D0EBF" w:rsidRPr="00BA5DD6">
        <w:rPr>
          <w:noProof/>
        </w:rPr>
        <w:t xml:space="preserve">decrease </w:t>
      </w:r>
      <w:r w:rsidR="00E30236" w:rsidRPr="00BA5DD6">
        <w:rPr>
          <w:noProof/>
        </w:rPr>
        <w:t xml:space="preserve">in </w:t>
      </w:r>
      <w:r w:rsidR="00AB35D3" w:rsidRPr="00BA5DD6">
        <w:rPr>
          <w:noProof/>
        </w:rPr>
        <w:t>the second</w:t>
      </w:r>
      <w:r w:rsidR="00AB35D3" w:rsidRPr="00256CAA">
        <w:rPr>
          <w:noProof/>
        </w:rPr>
        <w:t xml:space="preserve"> half of </w:t>
      </w:r>
      <w:r w:rsidR="00E30236" w:rsidRPr="00256CAA">
        <w:rPr>
          <w:noProof/>
        </w:rPr>
        <w:t xml:space="preserve">2027, but </w:t>
      </w:r>
      <w:r w:rsidR="00047D87">
        <w:rPr>
          <w:noProof/>
        </w:rPr>
        <w:t>should</w:t>
      </w:r>
      <w:r w:rsidR="00E30236" w:rsidRPr="00256CAA">
        <w:rPr>
          <w:noProof/>
        </w:rPr>
        <w:t xml:space="preserve"> </w:t>
      </w:r>
      <w:r w:rsidR="003B40A9" w:rsidRPr="00256CAA">
        <w:rPr>
          <w:noProof/>
        </w:rPr>
        <w:t xml:space="preserve">stay </w:t>
      </w:r>
      <w:r w:rsidR="00E30236" w:rsidRPr="00256CAA">
        <w:rPr>
          <w:noProof/>
        </w:rPr>
        <w:t>below the reference value in both years.</w:t>
      </w:r>
      <w:r w:rsidR="00E30236" w:rsidRPr="00E30236">
        <w:rPr>
          <w:noProof/>
        </w:rPr>
        <w:t xml:space="preserve"> </w:t>
      </w:r>
    </w:p>
    <w:p w14:paraId="630586EC" w14:textId="02707D74" w:rsidR="003C562C" w:rsidRDefault="00E96170" w:rsidP="00B73DB6">
      <w:pPr>
        <w:ind w:left="567"/>
        <w:jc w:val="center"/>
        <w:rPr>
          <w:noProof/>
        </w:rPr>
      </w:pPr>
      <w:r>
        <w:rPr>
          <w:noProof/>
          <w:lang w:eastAsia="en-GB"/>
        </w:rPr>
        <w:drawing>
          <wp:inline distT="0" distB="0" distL="0" distR="0" wp14:anchorId="596D000D" wp14:editId="5FE4F4AF">
            <wp:extent cx="3237230" cy="2694940"/>
            <wp:effectExtent l="0" t="0" r="1270" b="0"/>
            <wp:docPr id="1188481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7230" cy="2694940"/>
                    </a:xfrm>
                    <a:prstGeom prst="rect">
                      <a:avLst/>
                    </a:prstGeom>
                    <a:noFill/>
                  </pic:spPr>
                </pic:pic>
              </a:graphicData>
            </a:graphic>
          </wp:inline>
        </w:drawing>
      </w:r>
    </w:p>
    <w:p w14:paraId="1C6CC779" w14:textId="070EC78B" w:rsidR="003D6E40" w:rsidRDefault="003D6E40" w:rsidP="003834D9">
      <w:pPr>
        <w:ind w:left="567"/>
        <w:rPr>
          <w:noProof/>
        </w:rPr>
      </w:pPr>
      <w:r w:rsidRPr="003D6E40">
        <w:rPr>
          <w:noProof/>
        </w:rPr>
        <w:t xml:space="preserve">Following </w:t>
      </w:r>
      <w:r w:rsidR="00CA1628">
        <w:rPr>
          <w:noProof/>
        </w:rPr>
        <w:t xml:space="preserve">a period of </w:t>
      </w:r>
      <w:r w:rsidRPr="003D6E40">
        <w:rPr>
          <w:noProof/>
        </w:rPr>
        <w:t>high inflation</w:t>
      </w:r>
      <w:r w:rsidR="00CA1628">
        <w:rPr>
          <w:noProof/>
        </w:rPr>
        <w:t xml:space="preserve"> in</w:t>
      </w:r>
      <w:r w:rsidRPr="003D6E40">
        <w:rPr>
          <w:noProof/>
        </w:rPr>
        <w:t xml:space="preserve"> 2021-2023, which started with the post-COVID recovery and was aggravated by the energy price shock following Russia’s full-scale invasion of Ukraine, HICP inflation started </w:t>
      </w:r>
      <w:r w:rsidR="004B2E26">
        <w:rPr>
          <w:noProof/>
        </w:rPr>
        <w:t xml:space="preserve">to </w:t>
      </w:r>
      <w:r w:rsidRPr="003D6E40">
        <w:rPr>
          <w:noProof/>
        </w:rPr>
        <w:t>moderat</w:t>
      </w:r>
      <w:r w:rsidR="004B2E26">
        <w:rPr>
          <w:noProof/>
        </w:rPr>
        <w:t>e in</w:t>
      </w:r>
      <w:r w:rsidRPr="003D6E40">
        <w:rPr>
          <w:noProof/>
        </w:rPr>
        <w:t xml:space="preserve"> 2024 (2.7%) and 2025 (2.3%). </w:t>
      </w:r>
      <w:r w:rsidR="00AE1D56" w:rsidRPr="003D6E40">
        <w:rPr>
          <w:noProof/>
        </w:rPr>
        <w:t xml:space="preserve">The decline in headline inflation was driven by </w:t>
      </w:r>
      <w:r w:rsidR="004374D2">
        <w:rPr>
          <w:noProof/>
        </w:rPr>
        <w:t xml:space="preserve">a slowdown </w:t>
      </w:r>
      <w:r w:rsidR="00AE1D56" w:rsidRPr="003D6E40">
        <w:rPr>
          <w:noProof/>
        </w:rPr>
        <w:t xml:space="preserve">in food prices in 2024 and energy prices in 2025. </w:t>
      </w:r>
      <w:r w:rsidR="00AE1D56" w:rsidRPr="00E40D73">
        <w:rPr>
          <w:noProof/>
        </w:rPr>
        <w:t xml:space="preserve">Services inflation, which typically is relatively persistent and driven by wages, </w:t>
      </w:r>
      <w:r w:rsidR="00745E44">
        <w:rPr>
          <w:noProof/>
        </w:rPr>
        <w:t>cooled off</w:t>
      </w:r>
      <w:r w:rsidR="00AE1D56" w:rsidRPr="00E40D73">
        <w:rPr>
          <w:noProof/>
        </w:rPr>
        <w:t xml:space="preserve"> during that period but remained well above headline inflation.</w:t>
      </w:r>
      <w:r w:rsidR="00AE1D56">
        <w:rPr>
          <w:noProof/>
        </w:rPr>
        <w:t xml:space="preserve"> </w:t>
      </w:r>
      <w:r w:rsidRPr="003D6E40">
        <w:rPr>
          <w:noProof/>
        </w:rPr>
        <w:t>Annual inflation slowed down further in the first</w:t>
      </w:r>
      <w:r w:rsidR="00654F27">
        <w:rPr>
          <w:noProof/>
        </w:rPr>
        <w:t xml:space="preserve"> two</w:t>
      </w:r>
      <w:r w:rsidRPr="003D6E40">
        <w:rPr>
          <w:noProof/>
        </w:rPr>
        <w:t xml:space="preserve"> months of 2026</w:t>
      </w:r>
      <w:r w:rsidR="00563C38">
        <w:rPr>
          <w:noProof/>
        </w:rPr>
        <w:t xml:space="preserve">, before </w:t>
      </w:r>
      <w:r w:rsidR="00E63453">
        <w:rPr>
          <w:noProof/>
        </w:rPr>
        <w:t>increas</w:t>
      </w:r>
      <w:r w:rsidR="00563C38">
        <w:rPr>
          <w:noProof/>
        </w:rPr>
        <w:t>ing</w:t>
      </w:r>
      <w:r w:rsidR="00143EBD">
        <w:rPr>
          <w:noProof/>
        </w:rPr>
        <w:t xml:space="preserve"> </w:t>
      </w:r>
      <w:r w:rsidR="00E63453">
        <w:rPr>
          <w:noProof/>
        </w:rPr>
        <w:t xml:space="preserve">in the subsequent months </w:t>
      </w:r>
      <w:r w:rsidR="00EF6D9A">
        <w:rPr>
          <w:noProof/>
        </w:rPr>
        <w:t xml:space="preserve">and </w:t>
      </w:r>
      <w:r w:rsidR="00E63453">
        <w:rPr>
          <w:noProof/>
        </w:rPr>
        <w:t>reach</w:t>
      </w:r>
      <w:r w:rsidR="00143EBD">
        <w:rPr>
          <w:noProof/>
        </w:rPr>
        <w:t>ing</w:t>
      </w:r>
      <w:r w:rsidR="00E63453">
        <w:rPr>
          <w:noProof/>
        </w:rPr>
        <w:t xml:space="preserve"> </w:t>
      </w:r>
      <w:r w:rsidR="0045315C">
        <w:rPr>
          <w:noProof/>
        </w:rPr>
        <w:t>1.8</w:t>
      </w:r>
      <w:r w:rsidR="00E93B22" w:rsidRPr="52A3362B">
        <w:rPr>
          <w:rFonts w:eastAsia="EC Square Sans Pro" w:cs="EC Square Sans Pro"/>
          <w:noProof/>
          <w:color w:val="000000" w:themeColor="text1"/>
          <w:szCs w:val="20"/>
        </w:rPr>
        <w:t xml:space="preserve">% in </w:t>
      </w:r>
      <w:r w:rsidR="00802236">
        <w:rPr>
          <w:rFonts w:eastAsia="EC Square Sans Pro" w:cs="EC Square Sans Pro"/>
          <w:noProof/>
          <w:color w:val="000000" w:themeColor="text1"/>
          <w:szCs w:val="20"/>
        </w:rPr>
        <w:t>May</w:t>
      </w:r>
      <w:r w:rsidR="00E93B22" w:rsidRPr="52A3362B">
        <w:rPr>
          <w:rFonts w:eastAsia="EC Square Sans Pro" w:cs="EC Square Sans Pro"/>
          <w:noProof/>
          <w:color w:val="000000" w:themeColor="text1"/>
          <w:szCs w:val="20"/>
        </w:rPr>
        <w:t xml:space="preserve"> 2026</w:t>
      </w:r>
      <w:r w:rsidR="00E93B22">
        <w:rPr>
          <w:rFonts w:eastAsia="EC Square Sans Pro" w:cs="EC Square Sans Pro"/>
          <w:noProof/>
          <w:color w:val="000000" w:themeColor="text1"/>
          <w:szCs w:val="20"/>
        </w:rPr>
        <w:t xml:space="preserve">, driven by services inflation and </w:t>
      </w:r>
      <w:r w:rsidR="00810434">
        <w:rPr>
          <w:rFonts w:eastAsia="EC Square Sans Pro" w:cs="EC Square Sans Pro"/>
          <w:noProof/>
          <w:color w:val="000000" w:themeColor="text1"/>
          <w:szCs w:val="20"/>
        </w:rPr>
        <w:t xml:space="preserve">a spike in </w:t>
      </w:r>
      <w:r w:rsidR="00E93B22">
        <w:rPr>
          <w:rFonts w:eastAsia="EC Square Sans Pro" w:cs="EC Square Sans Pro"/>
          <w:noProof/>
          <w:color w:val="000000" w:themeColor="text1"/>
          <w:szCs w:val="20"/>
        </w:rPr>
        <w:t xml:space="preserve">energy inflation </w:t>
      </w:r>
      <w:r w:rsidR="00273B0C">
        <w:rPr>
          <w:rFonts w:eastAsia="EC Square Sans Pro" w:cs="EC Square Sans Pro"/>
          <w:noProof/>
          <w:color w:val="000000" w:themeColor="text1"/>
          <w:szCs w:val="20"/>
        </w:rPr>
        <w:t xml:space="preserve">due to </w:t>
      </w:r>
      <w:r w:rsidR="00E93B22">
        <w:rPr>
          <w:rFonts w:eastAsia="EC Square Sans Pro" w:cs="EC Square Sans Pro"/>
          <w:noProof/>
          <w:color w:val="000000" w:themeColor="text1"/>
          <w:szCs w:val="20"/>
        </w:rPr>
        <w:t>the conflict in the Middle East</w:t>
      </w:r>
      <w:r w:rsidR="0029569E">
        <w:rPr>
          <w:rFonts w:eastAsia="EC Square Sans Pro" w:cs="EC Square Sans Pro"/>
          <w:noProof/>
          <w:color w:val="000000" w:themeColor="text1"/>
          <w:szCs w:val="20"/>
        </w:rPr>
        <w:t>.</w:t>
      </w:r>
      <w:r w:rsidR="00E93B22" w:rsidRPr="52A3362B">
        <w:rPr>
          <w:rFonts w:eastAsia="EC Square Sans Pro" w:cs="EC Square Sans Pro"/>
          <w:noProof/>
          <w:color w:val="000000" w:themeColor="text1"/>
          <w:szCs w:val="20"/>
        </w:rPr>
        <w:t xml:space="preserve"> </w:t>
      </w:r>
      <w:r w:rsidR="005D5DE1" w:rsidRPr="005D5DE1">
        <w:rPr>
          <w:noProof/>
        </w:rPr>
        <w:t xml:space="preserve">Annual HICP inflation rates in </w:t>
      </w:r>
      <w:r w:rsidR="005D5DE1">
        <w:rPr>
          <w:noProof/>
        </w:rPr>
        <w:t xml:space="preserve">Czechia </w:t>
      </w:r>
      <w:r w:rsidR="005D5DE1" w:rsidRPr="005D5DE1">
        <w:rPr>
          <w:noProof/>
        </w:rPr>
        <w:t xml:space="preserve">in 2024 and 2025 were on average </w:t>
      </w:r>
      <w:r w:rsidR="005D5DE1">
        <w:rPr>
          <w:noProof/>
        </w:rPr>
        <w:t xml:space="preserve">slightly </w:t>
      </w:r>
      <w:r w:rsidR="005D5DE1" w:rsidRPr="005D5DE1">
        <w:rPr>
          <w:noProof/>
        </w:rPr>
        <w:t xml:space="preserve">higher than those </w:t>
      </w:r>
      <w:r w:rsidR="00273B0C">
        <w:rPr>
          <w:noProof/>
        </w:rPr>
        <w:t xml:space="preserve">for </w:t>
      </w:r>
      <w:r w:rsidR="005D5DE1" w:rsidRPr="005D5DE1">
        <w:rPr>
          <w:noProof/>
        </w:rPr>
        <w:t>the euro area</w:t>
      </w:r>
      <w:r w:rsidR="00273B0C">
        <w:rPr>
          <w:noProof/>
        </w:rPr>
        <w:t xml:space="preserve"> as a whole</w:t>
      </w:r>
      <w:r w:rsidR="005D5DE1" w:rsidRPr="005D5DE1">
        <w:rPr>
          <w:noProof/>
        </w:rPr>
        <w:t>.</w:t>
      </w:r>
      <w:r w:rsidR="005D5DE1">
        <w:rPr>
          <w:noProof/>
        </w:rPr>
        <w:t xml:space="preserve"> </w:t>
      </w:r>
      <w:r w:rsidR="00572DC5">
        <w:rPr>
          <w:noProof/>
        </w:rPr>
        <w:t xml:space="preserve"> </w:t>
      </w:r>
    </w:p>
    <w:p w14:paraId="3E89551C" w14:textId="3D82A540" w:rsidR="00B468F6" w:rsidRDefault="05BEE697" w:rsidP="46BA4923">
      <w:pPr>
        <w:ind w:left="567"/>
        <w:rPr>
          <w:noProof/>
        </w:rPr>
      </w:pPr>
      <w:r>
        <w:rPr>
          <w:noProof/>
        </w:rPr>
        <w:t>The Commission’s Spring 202</w:t>
      </w:r>
      <w:r w:rsidR="00483AF9">
        <w:rPr>
          <w:noProof/>
        </w:rPr>
        <w:t>6</w:t>
      </w:r>
      <w:r>
        <w:rPr>
          <w:noProof/>
        </w:rPr>
        <w:t xml:space="preserve"> Economic Forecast </w:t>
      </w:r>
      <w:r w:rsidR="133D4B51">
        <w:rPr>
          <w:noProof/>
        </w:rPr>
        <w:t xml:space="preserve">projects </w:t>
      </w:r>
      <w:r w:rsidR="7DE486F8">
        <w:rPr>
          <w:noProof/>
        </w:rPr>
        <w:t xml:space="preserve">that </w:t>
      </w:r>
      <w:r w:rsidR="133D4B51">
        <w:rPr>
          <w:noProof/>
        </w:rPr>
        <w:t xml:space="preserve">average </w:t>
      </w:r>
      <w:r>
        <w:rPr>
          <w:noProof/>
        </w:rPr>
        <w:t xml:space="preserve">annual HICP inflation </w:t>
      </w:r>
      <w:r w:rsidR="67F974D0">
        <w:rPr>
          <w:noProof/>
        </w:rPr>
        <w:t>will</w:t>
      </w:r>
      <w:r>
        <w:rPr>
          <w:noProof/>
        </w:rPr>
        <w:t xml:space="preserve"> </w:t>
      </w:r>
      <w:r w:rsidR="71F946B7" w:rsidRPr="0098405B">
        <w:rPr>
          <w:noProof/>
        </w:rPr>
        <w:t xml:space="preserve">increase </w:t>
      </w:r>
      <w:r w:rsidRPr="0098405B">
        <w:rPr>
          <w:noProof/>
        </w:rPr>
        <w:t xml:space="preserve">to </w:t>
      </w:r>
      <w:r w:rsidR="6C30F647" w:rsidRPr="0098405B">
        <w:rPr>
          <w:noProof/>
        </w:rPr>
        <w:t>2.</w:t>
      </w:r>
      <w:r w:rsidR="009B2CB9" w:rsidRPr="0098405B">
        <w:rPr>
          <w:noProof/>
        </w:rPr>
        <w:t>7</w:t>
      </w:r>
      <w:r>
        <w:rPr>
          <w:noProof/>
        </w:rPr>
        <w:t>% in 202</w:t>
      </w:r>
      <w:r w:rsidR="00D115A7">
        <w:rPr>
          <w:noProof/>
        </w:rPr>
        <w:t>6</w:t>
      </w:r>
      <w:r>
        <w:rPr>
          <w:noProof/>
        </w:rPr>
        <w:t xml:space="preserve"> and </w:t>
      </w:r>
      <w:r w:rsidRPr="0098405B">
        <w:rPr>
          <w:noProof/>
        </w:rPr>
        <w:t>2.</w:t>
      </w:r>
      <w:r w:rsidR="153F0ACB" w:rsidRPr="0098405B">
        <w:rPr>
          <w:noProof/>
        </w:rPr>
        <w:t>8</w:t>
      </w:r>
      <w:r>
        <w:rPr>
          <w:noProof/>
        </w:rPr>
        <w:t>% in 202</w:t>
      </w:r>
      <w:r w:rsidR="00AC5D0B">
        <w:rPr>
          <w:noProof/>
        </w:rPr>
        <w:t>7</w:t>
      </w:r>
      <w:r>
        <w:rPr>
          <w:noProof/>
        </w:rPr>
        <w:t xml:space="preserve">. </w:t>
      </w:r>
      <w:r w:rsidR="00B468F6">
        <w:rPr>
          <w:noProof/>
        </w:rPr>
        <w:t xml:space="preserve">The </w:t>
      </w:r>
      <w:r w:rsidR="00B468F6" w:rsidRPr="0098405B">
        <w:rPr>
          <w:noProof/>
        </w:rPr>
        <w:t xml:space="preserve">projected </w:t>
      </w:r>
      <w:r w:rsidR="5610EDBC" w:rsidRPr="0098405B">
        <w:rPr>
          <w:noProof/>
        </w:rPr>
        <w:t>increase</w:t>
      </w:r>
      <w:r w:rsidR="00B468F6">
        <w:rPr>
          <w:noProof/>
        </w:rPr>
        <w:t xml:space="preserve"> is attributed </w:t>
      </w:r>
      <w:r w:rsidR="0F596B6D">
        <w:rPr>
          <w:noProof/>
        </w:rPr>
        <w:t xml:space="preserve">to </w:t>
      </w:r>
      <w:r w:rsidR="0F596B6D" w:rsidRPr="0098405B">
        <w:rPr>
          <w:noProof/>
        </w:rPr>
        <w:t>spikes in energy prices</w:t>
      </w:r>
      <w:r w:rsidR="0F596B6D">
        <w:rPr>
          <w:noProof/>
        </w:rPr>
        <w:t xml:space="preserve">, </w:t>
      </w:r>
      <w:r w:rsidR="51FE61CA">
        <w:rPr>
          <w:noProof/>
        </w:rPr>
        <w:t xml:space="preserve">only partially balanced </w:t>
      </w:r>
      <w:r w:rsidR="00466F3B">
        <w:rPr>
          <w:noProof/>
        </w:rPr>
        <w:t xml:space="preserve">out </w:t>
      </w:r>
      <w:r w:rsidR="51FE61CA">
        <w:rPr>
          <w:noProof/>
        </w:rPr>
        <w:t xml:space="preserve">by </w:t>
      </w:r>
      <w:r w:rsidR="00466F3B">
        <w:rPr>
          <w:noProof/>
        </w:rPr>
        <w:t>slower</w:t>
      </w:r>
      <w:r w:rsidR="00B468F6">
        <w:rPr>
          <w:noProof/>
        </w:rPr>
        <w:t xml:space="preserve"> growth </w:t>
      </w:r>
      <w:r w:rsidR="00466F3B">
        <w:rPr>
          <w:noProof/>
        </w:rPr>
        <w:t xml:space="preserve">in </w:t>
      </w:r>
      <w:r w:rsidR="7DCD0AA5">
        <w:rPr>
          <w:noProof/>
        </w:rPr>
        <w:t>s</w:t>
      </w:r>
      <w:r w:rsidR="00B468F6">
        <w:rPr>
          <w:noProof/>
        </w:rPr>
        <w:t>ervices and food</w:t>
      </w:r>
      <w:r w:rsidR="7804FA37">
        <w:rPr>
          <w:noProof/>
        </w:rPr>
        <w:t xml:space="preserve"> prices</w:t>
      </w:r>
      <w:r w:rsidR="00B468F6">
        <w:rPr>
          <w:noProof/>
        </w:rPr>
        <w:t xml:space="preserve">. The level of consumer prices in Czechia was </w:t>
      </w:r>
      <w:r w:rsidR="00B468F6" w:rsidRPr="00EB55FD">
        <w:rPr>
          <w:noProof/>
        </w:rPr>
        <w:t xml:space="preserve">about </w:t>
      </w:r>
      <w:r w:rsidR="00B468F6" w:rsidRPr="0098405B">
        <w:rPr>
          <w:noProof/>
        </w:rPr>
        <w:t>8</w:t>
      </w:r>
      <w:r w:rsidR="00622E48" w:rsidRPr="0098405B">
        <w:rPr>
          <w:noProof/>
        </w:rPr>
        <w:t>8</w:t>
      </w:r>
      <w:r w:rsidR="00B468F6" w:rsidRPr="00EB55FD">
        <w:rPr>
          <w:noProof/>
        </w:rPr>
        <w:t>% of</w:t>
      </w:r>
      <w:r w:rsidR="00B468F6">
        <w:rPr>
          <w:noProof/>
        </w:rPr>
        <w:t xml:space="preserve"> the euro area average in </w:t>
      </w:r>
      <w:r w:rsidR="00B468F6" w:rsidRPr="0098405B">
        <w:rPr>
          <w:noProof/>
        </w:rPr>
        <w:t>2024</w:t>
      </w:r>
      <w:r w:rsidR="00B468F6">
        <w:rPr>
          <w:noProof/>
        </w:rPr>
        <w:t>, suggesting that there is still potential for further price level convergence in the long term.</w:t>
      </w:r>
    </w:p>
    <w:p w14:paraId="06819DD6" w14:textId="3C35D1EC" w:rsidR="00E40A43" w:rsidRDefault="007E7E5E" w:rsidP="00A96F61">
      <w:pPr>
        <w:ind w:left="567"/>
        <w:rPr>
          <w:noProof/>
        </w:rPr>
      </w:pPr>
      <w:bookmarkStart w:id="3" w:name="_Hlk169705889"/>
      <w:r w:rsidRPr="007E7E5E">
        <w:rPr>
          <w:b/>
          <w:bCs/>
          <w:noProof/>
        </w:rPr>
        <w:t>Czechia fulfils the criterion on public finances</w:t>
      </w:r>
      <w:r>
        <w:rPr>
          <w:b/>
          <w:bCs/>
          <w:noProof/>
        </w:rPr>
        <w:t>.</w:t>
      </w:r>
      <w:r w:rsidRPr="007E7E5E">
        <w:rPr>
          <w:b/>
          <w:bCs/>
          <w:noProof/>
        </w:rPr>
        <w:t xml:space="preserve"> </w:t>
      </w:r>
      <w:r w:rsidR="00957461" w:rsidRPr="00823399">
        <w:rPr>
          <w:noProof/>
        </w:rPr>
        <w:t>Czechia</w:t>
      </w:r>
      <w:r w:rsidR="00957461">
        <w:rPr>
          <w:b/>
          <w:bCs/>
          <w:noProof/>
        </w:rPr>
        <w:t xml:space="preserve"> </w:t>
      </w:r>
      <w:r w:rsidR="0061106F" w:rsidRPr="7A2F71CF">
        <w:rPr>
          <w:rFonts w:eastAsia="EC Square Sans Pro" w:cs="EC Square Sans Pro"/>
          <w:noProof/>
        </w:rPr>
        <w:t xml:space="preserve">is not the subject of a Council Decision on the existence of an excessive deficit. </w:t>
      </w:r>
      <w:r w:rsidR="00A96F61" w:rsidRPr="7A2F71CF">
        <w:rPr>
          <w:rFonts w:eastAsia="EC Square Sans Pro" w:cs="EC Square Sans Pro"/>
          <w:noProof/>
        </w:rPr>
        <w:t xml:space="preserve">The general government deficit </w:t>
      </w:r>
      <w:r w:rsidR="00A96F61" w:rsidRPr="003C4498">
        <w:rPr>
          <w:rFonts w:eastAsia="EC Square Sans Pro" w:cs="EC Square Sans Pro"/>
          <w:noProof/>
        </w:rPr>
        <w:t>increased</w:t>
      </w:r>
      <w:r w:rsidR="00A96F61" w:rsidRPr="7A2F71CF">
        <w:rPr>
          <w:rFonts w:eastAsia="EC Square Sans Pro" w:cs="EC Square Sans Pro"/>
          <w:noProof/>
        </w:rPr>
        <w:t xml:space="preserve"> from 2.0% of GDP in 2024 to </w:t>
      </w:r>
      <w:r w:rsidR="00A96F61">
        <w:rPr>
          <w:rFonts w:eastAsia="EC Square Sans Pro" w:cs="EC Square Sans Pro"/>
          <w:noProof/>
        </w:rPr>
        <w:t>2.1</w:t>
      </w:r>
      <w:r w:rsidR="00A96F61" w:rsidRPr="7A2F71CF">
        <w:rPr>
          <w:rFonts w:eastAsia="EC Square Sans Pro" w:cs="EC Square Sans Pro"/>
          <w:noProof/>
        </w:rPr>
        <w:t xml:space="preserve">% in 2025, </w:t>
      </w:r>
      <w:r w:rsidR="00A96F61" w:rsidRPr="003C4498">
        <w:rPr>
          <w:rFonts w:eastAsia="EC Square Sans Pro" w:cs="EC Square Sans Pro"/>
          <w:noProof/>
        </w:rPr>
        <w:t xml:space="preserve">reflecting higher </w:t>
      </w:r>
      <w:r w:rsidR="003C3D4B" w:rsidRPr="003C3D4B">
        <w:rPr>
          <w:rFonts w:eastAsia="EC Square Sans Pro" w:cs="EC Square Sans Pro"/>
          <w:noProof/>
        </w:rPr>
        <w:t>public wages</w:t>
      </w:r>
      <w:r w:rsidR="00A96F61" w:rsidRPr="003C4498">
        <w:rPr>
          <w:rFonts w:eastAsia="EC Square Sans Pro" w:cs="EC Square Sans Pro"/>
          <w:noProof/>
        </w:rPr>
        <w:t xml:space="preserve"> and increased government subsidies </w:t>
      </w:r>
      <w:r w:rsidR="00363118">
        <w:rPr>
          <w:rFonts w:eastAsia="EC Square Sans Pro" w:cs="EC Square Sans Pro"/>
          <w:noProof/>
        </w:rPr>
        <w:t>for</w:t>
      </w:r>
      <w:r w:rsidR="00A96F61" w:rsidRPr="003C4498">
        <w:rPr>
          <w:rFonts w:eastAsia="EC Square Sans Pro" w:cs="EC Square Sans Pro"/>
          <w:noProof/>
        </w:rPr>
        <w:t xml:space="preserve"> renewable energy sources</w:t>
      </w:r>
      <w:r w:rsidR="00363118">
        <w:rPr>
          <w:rFonts w:eastAsia="EC Square Sans Pro" w:cs="EC Square Sans Pro"/>
          <w:noProof/>
        </w:rPr>
        <w:t>,</w:t>
      </w:r>
      <w:r w:rsidR="00A96F61" w:rsidRPr="003C4498">
        <w:rPr>
          <w:rFonts w:eastAsia="EC Square Sans Pro" w:cs="EC Square Sans Pro"/>
          <w:noProof/>
        </w:rPr>
        <w:t xml:space="preserve"> </w:t>
      </w:r>
      <w:r w:rsidR="00363118">
        <w:rPr>
          <w:rFonts w:eastAsia="EC Square Sans Pro" w:cs="EC Square Sans Pro"/>
          <w:noProof/>
        </w:rPr>
        <w:t>despite</w:t>
      </w:r>
      <w:r w:rsidR="00A96F61" w:rsidRPr="003C4498">
        <w:rPr>
          <w:rFonts w:eastAsia="EC Square Sans Pro" w:cs="EC Square Sans Pro"/>
          <w:noProof/>
        </w:rPr>
        <w:t xml:space="preserve"> higher GDP growth</w:t>
      </w:r>
      <w:r w:rsidR="00A96F61" w:rsidRPr="00562C07">
        <w:rPr>
          <w:rFonts w:eastAsia="EC Square Sans Pro" w:cs="EC Square Sans Pro"/>
          <w:noProof/>
        </w:rPr>
        <w:t>.</w:t>
      </w:r>
      <w:r w:rsidR="00A96F61" w:rsidRPr="7A2F71CF">
        <w:rPr>
          <w:rFonts w:eastAsia="EC Square Sans Pro" w:cs="EC Square Sans Pro"/>
          <w:noProof/>
        </w:rPr>
        <w:t xml:space="preserve"> </w:t>
      </w:r>
      <w:r w:rsidR="00A96F61" w:rsidRPr="00562C07">
        <w:rPr>
          <w:noProof/>
        </w:rPr>
        <w:t>The Commission’s Spring</w:t>
      </w:r>
      <w:r w:rsidR="00DD119E">
        <w:rPr>
          <w:noProof/>
        </w:rPr>
        <w:t xml:space="preserve"> 2026</w:t>
      </w:r>
      <w:r w:rsidR="00A96F61" w:rsidRPr="00562C07">
        <w:rPr>
          <w:noProof/>
        </w:rPr>
        <w:t xml:space="preserve"> Economic Forecast expects the general government deficit to reach </w:t>
      </w:r>
      <w:r w:rsidR="00A96F61" w:rsidRPr="003C4498">
        <w:rPr>
          <w:noProof/>
        </w:rPr>
        <w:t>2.8</w:t>
      </w:r>
      <w:r w:rsidR="00A96F61" w:rsidRPr="00562C07">
        <w:rPr>
          <w:noProof/>
        </w:rPr>
        <w:t>%</w:t>
      </w:r>
      <w:r w:rsidR="00A96F61" w:rsidRPr="00555CB0">
        <w:rPr>
          <w:noProof/>
        </w:rPr>
        <w:t xml:space="preserve"> of GDP in 2026 </w:t>
      </w:r>
      <w:r w:rsidR="00DD119E">
        <w:rPr>
          <w:noProof/>
        </w:rPr>
        <w:t xml:space="preserve">due to, among other things, </w:t>
      </w:r>
      <w:r w:rsidR="00A96F61" w:rsidRPr="00960D2B">
        <w:rPr>
          <w:noProof/>
        </w:rPr>
        <w:t xml:space="preserve">the </w:t>
      </w:r>
      <w:r w:rsidR="00A96F61" w:rsidRPr="00B72D39">
        <w:rPr>
          <w:noProof/>
        </w:rPr>
        <w:t xml:space="preserve">full phase-out of the </w:t>
      </w:r>
      <w:r w:rsidR="000E15BD">
        <w:rPr>
          <w:noProof/>
        </w:rPr>
        <w:t xml:space="preserve">windfall </w:t>
      </w:r>
      <w:r w:rsidR="00A96F61" w:rsidRPr="00B72D39">
        <w:rPr>
          <w:noProof/>
        </w:rPr>
        <w:t>tax on energy compan</w:t>
      </w:r>
      <w:r w:rsidR="000E15BD">
        <w:rPr>
          <w:noProof/>
        </w:rPr>
        <w:t xml:space="preserve">y </w:t>
      </w:r>
      <w:r w:rsidR="00A96F61" w:rsidRPr="00B72D39">
        <w:rPr>
          <w:noProof/>
        </w:rPr>
        <w:t>profits and taking over from electricity consumers the payment of the renewable energy levy</w:t>
      </w:r>
      <w:r w:rsidR="00A96F61">
        <w:rPr>
          <w:noProof/>
        </w:rPr>
        <w:t xml:space="preserve">. In 2027, the government deficit ratio is forecast </w:t>
      </w:r>
      <w:r w:rsidR="00CB667A">
        <w:rPr>
          <w:noProof/>
        </w:rPr>
        <w:t>to be</w:t>
      </w:r>
      <w:r w:rsidR="00A96F61" w:rsidRPr="00113CA7">
        <w:rPr>
          <w:noProof/>
        </w:rPr>
        <w:t xml:space="preserve"> </w:t>
      </w:r>
      <w:r w:rsidR="00A96F61" w:rsidRPr="003C4498">
        <w:rPr>
          <w:noProof/>
        </w:rPr>
        <w:t>2.</w:t>
      </w:r>
      <w:r w:rsidR="00A96F61" w:rsidRPr="00113CA7">
        <w:rPr>
          <w:noProof/>
        </w:rPr>
        <w:t>9</w:t>
      </w:r>
      <w:r w:rsidR="00A96F61" w:rsidRPr="00555CB0">
        <w:rPr>
          <w:noProof/>
        </w:rPr>
        <w:t>%.</w:t>
      </w:r>
      <w:r w:rsidR="00A96F61">
        <w:rPr>
          <w:noProof/>
        </w:rPr>
        <w:t xml:space="preserve"> </w:t>
      </w:r>
    </w:p>
    <w:p w14:paraId="03E695B4" w14:textId="15DA5C02" w:rsidR="00E059CD" w:rsidRDefault="0061106F" w:rsidP="003834D9">
      <w:pPr>
        <w:ind w:left="567"/>
        <w:rPr>
          <w:rFonts w:eastAsia="EC Square Sans Pro" w:cs="EC Square Sans Pro"/>
          <w:noProof/>
        </w:rPr>
      </w:pPr>
      <w:r w:rsidRPr="7A2F71CF">
        <w:rPr>
          <w:rFonts w:eastAsia="EC Square Sans Pro" w:cs="EC Square Sans Pro"/>
          <w:noProof/>
        </w:rPr>
        <w:t xml:space="preserve">On 21 January 2025, the Council adopted a recommendation endorsing </w:t>
      </w:r>
      <w:r w:rsidR="00E52F6E">
        <w:rPr>
          <w:rFonts w:eastAsia="EC Square Sans Pro" w:cs="EC Square Sans Pro"/>
          <w:noProof/>
        </w:rPr>
        <w:t>Czechia</w:t>
      </w:r>
      <w:r w:rsidRPr="7A2F71CF">
        <w:rPr>
          <w:rFonts w:eastAsia="EC Square Sans Pro" w:cs="EC Square Sans Pro"/>
          <w:noProof/>
        </w:rPr>
        <w:t xml:space="preserve">’s </w:t>
      </w:r>
      <w:r w:rsidR="00E52F6E">
        <w:rPr>
          <w:rFonts w:eastAsia="EC Square Sans Pro" w:cs="EC Square Sans Pro"/>
          <w:noProof/>
        </w:rPr>
        <w:t xml:space="preserve">medium-term fiscal-structural </w:t>
      </w:r>
      <w:r w:rsidRPr="7A2F71CF">
        <w:rPr>
          <w:rFonts w:eastAsia="EC Square Sans Pro" w:cs="EC Square Sans Pro"/>
          <w:noProof/>
        </w:rPr>
        <w:t xml:space="preserve">plan. </w:t>
      </w:r>
      <w:r w:rsidR="00251223" w:rsidRPr="7A2F71CF">
        <w:rPr>
          <w:rFonts w:eastAsia="EC Square Sans Pro" w:cs="EC Square Sans Pro"/>
          <w:noProof/>
        </w:rPr>
        <w:t xml:space="preserve">The plan sets out a fiscal adjustment path over four years, with maximum net expenditure growth of 4.5% in 2025, 2.5% in 2026, 2.6% in 2027 and 2.9% in 2028. </w:t>
      </w:r>
      <w:r w:rsidR="005F2510" w:rsidRPr="7A2F71CF">
        <w:rPr>
          <w:rFonts w:eastAsia="EC Square Sans Pro" w:cs="EC Square Sans Pro"/>
          <w:noProof/>
        </w:rPr>
        <w:t>In July 2025, the Council activated the national escape clause for increases in defence spending for Czechia</w:t>
      </w:r>
      <w:r w:rsidR="000E41B9" w:rsidRPr="7A2F71CF">
        <w:rPr>
          <w:rFonts w:eastAsia="EC Square Sans Pro" w:cs="EC Square Sans Pro"/>
          <w:noProof/>
        </w:rPr>
        <w:t>,</w:t>
      </w:r>
      <w:r w:rsidR="000E41B9" w:rsidRPr="000E41B9">
        <w:rPr>
          <w:noProof/>
        </w:rPr>
        <w:t xml:space="preserve"> </w:t>
      </w:r>
      <w:r w:rsidR="000E41B9" w:rsidRPr="7A2F71CF">
        <w:rPr>
          <w:rFonts w:eastAsia="EC Square Sans Pro" w:cs="EC Square Sans Pro"/>
          <w:noProof/>
        </w:rPr>
        <w:t>allowing Czechia to deviate from, and exceed, the net expenditure path of the medium-term fiscal-structural plan</w:t>
      </w:r>
      <w:r w:rsidR="005F2510" w:rsidRPr="7A2F71CF">
        <w:rPr>
          <w:rFonts w:eastAsia="EC Square Sans Pro" w:cs="EC Square Sans Pro"/>
          <w:noProof/>
        </w:rPr>
        <w:t>.</w:t>
      </w:r>
      <w:r w:rsidRPr="7A2F71CF">
        <w:rPr>
          <w:rFonts w:eastAsia="EC Square Sans Pro" w:cs="EC Square Sans Pro"/>
          <w:noProof/>
        </w:rPr>
        <w:t xml:space="preserve"> On 3 June 2026, the Commission concluded that </w:t>
      </w:r>
      <w:r w:rsidR="00E453AE" w:rsidRPr="00E059CD">
        <w:rPr>
          <w:rFonts w:eastAsia="EC Square Sans Pro" w:cs="EC Square Sans Pro"/>
          <w:noProof/>
        </w:rPr>
        <w:t xml:space="preserve">net expenditure </w:t>
      </w:r>
      <w:r w:rsidR="00E059CD" w:rsidRPr="00E059CD">
        <w:rPr>
          <w:rFonts w:eastAsia="EC Square Sans Pro" w:cs="EC Square Sans Pro"/>
          <w:noProof/>
        </w:rPr>
        <w:t>in Czechia grew</w:t>
      </w:r>
      <w:r w:rsidR="00E453AE" w:rsidRPr="00E059CD">
        <w:rPr>
          <w:rFonts w:eastAsia="EC Square Sans Pro" w:cs="EC Square Sans Pro"/>
          <w:noProof/>
        </w:rPr>
        <w:t xml:space="preserve"> by </w:t>
      </w:r>
      <w:r w:rsidR="00943FC3" w:rsidRPr="00E059CD">
        <w:rPr>
          <w:rFonts w:eastAsia="EC Square Sans Pro" w:cs="EC Square Sans Pro"/>
          <w:noProof/>
        </w:rPr>
        <w:t>4</w:t>
      </w:r>
      <w:r w:rsidR="00E059CD" w:rsidRPr="00E059CD">
        <w:rPr>
          <w:rFonts w:eastAsia="EC Square Sans Pro" w:cs="EC Square Sans Pro"/>
          <w:noProof/>
        </w:rPr>
        <w:t xml:space="preserve">.9% in 2025 and 6.0% cumulatively over 2024 and 2025. </w:t>
      </w:r>
      <w:r w:rsidR="003B54A0">
        <w:rPr>
          <w:rFonts w:eastAsia="EC Square Sans Pro" w:cs="EC Square Sans Pro"/>
          <w:noProof/>
        </w:rPr>
        <w:t>N</w:t>
      </w:r>
      <w:r w:rsidR="00E059CD" w:rsidRPr="00E059CD">
        <w:rPr>
          <w:rFonts w:eastAsia="EC Square Sans Pro" w:cs="EC Square Sans Pro"/>
          <w:noProof/>
        </w:rPr>
        <w:t xml:space="preserve">et expenditure growth in 2025 </w:t>
      </w:r>
      <w:r w:rsidR="003B54A0">
        <w:rPr>
          <w:rFonts w:eastAsia="EC Square Sans Pro" w:cs="EC Square Sans Pro"/>
          <w:noProof/>
        </w:rPr>
        <w:t>wa</w:t>
      </w:r>
      <w:r w:rsidR="00E059CD" w:rsidRPr="00E059CD">
        <w:rPr>
          <w:rFonts w:eastAsia="EC Square Sans Pro" w:cs="EC Square Sans Pro"/>
          <w:noProof/>
        </w:rPr>
        <w:t>s above the recommended maximum growth rate, corresponding to a deviation of 0.2% of GDP in annual terms. When considering 2024 and 2025 together, the cumulative growth rate of net expenditure is below the recommended maximum growth rate. As Czechia benefits from</w:t>
      </w:r>
      <w:r w:rsidR="002A31B7" w:rsidRPr="00E059CD">
        <w:rPr>
          <w:rFonts w:eastAsia="EC Square Sans Pro" w:cs="EC Square Sans Pro"/>
          <w:noProof/>
        </w:rPr>
        <w:t xml:space="preserve"> flexibility under the </w:t>
      </w:r>
      <w:r w:rsidR="00562C07" w:rsidRPr="00E059CD">
        <w:rPr>
          <w:rFonts w:eastAsia="EC Square Sans Pro" w:cs="EC Square Sans Pro"/>
          <w:noProof/>
        </w:rPr>
        <w:t>national escape clause</w:t>
      </w:r>
      <w:r w:rsidR="002A31B7" w:rsidRPr="00E059CD">
        <w:rPr>
          <w:rFonts w:eastAsia="EC Square Sans Pro" w:cs="EC Square Sans Pro"/>
          <w:noProof/>
        </w:rPr>
        <w:t>, the</w:t>
      </w:r>
      <w:r w:rsidR="00E059CD" w:rsidRPr="00E059CD">
        <w:rPr>
          <w:rFonts w:eastAsia="EC Square Sans Pro" w:cs="EC Square Sans Pro"/>
          <w:noProof/>
        </w:rPr>
        <w:t xml:space="preserve"> assessment of compliance focusses on </w:t>
      </w:r>
      <w:r w:rsidR="002A31B7" w:rsidRPr="00E059CD">
        <w:rPr>
          <w:rFonts w:eastAsia="EC Square Sans Pro" w:cs="EC Square Sans Pro"/>
          <w:noProof/>
        </w:rPr>
        <w:t xml:space="preserve">the </w:t>
      </w:r>
      <w:r w:rsidR="00E059CD" w:rsidRPr="00E059CD">
        <w:rPr>
          <w:rFonts w:eastAsia="EC Square Sans Pro" w:cs="EC Square Sans Pro"/>
          <w:noProof/>
        </w:rPr>
        <w:t>latter comparison.</w:t>
      </w:r>
    </w:p>
    <w:p w14:paraId="4D92DB86" w14:textId="4BCAB049" w:rsidR="00A87607" w:rsidRDefault="00D20B86" w:rsidP="00630DB4">
      <w:pPr>
        <w:ind w:left="567"/>
        <w:rPr>
          <w:noProof/>
        </w:rPr>
      </w:pPr>
      <w:bookmarkStart w:id="4" w:name="_Hlk226539012"/>
      <w:r w:rsidRPr="00D20B86">
        <w:rPr>
          <w:noProof/>
        </w:rPr>
        <w:t xml:space="preserve">Net expenditure is projected to grow by </w:t>
      </w:r>
      <w:r w:rsidR="001341A6" w:rsidRPr="001341A6">
        <w:rPr>
          <w:noProof/>
        </w:rPr>
        <w:t>6.4</w:t>
      </w:r>
      <w:r w:rsidRPr="00D20B86">
        <w:rPr>
          <w:noProof/>
        </w:rPr>
        <w:t xml:space="preserve">% in 2026, above the recommended growth of 2.5%. </w:t>
      </w:r>
      <w:bookmarkEnd w:id="4"/>
      <w:r w:rsidRPr="00D20B86">
        <w:rPr>
          <w:noProof/>
        </w:rPr>
        <w:t xml:space="preserve">The deviation above the recommended maximum is equivalent to an annual deviation of </w:t>
      </w:r>
      <w:r w:rsidR="00ED724B">
        <w:rPr>
          <w:noProof/>
        </w:rPr>
        <w:t>1.5</w:t>
      </w:r>
      <w:r w:rsidRPr="00D20B86">
        <w:rPr>
          <w:noProof/>
        </w:rPr>
        <w:t xml:space="preserve">% of GDP and a cumulative deviation of </w:t>
      </w:r>
      <w:r w:rsidR="00ED724B">
        <w:rPr>
          <w:noProof/>
        </w:rPr>
        <w:t>0.1</w:t>
      </w:r>
      <w:r w:rsidRPr="00D20B86">
        <w:rPr>
          <w:noProof/>
        </w:rPr>
        <w:t>% of GDP</w:t>
      </w:r>
      <w:r w:rsidR="00D41128" w:rsidRPr="00D41128">
        <w:rPr>
          <w:noProof/>
        </w:rPr>
        <w:t xml:space="preserve"> when considering 2024, 2025 and 2026 together. Taking the flexibility under the national escape clause into account, the projected deviation for 2026 is within the flexibility of the national escape clause based on current projections for defence spending.</w:t>
      </w:r>
      <w:r w:rsidR="00933BC3">
        <w:rPr>
          <w:noProof/>
        </w:rPr>
        <w:t xml:space="preserve"> </w:t>
      </w:r>
    </w:p>
    <w:p w14:paraId="33E5B0D3" w14:textId="7258CDC3" w:rsidR="00F7067F" w:rsidRPr="00823399" w:rsidRDefault="00F60C20" w:rsidP="00630DB4">
      <w:pPr>
        <w:ind w:left="567"/>
        <w:rPr>
          <w:noProof/>
        </w:rPr>
      </w:pPr>
      <w:r>
        <w:rPr>
          <w:noProof/>
        </w:rPr>
        <w:t xml:space="preserve">The government debt-to-GDP ratio increased from 43.3% in 2024 to </w:t>
      </w:r>
      <w:r w:rsidRPr="005C1224">
        <w:rPr>
          <w:noProof/>
        </w:rPr>
        <w:t>44.3</w:t>
      </w:r>
      <w:r w:rsidRPr="00A65280">
        <w:rPr>
          <w:noProof/>
        </w:rPr>
        <w:t>%</w:t>
      </w:r>
      <w:r>
        <w:rPr>
          <w:noProof/>
        </w:rPr>
        <w:t xml:space="preserve"> in 2025 and is forecast to increase to </w:t>
      </w:r>
      <w:r w:rsidRPr="00712D7F">
        <w:rPr>
          <w:noProof/>
        </w:rPr>
        <w:t>45.8</w:t>
      </w:r>
      <w:r>
        <w:rPr>
          <w:noProof/>
        </w:rPr>
        <w:t xml:space="preserve">% in 2026 and </w:t>
      </w:r>
      <w:r w:rsidR="00F22F79">
        <w:rPr>
          <w:noProof/>
        </w:rPr>
        <w:t xml:space="preserve">then </w:t>
      </w:r>
      <w:r>
        <w:rPr>
          <w:noProof/>
        </w:rPr>
        <w:t xml:space="preserve">to </w:t>
      </w:r>
      <w:r w:rsidRPr="0079745F">
        <w:rPr>
          <w:noProof/>
        </w:rPr>
        <w:t>47.2</w:t>
      </w:r>
      <w:r>
        <w:rPr>
          <w:noProof/>
        </w:rPr>
        <w:t>% in 2027</w:t>
      </w:r>
      <w:r w:rsidR="00F22F79">
        <w:rPr>
          <w:noProof/>
        </w:rPr>
        <w:t>. This is</w:t>
      </w:r>
      <w:r>
        <w:rPr>
          <w:noProof/>
        </w:rPr>
        <w:t xml:space="preserve"> driven by </w:t>
      </w:r>
      <w:r w:rsidR="00F22F79">
        <w:rPr>
          <w:noProof/>
        </w:rPr>
        <w:t>a</w:t>
      </w:r>
      <w:r w:rsidRPr="00D52DB4">
        <w:rPr>
          <w:noProof/>
        </w:rPr>
        <w:t xml:space="preserve"> negative primary balance, the interest expenditure and, to a lesser extent, the debt-increasing stock-flow adjustment, </w:t>
      </w:r>
      <w:r w:rsidR="00F22F79">
        <w:rPr>
          <w:noProof/>
        </w:rPr>
        <w:t xml:space="preserve">but is </w:t>
      </w:r>
      <w:r w:rsidRPr="00D52DB4">
        <w:rPr>
          <w:noProof/>
        </w:rPr>
        <w:t>partly offset by nominal GDP growth</w:t>
      </w:r>
      <w:r w:rsidRPr="00397315">
        <w:rPr>
          <w:noProof/>
        </w:rPr>
        <w:t xml:space="preserve">. </w:t>
      </w:r>
      <w:r w:rsidR="00057509" w:rsidRPr="009E3F84">
        <w:rPr>
          <w:noProof/>
        </w:rPr>
        <w:t>Debt sustainability risks appear medium over the medium term</w:t>
      </w:r>
      <w:r w:rsidR="006C7C29">
        <w:rPr>
          <w:noProof/>
        </w:rPr>
        <w:t>, with g</w:t>
      </w:r>
      <w:r w:rsidR="000C4CFF" w:rsidRPr="000C4CFF">
        <w:rPr>
          <w:noProof/>
        </w:rPr>
        <w:t xml:space="preserve">overnment debt projected to increase from around </w:t>
      </w:r>
      <w:r w:rsidR="00961181" w:rsidRPr="000C4CFF">
        <w:rPr>
          <w:noProof/>
        </w:rPr>
        <w:t>4</w:t>
      </w:r>
      <w:r w:rsidR="00961181">
        <w:rPr>
          <w:noProof/>
        </w:rPr>
        <w:t>4</w:t>
      </w:r>
      <w:r w:rsidR="000C4CFF" w:rsidRPr="000C4CFF">
        <w:rPr>
          <w:noProof/>
        </w:rPr>
        <w:t xml:space="preserve">% </w:t>
      </w:r>
      <w:r w:rsidR="00F33F03">
        <w:rPr>
          <w:noProof/>
        </w:rPr>
        <w:t xml:space="preserve">of GDP </w:t>
      </w:r>
      <w:r w:rsidR="000C4CFF" w:rsidRPr="000C4CFF">
        <w:rPr>
          <w:noProof/>
        </w:rPr>
        <w:t>in 2025 to around 56% in 2036.</w:t>
      </w:r>
      <w:r w:rsidR="00933BC3">
        <w:rPr>
          <w:noProof/>
        </w:rPr>
        <w:t xml:space="preserve"> </w:t>
      </w:r>
      <w:r w:rsidR="00F7067F" w:rsidRPr="009E3F84">
        <w:rPr>
          <w:noProof/>
        </w:rPr>
        <w:t xml:space="preserve">The Czech national fiscal framework </w:t>
      </w:r>
      <w:r w:rsidR="00F33F03">
        <w:rPr>
          <w:noProof/>
        </w:rPr>
        <w:t xml:space="preserve">is </w:t>
      </w:r>
      <w:r w:rsidR="00F7067F" w:rsidRPr="009E3F84">
        <w:rPr>
          <w:noProof/>
        </w:rPr>
        <w:t>perform</w:t>
      </w:r>
      <w:r w:rsidR="00F33F03">
        <w:rPr>
          <w:noProof/>
        </w:rPr>
        <w:t>ing</w:t>
      </w:r>
      <w:r w:rsidR="00F7067F" w:rsidRPr="009E3F84">
        <w:rPr>
          <w:noProof/>
        </w:rPr>
        <w:t xml:space="preserve"> well, but i</w:t>
      </w:r>
      <w:r w:rsidR="00F33F03">
        <w:rPr>
          <w:noProof/>
        </w:rPr>
        <w:t>s</w:t>
      </w:r>
      <w:r w:rsidR="00F7067F" w:rsidRPr="009E3F84">
        <w:rPr>
          <w:noProof/>
        </w:rPr>
        <w:t xml:space="preserve"> </w:t>
      </w:r>
      <w:r w:rsidR="00915A4F">
        <w:rPr>
          <w:noProof/>
        </w:rPr>
        <w:t>fac</w:t>
      </w:r>
      <w:r w:rsidR="00F33F03">
        <w:rPr>
          <w:noProof/>
        </w:rPr>
        <w:t>ing</w:t>
      </w:r>
      <w:r w:rsidR="00915A4F">
        <w:rPr>
          <w:noProof/>
        </w:rPr>
        <w:t xml:space="preserve"> </w:t>
      </w:r>
      <w:r w:rsidR="00F33F03">
        <w:rPr>
          <w:noProof/>
        </w:rPr>
        <w:t xml:space="preserve">growing </w:t>
      </w:r>
      <w:r w:rsidR="00F7067F" w:rsidRPr="009E3F84">
        <w:rPr>
          <w:noProof/>
        </w:rPr>
        <w:t>challenges</w:t>
      </w:r>
      <w:r w:rsidR="00F33F03">
        <w:rPr>
          <w:noProof/>
        </w:rPr>
        <w:t xml:space="preserve"> due to, among other things, a</w:t>
      </w:r>
      <w:r w:rsidR="00D92001">
        <w:rPr>
          <w:noProof/>
        </w:rPr>
        <w:t xml:space="preserve"> strong increase </w:t>
      </w:r>
      <w:r w:rsidR="00EF0913">
        <w:rPr>
          <w:noProof/>
        </w:rPr>
        <w:t xml:space="preserve">in </w:t>
      </w:r>
      <w:r w:rsidR="00F7067F" w:rsidRPr="009E3F84">
        <w:rPr>
          <w:noProof/>
        </w:rPr>
        <w:t>general government debt since the pandemic, compliance with the structural balance rule requir</w:t>
      </w:r>
      <w:r w:rsidR="00D92001">
        <w:rPr>
          <w:noProof/>
        </w:rPr>
        <w:t>ing</w:t>
      </w:r>
      <w:r w:rsidR="00F7067F" w:rsidRPr="009E3F84">
        <w:rPr>
          <w:noProof/>
        </w:rPr>
        <w:t xml:space="preserve"> additional consolidation measures before 2028, and </w:t>
      </w:r>
      <w:r w:rsidR="00F33F03">
        <w:rPr>
          <w:noProof/>
        </w:rPr>
        <w:t xml:space="preserve">the </w:t>
      </w:r>
      <w:r w:rsidR="00D92001">
        <w:rPr>
          <w:noProof/>
        </w:rPr>
        <w:t xml:space="preserve">exclusion </w:t>
      </w:r>
      <w:r w:rsidR="00F33F03">
        <w:rPr>
          <w:noProof/>
        </w:rPr>
        <w:t xml:space="preserve">of defence spending above </w:t>
      </w:r>
      <w:r w:rsidR="00A017C8">
        <w:rPr>
          <w:noProof/>
        </w:rPr>
        <w:t>2</w:t>
      </w:r>
      <w:r w:rsidR="00F33F03">
        <w:rPr>
          <w:noProof/>
        </w:rPr>
        <w:t xml:space="preserve">% of GDP </w:t>
      </w:r>
      <w:r w:rsidR="00D92001" w:rsidRPr="009E3F84">
        <w:rPr>
          <w:noProof/>
        </w:rPr>
        <w:t>from the national expenditure framework</w:t>
      </w:r>
      <w:r w:rsidR="00F7067F" w:rsidRPr="009E3F84">
        <w:rPr>
          <w:noProof/>
        </w:rPr>
        <w:t>.</w:t>
      </w:r>
    </w:p>
    <w:bookmarkEnd w:id="3"/>
    <w:p w14:paraId="7A100D7C" w14:textId="770AAADD" w:rsidR="003834D9" w:rsidRDefault="00FB004F" w:rsidP="00FA20AB">
      <w:pPr>
        <w:ind w:left="567"/>
        <w:jc w:val="center"/>
        <w:rPr>
          <w:noProof/>
        </w:rPr>
      </w:pPr>
      <w:r>
        <w:rPr>
          <w:noProof/>
          <w:lang w:eastAsia="en-GB"/>
        </w:rPr>
        <w:drawing>
          <wp:inline distT="0" distB="0" distL="0" distR="0" wp14:anchorId="59AF5283" wp14:editId="0A4AEA49">
            <wp:extent cx="3523615" cy="2268220"/>
            <wp:effectExtent l="0" t="0" r="635" b="0"/>
            <wp:docPr id="11480113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3615" cy="2268220"/>
                    </a:xfrm>
                    <a:prstGeom prst="rect">
                      <a:avLst/>
                    </a:prstGeom>
                    <a:noFill/>
                  </pic:spPr>
                </pic:pic>
              </a:graphicData>
            </a:graphic>
          </wp:inline>
        </w:drawing>
      </w:r>
    </w:p>
    <w:p w14:paraId="3851E414" w14:textId="2E8C3497" w:rsidR="004236D7" w:rsidRDefault="004236D7" w:rsidP="004236D7">
      <w:pPr>
        <w:ind w:left="567"/>
        <w:rPr>
          <w:noProof/>
        </w:rPr>
      </w:pPr>
      <w:r w:rsidRPr="00FA20AB">
        <w:rPr>
          <w:b/>
          <w:bCs/>
          <w:noProof/>
        </w:rPr>
        <w:t>Czechia does not fulfil the exchange rate criterion.</w:t>
      </w:r>
      <w:r w:rsidRPr="00FA20AB">
        <w:rPr>
          <w:noProof/>
        </w:rPr>
        <w:t xml:space="preserve"> The Czech koruna does not participate in </w:t>
      </w:r>
      <w:r w:rsidR="00B86A7D">
        <w:rPr>
          <w:noProof/>
        </w:rPr>
        <w:t>the Exchange Rate Mechanism II</w:t>
      </w:r>
      <w:r w:rsidRPr="00FA20AB">
        <w:rPr>
          <w:noProof/>
        </w:rPr>
        <w:t xml:space="preserve">. Since the late 1990s, the ČNB has been operating an explicit inflation targeting framework combined with a floating exchange rate regime, </w:t>
      </w:r>
      <w:r w:rsidR="00E06212">
        <w:rPr>
          <w:noProof/>
        </w:rPr>
        <w:t xml:space="preserve">which </w:t>
      </w:r>
      <w:r w:rsidRPr="00FA20AB">
        <w:rPr>
          <w:noProof/>
        </w:rPr>
        <w:t>allow</w:t>
      </w:r>
      <w:r w:rsidR="00E06212">
        <w:rPr>
          <w:noProof/>
        </w:rPr>
        <w:t>s</w:t>
      </w:r>
      <w:r w:rsidRPr="00FA20AB">
        <w:rPr>
          <w:noProof/>
        </w:rPr>
        <w:t xml:space="preserve"> for foreign exchange market interventions by the central bank</w:t>
      </w:r>
      <w:r w:rsidRPr="00684EF7">
        <w:rPr>
          <w:noProof/>
        </w:rPr>
        <w:t>.</w:t>
      </w:r>
      <w:r w:rsidRPr="00FA20AB">
        <w:rPr>
          <w:noProof/>
        </w:rPr>
        <w:t xml:space="preserve"> </w:t>
      </w:r>
      <w:r w:rsidRPr="005F7944">
        <w:rPr>
          <w:noProof/>
        </w:rPr>
        <w:t xml:space="preserve">Between April 2024 and January 2025, the Czech koruna </w:t>
      </w:r>
      <w:r w:rsidR="009E3212">
        <w:rPr>
          <w:noProof/>
        </w:rPr>
        <w:t>was trading</w:t>
      </w:r>
      <w:r w:rsidRPr="005F7944">
        <w:rPr>
          <w:noProof/>
        </w:rPr>
        <w:t xml:space="preserve"> at around 25.2 CZK per euro. By the end of</w:t>
      </w:r>
      <w:r w:rsidRPr="005F7944" w:rsidDel="00B53938">
        <w:rPr>
          <w:noProof/>
        </w:rPr>
        <w:t xml:space="preserve"> </w:t>
      </w:r>
      <w:r w:rsidR="00B53938">
        <w:rPr>
          <w:noProof/>
        </w:rPr>
        <w:t xml:space="preserve">2025 </w:t>
      </w:r>
      <w:r w:rsidRPr="005F7944">
        <w:rPr>
          <w:noProof/>
        </w:rPr>
        <w:t xml:space="preserve">the Czech koruna </w:t>
      </w:r>
      <w:r w:rsidR="00B53938">
        <w:rPr>
          <w:noProof/>
        </w:rPr>
        <w:t xml:space="preserve">had </w:t>
      </w:r>
      <w:r>
        <w:rPr>
          <w:noProof/>
        </w:rPr>
        <w:t>appreciated</w:t>
      </w:r>
      <w:r w:rsidRPr="005F7944">
        <w:rPr>
          <w:noProof/>
        </w:rPr>
        <w:t xml:space="preserve"> </w:t>
      </w:r>
      <w:r>
        <w:rPr>
          <w:noProof/>
        </w:rPr>
        <w:t>to</w:t>
      </w:r>
      <w:r w:rsidRPr="005F7944">
        <w:rPr>
          <w:noProof/>
        </w:rPr>
        <w:t xml:space="preserve"> around </w:t>
      </w:r>
      <w:r w:rsidRPr="00E55FB5">
        <w:rPr>
          <w:noProof/>
        </w:rPr>
        <w:t>24.3</w:t>
      </w:r>
      <w:r w:rsidR="00F81C39">
        <w:rPr>
          <w:noProof/>
        </w:rPr>
        <w:t xml:space="preserve"> and </w:t>
      </w:r>
      <w:r w:rsidR="00A7538E">
        <w:rPr>
          <w:noProof/>
        </w:rPr>
        <w:t>fluctuated around th</w:t>
      </w:r>
      <w:r w:rsidR="00392C22">
        <w:rPr>
          <w:noProof/>
        </w:rPr>
        <w:t>at</w:t>
      </w:r>
      <w:r w:rsidR="00A7538E">
        <w:rPr>
          <w:noProof/>
        </w:rPr>
        <w:t xml:space="preserve"> level till mid-2026</w:t>
      </w:r>
      <w:r w:rsidRPr="005F7944">
        <w:rPr>
          <w:noProof/>
        </w:rPr>
        <w:t>.</w:t>
      </w:r>
      <w:r w:rsidRPr="00FA20AB">
        <w:rPr>
          <w:noProof/>
        </w:rPr>
        <w:t xml:space="preserve"> </w:t>
      </w:r>
      <w:r w:rsidR="00B922E3" w:rsidRPr="00B922E3">
        <w:rPr>
          <w:noProof/>
        </w:rPr>
        <w:t>In May 202</w:t>
      </w:r>
      <w:r w:rsidR="00B922E3">
        <w:rPr>
          <w:noProof/>
        </w:rPr>
        <w:t>6</w:t>
      </w:r>
      <w:r w:rsidR="00B922E3" w:rsidRPr="00B922E3">
        <w:rPr>
          <w:noProof/>
        </w:rPr>
        <w:t xml:space="preserve">, the koruna was about </w:t>
      </w:r>
      <w:r w:rsidR="00903860">
        <w:rPr>
          <w:noProof/>
        </w:rPr>
        <w:t>2</w:t>
      </w:r>
      <w:r w:rsidR="00B922E3" w:rsidRPr="00903860">
        <w:rPr>
          <w:noProof/>
        </w:rPr>
        <w:t xml:space="preserve">% </w:t>
      </w:r>
      <w:r w:rsidR="00B922E3" w:rsidRPr="00E55FB5">
        <w:rPr>
          <w:noProof/>
        </w:rPr>
        <w:t>stronger</w:t>
      </w:r>
      <w:r w:rsidR="00B922E3" w:rsidRPr="00903860">
        <w:rPr>
          <w:noProof/>
        </w:rPr>
        <w:t xml:space="preserve"> against</w:t>
      </w:r>
      <w:r w:rsidR="00B922E3" w:rsidRPr="00B922E3">
        <w:rPr>
          <w:noProof/>
        </w:rPr>
        <w:t xml:space="preserve"> the euro </w:t>
      </w:r>
      <w:r w:rsidR="009E3212">
        <w:rPr>
          <w:noProof/>
        </w:rPr>
        <w:t>compared with two</w:t>
      </w:r>
      <w:r w:rsidR="00B922E3" w:rsidRPr="00B922E3">
        <w:rPr>
          <w:noProof/>
        </w:rPr>
        <w:t xml:space="preserve"> years earlier. </w:t>
      </w:r>
      <w:r w:rsidRPr="005F7944">
        <w:rPr>
          <w:noProof/>
        </w:rPr>
        <w:t xml:space="preserve">The </w:t>
      </w:r>
      <w:r>
        <w:rPr>
          <w:noProof/>
        </w:rPr>
        <w:t xml:space="preserve">monetary policy </w:t>
      </w:r>
      <w:r w:rsidRPr="005F7944">
        <w:rPr>
          <w:noProof/>
        </w:rPr>
        <w:t xml:space="preserve">easing cycle of the ČNB between December 2023 and May 2025 led to a </w:t>
      </w:r>
      <w:r w:rsidR="001376A3">
        <w:rPr>
          <w:noProof/>
        </w:rPr>
        <w:t xml:space="preserve">large, </w:t>
      </w:r>
      <w:r w:rsidRPr="005F7944">
        <w:rPr>
          <w:noProof/>
        </w:rPr>
        <w:t xml:space="preserve">steady decrease in the Czech </w:t>
      </w:r>
      <w:r w:rsidR="001376A3">
        <w:rPr>
          <w:noProof/>
        </w:rPr>
        <w:t>three</w:t>
      </w:r>
      <w:r w:rsidRPr="005F7944">
        <w:rPr>
          <w:noProof/>
        </w:rPr>
        <w:t xml:space="preserve">-month PRIBOR and, accordingly, in the spread vis-à-vis the euro area, which dropped below 100 basis points in the second half of 2024. </w:t>
      </w:r>
      <w:r w:rsidR="00B53938">
        <w:rPr>
          <w:noProof/>
        </w:rPr>
        <w:t xml:space="preserve">From </w:t>
      </w:r>
      <w:r w:rsidRPr="005F7944">
        <w:rPr>
          <w:noProof/>
        </w:rPr>
        <w:t xml:space="preserve">September 2024, the spread </w:t>
      </w:r>
      <w:r w:rsidR="00B53938">
        <w:rPr>
          <w:noProof/>
        </w:rPr>
        <w:t xml:space="preserve">began </w:t>
      </w:r>
      <w:r w:rsidRPr="005F7944">
        <w:rPr>
          <w:noProof/>
        </w:rPr>
        <w:t xml:space="preserve">to widen slightly </w:t>
      </w:r>
      <w:r w:rsidR="00B53938">
        <w:rPr>
          <w:noProof/>
        </w:rPr>
        <w:t>un</w:t>
      </w:r>
      <w:r w:rsidRPr="005F7944">
        <w:rPr>
          <w:noProof/>
        </w:rPr>
        <w:t>ti</w:t>
      </w:r>
      <w:r w:rsidRPr="005F7944" w:rsidDel="00B53938">
        <w:rPr>
          <w:noProof/>
        </w:rPr>
        <w:t>l</w:t>
      </w:r>
      <w:r w:rsidRPr="005F7944">
        <w:rPr>
          <w:noProof/>
        </w:rPr>
        <w:t xml:space="preserve"> mid-2025</w:t>
      </w:r>
      <w:r>
        <w:rPr>
          <w:noProof/>
        </w:rPr>
        <w:t>. Thereafter, the</w:t>
      </w:r>
      <w:r w:rsidRPr="005F7944">
        <w:rPr>
          <w:noProof/>
        </w:rPr>
        <w:t xml:space="preserve"> spread stabili</w:t>
      </w:r>
      <w:r w:rsidR="001376A3">
        <w:rPr>
          <w:noProof/>
        </w:rPr>
        <w:t>s</w:t>
      </w:r>
      <w:r w:rsidRPr="005F7944">
        <w:rPr>
          <w:noProof/>
        </w:rPr>
        <w:t xml:space="preserve">ed </w:t>
      </w:r>
      <w:r w:rsidR="001376A3">
        <w:rPr>
          <w:noProof/>
        </w:rPr>
        <w:t xml:space="preserve">at </w:t>
      </w:r>
      <w:r w:rsidRPr="005F7944">
        <w:rPr>
          <w:noProof/>
        </w:rPr>
        <w:t>around 150 basis points</w:t>
      </w:r>
      <w:r w:rsidR="00321317">
        <w:rPr>
          <w:noProof/>
        </w:rPr>
        <w:t xml:space="preserve">, reaching </w:t>
      </w:r>
      <w:r w:rsidR="00805638" w:rsidRPr="00E55FB5">
        <w:rPr>
          <w:noProof/>
        </w:rPr>
        <w:t>1</w:t>
      </w:r>
      <w:r w:rsidR="00AC2F2C">
        <w:rPr>
          <w:noProof/>
        </w:rPr>
        <w:t>33</w:t>
      </w:r>
      <w:r w:rsidRPr="005F7944">
        <w:rPr>
          <w:noProof/>
        </w:rPr>
        <w:t xml:space="preserve"> basis points</w:t>
      </w:r>
      <w:r w:rsidR="00321317">
        <w:rPr>
          <w:noProof/>
        </w:rPr>
        <w:t xml:space="preserve"> in May 2026</w:t>
      </w:r>
      <w:r w:rsidRPr="005F7944">
        <w:rPr>
          <w:noProof/>
        </w:rPr>
        <w:t>.</w:t>
      </w:r>
    </w:p>
    <w:p w14:paraId="1D398712" w14:textId="274D7880" w:rsidR="00B922E3" w:rsidRDefault="00B922E3" w:rsidP="00B922E3">
      <w:pPr>
        <w:ind w:left="567"/>
        <w:rPr>
          <w:noProof/>
        </w:rPr>
      </w:pPr>
      <w:r w:rsidRPr="00FA20AB">
        <w:rPr>
          <w:b/>
          <w:bCs/>
          <w:noProof/>
        </w:rPr>
        <w:t>Czechia fulfils the criterion on the convergence of long-term interest rates.</w:t>
      </w:r>
      <w:r>
        <w:rPr>
          <w:noProof/>
        </w:rPr>
        <w:t xml:space="preserve"> The average long-term interest rate in the year to May 2026 </w:t>
      </w:r>
      <w:r w:rsidRPr="007D11F4">
        <w:rPr>
          <w:noProof/>
        </w:rPr>
        <w:t xml:space="preserve">was </w:t>
      </w:r>
      <w:r w:rsidRPr="00BE0276">
        <w:rPr>
          <w:noProof/>
        </w:rPr>
        <w:t>4.</w:t>
      </w:r>
      <w:r w:rsidR="00570559" w:rsidRPr="00BE0276">
        <w:rPr>
          <w:noProof/>
        </w:rPr>
        <w:t>5</w:t>
      </w:r>
      <w:r w:rsidRPr="007D11F4">
        <w:rPr>
          <w:noProof/>
        </w:rPr>
        <w:t xml:space="preserve">%, below the reference value of </w:t>
      </w:r>
      <w:r>
        <w:rPr>
          <w:noProof/>
        </w:rPr>
        <w:t>5.1</w:t>
      </w:r>
      <w:r w:rsidRPr="007D11F4">
        <w:rPr>
          <w:noProof/>
        </w:rPr>
        <w:t>%.</w:t>
      </w:r>
      <w:r>
        <w:rPr>
          <w:noProof/>
        </w:rPr>
        <w:t xml:space="preserve"> </w:t>
      </w:r>
      <w:r w:rsidR="00C84064">
        <w:rPr>
          <w:noProof/>
        </w:rPr>
        <w:t xml:space="preserve">Czechia’s </w:t>
      </w:r>
      <w:r>
        <w:rPr>
          <w:noProof/>
        </w:rPr>
        <w:t>long-term interest rate decreased in the second half of 2024</w:t>
      </w:r>
      <w:r w:rsidR="00321317">
        <w:rPr>
          <w:noProof/>
        </w:rPr>
        <w:t>,</w:t>
      </w:r>
      <w:r>
        <w:rPr>
          <w:noProof/>
        </w:rPr>
        <w:t xml:space="preserve"> reach</w:t>
      </w:r>
      <w:r w:rsidR="00321317">
        <w:rPr>
          <w:noProof/>
        </w:rPr>
        <w:t>ing</w:t>
      </w:r>
      <w:r>
        <w:rPr>
          <w:noProof/>
        </w:rPr>
        <w:t xml:space="preserve"> 3.8% in September</w:t>
      </w:r>
      <w:r w:rsidR="00321317">
        <w:rPr>
          <w:noProof/>
        </w:rPr>
        <w:t xml:space="preserve"> that year</w:t>
      </w:r>
      <w:r>
        <w:rPr>
          <w:noProof/>
        </w:rPr>
        <w:t>. It then increased gradually to 4.7% in December 2025</w:t>
      </w:r>
      <w:r w:rsidRPr="00CE4537">
        <w:rPr>
          <w:noProof/>
        </w:rPr>
        <w:t xml:space="preserve"> in line with rising inflationary </w:t>
      </w:r>
      <w:r w:rsidR="00321317">
        <w:rPr>
          <w:noProof/>
        </w:rPr>
        <w:t>pressures</w:t>
      </w:r>
      <w:r>
        <w:rPr>
          <w:noProof/>
        </w:rPr>
        <w:t xml:space="preserve">. The long-term interest rate reached </w:t>
      </w:r>
      <w:r w:rsidRPr="00E55FB5">
        <w:rPr>
          <w:noProof/>
        </w:rPr>
        <w:t>4.</w:t>
      </w:r>
      <w:r w:rsidR="00A743FF">
        <w:rPr>
          <w:noProof/>
        </w:rPr>
        <w:t>9</w:t>
      </w:r>
      <w:r>
        <w:rPr>
          <w:noProof/>
        </w:rPr>
        <w:t xml:space="preserve">% in May 2026, with the spread </w:t>
      </w:r>
      <w:r w:rsidR="000E63E7">
        <w:rPr>
          <w:noProof/>
        </w:rPr>
        <w:t>versus</w:t>
      </w:r>
      <w:r>
        <w:rPr>
          <w:noProof/>
        </w:rPr>
        <w:t xml:space="preserve"> the German benchmark bond </w:t>
      </w:r>
      <w:r w:rsidR="00321317">
        <w:rPr>
          <w:noProof/>
        </w:rPr>
        <w:t xml:space="preserve">reaching </w:t>
      </w:r>
      <w:r w:rsidR="005C4CA5" w:rsidRPr="00E55FB5">
        <w:rPr>
          <w:noProof/>
        </w:rPr>
        <w:t>18</w:t>
      </w:r>
      <w:r w:rsidR="00A743FF">
        <w:rPr>
          <w:noProof/>
        </w:rPr>
        <w:t>4</w:t>
      </w:r>
      <w:r>
        <w:rPr>
          <w:noProof/>
        </w:rPr>
        <w:t xml:space="preserve"> basis points.</w:t>
      </w:r>
    </w:p>
    <w:p w14:paraId="3744AA9D" w14:textId="47D48400" w:rsidR="00504C37" w:rsidRDefault="00552C51" w:rsidP="009F0DD6">
      <w:pPr>
        <w:ind w:left="567"/>
        <w:rPr>
          <w:noProof/>
        </w:rPr>
      </w:pPr>
      <w:r>
        <w:rPr>
          <w:noProof/>
        </w:rPr>
        <w:t xml:space="preserve">The Commission has also examined </w:t>
      </w:r>
      <w:r w:rsidRPr="00FA20AB">
        <w:rPr>
          <w:b/>
          <w:bCs/>
          <w:noProof/>
        </w:rPr>
        <w:t>additional factors</w:t>
      </w:r>
      <w:r>
        <w:rPr>
          <w:noProof/>
        </w:rPr>
        <w:t>, including balance of payments developments, the integration of markets and the institutional environment. Czechia’s external balance (</w:t>
      </w:r>
      <w:r w:rsidR="00873997">
        <w:rPr>
          <w:noProof/>
        </w:rPr>
        <w:t xml:space="preserve">i.e. </w:t>
      </w:r>
      <w:r>
        <w:rPr>
          <w:noProof/>
        </w:rPr>
        <w:t xml:space="preserve">the combined current and capital account) </w:t>
      </w:r>
      <w:r w:rsidRPr="008C190D">
        <w:rPr>
          <w:noProof/>
        </w:rPr>
        <w:t xml:space="preserve">recorded a surplus </w:t>
      </w:r>
      <w:r w:rsidR="00873997">
        <w:rPr>
          <w:noProof/>
        </w:rPr>
        <w:t>amounting to</w:t>
      </w:r>
      <w:r w:rsidRPr="008C190D">
        <w:rPr>
          <w:noProof/>
        </w:rPr>
        <w:t xml:space="preserve"> </w:t>
      </w:r>
      <w:r w:rsidR="009D2C6D" w:rsidRPr="008C190D">
        <w:rPr>
          <w:noProof/>
        </w:rPr>
        <w:t>2.2</w:t>
      </w:r>
      <w:r w:rsidRPr="008C190D">
        <w:rPr>
          <w:noProof/>
        </w:rPr>
        <w:t>% of GDP</w:t>
      </w:r>
      <w:r>
        <w:rPr>
          <w:noProof/>
        </w:rPr>
        <w:t xml:space="preserve"> in 2025. The Czech economy is highly integrated with the euro area through trade and investment linkages. </w:t>
      </w:r>
      <w:r w:rsidRPr="001D2BA6">
        <w:rPr>
          <w:noProof/>
        </w:rPr>
        <w:t xml:space="preserve">Selected indicators related to the institutional environment show that Czechia </w:t>
      </w:r>
      <w:r w:rsidRPr="001D2CBE">
        <w:rPr>
          <w:noProof/>
        </w:rPr>
        <w:t xml:space="preserve">ranks higher than the average </w:t>
      </w:r>
      <w:r w:rsidR="00873997">
        <w:rPr>
          <w:noProof/>
        </w:rPr>
        <w:t>for</w:t>
      </w:r>
      <w:r w:rsidRPr="001D2CBE">
        <w:rPr>
          <w:noProof/>
        </w:rPr>
        <w:t xml:space="preserve"> euro area Member States</w:t>
      </w:r>
      <w:r w:rsidR="005A15CA">
        <w:rPr>
          <w:noProof/>
        </w:rPr>
        <w:t xml:space="preserve"> in this regard</w:t>
      </w:r>
      <w:r w:rsidR="00ED0108">
        <w:rPr>
          <w:noProof/>
        </w:rPr>
        <w:t>.</w:t>
      </w:r>
      <w:r>
        <w:rPr>
          <w:noProof/>
        </w:rPr>
        <w:t xml:space="preserve"> The financial sector in Czechia is smaller and less developed than in the euro area. Market</w:t>
      </w:r>
      <w:r w:rsidR="00EB137C">
        <w:rPr>
          <w:noProof/>
        </w:rPr>
        <w:t>-</w:t>
      </w:r>
      <w:r>
        <w:rPr>
          <w:noProof/>
        </w:rPr>
        <w:t xml:space="preserve">based financing is less developed, </w:t>
      </w:r>
      <w:r w:rsidR="00321317">
        <w:rPr>
          <w:noProof/>
        </w:rPr>
        <w:t xml:space="preserve">as </w:t>
      </w:r>
      <w:r>
        <w:rPr>
          <w:noProof/>
        </w:rPr>
        <w:t xml:space="preserve">reflected in the very small markets for equity and private sector debt. The Czech banking sector is highly integrated into the euro area financial system, in particular through a high degree of foreign ownership of banks. </w:t>
      </w:r>
      <w:r w:rsidRPr="00422323">
        <w:rPr>
          <w:noProof/>
        </w:rPr>
        <w:t xml:space="preserve">In the context of the Macroeconomic Imbalance Procedure, the Commission concluded in its Alert </w:t>
      </w:r>
      <w:r w:rsidRPr="00C6104E">
        <w:rPr>
          <w:noProof/>
        </w:rPr>
        <w:t xml:space="preserve">Mechanism Report for 2026 that it was not necessary to carry out </w:t>
      </w:r>
      <w:r w:rsidR="00321317" w:rsidRPr="00C6104E">
        <w:rPr>
          <w:noProof/>
        </w:rPr>
        <w:t xml:space="preserve">an </w:t>
      </w:r>
      <w:r w:rsidRPr="00C6104E">
        <w:rPr>
          <w:noProof/>
        </w:rPr>
        <w:t>In-Depth Review analysis for Czechia.</w:t>
      </w:r>
      <w:r w:rsidRPr="00325344">
        <w:rPr>
          <w:noProof/>
        </w:rPr>
        <w:t xml:space="preserve"> </w:t>
      </w:r>
    </w:p>
    <w:p w14:paraId="2072B6D8" w14:textId="6AB4872E" w:rsidR="00504C37" w:rsidRPr="009F0DD6" w:rsidRDefault="00552C51" w:rsidP="00504C37">
      <w:pPr>
        <w:ind w:left="567"/>
        <w:rPr>
          <w:noProof/>
        </w:rPr>
      </w:pPr>
      <w:r w:rsidRPr="00325344">
        <w:rPr>
          <w:noProof/>
        </w:rPr>
        <w:t xml:space="preserve">Czechia’s recovery and resilience plan </w:t>
      </w:r>
      <w:r w:rsidR="00D371C7">
        <w:rPr>
          <w:noProof/>
        </w:rPr>
        <w:t xml:space="preserve">(RRP) </w:t>
      </w:r>
      <w:r w:rsidRPr="00325344">
        <w:rPr>
          <w:noProof/>
        </w:rPr>
        <w:t>includes measures to address a series of structural challenges, in synergy with other EU funds, including cohesion policy funds, to boost its competitiveness and stimulate sustainable growth</w:t>
      </w:r>
      <w:r w:rsidR="00873997">
        <w:rPr>
          <w:noProof/>
        </w:rPr>
        <w:t>,</w:t>
      </w:r>
      <w:r w:rsidRPr="00325344">
        <w:rPr>
          <w:noProof/>
        </w:rPr>
        <w:t xml:space="preserve"> and reduce the country’s territorial and social disparities</w:t>
      </w:r>
      <w:r>
        <w:rPr>
          <w:noProof/>
        </w:rPr>
        <w:t>.</w:t>
      </w:r>
      <w:r w:rsidRPr="00325344">
        <w:rPr>
          <w:noProof/>
        </w:rPr>
        <w:t xml:space="preserve"> </w:t>
      </w:r>
      <w:r w:rsidR="00AB0D2C">
        <w:rPr>
          <w:noProof/>
        </w:rPr>
        <w:t>The RRF funding provide</w:t>
      </w:r>
      <w:r w:rsidR="00F22ABB">
        <w:rPr>
          <w:noProof/>
        </w:rPr>
        <w:t>s</w:t>
      </w:r>
      <w:r w:rsidR="00AB0D2C">
        <w:rPr>
          <w:noProof/>
        </w:rPr>
        <w:t xml:space="preserve"> </w:t>
      </w:r>
      <w:r w:rsidR="00AB0D2C" w:rsidRPr="00AB0D2C">
        <w:rPr>
          <w:noProof/>
        </w:rPr>
        <w:t xml:space="preserve">Czechia with </w:t>
      </w:r>
      <w:r w:rsidR="00AB0D2C">
        <w:rPr>
          <w:noProof/>
        </w:rPr>
        <w:t>EUR</w:t>
      </w:r>
      <w:r w:rsidR="00AB0D2C" w:rsidRPr="07741764">
        <w:rPr>
          <w:rFonts w:ascii="Arial" w:hAnsi="Arial" w:cs="Arial"/>
          <w:noProof/>
        </w:rPr>
        <w:t> </w:t>
      </w:r>
      <w:r w:rsidR="00AB0D2C">
        <w:rPr>
          <w:noProof/>
        </w:rPr>
        <w:t>8</w:t>
      </w:r>
      <w:r w:rsidR="00AB0D2C" w:rsidRPr="00AB0D2C">
        <w:rPr>
          <w:noProof/>
        </w:rPr>
        <w:t>.4 billion in grants and EUR 343 million in loans over the 2021-2026 period.</w:t>
      </w:r>
      <w:r w:rsidR="00AB0D2C">
        <w:rPr>
          <w:noProof/>
        </w:rPr>
        <w:t xml:space="preserve"> </w:t>
      </w:r>
      <w:r w:rsidR="00453F84" w:rsidRPr="00453F84">
        <w:rPr>
          <w:noProof/>
        </w:rPr>
        <w:t>Czechia has submitted six payment requests, five of which have already been assesse</w:t>
      </w:r>
      <w:r w:rsidR="00B95566">
        <w:rPr>
          <w:noProof/>
        </w:rPr>
        <w:t xml:space="preserve">d resulting </w:t>
      </w:r>
      <w:r w:rsidR="00AB0D2C" w:rsidRPr="00AB0D2C">
        <w:rPr>
          <w:noProof/>
        </w:rPr>
        <w:t xml:space="preserve">in </w:t>
      </w:r>
      <w:r w:rsidR="00D45D2F">
        <w:rPr>
          <w:noProof/>
        </w:rPr>
        <w:t>a total</w:t>
      </w:r>
      <w:r w:rsidR="00AB0D2C" w:rsidRPr="00AB0D2C">
        <w:rPr>
          <w:noProof/>
        </w:rPr>
        <w:t xml:space="preserve"> disbursement of EUR 6.8 billion </w:t>
      </w:r>
      <w:r w:rsidR="158068CA">
        <w:rPr>
          <w:noProof/>
        </w:rPr>
        <w:t>by the end of May</w:t>
      </w:r>
      <w:r w:rsidR="00AB0D2C" w:rsidRPr="00AB0D2C">
        <w:rPr>
          <w:noProof/>
        </w:rPr>
        <w:t xml:space="preserve"> 2026</w:t>
      </w:r>
      <w:r w:rsidR="00D45D2F">
        <w:rPr>
          <w:noProof/>
        </w:rPr>
        <w:t xml:space="preserve">. Moreover, it </w:t>
      </w:r>
      <w:r w:rsidR="00A55A81" w:rsidRPr="00A55A81">
        <w:rPr>
          <w:noProof/>
        </w:rPr>
        <w:t xml:space="preserve">has fulfilled approximately 71% of the milestones and targets </w:t>
      </w:r>
      <w:r w:rsidR="00B957EF">
        <w:rPr>
          <w:noProof/>
        </w:rPr>
        <w:t>of its RRP</w:t>
      </w:r>
      <w:r w:rsidR="00A55A81">
        <w:rPr>
          <w:noProof/>
        </w:rPr>
        <w:t>.</w:t>
      </w:r>
      <w:r w:rsidR="00A55A81" w:rsidRPr="00A55A81">
        <w:rPr>
          <w:noProof/>
        </w:rPr>
        <w:t xml:space="preserve"> </w:t>
      </w:r>
      <w:r w:rsidR="00AB4C13">
        <w:rPr>
          <w:noProof/>
        </w:rPr>
        <w:t xml:space="preserve">Key reforms in Czechia’s RRP </w:t>
      </w:r>
      <w:r w:rsidR="00CD4DDB">
        <w:rPr>
          <w:noProof/>
        </w:rPr>
        <w:t xml:space="preserve">include those in </w:t>
      </w:r>
      <w:r w:rsidR="00AB0D2C" w:rsidRPr="00AB0D2C">
        <w:rPr>
          <w:noProof/>
        </w:rPr>
        <w:t xml:space="preserve">the areas of </w:t>
      </w:r>
      <w:r w:rsidR="00CD4DDB">
        <w:rPr>
          <w:noProof/>
        </w:rPr>
        <w:t xml:space="preserve">renewable energy, </w:t>
      </w:r>
      <w:r w:rsidR="00CD4DDB" w:rsidRPr="00CD4DDB">
        <w:rPr>
          <w:noProof/>
        </w:rPr>
        <w:t xml:space="preserve">zero-emission mobility, long-term care, affordable housing, </w:t>
      </w:r>
      <w:r w:rsidR="00CD4DDB">
        <w:rPr>
          <w:noProof/>
        </w:rPr>
        <w:t xml:space="preserve">and </w:t>
      </w:r>
      <w:r w:rsidR="00CD4DDB" w:rsidRPr="00CD4DDB">
        <w:rPr>
          <w:noProof/>
        </w:rPr>
        <w:t>conflict of interest and lobbying rules.</w:t>
      </w:r>
      <w:r w:rsidR="00CD4DDB">
        <w:rPr>
          <w:noProof/>
        </w:rPr>
        <w:t xml:space="preserve"> </w:t>
      </w:r>
      <w:r w:rsidR="00A02F0D" w:rsidRPr="00A02F0D">
        <w:rPr>
          <w:noProof/>
        </w:rPr>
        <w:t xml:space="preserve">In addition, cohesion policy provides Czechia with </w:t>
      </w:r>
      <w:r w:rsidR="00A02F0D">
        <w:rPr>
          <w:noProof/>
        </w:rPr>
        <w:t>EUR</w:t>
      </w:r>
      <w:r w:rsidR="00A02F0D" w:rsidRPr="07741764">
        <w:rPr>
          <w:rFonts w:ascii="Arial" w:hAnsi="Arial" w:cs="Arial"/>
          <w:noProof/>
        </w:rPr>
        <w:t> </w:t>
      </w:r>
      <w:r w:rsidR="007E739C" w:rsidRPr="00E55FB5">
        <w:rPr>
          <w:noProof/>
        </w:rPr>
        <w:t>24</w:t>
      </w:r>
      <w:r w:rsidR="00A97671" w:rsidRPr="00E55FB5">
        <w:rPr>
          <w:noProof/>
        </w:rPr>
        <w:t>.2</w:t>
      </w:r>
      <w:r w:rsidR="00A02F0D" w:rsidRPr="00A02F0D">
        <w:rPr>
          <w:noProof/>
        </w:rPr>
        <w:t xml:space="preserve"> </w:t>
      </w:r>
      <w:r w:rsidR="00A02F0D">
        <w:rPr>
          <w:noProof/>
        </w:rPr>
        <w:t>billion</w:t>
      </w:r>
      <w:r w:rsidR="00A02F0D" w:rsidRPr="07741764">
        <w:rPr>
          <w:rFonts w:ascii="Arial" w:hAnsi="Arial" w:cs="Arial"/>
          <w:noProof/>
        </w:rPr>
        <w:t> </w:t>
      </w:r>
      <w:r w:rsidR="00A02F0D">
        <w:rPr>
          <w:noProof/>
        </w:rPr>
        <w:t>for</w:t>
      </w:r>
      <w:r w:rsidR="00A02F0D" w:rsidRPr="00A02F0D">
        <w:rPr>
          <w:noProof/>
        </w:rPr>
        <w:t xml:space="preserve"> the 2021-2027 period. </w:t>
      </w:r>
      <w:r w:rsidRPr="00325344">
        <w:rPr>
          <w:noProof/>
        </w:rPr>
        <w:t>Cohesion policy financing aims particularly to further support Czechia’s competitiveness, by</w:t>
      </w:r>
      <w:r w:rsidR="00144657">
        <w:rPr>
          <w:noProof/>
        </w:rPr>
        <w:t xml:space="preserve"> </w:t>
      </w:r>
      <w:r w:rsidR="004C413F">
        <w:rPr>
          <w:noProof/>
        </w:rPr>
        <w:t>h</w:t>
      </w:r>
      <w:r w:rsidR="00117FC4">
        <w:rPr>
          <w:noProof/>
        </w:rPr>
        <w:t xml:space="preserve">elping </w:t>
      </w:r>
      <w:r w:rsidR="00A5158F" w:rsidRPr="00A5158F">
        <w:rPr>
          <w:noProof/>
        </w:rPr>
        <w:t>research and innovation, SMEs competitiveness</w:t>
      </w:r>
      <w:r w:rsidR="00A5158F">
        <w:rPr>
          <w:noProof/>
        </w:rPr>
        <w:t>,</w:t>
      </w:r>
      <w:r w:rsidR="00FE4E4B">
        <w:rPr>
          <w:noProof/>
        </w:rPr>
        <w:t xml:space="preserve"> </w:t>
      </w:r>
      <w:r w:rsidR="00FE4E4B" w:rsidRPr="00FE4E4B">
        <w:rPr>
          <w:noProof/>
        </w:rPr>
        <w:t>energy efficiency</w:t>
      </w:r>
      <w:r w:rsidR="00B73998">
        <w:rPr>
          <w:noProof/>
        </w:rPr>
        <w:t xml:space="preserve"> improvements</w:t>
      </w:r>
      <w:r w:rsidR="00FE4E4B">
        <w:rPr>
          <w:noProof/>
        </w:rPr>
        <w:t xml:space="preserve">, </w:t>
      </w:r>
      <w:r w:rsidR="004B6A98" w:rsidRPr="004B6A98">
        <w:rPr>
          <w:noProof/>
        </w:rPr>
        <w:t>modernisation of public employment services, skills development and lifelong learning, as well as work-life balance and equal opportunities</w:t>
      </w:r>
      <w:r w:rsidRPr="00325344">
        <w:rPr>
          <w:noProof/>
        </w:rPr>
        <w:t>.</w:t>
      </w:r>
      <w:r w:rsidR="00566C6D" w:rsidRPr="07741764">
        <w:rPr>
          <w:rFonts w:eastAsia="EC Square Sans Pro" w:cs="EC Square Sans Pro"/>
          <w:noProof/>
          <w:color w:val="000000" w:themeColor="text1"/>
        </w:rPr>
        <w:t xml:space="preserve"> </w:t>
      </w:r>
    </w:p>
    <w:p w14:paraId="13D6B77B" w14:textId="77777777" w:rsidR="000F5A07" w:rsidRPr="003834D9" w:rsidRDefault="000F5A07" w:rsidP="009F0DD6">
      <w:pPr>
        <w:rPr>
          <w:noProof/>
        </w:rPr>
      </w:pPr>
    </w:p>
    <w:p w14:paraId="5CF84788" w14:textId="10EB0C37" w:rsidR="003C562C" w:rsidRDefault="003C562C" w:rsidP="003C562C">
      <w:pPr>
        <w:numPr>
          <w:ilvl w:val="0"/>
          <w:numId w:val="1"/>
        </w:numPr>
        <w:ind w:left="567" w:hanging="567"/>
        <w:rPr>
          <w:b/>
          <w:bCs/>
          <w:noProof/>
        </w:rPr>
      </w:pPr>
      <w:r>
        <w:rPr>
          <w:b/>
          <w:bCs/>
          <w:noProof/>
        </w:rPr>
        <w:t>HUNGARY</w:t>
      </w:r>
    </w:p>
    <w:p w14:paraId="11683222" w14:textId="2AB2D40B" w:rsidR="00BE229E" w:rsidRDefault="1E1CCAE5" w:rsidP="52A3362B">
      <w:pPr>
        <w:ind w:left="567"/>
        <w:rPr>
          <w:rFonts w:eastAsia="EC Square Sans Pro" w:cs="EC Square Sans Pro"/>
          <w:b/>
          <w:bCs/>
          <w:noProof/>
          <w:color w:val="000000" w:themeColor="text1"/>
          <w:szCs w:val="20"/>
        </w:rPr>
      </w:pPr>
      <w:r w:rsidRPr="7B431CAB">
        <w:rPr>
          <w:rFonts w:eastAsia="EC Square Sans Pro" w:cs="EC Square Sans Pro"/>
          <w:b/>
          <w:bCs/>
          <w:noProof/>
          <w:color w:val="000000" w:themeColor="text1"/>
          <w:szCs w:val="20"/>
        </w:rPr>
        <w:t xml:space="preserve">In the light of its assessment on legal compatibility and on the fulfilment of the convergence criteria, and taking into account the additional relevant factors, the Commission considers that Hungary does not fulfil the conditions for </w:t>
      </w:r>
      <w:r w:rsidR="004378D9">
        <w:rPr>
          <w:rFonts w:eastAsia="EC Square Sans Pro" w:cs="EC Square Sans Pro"/>
          <w:b/>
          <w:bCs/>
          <w:noProof/>
          <w:color w:val="000000" w:themeColor="text1"/>
          <w:szCs w:val="20"/>
        </w:rPr>
        <w:t>adopting</w:t>
      </w:r>
      <w:r w:rsidRPr="7B431CAB">
        <w:rPr>
          <w:rFonts w:eastAsia="EC Square Sans Pro" w:cs="EC Square Sans Pro"/>
          <w:b/>
          <w:bCs/>
          <w:noProof/>
          <w:color w:val="000000" w:themeColor="text1"/>
          <w:szCs w:val="20"/>
        </w:rPr>
        <w:t xml:space="preserve"> the euro.</w:t>
      </w:r>
    </w:p>
    <w:p w14:paraId="6F525D64" w14:textId="7CA55CA3" w:rsidR="1E1CCAE5" w:rsidRDefault="1E1CCAE5" w:rsidP="004B2463">
      <w:pPr>
        <w:ind w:left="567"/>
        <w:rPr>
          <w:rFonts w:eastAsia="EC Square Sans Pro" w:cs="EC Square Sans Pro"/>
          <w:noProof/>
          <w:color w:val="000000" w:themeColor="text1"/>
        </w:rPr>
      </w:pPr>
      <w:r w:rsidRPr="00AF11CC">
        <w:rPr>
          <w:rFonts w:eastAsia="EC Square Sans Pro" w:cs="EC Square Sans Pro"/>
          <w:b/>
          <w:bCs/>
          <w:noProof/>
          <w:color w:val="000000" w:themeColor="text1"/>
        </w:rPr>
        <w:t>Legislation in Hungary</w:t>
      </w:r>
      <w:r w:rsidR="00361DFF" w:rsidRPr="00E55FB5">
        <w:rPr>
          <w:rFonts w:eastAsia="EC Square Sans Pro" w:cs="EC Square Sans Pro"/>
          <w:noProof/>
          <w:color w:val="000000" w:themeColor="text1"/>
        </w:rPr>
        <w:t>,</w:t>
      </w:r>
      <w:r w:rsidRPr="00CB66E0">
        <w:rPr>
          <w:rFonts w:eastAsia="EC Square Sans Pro" w:cs="EC Square Sans Pro"/>
          <w:noProof/>
          <w:color w:val="000000" w:themeColor="text1"/>
        </w:rPr>
        <w:t xml:space="preserve"> </w:t>
      </w:r>
      <w:r w:rsidRPr="46C448E4">
        <w:rPr>
          <w:rFonts w:eastAsia="EC Square Sans Pro" w:cs="EC Square Sans Pro"/>
          <w:noProof/>
          <w:color w:val="000000" w:themeColor="text1"/>
        </w:rPr>
        <w:t>in particular the Law on the Magyar Nemzeti Bank (MNB)</w:t>
      </w:r>
      <w:r w:rsidR="00361DFF">
        <w:rPr>
          <w:rFonts w:eastAsia="EC Square Sans Pro" w:cs="EC Square Sans Pro"/>
          <w:noProof/>
          <w:color w:val="000000" w:themeColor="text1"/>
        </w:rPr>
        <w:t>,</w:t>
      </w:r>
      <w:r w:rsidRPr="46C448E4">
        <w:rPr>
          <w:rFonts w:eastAsia="EC Square Sans Pro" w:cs="EC Square Sans Pro"/>
          <w:noProof/>
          <w:color w:val="000000" w:themeColor="text1"/>
        </w:rPr>
        <w:t xml:space="preserve"> </w:t>
      </w:r>
      <w:r w:rsidRPr="009F0DD6">
        <w:rPr>
          <w:rFonts w:eastAsia="EC Square Sans Pro" w:cs="EC Square Sans Pro"/>
          <w:b/>
          <w:bCs/>
          <w:noProof/>
          <w:color w:val="000000" w:themeColor="text1"/>
        </w:rPr>
        <w:t>is not fully compatible</w:t>
      </w:r>
      <w:r w:rsidRPr="46C448E4">
        <w:rPr>
          <w:rFonts w:eastAsia="EC Square Sans Pro" w:cs="EC Square Sans Pro"/>
          <w:noProof/>
          <w:color w:val="000000" w:themeColor="text1"/>
        </w:rPr>
        <w:t xml:space="preserve"> with the requirements of Article 131 TFEU. Incompatibilities notably concern the independence of the MNB, prohibition of monetary financing and </w:t>
      </w:r>
      <w:r w:rsidR="004378D9">
        <w:rPr>
          <w:rFonts w:eastAsia="EC Square Sans Pro" w:cs="EC Square Sans Pro"/>
          <w:noProof/>
          <w:color w:val="000000" w:themeColor="text1"/>
        </w:rPr>
        <w:t xml:space="preserve">the integration of the </w:t>
      </w:r>
      <w:r w:rsidRPr="46C448E4">
        <w:rPr>
          <w:rFonts w:eastAsia="EC Square Sans Pro" w:cs="EC Square Sans Pro"/>
          <w:noProof/>
          <w:color w:val="000000" w:themeColor="text1"/>
        </w:rPr>
        <w:t xml:space="preserve">central bank into the </w:t>
      </w:r>
      <w:r w:rsidR="7ECF5B3C" w:rsidRPr="46C448E4">
        <w:rPr>
          <w:rFonts w:eastAsia="EC Square Sans Pro" w:cs="EC Square Sans Pro"/>
          <w:noProof/>
          <w:color w:val="000000" w:themeColor="text1"/>
        </w:rPr>
        <w:t xml:space="preserve">Eurosystem </w:t>
      </w:r>
      <w:r w:rsidRPr="46C448E4">
        <w:rPr>
          <w:rFonts w:eastAsia="EC Square Sans Pro" w:cs="EC Square Sans Pro"/>
          <w:noProof/>
          <w:color w:val="000000" w:themeColor="text1"/>
        </w:rPr>
        <w:t>with regard to the ESCB</w:t>
      </w:r>
      <w:r w:rsidR="32EBAFCC" w:rsidRPr="46C448E4">
        <w:rPr>
          <w:rFonts w:eastAsia="EC Square Sans Pro" w:cs="EC Square Sans Pro"/>
          <w:noProof/>
          <w:color w:val="000000" w:themeColor="text1"/>
        </w:rPr>
        <w:t>/ECB</w:t>
      </w:r>
      <w:r w:rsidRPr="46C448E4">
        <w:rPr>
          <w:rFonts w:eastAsia="EC Square Sans Pro" w:cs="EC Square Sans Pro"/>
          <w:noProof/>
          <w:color w:val="000000" w:themeColor="text1"/>
        </w:rPr>
        <w:t xml:space="preserve"> tasks laid down in Article 127</w:t>
      </w:r>
      <w:r w:rsidR="0D14176C" w:rsidRPr="46C448E4">
        <w:rPr>
          <w:rFonts w:eastAsia="EC Square Sans Pro" w:cs="EC Square Sans Pro"/>
          <w:noProof/>
          <w:color w:val="000000" w:themeColor="text1"/>
        </w:rPr>
        <w:t xml:space="preserve">(1) and </w:t>
      </w:r>
      <w:r w:rsidRPr="46C448E4">
        <w:rPr>
          <w:rFonts w:eastAsia="EC Square Sans Pro" w:cs="EC Square Sans Pro"/>
          <w:noProof/>
          <w:color w:val="000000" w:themeColor="text1"/>
        </w:rPr>
        <w:t>(2) TFEU and Article</w:t>
      </w:r>
      <w:r w:rsidR="00C9373A">
        <w:rPr>
          <w:rFonts w:eastAsia="EC Square Sans Pro" w:cs="EC Square Sans Pro"/>
          <w:noProof/>
          <w:color w:val="000000" w:themeColor="text1"/>
        </w:rPr>
        <w:t>s</w:t>
      </w:r>
      <w:r w:rsidRPr="46C448E4">
        <w:rPr>
          <w:rFonts w:eastAsia="EC Square Sans Pro" w:cs="EC Square Sans Pro"/>
          <w:noProof/>
          <w:color w:val="000000" w:themeColor="text1"/>
        </w:rPr>
        <w:t xml:space="preserve"> </w:t>
      </w:r>
      <w:r w:rsidR="211D1788" w:rsidRPr="46C448E4">
        <w:rPr>
          <w:rFonts w:eastAsia="EC Square Sans Pro" w:cs="EC Square Sans Pro"/>
          <w:noProof/>
          <w:color w:val="000000" w:themeColor="text1"/>
        </w:rPr>
        <w:t xml:space="preserve">2 and </w:t>
      </w:r>
      <w:r w:rsidRPr="46C448E4">
        <w:rPr>
          <w:rFonts w:eastAsia="EC Square Sans Pro" w:cs="EC Square Sans Pro"/>
          <w:noProof/>
          <w:color w:val="000000" w:themeColor="text1"/>
        </w:rPr>
        <w:t xml:space="preserve">3 of the ESCB/ECB Statute. In addition, the Law on the MNB contains imperfections relating to </w:t>
      </w:r>
      <w:r w:rsidR="004378D9">
        <w:rPr>
          <w:rFonts w:eastAsia="EC Square Sans Pro" w:cs="EC Square Sans Pro"/>
          <w:noProof/>
          <w:color w:val="000000" w:themeColor="text1"/>
        </w:rPr>
        <w:t xml:space="preserve">the MNB’s </w:t>
      </w:r>
      <w:r w:rsidRPr="46C448E4">
        <w:rPr>
          <w:rFonts w:eastAsia="EC Square Sans Pro" w:cs="EC Square Sans Pro"/>
          <w:noProof/>
          <w:color w:val="000000" w:themeColor="text1"/>
        </w:rPr>
        <w:t xml:space="preserve">independence and </w:t>
      </w:r>
      <w:r w:rsidR="004378D9">
        <w:rPr>
          <w:rFonts w:eastAsia="EC Square Sans Pro" w:cs="EC Square Sans Pro"/>
          <w:noProof/>
          <w:color w:val="000000" w:themeColor="text1"/>
        </w:rPr>
        <w:t>its</w:t>
      </w:r>
      <w:r w:rsidRPr="46C448E4">
        <w:rPr>
          <w:rFonts w:eastAsia="EC Square Sans Pro" w:cs="EC Square Sans Pro"/>
          <w:noProof/>
          <w:color w:val="000000" w:themeColor="text1"/>
        </w:rPr>
        <w:t xml:space="preserve"> integration into the </w:t>
      </w:r>
      <w:r w:rsidR="1E02C45B" w:rsidRPr="46C448E4">
        <w:rPr>
          <w:rFonts w:eastAsia="EC Square Sans Pro" w:cs="EC Square Sans Pro"/>
          <w:noProof/>
          <w:color w:val="000000" w:themeColor="text1"/>
        </w:rPr>
        <w:t>Eurosystem</w:t>
      </w:r>
      <w:r w:rsidRPr="46C448E4">
        <w:rPr>
          <w:rFonts w:eastAsia="EC Square Sans Pro" w:cs="EC Square Sans Pro"/>
          <w:noProof/>
          <w:color w:val="000000" w:themeColor="text1"/>
        </w:rPr>
        <w:t>.</w:t>
      </w:r>
    </w:p>
    <w:p w14:paraId="2AFE0462" w14:textId="0DAC9CE3" w:rsidR="001D5865" w:rsidRPr="00C25B3E" w:rsidRDefault="1E1CCAE5" w:rsidP="001D5865">
      <w:pPr>
        <w:ind w:left="567"/>
        <w:rPr>
          <w:noProof/>
          <w:color w:val="000000" w:themeColor="text1"/>
        </w:rPr>
      </w:pPr>
      <w:r w:rsidRPr="004B2463">
        <w:rPr>
          <w:rFonts w:eastAsia="EC Square Sans Pro" w:cs="EC Square Sans Pro"/>
          <w:b/>
          <w:bCs/>
          <w:noProof/>
          <w:color w:val="000000" w:themeColor="text1"/>
          <w:szCs w:val="20"/>
        </w:rPr>
        <w:t>Hungary does not fulfil the criterion on price stability.</w:t>
      </w:r>
      <w:r w:rsidRPr="52A3362B">
        <w:rPr>
          <w:rFonts w:eastAsia="EC Square Sans Pro" w:cs="EC Square Sans Pro"/>
          <w:noProof/>
          <w:color w:val="000000" w:themeColor="text1"/>
          <w:szCs w:val="20"/>
        </w:rPr>
        <w:t xml:space="preserve"> The average inflation rate in Hungary during the 12 months to May 2026 was </w:t>
      </w:r>
      <w:r w:rsidR="00B21E66">
        <w:rPr>
          <w:rFonts w:eastAsia="EC Square Sans Pro" w:cs="EC Square Sans Pro"/>
          <w:noProof/>
          <w:color w:val="000000" w:themeColor="text1"/>
          <w:szCs w:val="20"/>
        </w:rPr>
        <w:t>3.3</w:t>
      </w:r>
      <w:r w:rsidRPr="52A3362B">
        <w:rPr>
          <w:rFonts w:eastAsia="EC Square Sans Pro" w:cs="EC Square Sans Pro"/>
          <w:noProof/>
          <w:color w:val="000000" w:themeColor="text1"/>
          <w:szCs w:val="20"/>
        </w:rPr>
        <w:t xml:space="preserve">%, above the reference value of </w:t>
      </w:r>
      <w:r w:rsidR="00B21E66">
        <w:rPr>
          <w:rFonts w:eastAsia="EC Square Sans Pro" w:cs="EC Square Sans Pro"/>
          <w:noProof/>
          <w:color w:val="000000" w:themeColor="text1"/>
          <w:szCs w:val="20"/>
        </w:rPr>
        <w:t>2.7</w:t>
      </w:r>
      <w:r w:rsidRPr="52A3362B">
        <w:rPr>
          <w:rFonts w:eastAsia="EC Square Sans Pro" w:cs="EC Square Sans Pro"/>
          <w:noProof/>
          <w:color w:val="000000" w:themeColor="text1"/>
          <w:szCs w:val="20"/>
        </w:rPr>
        <w:t xml:space="preserve">%. </w:t>
      </w:r>
      <w:r w:rsidR="001D5865" w:rsidRPr="00466D6F">
        <w:rPr>
          <w:noProof/>
          <w:color w:val="000000" w:themeColor="text1"/>
        </w:rPr>
        <w:t>I</w:t>
      </w:r>
      <w:r w:rsidR="00754205">
        <w:rPr>
          <w:noProof/>
          <w:color w:val="000000" w:themeColor="text1"/>
        </w:rPr>
        <w:t xml:space="preserve">nflation </w:t>
      </w:r>
      <w:r w:rsidR="001D5865" w:rsidRPr="00466D6F">
        <w:rPr>
          <w:noProof/>
          <w:color w:val="000000" w:themeColor="text1"/>
        </w:rPr>
        <w:t xml:space="preserve">is projected </w:t>
      </w:r>
      <w:r w:rsidR="001D5865" w:rsidRPr="2C28BDD6">
        <w:rPr>
          <w:noProof/>
          <w:color w:val="000000" w:themeColor="text1"/>
        </w:rPr>
        <w:t xml:space="preserve">to </w:t>
      </w:r>
      <w:r w:rsidR="001D5865" w:rsidRPr="0098405B">
        <w:rPr>
          <w:noProof/>
          <w:color w:val="000000" w:themeColor="text1"/>
        </w:rPr>
        <w:t>decrease</w:t>
      </w:r>
      <w:r w:rsidR="001D5865" w:rsidRPr="00256CAA">
        <w:rPr>
          <w:noProof/>
          <w:color w:val="000000" w:themeColor="text1"/>
        </w:rPr>
        <w:t xml:space="preserve"> </w:t>
      </w:r>
      <w:r w:rsidR="0082765D" w:rsidRPr="00256CAA">
        <w:rPr>
          <w:noProof/>
          <w:color w:val="000000" w:themeColor="text1"/>
        </w:rPr>
        <w:t xml:space="preserve">and to </w:t>
      </w:r>
      <w:r w:rsidR="00602A73" w:rsidRPr="00256CAA">
        <w:rPr>
          <w:noProof/>
          <w:color w:val="000000" w:themeColor="text1"/>
        </w:rPr>
        <w:t xml:space="preserve">fall </w:t>
      </w:r>
      <w:r w:rsidR="00DB3091" w:rsidRPr="00256CAA">
        <w:rPr>
          <w:noProof/>
          <w:color w:val="000000" w:themeColor="text1"/>
        </w:rPr>
        <w:t>below the reference value by the end of 2026</w:t>
      </w:r>
      <w:r w:rsidR="008E1F02" w:rsidRPr="00256CAA">
        <w:rPr>
          <w:noProof/>
          <w:color w:val="000000" w:themeColor="text1"/>
        </w:rPr>
        <w:t>. It is expected to rise above the reference</w:t>
      </w:r>
      <w:r w:rsidR="008E1F02">
        <w:rPr>
          <w:noProof/>
          <w:color w:val="000000" w:themeColor="text1"/>
        </w:rPr>
        <w:t xml:space="preserve"> value in the first half of 2027, but to fall </w:t>
      </w:r>
      <w:r w:rsidR="004707CC">
        <w:rPr>
          <w:noProof/>
          <w:color w:val="000000" w:themeColor="text1"/>
        </w:rPr>
        <w:t>back</w:t>
      </w:r>
      <w:r w:rsidR="008E1F02">
        <w:rPr>
          <w:noProof/>
          <w:color w:val="000000" w:themeColor="text1"/>
        </w:rPr>
        <w:t xml:space="preserve"> below </w:t>
      </w:r>
      <w:r w:rsidR="00602A73">
        <w:rPr>
          <w:noProof/>
          <w:color w:val="000000" w:themeColor="text1"/>
        </w:rPr>
        <w:t xml:space="preserve">it </w:t>
      </w:r>
      <w:r w:rsidR="001D5865" w:rsidRPr="2C28BDD6">
        <w:rPr>
          <w:noProof/>
          <w:color w:val="000000" w:themeColor="text1"/>
        </w:rPr>
        <w:t xml:space="preserve">by </w:t>
      </w:r>
      <w:r w:rsidR="00303821">
        <w:rPr>
          <w:noProof/>
          <w:color w:val="000000" w:themeColor="text1"/>
        </w:rPr>
        <w:t xml:space="preserve">the </w:t>
      </w:r>
      <w:r w:rsidR="001D5865" w:rsidRPr="2C28BDD6">
        <w:rPr>
          <w:noProof/>
          <w:color w:val="000000" w:themeColor="text1"/>
        </w:rPr>
        <w:t>end of 2027.</w:t>
      </w:r>
    </w:p>
    <w:p w14:paraId="3E708E26" w14:textId="5CFF833D" w:rsidR="1E1CCAE5" w:rsidRDefault="00E96170" w:rsidP="000E6CFF">
      <w:pPr>
        <w:ind w:left="567"/>
        <w:jc w:val="center"/>
        <w:rPr>
          <w:rFonts w:eastAsia="EC Square Sans Pro" w:cs="EC Square Sans Pro"/>
          <w:noProof/>
          <w:color w:val="000000" w:themeColor="text1"/>
          <w:szCs w:val="20"/>
        </w:rPr>
      </w:pPr>
      <w:r>
        <w:rPr>
          <w:rFonts w:eastAsia="EC Square Sans Pro" w:cs="EC Square Sans Pro"/>
          <w:noProof/>
          <w:color w:val="000000" w:themeColor="text1"/>
          <w:szCs w:val="20"/>
          <w:lang w:eastAsia="en-GB"/>
        </w:rPr>
        <w:drawing>
          <wp:inline distT="0" distB="0" distL="0" distR="0" wp14:anchorId="54FF6A61" wp14:editId="554CF361">
            <wp:extent cx="3115310" cy="2603500"/>
            <wp:effectExtent l="0" t="0" r="8890" b="6350"/>
            <wp:docPr id="635950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5310" cy="2603500"/>
                    </a:xfrm>
                    <a:prstGeom prst="rect">
                      <a:avLst/>
                    </a:prstGeom>
                    <a:noFill/>
                  </pic:spPr>
                </pic:pic>
              </a:graphicData>
            </a:graphic>
          </wp:inline>
        </w:drawing>
      </w:r>
    </w:p>
    <w:p w14:paraId="54376244" w14:textId="33684426" w:rsidR="1E1CCAE5" w:rsidRDefault="1E1CCAE5" w:rsidP="0004215E">
      <w:pPr>
        <w:ind w:left="567"/>
        <w:rPr>
          <w:rFonts w:eastAsia="EC Square Sans Pro" w:cs="EC Square Sans Pro"/>
          <w:noProof/>
          <w:color w:val="000000" w:themeColor="text1"/>
          <w:szCs w:val="20"/>
        </w:rPr>
      </w:pPr>
      <w:r w:rsidRPr="52A3362B">
        <w:rPr>
          <w:rFonts w:eastAsia="EC Square Sans Pro" w:cs="EC Square Sans Pro"/>
          <w:noProof/>
          <w:color w:val="000000" w:themeColor="text1"/>
          <w:szCs w:val="20"/>
        </w:rPr>
        <w:t xml:space="preserve">Annual HICP inflation in Hungary </w:t>
      </w:r>
      <w:r w:rsidR="00C87719">
        <w:rPr>
          <w:rFonts w:eastAsia="EC Square Sans Pro" w:cs="EC Square Sans Pro"/>
          <w:noProof/>
          <w:color w:val="000000" w:themeColor="text1"/>
          <w:szCs w:val="20"/>
        </w:rPr>
        <w:t>slowed</w:t>
      </w:r>
      <w:r w:rsidRPr="52A3362B">
        <w:rPr>
          <w:rFonts w:eastAsia="EC Square Sans Pro" w:cs="EC Square Sans Pro"/>
          <w:noProof/>
          <w:color w:val="000000" w:themeColor="text1"/>
          <w:szCs w:val="20"/>
        </w:rPr>
        <w:t xml:space="preserve"> in 2024 but picked up </w:t>
      </w:r>
      <w:r w:rsidR="00956AD1">
        <w:rPr>
          <w:rFonts w:eastAsia="EC Square Sans Pro" w:cs="EC Square Sans Pro"/>
          <w:noProof/>
          <w:color w:val="000000" w:themeColor="text1"/>
          <w:szCs w:val="20"/>
        </w:rPr>
        <w:t xml:space="preserve">again </w:t>
      </w:r>
      <w:r w:rsidRPr="52A3362B">
        <w:rPr>
          <w:rFonts w:eastAsia="EC Square Sans Pro" w:cs="EC Square Sans Pro"/>
          <w:noProof/>
          <w:color w:val="000000" w:themeColor="text1"/>
          <w:szCs w:val="20"/>
        </w:rPr>
        <w:t xml:space="preserve">in 2025, averaging 3.7% and 4.4% respectively. Annual HICP inflation increased from 3.9% in May 2024 to 5.7% in </w:t>
      </w:r>
      <w:r w:rsidR="004F7AEB">
        <w:rPr>
          <w:rFonts w:eastAsia="EC Square Sans Pro" w:cs="EC Square Sans Pro"/>
          <w:noProof/>
          <w:color w:val="000000" w:themeColor="text1"/>
          <w:szCs w:val="20"/>
        </w:rPr>
        <w:t xml:space="preserve">January and </w:t>
      </w:r>
      <w:r w:rsidRPr="52A3362B">
        <w:rPr>
          <w:rFonts w:eastAsia="EC Square Sans Pro" w:cs="EC Square Sans Pro"/>
          <w:noProof/>
          <w:color w:val="000000" w:themeColor="text1"/>
          <w:szCs w:val="20"/>
        </w:rPr>
        <w:t xml:space="preserve">February 2025. The </w:t>
      </w:r>
      <w:r w:rsidR="00C87719">
        <w:rPr>
          <w:rFonts w:eastAsia="EC Square Sans Pro" w:cs="EC Square Sans Pro"/>
          <w:noProof/>
          <w:color w:val="000000" w:themeColor="text1"/>
          <w:szCs w:val="20"/>
        </w:rPr>
        <w:t xml:space="preserve">increase in </w:t>
      </w:r>
      <w:r w:rsidRPr="52A3362B">
        <w:rPr>
          <w:rFonts w:eastAsia="EC Square Sans Pro" w:cs="EC Square Sans Pro"/>
          <w:noProof/>
          <w:color w:val="000000" w:themeColor="text1"/>
          <w:szCs w:val="20"/>
        </w:rPr>
        <w:t xml:space="preserve">inflation in 2024 </w:t>
      </w:r>
      <w:r w:rsidR="00956AD1">
        <w:rPr>
          <w:rFonts w:eastAsia="EC Square Sans Pro" w:cs="EC Square Sans Pro"/>
          <w:noProof/>
          <w:color w:val="000000" w:themeColor="text1"/>
          <w:szCs w:val="20"/>
        </w:rPr>
        <w:t xml:space="preserve">and </w:t>
      </w:r>
      <w:r w:rsidRPr="52A3362B">
        <w:rPr>
          <w:rFonts w:eastAsia="EC Square Sans Pro" w:cs="EC Square Sans Pro"/>
          <w:noProof/>
          <w:color w:val="000000" w:themeColor="text1"/>
          <w:szCs w:val="20"/>
        </w:rPr>
        <w:t xml:space="preserve">early 2025 was mostly driven by </w:t>
      </w:r>
      <w:r w:rsidR="000B4960">
        <w:rPr>
          <w:rFonts w:eastAsia="EC Square Sans Pro" w:cs="EC Square Sans Pro"/>
          <w:noProof/>
          <w:color w:val="000000" w:themeColor="text1"/>
          <w:szCs w:val="20"/>
        </w:rPr>
        <w:t xml:space="preserve">elevated services inflation </w:t>
      </w:r>
      <w:r w:rsidR="00113EDD">
        <w:rPr>
          <w:rFonts w:eastAsia="EC Square Sans Pro" w:cs="EC Square Sans Pro"/>
          <w:noProof/>
          <w:color w:val="000000" w:themeColor="text1"/>
          <w:szCs w:val="20"/>
        </w:rPr>
        <w:t xml:space="preserve">fuelled by </w:t>
      </w:r>
      <w:r w:rsidRPr="52A3362B">
        <w:rPr>
          <w:rFonts w:eastAsia="EC Square Sans Pro" w:cs="EC Square Sans Pro"/>
          <w:noProof/>
          <w:color w:val="000000" w:themeColor="text1"/>
          <w:szCs w:val="20"/>
        </w:rPr>
        <w:t>strong consumer demand</w:t>
      </w:r>
      <w:r w:rsidR="00956AD1">
        <w:rPr>
          <w:rFonts w:eastAsia="EC Square Sans Pro" w:cs="EC Square Sans Pro"/>
          <w:noProof/>
          <w:color w:val="000000" w:themeColor="text1"/>
          <w:szCs w:val="20"/>
        </w:rPr>
        <w:t>,</w:t>
      </w:r>
      <w:r w:rsidRPr="52A3362B">
        <w:rPr>
          <w:rFonts w:eastAsia="EC Square Sans Pro" w:cs="EC Square Sans Pro"/>
          <w:noProof/>
          <w:color w:val="000000" w:themeColor="text1"/>
          <w:szCs w:val="20"/>
        </w:rPr>
        <w:t xml:space="preserve"> high wage </w:t>
      </w:r>
      <w:r w:rsidR="00693DC9">
        <w:rPr>
          <w:rFonts w:eastAsia="EC Square Sans Pro" w:cs="EC Square Sans Pro"/>
          <w:noProof/>
          <w:color w:val="000000" w:themeColor="text1"/>
          <w:szCs w:val="20"/>
        </w:rPr>
        <w:t>growth</w:t>
      </w:r>
      <w:r w:rsidRPr="52A3362B">
        <w:rPr>
          <w:rFonts w:eastAsia="EC Square Sans Pro" w:cs="EC Square Sans Pro"/>
          <w:noProof/>
          <w:color w:val="000000" w:themeColor="text1"/>
          <w:szCs w:val="20"/>
        </w:rPr>
        <w:t xml:space="preserve"> and </w:t>
      </w:r>
      <w:r w:rsidR="00A119D9">
        <w:rPr>
          <w:rFonts w:eastAsia="EC Square Sans Pro" w:cs="EC Square Sans Pro"/>
          <w:noProof/>
          <w:color w:val="000000" w:themeColor="text1"/>
          <w:szCs w:val="20"/>
        </w:rPr>
        <w:t>sector</w:t>
      </w:r>
      <w:r w:rsidR="00B01A4B">
        <w:rPr>
          <w:rFonts w:eastAsia="EC Square Sans Pro" w:cs="EC Square Sans Pro"/>
          <w:noProof/>
          <w:color w:val="000000" w:themeColor="text1"/>
          <w:szCs w:val="20"/>
        </w:rPr>
        <w:t>-specific tax hikes</w:t>
      </w:r>
      <w:r w:rsidRPr="52A3362B">
        <w:rPr>
          <w:rFonts w:eastAsia="EC Square Sans Pro" w:cs="EC Square Sans Pro"/>
          <w:noProof/>
          <w:color w:val="000000" w:themeColor="text1"/>
          <w:szCs w:val="20"/>
        </w:rPr>
        <w:t xml:space="preserve">, </w:t>
      </w:r>
      <w:r w:rsidR="0004215E" w:rsidRPr="0004215E">
        <w:rPr>
          <w:rFonts w:eastAsia="EC Square Sans Pro" w:cs="EC Square Sans Pro"/>
          <w:noProof/>
          <w:color w:val="000000" w:themeColor="text1"/>
          <w:szCs w:val="20"/>
        </w:rPr>
        <w:t>even though administered prices had a dampening effect in 2024</w:t>
      </w:r>
      <w:r w:rsidRPr="52A3362B">
        <w:rPr>
          <w:rFonts w:eastAsia="EC Square Sans Pro" w:cs="EC Square Sans Pro"/>
          <w:noProof/>
          <w:color w:val="000000" w:themeColor="text1"/>
          <w:szCs w:val="20"/>
        </w:rPr>
        <w:t>.</w:t>
      </w:r>
      <w:r w:rsidR="00962466">
        <w:rPr>
          <w:rFonts w:eastAsia="EC Square Sans Pro" w:cs="EC Square Sans Pro"/>
          <w:noProof/>
          <w:color w:val="000000" w:themeColor="text1"/>
          <w:szCs w:val="20"/>
        </w:rPr>
        <w:t xml:space="preserve"> </w:t>
      </w:r>
      <w:r w:rsidR="00A205F3">
        <w:rPr>
          <w:rFonts w:eastAsia="EC Square Sans Pro" w:cs="EC Square Sans Pro"/>
          <w:noProof/>
          <w:color w:val="000000" w:themeColor="text1"/>
          <w:szCs w:val="20"/>
        </w:rPr>
        <w:t xml:space="preserve">Headline inflation </w:t>
      </w:r>
      <w:r w:rsidR="001217C7">
        <w:rPr>
          <w:rFonts w:eastAsia="EC Square Sans Pro" w:cs="EC Square Sans Pro"/>
          <w:noProof/>
          <w:color w:val="000000" w:themeColor="text1"/>
          <w:szCs w:val="20"/>
        </w:rPr>
        <w:t>subsequently slowed</w:t>
      </w:r>
      <w:r w:rsidR="002C48D6" w:rsidRPr="52A3362B">
        <w:rPr>
          <w:rFonts w:eastAsia="EC Square Sans Pro" w:cs="EC Square Sans Pro"/>
          <w:noProof/>
          <w:color w:val="000000" w:themeColor="text1"/>
          <w:szCs w:val="20"/>
        </w:rPr>
        <w:t>, reaching 3.3% in December 2025</w:t>
      </w:r>
      <w:r w:rsidR="000E13B2">
        <w:rPr>
          <w:rFonts w:eastAsia="EC Square Sans Pro" w:cs="EC Square Sans Pro"/>
          <w:noProof/>
          <w:color w:val="000000" w:themeColor="text1"/>
          <w:szCs w:val="20"/>
        </w:rPr>
        <w:t xml:space="preserve">, </w:t>
      </w:r>
      <w:r w:rsidR="00983C9A">
        <w:rPr>
          <w:rFonts w:eastAsia="EC Square Sans Pro" w:cs="EC Square Sans Pro"/>
          <w:noProof/>
          <w:color w:val="000000" w:themeColor="text1"/>
          <w:szCs w:val="20"/>
        </w:rPr>
        <w:t xml:space="preserve">mainly </w:t>
      </w:r>
      <w:r w:rsidR="001217C7">
        <w:rPr>
          <w:rFonts w:eastAsia="EC Square Sans Pro" w:cs="EC Square Sans Pro"/>
          <w:noProof/>
          <w:color w:val="000000" w:themeColor="text1"/>
          <w:szCs w:val="20"/>
        </w:rPr>
        <w:t>due to</w:t>
      </w:r>
      <w:r w:rsidR="00642406">
        <w:rPr>
          <w:rFonts w:eastAsia="EC Square Sans Pro" w:cs="EC Square Sans Pro"/>
          <w:noProof/>
          <w:color w:val="000000" w:themeColor="text1"/>
          <w:szCs w:val="20"/>
        </w:rPr>
        <w:t xml:space="preserve"> </w:t>
      </w:r>
      <w:r w:rsidR="000E13B2">
        <w:rPr>
          <w:rFonts w:eastAsia="EC Square Sans Pro" w:cs="EC Square Sans Pro"/>
          <w:noProof/>
          <w:color w:val="000000" w:themeColor="text1"/>
          <w:szCs w:val="20"/>
        </w:rPr>
        <w:t>l</w:t>
      </w:r>
      <w:r w:rsidR="008B645F">
        <w:rPr>
          <w:rFonts w:eastAsia="EC Square Sans Pro" w:cs="EC Square Sans Pro"/>
          <w:noProof/>
          <w:color w:val="000000" w:themeColor="text1"/>
          <w:szCs w:val="20"/>
        </w:rPr>
        <w:t>ower energy inflation</w:t>
      </w:r>
      <w:r w:rsidR="006B0BAF">
        <w:rPr>
          <w:rFonts w:eastAsia="EC Square Sans Pro" w:cs="EC Square Sans Pro"/>
          <w:noProof/>
          <w:color w:val="000000" w:themeColor="text1"/>
          <w:szCs w:val="20"/>
        </w:rPr>
        <w:t>.</w:t>
      </w:r>
      <w:r w:rsidRPr="52A3362B">
        <w:rPr>
          <w:rFonts w:eastAsia="EC Square Sans Pro" w:cs="EC Square Sans Pro"/>
          <w:noProof/>
          <w:color w:val="000000" w:themeColor="text1"/>
          <w:szCs w:val="20"/>
        </w:rPr>
        <w:t xml:space="preserve"> </w:t>
      </w:r>
      <w:r w:rsidR="00A011EF">
        <w:rPr>
          <w:rFonts w:eastAsia="EC Square Sans Pro" w:cs="EC Square Sans Pro"/>
          <w:noProof/>
          <w:color w:val="000000" w:themeColor="text1"/>
          <w:szCs w:val="20"/>
        </w:rPr>
        <w:t>It further decli</w:t>
      </w:r>
      <w:r w:rsidR="001F51AB">
        <w:rPr>
          <w:rFonts w:eastAsia="EC Square Sans Pro" w:cs="EC Square Sans Pro"/>
          <w:noProof/>
          <w:color w:val="000000" w:themeColor="text1"/>
          <w:szCs w:val="20"/>
        </w:rPr>
        <w:t xml:space="preserve">ned </w:t>
      </w:r>
      <w:r w:rsidR="00CC2694">
        <w:rPr>
          <w:rFonts w:eastAsia="EC Square Sans Pro" w:cs="EC Square Sans Pro"/>
          <w:noProof/>
          <w:color w:val="000000" w:themeColor="text1"/>
          <w:szCs w:val="20"/>
        </w:rPr>
        <w:t>at the beginning of 2026</w:t>
      </w:r>
      <w:r w:rsidR="00EB25BB">
        <w:rPr>
          <w:rFonts w:eastAsia="EC Square Sans Pro" w:cs="EC Square Sans Pro"/>
          <w:noProof/>
          <w:color w:val="000000" w:themeColor="text1"/>
          <w:szCs w:val="20"/>
        </w:rPr>
        <w:t>,</w:t>
      </w:r>
      <w:r w:rsidR="00300B7F">
        <w:rPr>
          <w:rFonts w:eastAsia="EC Square Sans Pro" w:cs="EC Square Sans Pro"/>
          <w:noProof/>
          <w:color w:val="000000" w:themeColor="text1"/>
          <w:szCs w:val="20"/>
        </w:rPr>
        <w:t xml:space="preserve"> bottom</w:t>
      </w:r>
      <w:r w:rsidR="00F525E9">
        <w:rPr>
          <w:rFonts w:eastAsia="EC Square Sans Pro" w:cs="EC Square Sans Pro"/>
          <w:noProof/>
          <w:color w:val="000000" w:themeColor="text1"/>
          <w:szCs w:val="20"/>
        </w:rPr>
        <w:t>ing</w:t>
      </w:r>
      <w:r w:rsidR="00300B7F">
        <w:rPr>
          <w:rFonts w:eastAsia="EC Square Sans Pro" w:cs="EC Square Sans Pro"/>
          <w:noProof/>
          <w:color w:val="000000" w:themeColor="text1"/>
          <w:szCs w:val="20"/>
        </w:rPr>
        <w:t xml:space="preserve"> at </w:t>
      </w:r>
      <w:r w:rsidR="00742549">
        <w:rPr>
          <w:rFonts w:eastAsia="EC Square Sans Pro" w:cs="EC Square Sans Pro"/>
          <w:noProof/>
          <w:color w:val="000000" w:themeColor="text1"/>
          <w:szCs w:val="20"/>
        </w:rPr>
        <w:t xml:space="preserve">1.6% </w:t>
      </w:r>
      <w:r w:rsidR="001E4CC1">
        <w:rPr>
          <w:rFonts w:eastAsia="EC Square Sans Pro" w:cs="EC Square Sans Pro"/>
          <w:noProof/>
          <w:color w:val="000000" w:themeColor="text1"/>
          <w:szCs w:val="20"/>
        </w:rPr>
        <w:t xml:space="preserve">in </w:t>
      </w:r>
      <w:r w:rsidR="00742549">
        <w:rPr>
          <w:rFonts w:eastAsia="EC Square Sans Pro" w:cs="EC Square Sans Pro"/>
          <w:noProof/>
          <w:color w:val="000000" w:themeColor="text1"/>
          <w:szCs w:val="20"/>
        </w:rPr>
        <w:t xml:space="preserve">February, </w:t>
      </w:r>
      <w:r w:rsidR="00193DEA">
        <w:rPr>
          <w:rFonts w:eastAsia="EC Square Sans Pro" w:cs="EC Square Sans Pro"/>
          <w:noProof/>
          <w:color w:val="000000" w:themeColor="text1"/>
          <w:szCs w:val="20"/>
        </w:rPr>
        <w:t xml:space="preserve">before </w:t>
      </w:r>
      <w:r w:rsidR="004559FA">
        <w:rPr>
          <w:rFonts w:eastAsia="EC Square Sans Pro" w:cs="EC Square Sans Pro"/>
          <w:noProof/>
          <w:color w:val="000000" w:themeColor="text1"/>
          <w:szCs w:val="20"/>
        </w:rPr>
        <w:t xml:space="preserve">increasing </w:t>
      </w:r>
      <w:r w:rsidR="008F378F">
        <w:rPr>
          <w:rFonts w:eastAsia="EC Square Sans Pro" w:cs="EC Square Sans Pro"/>
          <w:noProof/>
          <w:color w:val="000000" w:themeColor="text1"/>
          <w:szCs w:val="20"/>
        </w:rPr>
        <w:t>g</w:t>
      </w:r>
      <w:r w:rsidR="00BB7ACA">
        <w:rPr>
          <w:rFonts w:eastAsia="EC Square Sans Pro" w:cs="EC Square Sans Pro"/>
          <w:noProof/>
          <w:color w:val="000000" w:themeColor="text1"/>
          <w:szCs w:val="20"/>
        </w:rPr>
        <w:t xml:space="preserve">radually </w:t>
      </w:r>
      <w:r w:rsidR="007F0880">
        <w:rPr>
          <w:rFonts w:eastAsia="EC Square Sans Pro" w:cs="EC Square Sans Pro"/>
          <w:noProof/>
          <w:color w:val="000000" w:themeColor="text1"/>
          <w:szCs w:val="20"/>
        </w:rPr>
        <w:t xml:space="preserve">in the subsequent months. </w:t>
      </w:r>
      <w:r w:rsidR="00283F70">
        <w:rPr>
          <w:noProof/>
        </w:rPr>
        <w:t>HICP i</w:t>
      </w:r>
      <w:r w:rsidRPr="52A3362B">
        <w:rPr>
          <w:rFonts w:eastAsia="EC Square Sans Pro" w:cs="EC Square Sans Pro"/>
          <w:noProof/>
          <w:color w:val="000000" w:themeColor="text1"/>
          <w:szCs w:val="20"/>
        </w:rPr>
        <w:t xml:space="preserve">nflation stood at </w:t>
      </w:r>
      <w:r w:rsidR="00865459">
        <w:rPr>
          <w:rFonts w:eastAsia="EC Square Sans Pro" w:cs="EC Square Sans Pro"/>
          <w:noProof/>
          <w:color w:val="000000" w:themeColor="text1"/>
          <w:szCs w:val="20"/>
        </w:rPr>
        <w:t>2.3</w:t>
      </w:r>
      <w:r w:rsidRPr="52A3362B">
        <w:rPr>
          <w:rFonts w:eastAsia="EC Square Sans Pro" w:cs="EC Square Sans Pro"/>
          <w:noProof/>
          <w:color w:val="000000" w:themeColor="text1"/>
          <w:szCs w:val="20"/>
        </w:rPr>
        <w:t xml:space="preserve">% in </w:t>
      </w:r>
      <w:r w:rsidR="00213759">
        <w:rPr>
          <w:rFonts w:eastAsia="EC Square Sans Pro" w:cs="EC Square Sans Pro"/>
          <w:noProof/>
          <w:color w:val="000000" w:themeColor="text1"/>
          <w:szCs w:val="20"/>
        </w:rPr>
        <w:t xml:space="preserve">May </w:t>
      </w:r>
      <w:r w:rsidRPr="52A3362B">
        <w:rPr>
          <w:rFonts w:eastAsia="EC Square Sans Pro" w:cs="EC Square Sans Pro"/>
          <w:noProof/>
          <w:color w:val="000000" w:themeColor="text1"/>
          <w:szCs w:val="20"/>
        </w:rPr>
        <w:t>2026</w:t>
      </w:r>
      <w:r w:rsidR="002B44D9">
        <w:rPr>
          <w:rFonts w:eastAsia="EC Square Sans Pro" w:cs="EC Square Sans Pro"/>
          <w:noProof/>
          <w:color w:val="000000" w:themeColor="text1"/>
          <w:szCs w:val="20"/>
        </w:rPr>
        <w:t xml:space="preserve">, </w:t>
      </w:r>
      <w:r w:rsidR="00D4364F" w:rsidRPr="00D4364F">
        <w:rPr>
          <w:rFonts w:eastAsia="EC Square Sans Pro" w:cs="EC Square Sans Pro"/>
          <w:noProof/>
          <w:color w:val="000000" w:themeColor="text1"/>
          <w:szCs w:val="20"/>
        </w:rPr>
        <w:t xml:space="preserve">owing to a decline in food inflation, modest repricing of </w:t>
      </w:r>
      <w:r w:rsidR="00F4746D">
        <w:rPr>
          <w:rFonts w:eastAsia="EC Square Sans Pro" w:cs="EC Square Sans Pro"/>
          <w:noProof/>
          <w:color w:val="000000" w:themeColor="text1"/>
          <w:szCs w:val="20"/>
        </w:rPr>
        <w:t xml:space="preserve">services and </w:t>
      </w:r>
      <w:r w:rsidR="00DB39EC">
        <w:rPr>
          <w:rFonts w:eastAsia="EC Square Sans Pro" w:cs="EC Square Sans Pro"/>
          <w:noProof/>
          <w:color w:val="000000" w:themeColor="text1"/>
          <w:szCs w:val="20"/>
        </w:rPr>
        <w:t xml:space="preserve">the regulation of </w:t>
      </w:r>
      <w:r w:rsidR="00D4364F" w:rsidRPr="00D4364F">
        <w:rPr>
          <w:rFonts w:eastAsia="EC Square Sans Pro" w:cs="EC Square Sans Pro"/>
          <w:noProof/>
          <w:color w:val="000000" w:themeColor="text1"/>
          <w:szCs w:val="20"/>
        </w:rPr>
        <w:t>fuel price</w:t>
      </w:r>
      <w:r w:rsidR="00DB39EC">
        <w:rPr>
          <w:rFonts w:eastAsia="EC Square Sans Pro" w:cs="EC Square Sans Pro"/>
          <w:noProof/>
          <w:color w:val="000000" w:themeColor="text1"/>
          <w:szCs w:val="20"/>
        </w:rPr>
        <w:t>s</w:t>
      </w:r>
      <w:r w:rsidR="00D4364F" w:rsidRPr="00D4364F">
        <w:rPr>
          <w:rFonts w:eastAsia="EC Square Sans Pro" w:cs="EC Square Sans Pro"/>
          <w:noProof/>
          <w:color w:val="000000" w:themeColor="text1"/>
          <w:szCs w:val="20"/>
        </w:rPr>
        <w:t xml:space="preserve"> </w:t>
      </w:r>
      <w:r w:rsidR="00DB39EC">
        <w:rPr>
          <w:rFonts w:eastAsia="EC Square Sans Pro" w:cs="EC Square Sans Pro"/>
          <w:noProof/>
          <w:color w:val="000000" w:themeColor="text1"/>
          <w:szCs w:val="20"/>
        </w:rPr>
        <w:t>to</w:t>
      </w:r>
      <w:r w:rsidR="00D4364F" w:rsidRPr="00D4364F">
        <w:rPr>
          <w:rFonts w:eastAsia="EC Square Sans Pro" w:cs="EC Square Sans Pro"/>
          <w:noProof/>
          <w:color w:val="000000" w:themeColor="text1"/>
          <w:szCs w:val="20"/>
        </w:rPr>
        <w:t xml:space="preserve"> limit the impact of rising oil prices due to</w:t>
      </w:r>
      <w:r w:rsidR="00586561">
        <w:rPr>
          <w:rFonts w:eastAsia="EC Square Sans Pro" w:cs="EC Square Sans Pro"/>
          <w:noProof/>
          <w:color w:val="000000" w:themeColor="text1"/>
          <w:szCs w:val="20"/>
        </w:rPr>
        <w:t xml:space="preserve"> the con</w:t>
      </w:r>
      <w:r w:rsidR="00546000">
        <w:rPr>
          <w:rFonts w:eastAsia="EC Square Sans Pro" w:cs="EC Square Sans Pro"/>
          <w:noProof/>
          <w:color w:val="000000" w:themeColor="text1"/>
          <w:szCs w:val="20"/>
        </w:rPr>
        <w:t>f</w:t>
      </w:r>
      <w:r w:rsidR="00586561">
        <w:rPr>
          <w:rFonts w:eastAsia="EC Square Sans Pro" w:cs="EC Square Sans Pro"/>
          <w:noProof/>
          <w:color w:val="000000" w:themeColor="text1"/>
          <w:szCs w:val="20"/>
        </w:rPr>
        <w:t>lict in the Middle East</w:t>
      </w:r>
      <w:r w:rsidR="00D4364F" w:rsidRPr="00D4364F">
        <w:rPr>
          <w:rFonts w:eastAsia="EC Square Sans Pro" w:cs="EC Square Sans Pro"/>
          <w:noProof/>
          <w:color w:val="000000" w:themeColor="text1"/>
          <w:szCs w:val="20"/>
        </w:rPr>
        <w:t>.</w:t>
      </w:r>
      <w:r w:rsidRPr="52A3362B">
        <w:rPr>
          <w:rFonts w:eastAsia="EC Square Sans Pro" w:cs="EC Square Sans Pro"/>
          <w:noProof/>
          <w:color w:val="000000" w:themeColor="text1"/>
          <w:szCs w:val="20"/>
        </w:rPr>
        <w:t xml:space="preserve"> </w:t>
      </w:r>
      <w:r w:rsidRPr="00CE7377">
        <w:rPr>
          <w:rFonts w:eastAsia="EC Square Sans Pro" w:cs="EC Square Sans Pro"/>
          <w:noProof/>
          <w:color w:val="000000" w:themeColor="text1"/>
          <w:szCs w:val="20"/>
        </w:rPr>
        <w:t xml:space="preserve">Annual HICP inflation rates in Hungary in 2024 and 2025 were on average higher than </w:t>
      </w:r>
      <w:r w:rsidR="00D5205F">
        <w:rPr>
          <w:rFonts w:eastAsia="EC Square Sans Pro" w:cs="EC Square Sans Pro"/>
          <w:noProof/>
          <w:color w:val="000000" w:themeColor="text1"/>
          <w:szCs w:val="20"/>
        </w:rPr>
        <w:t xml:space="preserve">in </w:t>
      </w:r>
      <w:r w:rsidRPr="00CE7377">
        <w:rPr>
          <w:rFonts w:eastAsia="EC Square Sans Pro" w:cs="EC Square Sans Pro"/>
          <w:noProof/>
          <w:color w:val="000000" w:themeColor="text1"/>
          <w:szCs w:val="20"/>
        </w:rPr>
        <w:t>the euro area</w:t>
      </w:r>
      <w:r w:rsidR="008B60BC">
        <w:rPr>
          <w:rFonts w:eastAsia="EC Square Sans Pro" w:cs="EC Square Sans Pro"/>
          <w:noProof/>
          <w:color w:val="000000" w:themeColor="text1"/>
          <w:szCs w:val="20"/>
        </w:rPr>
        <w:t xml:space="preserve"> as a whole</w:t>
      </w:r>
      <w:r w:rsidRPr="00CE7377">
        <w:rPr>
          <w:rFonts w:eastAsia="EC Square Sans Pro" w:cs="EC Square Sans Pro"/>
          <w:noProof/>
          <w:color w:val="000000" w:themeColor="text1"/>
          <w:szCs w:val="20"/>
        </w:rPr>
        <w:t>.</w:t>
      </w:r>
    </w:p>
    <w:p w14:paraId="1D16E7F3" w14:textId="0814A40C" w:rsidR="1E1CCAE5" w:rsidRDefault="1E1CCAE5" w:rsidP="00962466">
      <w:pPr>
        <w:ind w:left="567"/>
        <w:rPr>
          <w:rFonts w:eastAsia="EC Square Sans Pro" w:cs="EC Square Sans Pro"/>
          <w:noProof/>
          <w:color w:val="000000" w:themeColor="text1"/>
        </w:rPr>
      </w:pPr>
      <w:r w:rsidRPr="52A3362B">
        <w:rPr>
          <w:rFonts w:eastAsia="EC Square Sans Pro" w:cs="EC Square Sans Pro"/>
          <w:noProof/>
          <w:color w:val="000000" w:themeColor="text1"/>
          <w:szCs w:val="20"/>
        </w:rPr>
        <w:t xml:space="preserve">The Commission’s Spring 2026 Economic Forecast </w:t>
      </w:r>
      <w:r w:rsidR="00C05840">
        <w:rPr>
          <w:rFonts w:eastAsia="EC Square Sans Pro" w:cs="EC Square Sans Pro"/>
          <w:noProof/>
          <w:color w:val="000000" w:themeColor="text1"/>
          <w:szCs w:val="20"/>
        </w:rPr>
        <w:t>projects</w:t>
      </w:r>
      <w:r w:rsidRPr="52A3362B">
        <w:rPr>
          <w:rFonts w:eastAsia="EC Square Sans Pro" w:cs="EC Square Sans Pro"/>
          <w:noProof/>
          <w:color w:val="000000" w:themeColor="text1"/>
          <w:szCs w:val="20"/>
        </w:rPr>
        <w:t xml:space="preserve"> </w:t>
      </w:r>
      <w:r w:rsidR="00B66353">
        <w:rPr>
          <w:rFonts w:eastAsia="EC Square Sans Pro" w:cs="EC Square Sans Pro"/>
          <w:noProof/>
          <w:color w:val="000000" w:themeColor="text1"/>
          <w:szCs w:val="20"/>
        </w:rPr>
        <w:t xml:space="preserve">that </w:t>
      </w:r>
      <w:r w:rsidRPr="52A3362B">
        <w:rPr>
          <w:rFonts w:eastAsia="EC Square Sans Pro" w:cs="EC Square Sans Pro"/>
          <w:noProof/>
          <w:color w:val="000000" w:themeColor="text1"/>
          <w:szCs w:val="20"/>
        </w:rPr>
        <w:t xml:space="preserve">annual HICP inflation </w:t>
      </w:r>
      <w:r w:rsidR="00C05840">
        <w:rPr>
          <w:rFonts w:eastAsia="EC Square Sans Pro" w:cs="EC Square Sans Pro"/>
          <w:noProof/>
          <w:color w:val="000000" w:themeColor="text1"/>
          <w:szCs w:val="20"/>
        </w:rPr>
        <w:t>will</w:t>
      </w:r>
      <w:r w:rsidR="00B66353">
        <w:rPr>
          <w:rFonts w:eastAsia="EC Square Sans Pro" w:cs="EC Square Sans Pro"/>
          <w:noProof/>
          <w:color w:val="000000" w:themeColor="text1"/>
          <w:szCs w:val="20"/>
        </w:rPr>
        <w:t xml:space="preserve"> </w:t>
      </w:r>
      <w:r w:rsidRPr="0098405B">
        <w:rPr>
          <w:rFonts w:eastAsia="EC Square Sans Pro" w:cs="EC Square Sans Pro"/>
          <w:noProof/>
          <w:color w:val="000000" w:themeColor="text1"/>
          <w:szCs w:val="20"/>
        </w:rPr>
        <w:t>decrease</w:t>
      </w:r>
      <w:r w:rsidRPr="52A3362B">
        <w:rPr>
          <w:rFonts w:eastAsia="EC Square Sans Pro" w:cs="EC Square Sans Pro"/>
          <w:noProof/>
          <w:color w:val="000000" w:themeColor="text1"/>
          <w:szCs w:val="20"/>
        </w:rPr>
        <w:t xml:space="preserve"> to </w:t>
      </w:r>
      <w:r w:rsidR="00A91602" w:rsidRPr="0098405B">
        <w:rPr>
          <w:rFonts w:eastAsia="EC Square Sans Pro" w:cs="EC Square Sans Pro"/>
          <w:noProof/>
          <w:color w:val="000000" w:themeColor="text1"/>
          <w:szCs w:val="20"/>
        </w:rPr>
        <w:t>3</w:t>
      </w:r>
      <w:r w:rsidRPr="0098405B">
        <w:rPr>
          <w:rFonts w:eastAsia="EC Square Sans Pro" w:cs="EC Square Sans Pro"/>
          <w:noProof/>
          <w:color w:val="000000" w:themeColor="text1"/>
          <w:szCs w:val="20"/>
        </w:rPr>
        <w:t>.</w:t>
      </w:r>
      <w:r w:rsidR="00FC075C" w:rsidRPr="0098405B">
        <w:rPr>
          <w:rFonts w:eastAsia="EC Square Sans Pro" w:cs="EC Square Sans Pro"/>
          <w:noProof/>
          <w:color w:val="000000" w:themeColor="text1"/>
          <w:szCs w:val="20"/>
        </w:rPr>
        <w:t>2</w:t>
      </w:r>
      <w:r w:rsidRPr="52A3362B">
        <w:rPr>
          <w:rFonts w:eastAsia="EC Square Sans Pro" w:cs="EC Square Sans Pro"/>
          <w:noProof/>
          <w:color w:val="000000" w:themeColor="text1"/>
          <w:szCs w:val="20"/>
        </w:rPr>
        <w:t xml:space="preserve">% in 2026 and to </w:t>
      </w:r>
      <w:r w:rsidR="00B6790C" w:rsidRPr="0098405B">
        <w:rPr>
          <w:rFonts w:eastAsia="EC Square Sans Pro" w:cs="EC Square Sans Pro"/>
          <w:noProof/>
          <w:color w:val="000000" w:themeColor="text1"/>
          <w:szCs w:val="20"/>
        </w:rPr>
        <w:t>3</w:t>
      </w:r>
      <w:r w:rsidRPr="0098405B">
        <w:rPr>
          <w:rFonts w:eastAsia="EC Square Sans Pro" w:cs="EC Square Sans Pro"/>
          <w:noProof/>
          <w:color w:val="000000" w:themeColor="text1"/>
          <w:szCs w:val="20"/>
        </w:rPr>
        <w:t>.</w:t>
      </w:r>
      <w:r w:rsidR="000A4767">
        <w:rPr>
          <w:rFonts w:eastAsia="EC Square Sans Pro" w:cs="EC Square Sans Pro"/>
          <w:noProof/>
          <w:color w:val="000000" w:themeColor="text1"/>
          <w:szCs w:val="20"/>
        </w:rPr>
        <w:t>1</w:t>
      </w:r>
      <w:r w:rsidRPr="52A3362B">
        <w:rPr>
          <w:rFonts w:eastAsia="EC Square Sans Pro" w:cs="EC Square Sans Pro"/>
          <w:noProof/>
          <w:color w:val="000000" w:themeColor="text1"/>
          <w:szCs w:val="20"/>
        </w:rPr>
        <w:t xml:space="preserve">% in 2027, </w:t>
      </w:r>
      <w:r w:rsidR="00C05840">
        <w:rPr>
          <w:rFonts w:eastAsia="EC Square Sans Pro" w:cs="EC Square Sans Pro"/>
          <w:noProof/>
          <w:color w:val="000000" w:themeColor="text1"/>
          <w:szCs w:val="20"/>
        </w:rPr>
        <w:t xml:space="preserve">with </w:t>
      </w:r>
      <w:r w:rsidR="00031AA3" w:rsidRPr="0098405B">
        <w:rPr>
          <w:rFonts w:eastAsia="EC Square Sans Pro" w:cs="EC Square Sans Pro"/>
          <w:noProof/>
          <w:color w:val="000000" w:themeColor="text1"/>
          <w:szCs w:val="20"/>
        </w:rPr>
        <w:t xml:space="preserve">the currency appreciation </w:t>
      </w:r>
      <w:r w:rsidR="00F45FFC" w:rsidRPr="0098405B">
        <w:rPr>
          <w:rFonts w:eastAsia="EC Square Sans Pro" w:cs="EC Square Sans Pro"/>
          <w:noProof/>
          <w:color w:val="000000" w:themeColor="text1"/>
          <w:szCs w:val="20"/>
        </w:rPr>
        <w:t>in 2026</w:t>
      </w:r>
      <w:r w:rsidR="00405337" w:rsidRPr="0098405B">
        <w:rPr>
          <w:rFonts w:eastAsia="EC Square Sans Pro" w:cs="EC Square Sans Pro"/>
          <w:noProof/>
          <w:color w:val="000000" w:themeColor="text1"/>
          <w:szCs w:val="20"/>
        </w:rPr>
        <w:t xml:space="preserve"> set to moderate inflation</w:t>
      </w:r>
      <w:r w:rsidRPr="52A3362B">
        <w:rPr>
          <w:rFonts w:eastAsia="EC Square Sans Pro" w:cs="EC Square Sans Pro"/>
          <w:noProof/>
          <w:color w:val="000000" w:themeColor="text1"/>
          <w:szCs w:val="20"/>
        </w:rPr>
        <w:t xml:space="preserve">. </w:t>
      </w:r>
      <w:r w:rsidRPr="00956AD1">
        <w:rPr>
          <w:rFonts w:eastAsia="EC Square Sans Pro" w:cs="EC Square Sans Pro"/>
          <w:noProof/>
          <w:color w:val="000000" w:themeColor="text1"/>
          <w:szCs w:val="20"/>
        </w:rPr>
        <w:t xml:space="preserve">The </w:t>
      </w:r>
      <w:r w:rsidR="00896314">
        <w:rPr>
          <w:rFonts w:eastAsia="EC Square Sans Pro" w:cs="EC Square Sans Pro"/>
          <w:noProof/>
          <w:color w:val="000000" w:themeColor="text1"/>
          <w:szCs w:val="20"/>
        </w:rPr>
        <w:t>level of con</w:t>
      </w:r>
      <w:r w:rsidR="00646070">
        <w:rPr>
          <w:rFonts w:eastAsia="EC Square Sans Pro" w:cs="EC Square Sans Pro"/>
          <w:noProof/>
          <w:color w:val="000000" w:themeColor="text1"/>
          <w:szCs w:val="20"/>
        </w:rPr>
        <w:t>su</w:t>
      </w:r>
      <w:r w:rsidR="00896314">
        <w:rPr>
          <w:rFonts w:eastAsia="EC Square Sans Pro" w:cs="EC Square Sans Pro"/>
          <w:noProof/>
          <w:color w:val="000000" w:themeColor="text1"/>
          <w:szCs w:val="20"/>
        </w:rPr>
        <w:t>mer prices in Hungary was about 70%</w:t>
      </w:r>
      <w:r w:rsidRPr="00956AD1">
        <w:rPr>
          <w:rFonts w:eastAsia="EC Square Sans Pro" w:cs="EC Square Sans Pro"/>
          <w:noProof/>
          <w:color w:val="000000" w:themeColor="text1"/>
          <w:szCs w:val="20"/>
        </w:rPr>
        <w:t xml:space="preserve"> of the euro area average in 202</w:t>
      </w:r>
      <w:r w:rsidR="00A50A0E" w:rsidRPr="00956AD1">
        <w:rPr>
          <w:rFonts w:eastAsia="EC Square Sans Pro" w:cs="EC Square Sans Pro"/>
          <w:noProof/>
          <w:color w:val="000000" w:themeColor="text1"/>
          <w:szCs w:val="20"/>
        </w:rPr>
        <w:t>4</w:t>
      </w:r>
      <w:r w:rsidR="00896314">
        <w:rPr>
          <w:rFonts w:eastAsia="EC Square Sans Pro" w:cs="EC Square Sans Pro"/>
          <w:noProof/>
          <w:color w:val="000000" w:themeColor="text1"/>
          <w:szCs w:val="20"/>
        </w:rPr>
        <w:t>,</w:t>
      </w:r>
      <w:r w:rsidRPr="00956AD1">
        <w:rPr>
          <w:rFonts w:eastAsia="EC Square Sans Pro" w:cs="EC Square Sans Pro"/>
          <w:noProof/>
          <w:color w:val="000000" w:themeColor="text1"/>
          <w:szCs w:val="20"/>
        </w:rPr>
        <w:t xml:space="preserve"> suggest</w:t>
      </w:r>
      <w:r w:rsidR="00896314">
        <w:rPr>
          <w:rFonts w:eastAsia="EC Square Sans Pro" w:cs="EC Square Sans Pro"/>
          <w:noProof/>
          <w:color w:val="000000" w:themeColor="text1"/>
          <w:szCs w:val="20"/>
        </w:rPr>
        <w:t>ing</w:t>
      </w:r>
      <w:r w:rsidRPr="00956AD1">
        <w:rPr>
          <w:rFonts w:eastAsia="EC Square Sans Pro" w:cs="EC Square Sans Pro"/>
          <w:noProof/>
          <w:color w:val="000000" w:themeColor="text1"/>
          <w:szCs w:val="20"/>
        </w:rPr>
        <w:t xml:space="preserve"> that there is </w:t>
      </w:r>
      <w:r w:rsidR="00896314">
        <w:rPr>
          <w:rFonts w:eastAsia="EC Square Sans Pro" w:cs="EC Square Sans Pro"/>
          <w:noProof/>
          <w:color w:val="000000" w:themeColor="text1"/>
          <w:szCs w:val="20"/>
        </w:rPr>
        <w:t>still</w:t>
      </w:r>
      <w:r w:rsidRPr="00956AD1">
        <w:rPr>
          <w:rFonts w:eastAsia="EC Square Sans Pro" w:cs="EC Square Sans Pro"/>
          <w:noProof/>
          <w:color w:val="000000" w:themeColor="text1"/>
          <w:szCs w:val="20"/>
        </w:rPr>
        <w:t xml:space="preserve"> potential for further price level convergence in the long term</w:t>
      </w:r>
      <w:r w:rsidRPr="52A3362B">
        <w:rPr>
          <w:rFonts w:eastAsia="EC Square Sans Pro" w:cs="EC Square Sans Pro"/>
          <w:noProof/>
          <w:color w:val="000000" w:themeColor="text1"/>
          <w:szCs w:val="20"/>
        </w:rPr>
        <w:t>.</w:t>
      </w:r>
      <w:r w:rsidR="00896314" w:rsidRPr="00896314">
        <w:rPr>
          <w:noProof/>
        </w:rPr>
        <w:t xml:space="preserve"> </w:t>
      </w:r>
    </w:p>
    <w:p w14:paraId="2AD9157D" w14:textId="5076ED80" w:rsidR="00E40A43" w:rsidRDefault="1D6A1A2D" w:rsidP="00E40A43">
      <w:pPr>
        <w:ind w:left="540"/>
        <w:rPr>
          <w:rFonts w:eastAsia="EC Square Sans Pro" w:cs="EC Square Sans Pro"/>
          <w:noProof/>
          <w:color w:val="000000" w:themeColor="text1"/>
        </w:rPr>
      </w:pPr>
      <w:r w:rsidRPr="7E177202">
        <w:rPr>
          <w:rFonts w:eastAsia="EC Square Sans Pro" w:cs="EC Square Sans Pro"/>
          <w:b/>
          <w:bCs/>
          <w:noProof/>
          <w:color w:val="000000" w:themeColor="text1"/>
        </w:rPr>
        <w:t>Hungary does not fulfil the criterion on public finances.</w:t>
      </w:r>
      <w:r w:rsidRPr="7E177202">
        <w:rPr>
          <w:rFonts w:eastAsia="EC Square Sans Pro" w:cs="EC Square Sans Pro"/>
          <w:noProof/>
          <w:color w:val="000000" w:themeColor="text1"/>
        </w:rPr>
        <w:t xml:space="preserve"> </w:t>
      </w:r>
      <w:r w:rsidR="00CC1003" w:rsidRPr="7E177202">
        <w:rPr>
          <w:rFonts w:eastAsia="EC Square Sans Pro" w:cs="EC Square Sans Pro"/>
          <w:noProof/>
          <w:color w:val="000000" w:themeColor="text1"/>
        </w:rPr>
        <w:t xml:space="preserve">Hungary is </w:t>
      </w:r>
      <w:r w:rsidR="00E63A45" w:rsidRPr="7E177202">
        <w:rPr>
          <w:rFonts w:eastAsia="EC Square Sans Pro" w:cs="EC Square Sans Pro"/>
          <w:noProof/>
          <w:color w:val="000000" w:themeColor="text1"/>
        </w:rPr>
        <w:t xml:space="preserve">the </w:t>
      </w:r>
      <w:r w:rsidR="00CC1003" w:rsidRPr="7E177202">
        <w:rPr>
          <w:rFonts w:eastAsia="EC Square Sans Pro" w:cs="EC Square Sans Pro"/>
          <w:noProof/>
          <w:color w:val="000000" w:themeColor="text1"/>
        </w:rPr>
        <w:t xml:space="preserve">subject of a Council decision on the existence of an excessive deficit. </w:t>
      </w:r>
      <w:r w:rsidR="00186EF8">
        <w:rPr>
          <w:rFonts w:eastAsia="EC Square Sans Pro" w:cs="EC Square Sans Pro"/>
          <w:noProof/>
          <w:color w:val="000000" w:themeColor="text1"/>
        </w:rPr>
        <w:t xml:space="preserve">Since 2020, </w:t>
      </w:r>
      <w:r w:rsidR="00E40A43">
        <w:rPr>
          <w:rFonts w:eastAsia="EC Square Sans Pro" w:cs="EC Square Sans Pro"/>
          <w:noProof/>
          <w:color w:val="000000" w:themeColor="text1"/>
        </w:rPr>
        <w:t>Hungary</w:t>
      </w:r>
      <w:r w:rsidR="00E40A43" w:rsidRPr="002F19E2">
        <w:rPr>
          <w:rFonts w:eastAsia="EC Square Sans Pro" w:cs="EC Square Sans Pro"/>
          <w:noProof/>
          <w:color w:val="000000" w:themeColor="text1"/>
        </w:rPr>
        <w:t>’s general government deficit has remained above the 3% of GDP Treaty reference value</w:t>
      </w:r>
      <w:r w:rsidR="00E40A43">
        <w:rPr>
          <w:rFonts w:eastAsia="EC Square Sans Pro" w:cs="EC Square Sans Pro"/>
          <w:noProof/>
          <w:color w:val="000000" w:themeColor="text1"/>
        </w:rPr>
        <w:t xml:space="preserve">. </w:t>
      </w:r>
      <w:r w:rsidR="00E40A43" w:rsidRPr="7E177202">
        <w:rPr>
          <w:rFonts w:eastAsia="EC Square Sans Pro" w:cs="EC Square Sans Pro"/>
          <w:noProof/>
          <w:color w:val="000000" w:themeColor="text1"/>
        </w:rPr>
        <w:t>The general government deficit decreased from 5</w:t>
      </w:r>
      <w:r w:rsidR="00E40A43">
        <w:rPr>
          <w:rFonts w:eastAsia="EC Square Sans Pro" w:cs="EC Square Sans Pro"/>
          <w:noProof/>
          <w:color w:val="000000" w:themeColor="text1"/>
        </w:rPr>
        <w:t>.1</w:t>
      </w:r>
      <w:r w:rsidR="00E40A43" w:rsidRPr="7E177202">
        <w:rPr>
          <w:rFonts w:eastAsia="EC Square Sans Pro" w:cs="EC Square Sans Pro"/>
          <w:noProof/>
          <w:color w:val="000000" w:themeColor="text1"/>
        </w:rPr>
        <w:t xml:space="preserve">% of GDP in 2024 to </w:t>
      </w:r>
      <w:r w:rsidR="00E40A43" w:rsidRPr="00AF11CC">
        <w:rPr>
          <w:rFonts w:eastAsia="EC Square Sans Pro" w:cs="EC Square Sans Pro"/>
          <w:noProof/>
          <w:color w:val="000000" w:themeColor="text1"/>
        </w:rPr>
        <w:t>4.7</w:t>
      </w:r>
      <w:r w:rsidR="00E40A43" w:rsidRPr="7E177202">
        <w:rPr>
          <w:rFonts w:eastAsia="EC Square Sans Pro" w:cs="EC Square Sans Pro"/>
          <w:noProof/>
          <w:color w:val="000000" w:themeColor="text1"/>
        </w:rPr>
        <w:t xml:space="preserve">% of GDP in 2025, but </w:t>
      </w:r>
      <w:r w:rsidR="007121B7">
        <w:rPr>
          <w:rFonts w:eastAsia="EC Square Sans Pro" w:cs="EC Square Sans Pro"/>
          <w:noProof/>
          <w:color w:val="000000" w:themeColor="text1"/>
        </w:rPr>
        <w:t>still</w:t>
      </w:r>
      <w:r w:rsidR="00E40A43" w:rsidRPr="7E177202">
        <w:rPr>
          <w:rFonts w:eastAsia="EC Square Sans Pro" w:cs="EC Square Sans Pro"/>
          <w:noProof/>
          <w:color w:val="000000" w:themeColor="text1"/>
        </w:rPr>
        <w:t xml:space="preserve"> remained above the 3% of GDP reference value. The decrease in 2025 was due to revenue increasing faster than expenditure, mainly because of strong VAT revenue growth driven by robust consumption, strong wage increases leading to an increase in social security contributions as well as large cuts to public investment. </w:t>
      </w:r>
      <w:r w:rsidR="00E40A43" w:rsidRPr="7755A97F">
        <w:rPr>
          <w:rFonts w:eastAsia="EC Square Sans Pro" w:cs="EC Square Sans Pro"/>
          <w:noProof/>
          <w:color w:val="000000" w:themeColor="text1"/>
        </w:rPr>
        <w:t xml:space="preserve">The Commission’s Spring 2026 Economic Forecast expects the general government deficit to </w:t>
      </w:r>
      <w:r w:rsidR="00E40A43" w:rsidRPr="00C53945">
        <w:rPr>
          <w:rFonts w:eastAsia="EC Square Sans Pro" w:cs="EC Square Sans Pro"/>
          <w:noProof/>
          <w:color w:val="000000" w:themeColor="text1"/>
        </w:rPr>
        <w:t>increase</w:t>
      </w:r>
      <w:r w:rsidR="00E40A43" w:rsidRPr="7755A97F">
        <w:rPr>
          <w:rFonts w:eastAsia="EC Square Sans Pro" w:cs="EC Square Sans Pro"/>
          <w:noProof/>
          <w:color w:val="000000" w:themeColor="text1"/>
        </w:rPr>
        <w:t xml:space="preserve"> to </w:t>
      </w:r>
      <w:r w:rsidR="00E40A43">
        <w:rPr>
          <w:rFonts w:eastAsia="EC Square Sans Pro" w:cs="EC Square Sans Pro"/>
          <w:noProof/>
          <w:color w:val="000000" w:themeColor="text1"/>
        </w:rPr>
        <w:t>6.2</w:t>
      </w:r>
      <w:r w:rsidR="00E40A43" w:rsidRPr="7755A97F">
        <w:rPr>
          <w:rFonts w:eastAsia="EC Square Sans Pro" w:cs="EC Square Sans Pro"/>
          <w:noProof/>
          <w:color w:val="000000" w:themeColor="text1"/>
        </w:rPr>
        <w:t>% of GDP in 2026</w:t>
      </w:r>
      <w:r w:rsidR="00A57303">
        <w:rPr>
          <w:rFonts w:eastAsia="EC Square Sans Pro" w:cs="EC Square Sans Pro"/>
          <w:noProof/>
          <w:color w:val="000000" w:themeColor="text1"/>
        </w:rPr>
        <w:t xml:space="preserve"> </w:t>
      </w:r>
      <w:r w:rsidR="007121B7" w:rsidRPr="00E55FB5">
        <w:rPr>
          <w:rFonts w:eastAsia="EC Square Sans Pro" w:cs="EC Square Sans Pro"/>
          <w:iCs/>
          <w:noProof/>
          <w:color w:val="000000" w:themeColor="text1"/>
        </w:rPr>
        <w:t>due to, among other things,</w:t>
      </w:r>
      <w:r w:rsidR="00E40A43" w:rsidRPr="007121B7">
        <w:rPr>
          <w:rFonts w:eastAsia="EC Square Sans Pro" w:cs="EC Square Sans Pro"/>
          <w:iCs/>
          <w:noProof/>
          <w:color w:val="000000" w:themeColor="text1"/>
        </w:rPr>
        <w:t xml:space="preserve"> </w:t>
      </w:r>
      <w:r w:rsidR="00E40A43" w:rsidRPr="00C53945">
        <w:rPr>
          <w:rFonts w:eastAsia="EC Square Sans Pro" w:cs="EC Square Sans Pro"/>
          <w:noProof/>
          <w:color w:val="000000" w:themeColor="text1"/>
        </w:rPr>
        <w:t>personal income tax reductions</w:t>
      </w:r>
      <w:r w:rsidR="00E40A43">
        <w:rPr>
          <w:rFonts w:eastAsia="EC Square Sans Pro" w:cs="EC Square Sans Pro"/>
          <w:noProof/>
          <w:color w:val="000000" w:themeColor="text1"/>
        </w:rPr>
        <w:t>,</w:t>
      </w:r>
      <w:r w:rsidR="00E40A43" w:rsidRPr="00C53945">
        <w:rPr>
          <w:rFonts w:eastAsia="EC Square Sans Pro" w:cs="EC Square Sans Pro"/>
          <w:noProof/>
          <w:color w:val="000000" w:themeColor="text1"/>
        </w:rPr>
        <w:t xml:space="preserve"> public sector wage growth</w:t>
      </w:r>
      <w:r w:rsidR="008F4A6E">
        <w:rPr>
          <w:rFonts w:eastAsia="EC Square Sans Pro" w:cs="EC Square Sans Pro"/>
          <w:noProof/>
          <w:color w:val="000000" w:themeColor="text1"/>
        </w:rPr>
        <w:t>,</w:t>
      </w:r>
      <w:r w:rsidR="00E40A43" w:rsidRPr="00C53945">
        <w:rPr>
          <w:rFonts w:eastAsia="EC Square Sans Pro" w:cs="EC Square Sans Pro"/>
          <w:noProof/>
          <w:color w:val="000000" w:themeColor="text1"/>
        </w:rPr>
        <w:t xml:space="preserve"> and bonuses</w:t>
      </w:r>
      <w:r w:rsidR="00E40A43">
        <w:rPr>
          <w:rFonts w:eastAsia="EC Square Sans Pro" w:cs="EC Square Sans Pro"/>
          <w:noProof/>
          <w:color w:val="000000" w:themeColor="text1"/>
        </w:rPr>
        <w:t xml:space="preserve"> and expenditure overruns</w:t>
      </w:r>
      <w:r w:rsidR="00E40A43" w:rsidRPr="7755A97F">
        <w:rPr>
          <w:rFonts w:eastAsia="EC Square Sans Pro" w:cs="EC Square Sans Pro"/>
          <w:noProof/>
          <w:color w:val="000000" w:themeColor="text1"/>
        </w:rPr>
        <w:t xml:space="preserve">. In 2027, the government deficit ratio is forecast to </w:t>
      </w:r>
      <w:r w:rsidR="00E40A43" w:rsidRPr="00C53945">
        <w:rPr>
          <w:rFonts w:eastAsia="EC Square Sans Pro" w:cs="EC Square Sans Pro"/>
          <w:noProof/>
          <w:color w:val="000000" w:themeColor="text1"/>
        </w:rPr>
        <w:t>decrease to 5.8</w:t>
      </w:r>
      <w:r w:rsidR="00E40A43" w:rsidRPr="7755A97F">
        <w:rPr>
          <w:rFonts w:eastAsia="EC Square Sans Pro" w:cs="EC Square Sans Pro"/>
          <w:noProof/>
          <w:color w:val="000000" w:themeColor="text1"/>
        </w:rPr>
        <w:t>%.</w:t>
      </w:r>
    </w:p>
    <w:p w14:paraId="4AAFB4BD" w14:textId="078A52A6" w:rsidR="00085BE8" w:rsidRDefault="00FF3F7D" w:rsidP="00492002">
      <w:pPr>
        <w:ind w:left="540"/>
        <w:rPr>
          <w:rFonts w:eastAsia="EC Square Sans Pro" w:cs="EC Square Sans Pro"/>
          <w:noProof/>
        </w:rPr>
      </w:pPr>
      <w:r w:rsidRPr="7E177202">
        <w:rPr>
          <w:rFonts w:eastAsia="EC Square Sans Pro" w:cs="EC Square Sans Pro"/>
          <w:noProof/>
          <w:color w:val="000000" w:themeColor="text1"/>
        </w:rPr>
        <w:t xml:space="preserve">On </w:t>
      </w:r>
      <w:r w:rsidR="00D65C03" w:rsidRPr="7E177202">
        <w:rPr>
          <w:rFonts w:eastAsia="EC Square Sans Pro" w:cs="EC Square Sans Pro"/>
          <w:noProof/>
          <w:color w:val="000000" w:themeColor="text1"/>
        </w:rPr>
        <w:t xml:space="preserve">18 February </w:t>
      </w:r>
      <w:r w:rsidRPr="7E177202">
        <w:rPr>
          <w:rFonts w:eastAsia="EC Square Sans Pro" w:cs="EC Square Sans Pro"/>
          <w:noProof/>
          <w:color w:val="000000" w:themeColor="text1"/>
        </w:rPr>
        <w:t xml:space="preserve">2025, the Council </w:t>
      </w:r>
      <w:r w:rsidR="00D65C03" w:rsidRPr="7E177202">
        <w:rPr>
          <w:rFonts w:eastAsia="EC Square Sans Pro" w:cs="EC Square Sans Pro"/>
          <w:noProof/>
          <w:color w:val="000000" w:themeColor="text1"/>
        </w:rPr>
        <w:t>endorsed</w:t>
      </w:r>
      <w:r w:rsidR="00054A5A" w:rsidRPr="7E177202">
        <w:rPr>
          <w:rFonts w:eastAsia="EC Square Sans Pro" w:cs="EC Square Sans Pro"/>
          <w:noProof/>
          <w:color w:val="000000" w:themeColor="text1"/>
        </w:rPr>
        <w:t xml:space="preserve"> Hungary’s national </w:t>
      </w:r>
      <w:r w:rsidRPr="7E177202">
        <w:rPr>
          <w:rFonts w:eastAsia="EC Square Sans Pro" w:cs="EC Square Sans Pro"/>
          <w:noProof/>
          <w:color w:val="000000" w:themeColor="text1"/>
        </w:rPr>
        <w:t xml:space="preserve">medium-term fiscal-structural plan. </w:t>
      </w:r>
      <w:r w:rsidR="0004588F" w:rsidRPr="7E177202">
        <w:rPr>
          <w:rFonts w:eastAsia="EC Square Sans Pro" w:cs="EC Square Sans Pro"/>
          <w:noProof/>
          <w:color w:val="000000" w:themeColor="text1"/>
        </w:rPr>
        <w:t>The plan sets out a fiscal adjustment path over four years, with maximum net expenditure growth of 4.3% in 2025, 4.0% in 2026, 3.9% in 2027 and 3.7% in 2028.</w:t>
      </w:r>
      <w:r w:rsidR="003C3E3A">
        <w:rPr>
          <w:noProof/>
        </w:rPr>
        <w:t xml:space="preserve"> </w:t>
      </w:r>
      <w:r w:rsidR="003C3E3A" w:rsidRPr="7E177202">
        <w:rPr>
          <w:rFonts w:eastAsia="EC Square Sans Pro" w:cs="EC Square Sans Pro"/>
          <w:noProof/>
          <w:color w:val="000000" w:themeColor="text1"/>
        </w:rPr>
        <w:t xml:space="preserve">The Council also adopted a recommendation with a view to bringing an end to the situation of an excessive deficit. The recommended maximum net expenditure growth rates under the </w:t>
      </w:r>
      <w:r w:rsidR="00FF3C02" w:rsidRPr="7E177202">
        <w:rPr>
          <w:rFonts w:eastAsia="EC Square Sans Pro" w:cs="EC Square Sans Pro"/>
          <w:noProof/>
          <w:color w:val="000000" w:themeColor="text1"/>
        </w:rPr>
        <w:t>excessive deficit procedure (</w:t>
      </w:r>
      <w:r w:rsidR="003C3E3A" w:rsidRPr="7E177202">
        <w:rPr>
          <w:rFonts w:eastAsia="EC Square Sans Pro" w:cs="EC Square Sans Pro"/>
          <w:noProof/>
          <w:color w:val="000000" w:themeColor="text1"/>
        </w:rPr>
        <w:t>EDP</w:t>
      </w:r>
      <w:r w:rsidR="00FF3C02" w:rsidRPr="7E177202">
        <w:rPr>
          <w:rFonts w:eastAsia="EC Square Sans Pro" w:cs="EC Square Sans Pro"/>
          <w:noProof/>
          <w:color w:val="000000" w:themeColor="text1"/>
        </w:rPr>
        <w:t>)</w:t>
      </w:r>
      <w:r w:rsidR="003C3E3A" w:rsidRPr="7E177202">
        <w:rPr>
          <w:rFonts w:eastAsia="EC Square Sans Pro" w:cs="EC Square Sans Pro"/>
          <w:noProof/>
          <w:color w:val="000000" w:themeColor="text1"/>
        </w:rPr>
        <w:t xml:space="preserve"> were in line with those set out in the medium-term fiscal-structural plan.</w:t>
      </w:r>
      <w:r w:rsidR="00877B64" w:rsidRPr="7E177202">
        <w:rPr>
          <w:rFonts w:eastAsia="EC Square Sans Pro" w:cs="EC Square Sans Pro"/>
          <w:noProof/>
          <w:color w:val="000000" w:themeColor="text1"/>
        </w:rPr>
        <w:t xml:space="preserve"> </w:t>
      </w:r>
      <w:r w:rsidR="000E56F5" w:rsidRPr="7E177202">
        <w:rPr>
          <w:rFonts w:eastAsia="EC Square Sans Pro" w:cs="EC Square Sans Pro"/>
          <w:noProof/>
          <w:color w:val="000000" w:themeColor="text1"/>
        </w:rPr>
        <w:t xml:space="preserve">These </w:t>
      </w:r>
      <w:r w:rsidR="00793EF7">
        <w:rPr>
          <w:rFonts w:eastAsia="EC Square Sans Pro" w:cs="EC Square Sans Pro"/>
          <w:noProof/>
          <w:color w:val="000000" w:themeColor="text1"/>
        </w:rPr>
        <w:t xml:space="preserve">are consistent </w:t>
      </w:r>
      <w:r w:rsidR="00492002">
        <w:rPr>
          <w:rFonts w:eastAsia="EC Square Sans Pro" w:cs="EC Square Sans Pro"/>
          <w:noProof/>
          <w:color w:val="000000" w:themeColor="text1"/>
        </w:rPr>
        <w:t xml:space="preserve">with a </w:t>
      </w:r>
      <w:r w:rsidR="00492002" w:rsidRPr="00492002">
        <w:rPr>
          <w:rFonts w:eastAsia="EC Square Sans Pro" w:cs="EC Square Sans Pro"/>
          <w:noProof/>
          <w:color w:val="000000" w:themeColor="text1"/>
          <w:lang w:val="en-IE"/>
        </w:rPr>
        <w:t>minimum annual structural adjustment of at least 0.5%</w:t>
      </w:r>
      <w:r w:rsidR="008F4A6E">
        <w:rPr>
          <w:rFonts w:eastAsia="EC Square Sans Pro" w:cs="EC Square Sans Pro"/>
          <w:noProof/>
          <w:color w:val="000000" w:themeColor="text1"/>
          <w:lang w:val="en-IE"/>
        </w:rPr>
        <w:t xml:space="preserve"> of</w:t>
      </w:r>
      <w:r w:rsidR="00492002" w:rsidRPr="00492002">
        <w:rPr>
          <w:rFonts w:eastAsia="EC Square Sans Pro" w:cs="EC Square Sans Pro"/>
          <w:noProof/>
          <w:color w:val="000000" w:themeColor="text1"/>
          <w:lang w:val="en-IE"/>
        </w:rPr>
        <w:t xml:space="preserve"> GDP as a benchmark </w:t>
      </w:r>
      <w:r w:rsidR="00014AE5">
        <w:rPr>
          <w:rFonts w:eastAsia="EC Square Sans Pro" w:cs="EC Square Sans Pro"/>
          <w:noProof/>
          <w:color w:val="000000" w:themeColor="text1"/>
          <w:lang w:val="en-IE"/>
        </w:rPr>
        <w:t xml:space="preserve">required </w:t>
      </w:r>
      <w:r w:rsidR="00B83DFF">
        <w:rPr>
          <w:rFonts w:eastAsia="EC Square Sans Pro" w:cs="EC Square Sans Pro"/>
          <w:noProof/>
          <w:color w:val="000000" w:themeColor="text1"/>
          <w:lang w:val="en-IE"/>
        </w:rPr>
        <w:t xml:space="preserve">under an </w:t>
      </w:r>
      <w:r w:rsidR="008730AB">
        <w:rPr>
          <w:rFonts w:eastAsia="EC Square Sans Pro" w:cs="EC Square Sans Pro"/>
          <w:noProof/>
          <w:color w:val="000000" w:themeColor="text1"/>
        </w:rPr>
        <w:t>excessive deficit procedure</w:t>
      </w:r>
      <w:r w:rsidR="00B83DFF">
        <w:rPr>
          <w:rFonts w:eastAsia="EC Square Sans Pro" w:cs="EC Square Sans Pro"/>
          <w:noProof/>
          <w:color w:val="000000" w:themeColor="text1"/>
        </w:rPr>
        <w:t xml:space="preserve">. The EDP </w:t>
      </w:r>
      <w:r w:rsidR="000E56F5" w:rsidRPr="7E177202">
        <w:rPr>
          <w:rFonts w:eastAsia="EC Square Sans Pro" w:cs="EC Square Sans Pro"/>
          <w:noProof/>
          <w:color w:val="000000" w:themeColor="text1"/>
        </w:rPr>
        <w:t>correction deadline is 2026, at which point the plan envisages a deficit of 2.5% of GDP</w:t>
      </w:r>
      <w:r w:rsidR="00425BF9" w:rsidRPr="7E177202">
        <w:rPr>
          <w:rFonts w:eastAsia="EC Square Sans Pro" w:cs="EC Square Sans Pro"/>
          <w:noProof/>
          <w:color w:val="000000" w:themeColor="text1"/>
        </w:rPr>
        <w:t>.</w:t>
      </w:r>
      <w:r w:rsidR="1D6A1A2D" w:rsidRPr="7E177202">
        <w:rPr>
          <w:rFonts w:eastAsia="EC Square Sans Pro" w:cs="EC Square Sans Pro"/>
          <w:noProof/>
          <w:sz w:val="24"/>
        </w:rPr>
        <w:t xml:space="preserve"> </w:t>
      </w:r>
      <w:r w:rsidR="3F432A76" w:rsidRPr="7E177202">
        <w:rPr>
          <w:rFonts w:eastAsia="EC Square Sans Pro" w:cs="EC Square Sans Pro"/>
          <w:noProof/>
        </w:rPr>
        <w:t xml:space="preserve">In July 2025, the Council activated the national escape clause for increases in defence spending for Hungary, allowing Hungary to deviate from, and exceed, the correction path under the EDP and the net expenditure path of the medium-term fiscal-structural plan. </w:t>
      </w:r>
    </w:p>
    <w:p w14:paraId="7A0DEB00" w14:textId="58DD2132" w:rsidR="002F19E2" w:rsidRPr="0098405B" w:rsidRDefault="00085BE8" w:rsidP="00492002">
      <w:pPr>
        <w:ind w:left="540"/>
        <w:rPr>
          <w:rFonts w:eastAsia="EC Square Sans Pro" w:cs="EC Square Sans Pro"/>
          <w:noProof/>
          <w:color w:val="auto"/>
        </w:rPr>
      </w:pPr>
      <w:r w:rsidRPr="7755A97F">
        <w:rPr>
          <w:rFonts w:eastAsia="EC Square Sans Pro" w:cs="EC Square Sans Pro"/>
          <w:noProof/>
        </w:rPr>
        <w:t xml:space="preserve">Net expenditure is projected to grow by </w:t>
      </w:r>
      <w:r>
        <w:rPr>
          <w:rFonts w:eastAsia="EC Square Sans Pro" w:cs="EC Square Sans Pro"/>
          <w:noProof/>
        </w:rPr>
        <w:t>9.7%</w:t>
      </w:r>
      <w:r w:rsidRPr="7755A97F">
        <w:rPr>
          <w:rFonts w:eastAsia="EC Square Sans Pro" w:cs="EC Square Sans Pro"/>
          <w:noProof/>
        </w:rPr>
        <w:t xml:space="preserve"> in 2026, above the recommended growth </w:t>
      </w:r>
      <w:r w:rsidR="003A1C96">
        <w:rPr>
          <w:rFonts w:eastAsia="EC Square Sans Pro" w:cs="EC Square Sans Pro"/>
          <w:noProof/>
        </w:rPr>
        <w:t xml:space="preserve">rate </w:t>
      </w:r>
      <w:r w:rsidRPr="7755A97F">
        <w:rPr>
          <w:rFonts w:eastAsia="EC Square Sans Pro" w:cs="EC Square Sans Pro"/>
          <w:noProof/>
        </w:rPr>
        <w:t xml:space="preserve">of 4.0%. The deviation above the recommended maximum is equivalent to an annual deviation of </w:t>
      </w:r>
      <w:r>
        <w:rPr>
          <w:rFonts w:eastAsia="EC Square Sans Pro" w:cs="EC Square Sans Pro"/>
          <w:noProof/>
        </w:rPr>
        <w:t>2.3</w:t>
      </w:r>
      <w:r w:rsidRPr="7755A97F">
        <w:rPr>
          <w:rFonts w:eastAsia="EC Square Sans Pro" w:cs="EC Square Sans Pro"/>
          <w:noProof/>
        </w:rPr>
        <w:t xml:space="preserve">% of GDP and a cumulative deviation of </w:t>
      </w:r>
      <w:r>
        <w:rPr>
          <w:rFonts w:eastAsia="EC Square Sans Pro" w:cs="EC Square Sans Pro"/>
          <w:noProof/>
        </w:rPr>
        <w:t>3.0</w:t>
      </w:r>
      <w:r w:rsidRPr="7755A97F">
        <w:rPr>
          <w:rFonts w:eastAsia="EC Square Sans Pro" w:cs="EC Square Sans Pro"/>
          <w:noProof/>
        </w:rPr>
        <w:t>% of GDP.</w:t>
      </w:r>
      <w:r>
        <w:rPr>
          <w:rFonts w:eastAsia="EC Square Sans Pro" w:cs="EC Square Sans Pro"/>
          <w:noProof/>
        </w:rPr>
        <w:t xml:space="preserve"> </w:t>
      </w:r>
      <w:r w:rsidR="1D6A1A2D" w:rsidRPr="7E177202">
        <w:rPr>
          <w:rFonts w:eastAsia="EC Square Sans Pro" w:cs="EC Square Sans Pro"/>
          <w:noProof/>
          <w:color w:val="000000" w:themeColor="text1"/>
        </w:rPr>
        <w:t>On 3 June 2026, the Commission concluded that</w:t>
      </w:r>
      <w:r w:rsidR="00FB2CD8">
        <w:rPr>
          <w:rFonts w:eastAsia="EC Square Sans Pro" w:cs="EC Square Sans Pro"/>
          <w:noProof/>
          <w:color w:val="000000" w:themeColor="text1"/>
        </w:rPr>
        <w:t>,</w:t>
      </w:r>
      <w:r w:rsidR="1D6A1A2D" w:rsidRPr="7E177202">
        <w:rPr>
          <w:rFonts w:eastAsia="EC Square Sans Pro" w:cs="EC Square Sans Pro"/>
          <w:noProof/>
          <w:color w:val="000000" w:themeColor="text1"/>
        </w:rPr>
        <w:t xml:space="preserve"> </w:t>
      </w:r>
      <w:r w:rsidR="00CB6C9E" w:rsidRPr="0098405B">
        <w:rPr>
          <w:rFonts w:eastAsia="EC Square Sans Pro" w:cs="EC Square Sans Pro"/>
          <w:noProof/>
          <w:color w:val="auto"/>
        </w:rPr>
        <w:t>after considering the flexibility provided by the national escape clause, Hungary is assessed to be compliant with the recommended maximum growth rate of net expenditure in 2025, whereas it is projected to be at risk of material non-compliance in 2026. At this stage, the Commission nonetheless assesses Hungary as having taken effective action</w:t>
      </w:r>
      <w:r w:rsidR="008B3205">
        <w:rPr>
          <w:rFonts w:eastAsia="EC Square Sans Pro" w:cs="EC Square Sans Pro"/>
          <w:noProof/>
          <w:color w:val="auto"/>
        </w:rPr>
        <w:t xml:space="preserve"> in 2025</w:t>
      </w:r>
      <w:r w:rsidR="00CB6C9E" w:rsidRPr="0098405B">
        <w:rPr>
          <w:rFonts w:eastAsia="EC Square Sans Pro" w:cs="EC Square Sans Pro"/>
          <w:noProof/>
          <w:color w:val="auto"/>
        </w:rPr>
        <w:t xml:space="preserve">. As a result, the EDP is held in abeyance. </w:t>
      </w:r>
    </w:p>
    <w:p w14:paraId="09A4008F" w14:textId="420B3754" w:rsidR="1E1CCAE5" w:rsidRPr="00893F33" w:rsidRDefault="00B74B7F" w:rsidP="2D686018">
      <w:pPr>
        <w:ind w:left="540"/>
        <w:rPr>
          <w:rFonts w:eastAsia="EC Square Sans Pro" w:cs="EC Square Sans Pro"/>
          <w:noProof/>
          <w:color w:val="000000" w:themeColor="text1"/>
          <w:highlight w:val="yellow"/>
        </w:rPr>
      </w:pPr>
      <w:r w:rsidRPr="7755A97F">
        <w:rPr>
          <w:rFonts w:eastAsia="EC Square Sans Pro" w:cs="EC Square Sans Pro"/>
          <w:noProof/>
          <w:color w:val="000000" w:themeColor="text1"/>
        </w:rPr>
        <w:t xml:space="preserve">The government debt-to-GDP ratio </w:t>
      </w:r>
      <w:r>
        <w:rPr>
          <w:rFonts w:eastAsia="EC Square Sans Pro" w:cs="EC Square Sans Pro"/>
          <w:noProof/>
          <w:color w:val="000000" w:themeColor="text1"/>
        </w:rPr>
        <w:t xml:space="preserve">rose from </w:t>
      </w:r>
      <w:r w:rsidRPr="7755A97F">
        <w:rPr>
          <w:rFonts w:eastAsia="EC Square Sans Pro" w:cs="EC Square Sans Pro"/>
          <w:noProof/>
          <w:color w:val="000000" w:themeColor="text1"/>
        </w:rPr>
        <w:t xml:space="preserve">73.5% in 2024 </w:t>
      </w:r>
      <w:r>
        <w:rPr>
          <w:rFonts w:eastAsia="EC Square Sans Pro" w:cs="EC Square Sans Pro"/>
          <w:noProof/>
          <w:color w:val="000000" w:themeColor="text1"/>
        </w:rPr>
        <w:t>to</w:t>
      </w:r>
      <w:r w:rsidRPr="7755A97F">
        <w:rPr>
          <w:rFonts w:eastAsia="EC Square Sans Pro" w:cs="EC Square Sans Pro"/>
          <w:noProof/>
          <w:color w:val="000000" w:themeColor="text1"/>
        </w:rPr>
        <w:t xml:space="preserve"> 7</w:t>
      </w:r>
      <w:r>
        <w:rPr>
          <w:rFonts w:eastAsia="EC Square Sans Pro" w:cs="EC Square Sans Pro"/>
          <w:noProof/>
          <w:color w:val="000000" w:themeColor="text1"/>
        </w:rPr>
        <w:t>4</w:t>
      </w:r>
      <w:r w:rsidRPr="7755A97F">
        <w:rPr>
          <w:rFonts w:eastAsia="EC Square Sans Pro" w:cs="EC Square Sans Pro"/>
          <w:noProof/>
          <w:color w:val="000000" w:themeColor="text1"/>
        </w:rPr>
        <w:t>.</w:t>
      </w:r>
      <w:r>
        <w:rPr>
          <w:rFonts w:eastAsia="EC Square Sans Pro" w:cs="EC Square Sans Pro"/>
          <w:noProof/>
          <w:color w:val="000000" w:themeColor="text1"/>
        </w:rPr>
        <w:t>6</w:t>
      </w:r>
      <w:r w:rsidRPr="7755A97F">
        <w:rPr>
          <w:rFonts w:eastAsia="EC Square Sans Pro" w:cs="EC Square Sans Pro"/>
          <w:noProof/>
          <w:color w:val="000000" w:themeColor="text1"/>
        </w:rPr>
        <w:t xml:space="preserve">% in 2025. It is forecast to increase to </w:t>
      </w:r>
      <w:r w:rsidRPr="000414A2">
        <w:rPr>
          <w:rFonts w:eastAsia="EC Square Sans Pro" w:cs="EC Square Sans Pro"/>
          <w:noProof/>
          <w:color w:val="000000" w:themeColor="text1"/>
        </w:rPr>
        <w:t>75.</w:t>
      </w:r>
      <w:r w:rsidRPr="002B5FBE">
        <w:rPr>
          <w:rFonts w:eastAsia="EC Square Sans Pro" w:cs="EC Square Sans Pro"/>
          <w:noProof/>
          <w:color w:val="000000" w:themeColor="text1"/>
        </w:rPr>
        <w:t>1</w:t>
      </w:r>
      <w:r w:rsidRPr="7755A97F">
        <w:rPr>
          <w:rFonts w:eastAsia="EC Square Sans Pro" w:cs="EC Square Sans Pro"/>
          <w:noProof/>
          <w:color w:val="000000" w:themeColor="text1"/>
        </w:rPr>
        <w:t xml:space="preserve">% in 2026 and to </w:t>
      </w:r>
      <w:r w:rsidRPr="000414A2">
        <w:rPr>
          <w:rFonts w:eastAsia="EC Square Sans Pro" w:cs="EC Square Sans Pro"/>
          <w:noProof/>
          <w:color w:val="000000" w:themeColor="text1"/>
        </w:rPr>
        <w:t>76.</w:t>
      </w:r>
      <w:r w:rsidR="001A296A">
        <w:rPr>
          <w:rFonts w:eastAsia="EC Square Sans Pro" w:cs="EC Square Sans Pro"/>
          <w:noProof/>
          <w:color w:val="000000" w:themeColor="text1"/>
        </w:rPr>
        <w:t>8</w:t>
      </w:r>
      <w:r w:rsidRPr="7755A97F">
        <w:rPr>
          <w:rFonts w:eastAsia="EC Square Sans Pro" w:cs="EC Square Sans Pro"/>
          <w:noProof/>
          <w:color w:val="000000" w:themeColor="text1"/>
        </w:rPr>
        <w:t>% in 2027,</w:t>
      </w:r>
      <w:r>
        <w:rPr>
          <w:noProof/>
        </w:rPr>
        <w:t xml:space="preserve"> </w:t>
      </w:r>
      <w:r w:rsidRPr="7755A97F">
        <w:rPr>
          <w:rFonts w:eastAsia="EC Square Sans Pro" w:cs="EC Square Sans Pro"/>
          <w:noProof/>
          <w:color w:val="000000" w:themeColor="text1"/>
        </w:rPr>
        <w:t xml:space="preserve">driven by </w:t>
      </w:r>
      <w:r w:rsidR="002C0A80">
        <w:rPr>
          <w:rFonts w:eastAsia="EC Square Sans Pro" w:cs="EC Square Sans Pro"/>
          <w:noProof/>
          <w:color w:val="000000" w:themeColor="text1"/>
        </w:rPr>
        <w:t>a</w:t>
      </w:r>
      <w:r w:rsidRPr="7755A97F">
        <w:rPr>
          <w:rFonts w:eastAsia="EC Square Sans Pro" w:cs="EC Square Sans Pro"/>
          <w:noProof/>
          <w:color w:val="000000" w:themeColor="text1"/>
        </w:rPr>
        <w:t xml:space="preserve"> high primary deficit and elevated interest expenditure. </w:t>
      </w:r>
      <w:r w:rsidR="5C6CFEDB" w:rsidRPr="7755A97F">
        <w:rPr>
          <w:rFonts w:eastAsia="EC Square Sans Pro" w:cs="EC Square Sans Pro"/>
          <w:noProof/>
          <w:color w:val="000000" w:themeColor="text1"/>
        </w:rPr>
        <w:t>Debt sustainability risks for Hungary appear high in the medium term</w:t>
      </w:r>
      <w:r w:rsidR="7C60AAFE" w:rsidRPr="7755A97F">
        <w:rPr>
          <w:rFonts w:eastAsia="EC Square Sans Pro" w:cs="EC Square Sans Pro"/>
          <w:noProof/>
          <w:color w:val="000000" w:themeColor="text1"/>
        </w:rPr>
        <w:t>, with</w:t>
      </w:r>
      <w:r w:rsidR="5C6CFEDB" w:rsidRPr="7755A97F">
        <w:rPr>
          <w:rFonts w:eastAsia="EC Square Sans Pro" w:cs="EC Square Sans Pro"/>
          <w:noProof/>
          <w:color w:val="000000" w:themeColor="text1"/>
        </w:rPr>
        <w:t xml:space="preserve"> </w:t>
      </w:r>
      <w:r w:rsidR="1138A576" w:rsidRPr="7755A97F">
        <w:rPr>
          <w:rFonts w:eastAsia="EC Square Sans Pro" w:cs="EC Square Sans Pro"/>
          <w:noProof/>
          <w:color w:val="000000" w:themeColor="text1"/>
        </w:rPr>
        <w:t>g</w:t>
      </w:r>
      <w:r w:rsidR="5C6CFEDB" w:rsidRPr="7755A97F">
        <w:rPr>
          <w:rFonts w:eastAsia="EC Square Sans Pro" w:cs="EC Square Sans Pro"/>
          <w:noProof/>
          <w:color w:val="000000" w:themeColor="text1"/>
        </w:rPr>
        <w:t>overnment debt projected to increase from around 7</w:t>
      </w:r>
      <w:r w:rsidR="004446F9">
        <w:rPr>
          <w:rFonts w:eastAsia="EC Square Sans Pro" w:cs="EC Square Sans Pro"/>
          <w:noProof/>
          <w:color w:val="000000" w:themeColor="text1"/>
        </w:rPr>
        <w:t>5</w:t>
      </w:r>
      <w:r w:rsidR="5C6CFEDB" w:rsidRPr="7755A97F">
        <w:rPr>
          <w:rFonts w:eastAsia="EC Square Sans Pro" w:cs="EC Square Sans Pro"/>
          <w:noProof/>
          <w:color w:val="000000" w:themeColor="text1"/>
        </w:rPr>
        <w:t xml:space="preserve">% in 2025 to around </w:t>
      </w:r>
      <w:r w:rsidR="5C6CFEDB" w:rsidRPr="00AF11CC">
        <w:rPr>
          <w:rFonts w:eastAsia="EC Square Sans Pro" w:cs="EC Square Sans Pro"/>
          <w:noProof/>
          <w:color w:val="000000" w:themeColor="text1"/>
        </w:rPr>
        <w:t>103</w:t>
      </w:r>
      <w:r w:rsidR="5C6CFEDB" w:rsidRPr="7755A97F">
        <w:rPr>
          <w:rFonts w:eastAsia="EC Square Sans Pro" w:cs="EC Square Sans Pro"/>
          <w:noProof/>
          <w:color w:val="000000" w:themeColor="text1"/>
        </w:rPr>
        <w:t xml:space="preserve">% of GDP in 2036. While the country’s fiscal framework has gradually </w:t>
      </w:r>
      <w:r w:rsidR="00653C99">
        <w:rPr>
          <w:rFonts w:eastAsia="EC Square Sans Pro" w:cs="EC Square Sans Pro"/>
          <w:noProof/>
          <w:color w:val="000000" w:themeColor="text1"/>
        </w:rPr>
        <w:t>been brought</w:t>
      </w:r>
      <w:r w:rsidR="00653C99" w:rsidRPr="7755A97F">
        <w:rPr>
          <w:rFonts w:eastAsia="EC Square Sans Pro" w:cs="EC Square Sans Pro"/>
          <w:noProof/>
          <w:color w:val="000000" w:themeColor="text1"/>
        </w:rPr>
        <w:t xml:space="preserve"> </w:t>
      </w:r>
      <w:r w:rsidR="5C6CFEDB" w:rsidRPr="7755A97F">
        <w:rPr>
          <w:rFonts w:eastAsia="EC Square Sans Pro" w:cs="EC Square Sans Pro"/>
          <w:noProof/>
          <w:color w:val="000000" w:themeColor="text1"/>
        </w:rPr>
        <w:t>more in</w:t>
      </w:r>
      <w:r w:rsidR="00653C99">
        <w:rPr>
          <w:rFonts w:eastAsia="EC Square Sans Pro" w:cs="EC Square Sans Pro"/>
          <w:noProof/>
          <w:color w:val="000000" w:themeColor="text1"/>
        </w:rPr>
        <w:t>to</w:t>
      </w:r>
      <w:r w:rsidR="5C6CFEDB" w:rsidRPr="7755A97F">
        <w:rPr>
          <w:rFonts w:eastAsia="EC Square Sans Pro" w:cs="EC Square Sans Pro"/>
          <w:noProof/>
          <w:color w:val="000000" w:themeColor="text1"/>
        </w:rPr>
        <w:t xml:space="preserve"> line with EU legal requirements,</w:t>
      </w:r>
      <w:r w:rsidR="1D3CFC18">
        <w:rPr>
          <w:noProof/>
        </w:rPr>
        <w:t xml:space="preserve"> </w:t>
      </w:r>
      <w:r w:rsidR="1D3CFC18" w:rsidRPr="7755A97F">
        <w:rPr>
          <w:rFonts w:eastAsia="EC Square Sans Pro" w:cs="EC Square Sans Pro"/>
          <w:noProof/>
          <w:color w:val="000000" w:themeColor="text1"/>
        </w:rPr>
        <w:t xml:space="preserve">it has not fostered transparency and a prudent fiscal stance. </w:t>
      </w:r>
      <w:r w:rsidR="333EE54F" w:rsidRPr="7755A97F">
        <w:rPr>
          <w:rFonts w:eastAsia="EC Square Sans Pro" w:cs="EC Square Sans Pro"/>
          <w:noProof/>
          <w:color w:val="000000" w:themeColor="text1"/>
        </w:rPr>
        <w:t xml:space="preserve">Establishing a realistic and stable national medium-term budgetary framework would enhance the credibility and effectiveness of </w:t>
      </w:r>
      <w:r w:rsidR="384776FD" w:rsidRPr="7755A97F">
        <w:rPr>
          <w:rFonts w:eastAsia="EC Square Sans Pro" w:cs="EC Square Sans Pro"/>
          <w:noProof/>
          <w:color w:val="000000" w:themeColor="text1"/>
        </w:rPr>
        <w:t xml:space="preserve">the country’s </w:t>
      </w:r>
      <w:r w:rsidR="333EE54F" w:rsidRPr="7755A97F">
        <w:rPr>
          <w:rFonts w:eastAsia="EC Square Sans Pro" w:cs="EC Square Sans Pro"/>
          <w:noProof/>
          <w:color w:val="000000" w:themeColor="text1"/>
        </w:rPr>
        <w:t>fiscal policy</w:t>
      </w:r>
      <w:r w:rsidR="00653C99">
        <w:rPr>
          <w:rFonts w:eastAsia="EC Square Sans Pro" w:cs="EC Square Sans Pro"/>
          <w:noProof/>
          <w:color w:val="000000" w:themeColor="text1"/>
        </w:rPr>
        <w:t>. Moreover</w:t>
      </w:r>
      <w:r w:rsidR="1B1212BB" w:rsidRPr="7755A97F">
        <w:rPr>
          <w:rFonts w:eastAsia="EC Square Sans Pro" w:cs="EC Square Sans Pro"/>
          <w:noProof/>
          <w:color w:val="000000" w:themeColor="text1"/>
        </w:rPr>
        <w:t xml:space="preserve">, </w:t>
      </w:r>
      <w:r w:rsidR="5C6CFEDB" w:rsidRPr="7755A97F">
        <w:rPr>
          <w:rFonts w:eastAsia="EC Square Sans Pro" w:cs="EC Square Sans Pro"/>
          <w:noProof/>
          <w:color w:val="000000" w:themeColor="text1"/>
        </w:rPr>
        <w:t>the role</w:t>
      </w:r>
      <w:r w:rsidR="10E20DB1" w:rsidRPr="7755A97F">
        <w:rPr>
          <w:rFonts w:eastAsia="EC Square Sans Pro" w:cs="EC Square Sans Pro"/>
          <w:noProof/>
          <w:color w:val="000000" w:themeColor="text1"/>
        </w:rPr>
        <w:t xml:space="preserve"> and the independence</w:t>
      </w:r>
      <w:r w:rsidR="5C6CFEDB" w:rsidRPr="7755A97F">
        <w:rPr>
          <w:rFonts w:eastAsia="EC Square Sans Pro" w:cs="EC Square Sans Pro"/>
          <w:noProof/>
          <w:color w:val="000000" w:themeColor="text1"/>
        </w:rPr>
        <w:t xml:space="preserve"> of the Fiscal Council could be strengthened.</w:t>
      </w:r>
    </w:p>
    <w:p w14:paraId="412D9F25" w14:textId="3E6749B2" w:rsidR="1E1CCAE5" w:rsidRDefault="007701C8" w:rsidP="004B2463">
      <w:pPr>
        <w:ind w:left="567"/>
        <w:jc w:val="center"/>
        <w:rPr>
          <w:noProof/>
        </w:rPr>
      </w:pPr>
      <w:r>
        <w:rPr>
          <w:noProof/>
          <w:lang w:eastAsia="en-GB"/>
        </w:rPr>
        <w:drawing>
          <wp:inline distT="0" distB="0" distL="0" distR="0" wp14:anchorId="061A46CC" wp14:editId="5BAAB179">
            <wp:extent cx="3529965" cy="2249805"/>
            <wp:effectExtent l="0" t="0" r="0" b="0"/>
            <wp:docPr id="14924868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9965" cy="2249805"/>
                    </a:xfrm>
                    <a:prstGeom prst="rect">
                      <a:avLst/>
                    </a:prstGeom>
                    <a:noFill/>
                  </pic:spPr>
                </pic:pic>
              </a:graphicData>
            </a:graphic>
          </wp:inline>
        </w:drawing>
      </w:r>
    </w:p>
    <w:p w14:paraId="39AC2768" w14:textId="38AD02BE" w:rsidR="1E1CCAE5" w:rsidRDefault="37207CDC" w:rsidP="004B2463">
      <w:pPr>
        <w:ind w:left="567"/>
        <w:rPr>
          <w:rFonts w:eastAsia="EC Square Sans Pro" w:cs="EC Square Sans Pro"/>
          <w:noProof/>
          <w:color w:val="000000" w:themeColor="text1"/>
        </w:rPr>
      </w:pPr>
      <w:r w:rsidRPr="08E360E3">
        <w:rPr>
          <w:rFonts w:eastAsia="EC Square Sans Pro" w:cs="EC Square Sans Pro"/>
          <w:b/>
          <w:bCs/>
          <w:noProof/>
          <w:color w:val="000000" w:themeColor="text1"/>
        </w:rPr>
        <w:t>Hungary does not fulfil the exchange rate criterion.</w:t>
      </w:r>
      <w:r w:rsidRPr="08E360E3">
        <w:rPr>
          <w:rFonts w:eastAsia="EC Square Sans Pro" w:cs="EC Square Sans Pro"/>
          <w:noProof/>
          <w:color w:val="000000" w:themeColor="text1"/>
        </w:rPr>
        <w:t xml:space="preserve"> The Hungarian forint does not participate in </w:t>
      </w:r>
      <w:r w:rsidR="125F5AA0" w:rsidRPr="08E360E3">
        <w:rPr>
          <w:rFonts w:eastAsia="EC Square Sans Pro" w:cs="EC Square Sans Pro"/>
          <w:noProof/>
          <w:color w:val="000000" w:themeColor="text1"/>
        </w:rPr>
        <w:t xml:space="preserve">the </w:t>
      </w:r>
      <w:r w:rsidR="00701E89">
        <w:rPr>
          <w:rFonts w:eastAsia="EC Square Sans Pro" w:cs="EC Square Sans Pro"/>
          <w:noProof/>
          <w:color w:val="000000" w:themeColor="text1"/>
        </w:rPr>
        <w:t>Exchange Rate Mechanism II</w:t>
      </w:r>
      <w:r w:rsidRPr="08E360E3">
        <w:rPr>
          <w:rFonts w:eastAsia="EC Square Sans Pro" w:cs="EC Square Sans Pro"/>
          <w:noProof/>
          <w:color w:val="000000" w:themeColor="text1"/>
        </w:rPr>
        <w:t xml:space="preserve">. Hungary operates a floating exchange rate regime, </w:t>
      </w:r>
      <w:r w:rsidR="125F5AA0" w:rsidRPr="08E360E3">
        <w:rPr>
          <w:rFonts w:eastAsia="EC Square Sans Pro" w:cs="EC Square Sans Pro"/>
          <w:noProof/>
          <w:color w:val="000000" w:themeColor="text1"/>
        </w:rPr>
        <w:t xml:space="preserve">which </w:t>
      </w:r>
      <w:r w:rsidRPr="08E360E3">
        <w:rPr>
          <w:rFonts w:eastAsia="EC Square Sans Pro" w:cs="EC Square Sans Pro"/>
          <w:noProof/>
          <w:color w:val="000000" w:themeColor="text1"/>
        </w:rPr>
        <w:t>allow</w:t>
      </w:r>
      <w:r w:rsidR="125F5AA0" w:rsidRPr="08E360E3">
        <w:rPr>
          <w:rFonts w:eastAsia="EC Square Sans Pro" w:cs="EC Square Sans Pro"/>
          <w:noProof/>
          <w:color w:val="000000" w:themeColor="text1"/>
        </w:rPr>
        <w:t>s</w:t>
      </w:r>
      <w:r w:rsidRPr="08E360E3">
        <w:rPr>
          <w:rFonts w:eastAsia="EC Square Sans Pro" w:cs="EC Square Sans Pro"/>
          <w:noProof/>
          <w:color w:val="000000" w:themeColor="text1"/>
        </w:rPr>
        <w:t xml:space="preserve"> for foreign exchange market interventions by the central bank. </w:t>
      </w:r>
      <w:r w:rsidR="367DA796" w:rsidRPr="08E360E3">
        <w:rPr>
          <w:rFonts w:eastAsia="EC Square Sans Pro" w:cs="EC Square Sans Pro"/>
          <w:noProof/>
          <w:color w:val="000000" w:themeColor="text1"/>
        </w:rPr>
        <w:t>T</w:t>
      </w:r>
      <w:r w:rsidRPr="08E360E3">
        <w:rPr>
          <w:rFonts w:eastAsia="EC Square Sans Pro" w:cs="EC Square Sans Pro"/>
          <w:noProof/>
          <w:color w:val="000000" w:themeColor="text1"/>
        </w:rPr>
        <w:t xml:space="preserve">he forint depreciated against the euro in 2024 but appreciated </w:t>
      </w:r>
      <w:r w:rsidR="125F5AA0" w:rsidRPr="08E360E3">
        <w:rPr>
          <w:rFonts w:eastAsia="EC Square Sans Pro" w:cs="EC Square Sans Pro"/>
          <w:noProof/>
          <w:color w:val="000000" w:themeColor="text1"/>
        </w:rPr>
        <w:t xml:space="preserve">over the course of </w:t>
      </w:r>
      <w:r w:rsidRPr="08E360E3">
        <w:rPr>
          <w:rFonts w:eastAsia="EC Square Sans Pro" w:cs="EC Square Sans Pro"/>
          <w:noProof/>
          <w:color w:val="000000" w:themeColor="text1"/>
        </w:rPr>
        <w:t xml:space="preserve">2025 up </w:t>
      </w:r>
      <w:r w:rsidR="367DA796" w:rsidRPr="08E360E3">
        <w:rPr>
          <w:rFonts w:eastAsia="EC Square Sans Pro" w:cs="EC Square Sans Pro"/>
          <w:noProof/>
          <w:color w:val="000000" w:themeColor="text1"/>
        </w:rPr>
        <w:t xml:space="preserve">to </w:t>
      </w:r>
      <w:r w:rsidRPr="08E360E3">
        <w:rPr>
          <w:rFonts w:eastAsia="EC Square Sans Pro" w:cs="EC Square Sans Pro"/>
          <w:noProof/>
          <w:color w:val="000000" w:themeColor="text1"/>
        </w:rPr>
        <w:t>the end of February 2026. Th</w:t>
      </w:r>
      <w:r w:rsidR="125F5AA0" w:rsidRPr="08E360E3">
        <w:rPr>
          <w:rFonts w:eastAsia="EC Square Sans Pro" w:cs="EC Square Sans Pro"/>
          <w:noProof/>
          <w:color w:val="000000" w:themeColor="text1"/>
        </w:rPr>
        <w:t>is</w:t>
      </w:r>
      <w:r w:rsidRPr="08E360E3">
        <w:rPr>
          <w:rFonts w:eastAsia="EC Square Sans Pro" w:cs="EC Square Sans Pro"/>
          <w:noProof/>
          <w:color w:val="000000" w:themeColor="text1"/>
        </w:rPr>
        <w:t xml:space="preserve"> reflect</w:t>
      </w:r>
      <w:r w:rsidR="125F5AA0" w:rsidRPr="08E360E3">
        <w:rPr>
          <w:rFonts w:eastAsia="EC Square Sans Pro" w:cs="EC Square Sans Pro"/>
          <w:noProof/>
          <w:color w:val="000000" w:themeColor="text1"/>
        </w:rPr>
        <w:t>ed</w:t>
      </w:r>
      <w:r w:rsidRPr="08E360E3">
        <w:rPr>
          <w:rFonts w:eastAsia="EC Square Sans Pro" w:cs="EC Square Sans Pro"/>
          <w:noProof/>
          <w:color w:val="000000" w:themeColor="text1"/>
        </w:rPr>
        <w:t xml:space="preserve"> the differences </w:t>
      </w:r>
      <w:r w:rsidR="125F5AA0" w:rsidRPr="08E360E3">
        <w:rPr>
          <w:rFonts w:eastAsia="EC Square Sans Pro" w:cs="EC Square Sans Pro"/>
          <w:noProof/>
          <w:color w:val="000000" w:themeColor="text1"/>
        </w:rPr>
        <w:t xml:space="preserve">between the </w:t>
      </w:r>
      <w:r w:rsidRPr="08E360E3">
        <w:rPr>
          <w:rFonts w:eastAsia="EC Square Sans Pro" w:cs="EC Square Sans Pro"/>
          <w:noProof/>
          <w:color w:val="000000" w:themeColor="text1"/>
        </w:rPr>
        <w:t xml:space="preserve">monetary policies of </w:t>
      </w:r>
      <w:r w:rsidR="367DA796" w:rsidRPr="08E360E3">
        <w:rPr>
          <w:rFonts w:eastAsia="EC Square Sans Pro" w:cs="EC Square Sans Pro"/>
          <w:noProof/>
          <w:color w:val="000000" w:themeColor="text1"/>
        </w:rPr>
        <w:t xml:space="preserve">the </w:t>
      </w:r>
      <w:r w:rsidRPr="08E360E3">
        <w:rPr>
          <w:rFonts w:eastAsia="EC Square Sans Pro" w:cs="EC Square Sans Pro"/>
          <w:noProof/>
          <w:color w:val="000000" w:themeColor="text1"/>
        </w:rPr>
        <w:t xml:space="preserve">MNB and </w:t>
      </w:r>
      <w:r w:rsidR="125F5AA0" w:rsidRPr="08E360E3">
        <w:rPr>
          <w:rFonts w:eastAsia="EC Square Sans Pro" w:cs="EC Square Sans Pro"/>
          <w:noProof/>
          <w:color w:val="000000" w:themeColor="text1"/>
        </w:rPr>
        <w:t xml:space="preserve">the </w:t>
      </w:r>
      <w:r w:rsidRPr="08E360E3">
        <w:rPr>
          <w:rFonts w:eastAsia="EC Square Sans Pro" w:cs="EC Square Sans Pro"/>
          <w:noProof/>
          <w:color w:val="000000" w:themeColor="text1"/>
        </w:rPr>
        <w:t xml:space="preserve">ECB, </w:t>
      </w:r>
      <w:r w:rsidR="4A8E40BE" w:rsidRPr="08E360E3">
        <w:rPr>
          <w:rFonts w:eastAsia="EC Square Sans Pro" w:cs="EC Square Sans Pro"/>
          <w:noProof/>
          <w:color w:val="000000" w:themeColor="text1"/>
        </w:rPr>
        <w:t xml:space="preserve">differences in </w:t>
      </w:r>
      <w:r w:rsidRPr="08E360E3">
        <w:rPr>
          <w:rFonts w:eastAsia="EC Square Sans Pro" w:cs="EC Square Sans Pro"/>
          <w:noProof/>
          <w:color w:val="000000" w:themeColor="text1"/>
        </w:rPr>
        <w:t>inflation rate</w:t>
      </w:r>
      <w:r w:rsidR="064B77BB" w:rsidRPr="08E360E3">
        <w:rPr>
          <w:rFonts w:eastAsia="EC Square Sans Pro" w:cs="EC Square Sans Pro"/>
          <w:noProof/>
          <w:color w:val="000000" w:themeColor="text1"/>
        </w:rPr>
        <w:t xml:space="preserve"> paths </w:t>
      </w:r>
      <w:r w:rsidRPr="08E360E3">
        <w:rPr>
          <w:rFonts w:eastAsia="EC Square Sans Pro" w:cs="EC Square Sans Pro"/>
          <w:noProof/>
          <w:color w:val="000000" w:themeColor="text1"/>
        </w:rPr>
        <w:t xml:space="preserve">and </w:t>
      </w:r>
      <w:r w:rsidR="125F5AA0" w:rsidRPr="08E360E3">
        <w:rPr>
          <w:rFonts w:eastAsia="EC Square Sans Pro" w:cs="EC Square Sans Pro"/>
          <w:noProof/>
          <w:color w:val="000000" w:themeColor="text1"/>
        </w:rPr>
        <w:t>heightened</w:t>
      </w:r>
      <w:r w:rsidRPr="08E360E3">
        <w:rPr>
          <w:rFonts w:eastAsia="EC Square Sans Pro" w:cs="EC Square Sans Pro"/>
          <w:noProof/>
          <w:color w:val="000000" w:themeColor="text1"/>
        </w:rPr>
        <w:t xml:space="preserve"> uncertainty throughout the period. </w:t>
      </w:r>
      <w:r w:rsidR="27DD778F" w:rsidRPr="08E360E3">
        <w:rPr>
          <w:rFonts w:eastAsia="EC Square Sans Pro" w:cs="EC Square Sans Pro"/>
          <w:noProof/>
          <w:color w:val="000000" w:themeColor="text1"/>
        </w:rPr>
        <w:t>In March 2026</w:t>
      </w:r>
      <w:r w:rsidRPr="08E360E3">
        <w:rPr>
          <w:rFonts w:eastAsia="EC Square Sans Pro" w:cs="EC Square Sans Pro"/>
          <w:noProof/>
          <w:color w:val="000000" w:themeColor="text1"/>
        </w:rPr>
        <w:t xml:space="preserve">, uncertainty due to the </w:t>
      </w:r>
      <w:r w:rsidR="66BA4FCD" w:rsidRPr="08E360E3">
        <w:rPr>
          <w:rFonts w:eastAsia="EC Square Sans Pro" w:cs="EC Square Sans Pro"/>
          <w:noProof/>
          <w:color w:val="000000" w:themeColor="text1"/>
        </w:rPr>
        <w:t>Middle</w:t>
      </w:r>
      <w:r w:rsidR="0C6128CD" w:rsidRPr="08E360E3">
        <w:rPr>
          <w:rFonts w:eastAsia="EC Square Sans Pro" w:cs="EC Square Sans Pro"/>
          <w:noProof/>
          <w:color w:val="000000" w:themeColor="text1"/>
        </w:rPr>
        <w:t xml:space="preserve"> </w:t>
      </w:r>
      <w:r w:rsidR="66BA4FCD" w:rsidRPr="08E360E3">
        <w:rPr>
          <w:rFonts w:eastAsia="EC Square Sans Pro" w:cs="EC Square Sans Pro"/>
          <w:noProof/>
          <w:color w:val="000000" w:themeColor="text1"/>
        </w:rPr>
        <w:t>East conflict</w:t>
      </w:r>
      <w:r w:rsidRPr="08E360E3">
        <w:rPr>
          <w:rFonts w:eastAsia="EC Square Sans Pro" w:cs="EC Square Sans Pro"/>
          <w:noProof/>
          <w:color w:val="000000" w:themeColor="text1"/>
        </w:rPr>
        <w:t xml:space="preserve"> </w:t>
      </w:r>
      <w:r w:rsidR="25B5E922" w:rsidRPr="08E360E3">
        <w:rPr>
          <w:rFonts w:eastAsia="EC Square Sans Pro" w:cs="EC Square Sans Pro"/>
          <w:noProof/>
          <w:color w:val="000000" w:themeColor="text1"/>
        </w:rPr>
        <w:t>caused</w:t>
      </w:r>
      <w:r w:rsidR="367DA796" w:rsidRPr="08E360E3">
        <w:rPr>
          <w:rFonts w:eastAsia="EC Square Sans Pro" w:cs="EC Square Sans Pro"/>
          <w:noProof/>
          <w:color w:val="000000" w:themeColor="text1"/>
        </w:rPr>
        <w:t xml:space="preserve"> </w:t>
      </w:r>
      <w:r w:rsidRPr="08E360E3">
        <w:rPr>
          <w:rFonts w:eastAsia="EC Square Sans Pro" w:cs="EC Square Sans Pro"/>
          <w:noProof/>
          <w:color w:val="000000" w:themeColor="text1"/>
        </w:rPr>
        <w:t xml:space="preserve">the forint to </w:t>
      </w:r>
      <w:r w:rsidR="4DEB3442" w:rsidRPr="08E360E3">
        <w:rPr>
          <w:rFonts w:eastAsia="EC Square Sans Pro" w:cs="EC Square Sans Pro"/>
          <w:noProof/>
          <w:color w:val="000000" w:themeColor="text1"/>
        </w:rPr>
        <w:t>temporarily depreciate</w:t>
      </w:r>
      <w:r w:rsidR="25B5E922" w:rsidRPr="08E360E3">
        <w:rPr>
          <w:rFonts w:eastAsia="EC Square Sans Pro" w:cs="EC Square Sans Pro"/>
          <w:noProof/>
          <w:color w:val="000000" w:themeColor="text1"/>
        </w:rPr>
        <w:t>. However</w:t>
      </w:r>
      <w:r w:rsidR="4DEB3442" w:rsidRPr="08E360E3">
        <w:rPr>
          <w:rFonts w:eastAsia="EC Square Sans Pro" w:cs="EC Square Sans Pro"/>
          <w:noProof/>
          <w:color w:val="000000" w:themeColor="text1"/>
        </w:rPr>
        <w:t xml:space="preserve">, </w:t>
      </w:r>
      <w:r w:rsidR="25B5E922" w:rsidRPr="08E360E3">
        <w:rPr>
          <w:rFonts w:eastAsia="EC Square Sans Pro" w:cs="EC Square Sans Pro"/>
          <w:noProof/>
          <w:color w:val="000000" w:themeColor="text1"/>
        </w:rPr>
        <w:t xml:space="preserve">with </w:t>
      </w:r>
      <w:r w:rsidR="6194CCC7" w:rsidRPr="08E360E3">
        <w:rPr>
          <w:rFonts w:eastAsia="EC Square Sans Pro" w:cs="EC Square Sans Pro"/>
          <w:noProof/>
          <w:color w:val="000000" w:themeColor="text1"/>
        </w:rPr>
        <w:t>inflation</w:t>
      </w:r>
      <w:r w:rsidR="25B5E922" w:rsidRPr="08E360E3">
        <w:rPr>
          <w:rFonts w:eastAsia="EC Square Sans Pro" w:cs="EC Square Sans Pro"/>
          <w:noProof/>
          <w:color w:val="000000" w:themeColor="text1"/>
        </w:rPr>
        <w:t xml:space="preserve"> converging</w:t>
      </w:r>
      <w:r w:rsidR="6194CCC7" w:rsidRPr="08E360E3">
        <w:rPr>
          <w:rFonts w:eastAsia="EC Square Sans Pro" w:cs="EC Square Sans Pro"/>
          <w:noProof/>
          <w:color w:val="000000" w:themeColor="text1"/>
        </w:rPr>
        <w:t xml:space="preserve"> to the euro area average and </w:t>
      </w:r>
      <w:r w:rsidR="25B5E922" w:rsidRPr="08E360E3">
        <w:rPr>
          <w:rFonts w:eastAsia="EC Square Sans Pro" w:cs="EC Square Sans Pro"/>
          <w:noProof/>
          <w:color w:val="000000" w:themeColor="text1"/>
        </w:rPr>
        <w:t xml:space="preserve">following </w:t>
      </w:r>
      <w:r w:rsidR="6194CCC7" w:rsidRPr="08E360E3">
        <w:rPr>
          <w:rFonts w:eastAsia="EC Square Sans Pro" w:cs="EC Square Sans Pro"/>
          <w:noProof/>
          <w:color w:val="000000" w:themeColor="text1"/>
        </w:rPr>
        <w:t xml:space="preserve">the </w:t>
      </w:r>
      <w:r w:rsidR="25B5E922" w:rsidRPr="08E360E3">
        <w:rPr>
          <w:rFonts w:eastAsia="EC Square Sans Pro" w:cs="EC Square Sans Pro"/>
          <w:noProof/>
          <w:color w:val="000000" w:themeColor="text1"/>
        </w:rPr>
        <w:t xml:space="preserve">results of </w:t>
      </w:r>
      <w:r w:rsidR="6194CCC7" w:rsidRPr="08E360E3">
        <w:rPr>
          <w:rFonts w:eastAsia="EC Square Sans Pro" w:cs="EC Square Sans Pro"/>
          <w:noProof/>
          <w:color w:val="000000" w:themeColor="text1"/>
        </w:rPr>
        <w:t>Ap</w:t>
      </w:r>
      <w:r w:rsidR="063DEB1C" w:rsidRPr="08E360E3">
        <w:rPr>
          <w:rFonts w:eastAsia="EC Square Sans Pro" w:cs="EC Square Sans Pro"/>
          <w:noProof/>
          <w:color w:val="000000" w:themeColor="text1"/>
        </w:rPr>
        <w:t>r</w:t>
      </w:r>
      <w:r w:rsidR="6194CCC7" w:rsidRPr="08E360E3">
        <w:rPr>
          <w:rFonts w:eastAsia="EC Square Sans Pro" w:cs="EC Square Sans Pro"/>
          <w:noProof/>
          <w:color w:val="000000" w:themeColor="text1"/>
        </w:rPr>
        <w:t>il</w:t>
      </w:r>
      <w:r w:rsidR="25B5E922" w:rsidRPr="08E360E3">
        <w:rPr>
          <w:rFonts w:eastAsia="EC Square Sans Pro" w:cs="EC Square Sans Pro"/>
          <w:noProof/>
          <w:color w:val="000000" w:themeColor="text1"/>
        </w:rPr>
        <w:t>’s</w:t>
      </w:r>
      <w:r w:rsidR="6194CCC7" w:rsidRPr="08E360E3">
        <w:rPr>
          <w:rFonts w:eastAsia="EC Square Sans Pro" w:cs="EC Square Sans Pro"/>
          <w:noProof/>
          <w:color w:val="000000" w:themeColor="text1"/>
        </w:rPr>
        <w:t xml:space="preserve"> </w:t>
      </w:r>
      <w:r w:rsidR="25B5E922" w:rsidRPr="08E360E3">
        <w:rPr>
          <w:rFonts w:eastAsia="EC Square Sans Pro" w:cs="EC Square Sans Pro"/>
          <w:noProof/>
          <w:color w:val="000000" w:themeColor="text1"/>
        </w:rPr>
        <w:t xml:space="preserve">national </w:t>
      </w:r>
      <w:r w:rsidR="6194CCC7" w:rsidRPr="08E360E3">
        <w:rPr>
          <w:rFonts w:eastAsia="EC Square Sans Pro" w:cs="EC Square Sans Pro"/>
          <w:noProof/>
          <w:color w:val="000000" w:themeColor="text1"/>
        </w:rPr>
        <w:t>election</w:t>
      </w:r>
      <w:r w:rsidR="25B5E922" w:rsidRPr="08E360E3">
        <w:rPr>
          <w:rFonts w:eastAsia="EC Square Sans Pro" w:cs="EC Square Sans Pro"/>
          <w:noProof/>
          <w:color w:val="000000" w:themeColor="text1"/>
        </w:rPr>
        <w:t>s,</w:t>
      </w:r>
      <w:r w:rsidR="6194CCC7" w:rsidRPr="08E360E3">
        <w:rPr>
          <w:rFonts w:eastAsia="EC Square Sans Pro" w:cs="EC Square Sans Pro"/>
          <w:noProof/>
          <w:color w:val="000000" w:themeColor="text1"/>
        </w:rPr>
        <w:t xml:space="preserve"> </w:t>
      </w:r>
      <w:r w:rsidR="25B5E922" w:rsidRPr="08E360E3">
        <w:rPr>
          <w:rFonts w:eastAsia="EC Square Sans Pro" w:cs="EC Square Sans Pro"/>
          <w:noProof/>
          <w:color w:val="000000" w:themeColor="text1"/>
        </w:rPr>
        <w:t xml:space="preserve">the forint </w:t>
      </w:r>
      <w:r w:rsidR="04AFE9BE" w:rsidRPr="08E360E3">
        <w:rPr>
          <w:rFonts w:eastAsia="EC Square Sans Pro" w:cs="EC Square Sans Pro"/>
          <w:noProof/>
          <w:color w:val="000000" w:themeColor="text1"/>
        </w:rPr>
        <w:t>ap</w:t>
      </w:r>
      <w:r w:rsidRPr="08E360E3">
        <w:rPr>
          <w:rFonts w:eastAsia="EC Square Sans Pro" w:cs="EC Square Sans Pro"/>
          <w:noProof/>
          <w:color w:val="000000" w:themeColor="text1"/>
        </w:rPr>
        <w:t>preciat</w:t>
      </w:r>
      <w:r w:rsidR="25B5E922" w:rsidRPr="08E360E3">
        <w:rPr>
          <w:rFonts w:eastAsia="EC Square Sans Pro" w:cs="EC Square Sans Pro"/>
          <w:noProof/>
          <w:color w:val="000000" w:themeColor="text1"/>
        </w:rPr>
        <w:t>ed once again</w:t>
      </w:r>
      <w:r w:rsidRPr="08E360E3">
        <w:rPr>
          <w:rFonts w:eastAsia="EC Square Sans Pro" w:cs="EC Square Sans Pro"/>
          <w:noProof/>
          <w:color w:val="000000" w:themeColor="text1"/>
        </w:rPr>
        <w:t xml:space="preserve">. In May 2026, the forint was about </w:t>
      </w:r>
      <w:r w:rsidR="372FC63B" w:rsidRPr="08E360E3">
        <w:rPr>
          <w:rFonts w:eastAsia="EC Square Sans Pro" w:cs="EC Square Sans Pro"/>
          <w:noProof/>
          <w:color w:val="000000" w:themeColor="text1"/>
        </w:rPr>
        <w:t>8</w:t>
      </w:r>
      <w:r w:rsidRPr="08E360E3">
        <w:rPr>
          <w:rFonts w:eastAsia="EC Square Sans Pro" w:cs="EC Square Sans Pro"/>
          <w:noProof/>
          <w:color w:val="000000" w:themeColor="text1"/>
        </w:rPr>
        <w:t xml:space="preserve">% </w:t>
      </w:r>
      <w:r w:rsidR="49E724F5" w:rsidRPr="00E55FB5">
        <w:rPr>
          <w:rFonts w:eastAsia="EC Square Sans Pro" w:cs="EC Square Sans Pro"/>
          <w:noProof/>
          <w:color w:val="000000" w:themeColor="text1"/>
        </w:rPr>
        <w:t>stronger</w:t>
      </w:r>
      <w:r w:rsidRPr="08E360E3">
        <w:rPr>
          <w:rFonts w:eastAsia="EC Square Sans Pro" w:cs="EC Square Sans Pro"/>
          <w:noProof/>
          <w:color w:val="000000" w:themeColor="text1"/>
        </w:rPr>
        <w:t xml:space="preserve"> against the euro </w:t>
      </w:r>
      <w:r w:rsidR="37F7191A" w:rsidRPr="08E360E3">
        <w:rPr>
          <w:rFonts w:eastAsia="EC Square Sans Pro" w:cs="EC Square Sans Pro"/>
          <w:noProof/>
          <w:color w:val="000000" w:themeColor="text1"/>
        </w:rPr>
        <w:t>compared with two</w:t>
      </w:r>
      <w:r w:rsidRPr="08E360E3">
        <w:rPr>
          <w:rFonts w:eastAsia="EC Square Sans Pro" w:cs="EC Square Sans Pro"/>
          <w:noProof/>
          <w:color w:val="000000" w:themeColor="text1"/>
        </w:rPr>
        <w:t xml:space="preserve"> years earlier. Short-term interest rate differentials vis-à-vis the euro area declined </w:t>
      </w:r>
      <w:r w:rsidR="56272294" w:rsidRPr="08E360E3">
        <w:rPr>
          <w:rFonts w:eastAsia="EC Square Sans Pro" w:cs="EC Square Sans Pro"/>
          <w:noProof/>
          <w:color w:val="000000" w:themeColor="text1"/>
        </w:rPr>
        <w:t xml:space="preserve">in 2024 </w:t>
      </w:r>
      <w:r w:rsidR="367DA796" w:rsidRPr="08E360E3">
        <w:rPr>
          <w:rFonts w:eastAsia="EC Square Sans Pro" w:cs="EC Square Sans Pro"/>
          <w:noProof/>
          <w:color w:val="000000" w:themeColor="text1"/>
        </w:rPr>
        <w:t xml:space="preserve">to a </w:t>
      </w:r>
      <w:r w:rsidRPr="08E360E3">
        <w:rPr>
          <w:rFonts w:eastAsia="EC Square Sans Pro" w:cs="EC Square Sans Pro"/>
          <w:noProof/>
          <w:color w:val="000000" w:themeColor="text1"/>
        </w:rPr>
        <w:t xml:space="preserve">minimum of 299 basis points in August, </w:t>
      </w:r>
      <w:r w:rsidR="37F7191A" w:rsidRPr="08E360E3">
        <w:rPr>
          <w:rFonts w:eastAsia="EC Square Sans Pro" w:cs="EC Square Sans Pro"/>
          <w:noProof/>
          <w:color w:val="000000" w:themeColor="text1"/>
        </w:rPr>
        <w:t>with</w:t>
      </w:r>
      <w:r w:rsidRPr="08E360E3">
        <w:rPr>
          <w:rFonts w:eastAsia="EC Square Sans Pro" w:cs="EC Square Sans Pro"/>
          <w:noProof/>
          <w:color w:val="000000" w:themeColor="text1"/>
        </w:rPr>
        <w:t xml:space="preserve"> </w:t>
      </w:r>
      <w:r w:rsidR="367DA796" w:rsidRPr="08E360E3">
        <w:rPr>
          <w:rFonts w:eastAsia="EC Square Sans Pro" w:cs="EC Square Sans Pro"/>
          <w:noProof/>
          <w:color w:val="000000" w:themeColor="text1"/>
        </w:rPr>
        <w:t xml:space="preserve">the </w:t>
      </w:r>
      <w:r w:rsidRPr="08E360E3">
        <w:rPr>
          <w:rFonts w:eastAsia="EC Square Sans Pro" w:cs="EC Square Sans Pro"/>
          <w:noProof/>
          <w:color w:val="000000" w:themeColor="text1"/>
        </w:rPr>
        <w:t>MNB reduc</w:t>
      </w:r>
      <w:r w:rsidR="37F7191A" w:rsidRPr="08E360E3">
        <w:rPr>
          <w:rFonts w:eastAsia="EC Square Sans Pro" w:cs="EC Square Sans Pro"/>
          <w:noProof/>
          <w:color w:val="000000" w:themeColor="text1"/>
        </w:rPr>
        <w:t>ing</w:t>
      </w:r>
      <w:r w:rsidRPr="08E360E3">
        <w:rPr>
          <w:rFonts w:eastAsia="EC Square Sans Pro" w:cs="EC Square Sans Pro"/>
          <w:noProof/>
          <w:color w:val="000000" w:themeColor="text1"/>
        </w:rPr>
        <w:t xml:space="preserve"> </w:t>
      </w:r>
      <w:r w:rsidR="367DA796" w:rsidRPr="08E360E3">
        <w:rPr>
          <w:rFonts w:eastAsia="EC Square Sans Pro" w:cs="EC Square Sans Pro"/>
          <w:noProof/>
          <w:color w:val="000000" w:themeColor="text1"/>
        </w:rPr>
        <w:t xml:space="preserve">its </w:t>
      </w:r>
      <w:r w:rsidRPr="08E360E3">
        <w:rPr>
          <w:rFonts w:eastAsia="EC Square Sans Pro" w:cs="EC Square Sans Pro"/>
          <w:noProof/>
          <w:color w:val="000000" w:themeColor="text1"/>
        </w:rPr>
        <w:t>policy rate</w:t>
      </w:r>
      <w:r w:rsidR="367DA796" w:rsidRPr="08E360E3">
        <w:rPr>
          <w:rFonts w:eastAsia="EC Square Sans Pro" w:cs="EC Square Sans Pro"/>
          <w:noProof/>
          <w:color w:val="000000" w:themeColor="text1"/>
        </w:rPr>
        <w:t xml:space="preserve"> </w:t>
      </w:r>
      <w:r w:rsidR="56272294" w:rsidRPr="08E360E3">
        <w:rPr>
          <w:rFonts w:eastAsia="EC Square Sans Pro" w:cs="EC Square Sans Pro"/>
          <w:noProof/>
          <w:color w:val="000000" w:themeColor="text1"/>
        </w:rPr>
        <w:t xml:space="preserve">much </w:t>
      </w:r>
      <w:r w:rsidR="367DA796" w:rsidRPr="08E360E3">
        <w:rPr>
          <w:rFonts w:eastAsia="EC Square Sans Pro" w:cs="EC Square Sans Pro"/>
          <w:noProof/>
          <w:color w:val="000000" w:themeColor="text1"/>
        </w:rPr>
        <w:t>faster than the ECB</w:t>
      </w:r>
      <w:r w:rsidRPr="08E360E3">
        <w:rPr>
          <w:rFonts w:eastAsia="EC Square Sans Pro" w:cs="EC Square Sans Pro"/>
          <w:noProof/>
          <w:color w:val="000000" w:themeColor="text1"/>
        </w:rPr>
        <w:t xml:space="preserve">. </w:t>
      </w:r>
      <w:r w:rsidR="367DA796" w:rsidRPr="08E360E3">
        <w:rPr>
          <w:rFonts w:eastAsia="EC Square Sans Pro" w:cs="EC Square Sans Pro"/>
          <w:noProof/>
          <w:color w:val="000000" w:themeColor="text1"/>
        </w:rPr>
        <w:t>T</w:t>
      </w:r>
      <w:r w:rsidRPr="08E360E3">
        <w:rPr>
          <w:rFonts w:eastAsia="EC Square Sans Pro" w:cs="EC Square Sans Pro"/>
          <w:noProof/>
          <w:color w:val="000000" w:themeColor="text1"/>
        </w:rPr>
        <w:t>he short</w:t>
      </w:r>
      <w:r w:rsidR="6FEBEB0E" w:rsidRPr="08E360E3">
        <w:rPr>
          <w:rFonts w:eastAsia="EC Square Sans Pro" w:cs="EC Square Sans Pro"/>
          <w:noProof/>
          <w:color w:val="000000" w:themeColor="text1"/>
        </w:rPr>
        <w:t>-</w:t>
      </w:r>
      <w:r w:rsidRPr="08E360E3">
        <w:rPr>
          <w:rFonts w:eastAsia="EC Square Sans Pro" w:cs="EC Square Sans Pro"/>
          <w:noProof/>
          <w:color w:val="000000" w:themeColor="text1"/>
        </w:rPr>
        <w:t xml:space="preserve">term spread </w:t>
      </w:r>
      <w:r w:rsidR="56272294" w:rsidRPr="08E360E3">
        <w:rPr>
          <w:rFonts w:eastAsia="EC Square Sans Pro" w:cs="EC Square Sans Pro"/>
          <w:noProof/>
          <w:color w:val="000000" w:themeColor="text1"/>
        </w:rPr>
        <w:t xml:space="preserve">then </w:t>
      </w:r>
      <w:r w:rsidRPr="08E360E3">
        <w:rPr>
          <w:rFonts w:eastAsia="EC Square Sans Pro" w:cs="EC Square Sans Pro"/>
          <w:noProof/>
          <w:color w:val="000000" w:themeColor="text1"/>
        </w:rPr>
        <w:t>r</w:t>
      </w:r>
      <w:r w:rsidR="56272294" w:rsidRPr="08E360E3">
        <w:rPr>
          <w:rFonts w:eastAsia="EC Square Sans Pro" w:cs="EC Square Sans Pro"/>
          <w:noProof/>
          <w:color w:val="000000" w:themeColor="text1"/>
        </w:rPr>
        <w:t>o</w:t>
      </w:r>
      <w:r w:rsidRPr="08E360E3">
        <w:rPr>
          <w:rFonts w:eastAsia="EC Square Sans Pro" w:cs="EC Square Sans Pro"/>
          <w:noProof/>
          <w:color w:val="000000" w:themeColor="text1"/>
        </w:rPr>
        <w:t xml:space="preserve">se </w:t>
      </w:r>
      <w:r w:rsidR="56272294" w:rsidRPr="08E360E3">
        <w:rPr>
          <w:rFonts w:eastAsia="EC Square Sans Pro" w:cs="EC Square Sans Pro"/>
          <w:noProof/>
          <w:color w:val="000000" w:themeColor="text1"/>
        </w:rPr>
        <w:t>in 2025 with the MNB keeping its rate unchanged and the ECB easing its policy further.</w:t>
      </w:r>
      <w:r w:rsidRPr="08E360E3">
        <w:rPr>
          <w:rFonts w:eastAsia="EC Square Sans Pro" w:cs="EC Square Sans Pro"/>
          <w:noProof/>
          <w:color w:val="000000" w:themeColor="text1"/>
        </w:rPr>
        <w:t xml:space="preserve"> The short-term spread </w:t>
      </w:r>
      <w:r w:rsidR="617AC842" w:rsidRPr="08E360E3">
        <w:rPr>
          <w:rFonts w:eastAsia="EC Square Sans Pro" w:cs="EC Square Sans Pro"/>
          <w:noProof/>
          <w:color w:val="000000" w:themeColor="text1"/>
        </w:rPr>
        <w:t>declined slightly again in 2026</w:t>
      </w:r>
      <w:r w:rsidR="37F7191A" w:rsidRPr="08E360E3">
        <w:rPr>
          <w:rFonts w:eastAsia="EC Square Sans Pro" w:cs="EC Square Sans Pro"/>
          <w:noProof/>
          <w:color w:val="000000" w:themeColor="text1"/>
        </w:rPr>
        <w:t>,</w:t>
      </w:r>
      <w:r w:rsidR="617AC842" w:rsidRPr="08E360E3">
        <w:rPr>
          <w:rFonts w:eastAsia="EC Square Sans Pro" w:cs="EC Square Sans Pro"/>
          <w:noProof/>
          <w:color w:val="000000" w:themeColor="text1"/>
        </w:rPr>
        <w:t xml:space="preserve"> </w:t>
      </w:r>
      <w:r w:rsidR="37F7191A" w:rsidRPr="08E360E3">
        <w:rPr>
          <w:rFonts w:eastAsia="EC Square Sans Pro" w:cs="EC Square Sans Pro"/>
          <w:noProof/>
          <w:color w:val="000000" w:themeColor="text1"/>
        </w:rPr>
        <w:t>reaching</w:t>
      </w:r>
      <w:r w:rsidRPr="08E360E3">
        <w:rPr>
          <w:rFonts w:eastAsia="EC Square Sans Pro" w:cs="EC Square Sans Pro"/>
          <w:noProof/>
          <w:color w:val="000000" w:themeColor="text1"/>
        </w:rPr>
        <w:t xml:space="preserve"> </w:t>
      </w:r>
      <w:r w:rsidR="45C28ED7" w:rsidRPr="08E360E3">
        <w:rPr>
          <w:rFonts w:eastAsia="EC Square Sans Pro" w:cs="EC Square Sans Pro"/>
          <w:noProof/>
          <w:color w:val="000000" w:themeColor="text1"/>
        </w:rPr>
        <w:t>390</w:t>
      </w:r>
      <w:r w:rsidRPr="08E360E3">
        <w:rPr>
          <w:rFonts w:eastAsia="EC Square Sans Pro" w:cs="EC Square Sans Pro"/>
          <w:noProof/>
          <w:color w:val="000000" w:themeColor="text1"/>
        </w:rPr>
        <w:t xml:space="preserve"> basis points in May, </w:t>
      </w:r>
      <w:r w:rsidR="37F7191A" w:rsidRPr="08E360E3">
        <w:rPr>
          <w:rFonts w:eastAsia="EC Square Sans Pro" w:cs="EC Square Sans Pro"/>
          <w:noProof/>
          <w:color w:val="000000" w:themeColor="text1"/>
        </w:rPr>
        <w:t>with</w:t>
      </w:r>
      <w:r w:rsidRPr="08E360E3">
        <w:rPr>
          <w:rFonts w:eastAsia="EC Square Sans Pro" w:cs="EC Square Sans Pro"/>
          <w:noProof/>
          <w:color w:val="000000" w:themeColor="text1"/>
        </w:rPr>
        <w:t xml:space="preserve"> </w:t>
      </w:r>
      <w:r w:rsidR="617AC842" w:rsidRPr="08E360E3">
        <w:rPr>
          <w:rFonts w:eastAsia="EC Square Sans Pro" w:cs="EC Square Sans Pro"/>
          <w:noProof/>
          <w:color w:val="000000" w:themeColor="text1"/>
        </w:rPr>
        <w:t xml:space="preserve">the </w:t>
      </w:r>
      <w:r w:rsidRPr="08E360E3">
        <w:rPr>
          <w:rFonts w:eastAsia="EC Square Sans Pro" w:cs="EC Square Sans Pro"/>
          <w:noProof/>
          <w:color w:val="000000" w:themeColor="text1"/>
        </w:rPr>
        <w:t>MNB lower</w:t>
      </w:r>
      <w:r w:rsidR="37F7191A" w:rsidRPr="08E360E3">
        <w:rPr>
          <w:rFonts w:eastAsia="EC Square Sans Pro" w:cs="EC Square Sans Pro"/>
          <w:noProof/>
          <w:color w:val="000000" w:themeColor="text1"/>
        </w:rPr>
        <w:t xml:space="preserve">ing </w:t>
      </w:r>
      <w:r w:rsidR="617AC842" w:rsidRPr="08E360E3">
        <w:rPr>
          <w:rFonts w:eastAsia="EC Square Sans Pro" w:cs="EC Square Sans Pro"/>
          <w:noProof/>
          <w:color w:val="000000" w:themeColor="text1"/>
        </w:rPr>
        <w:t xml:space="preserve">its policy </w:t>
      </w:r>
      <w:r w:rsidRPr="08E360E3">
        <w:rPr>
          <w:rFonts w:eastAsia="EC Square Sans Pro" w:cs="EC Square Sans Pro"/>
          <w:noProof/>
          <w:color w:val="000000" w:themeColor="text1"/>
        </w:rPr>
        <w:t xml:space="preserve">rate </w:t>
      </w:r>
      <w:r w:rsidR="728B8B86" w:rsidRPr="08E360E3">
        <w:rPr>
          <w:rFonts w:eastAsia="EC Square Sans Pro" w:cs="EC Square Sans Pro"/>
          <w:noProof/>
          <w:color w:val="000000" w:themeColor="text1"/>
        </w:rPr>
        <w:t>i</w:t>
      </w:r>
      <w:r w:rsidRPr="08E360E3">
        <w:rPr>
          <w:rFonts w:eastAsia="EC Square Sans Pro" w:cs="EC Square Sans Pro"/>
          <w:noProof/>
          <w:color w:val="000000" w:themeColor="text1"/>
        </w:rPr>
        <w:t xml:space="preserve">n February 2026 while </w:t>
      </w:r>
      <w:r w:rsidR="617AC842" w:rsidRPr="08E360E3">
        <w:rPr>
          <w:rFonts w:eastAsia="EC Square Sans Pro" w:cs="EC Square Sans Pro"/>
          <w:noProof/>
          <w:color w:val="000000" w:themeColor="text1"/>
        </w:rPr>
        <w:t xml:space="preserve">the </w:t>
      </w:r>
      <w:r w:rsidRPr="08E360E3">
        <w:rPr>
          <w:rFonts w:eastAsia="EC Square Sans Pro" w:cs="EC Square Sans Pro"/>
          <w:noProof/>
          <w:color w:val="000000" w:themeColor="text1"/>
        </w:rPr>
        <w:t xml:space="preserve">ECB </w:t>
      </w:r>
      <w:r w:rsidR="37F7191A" w:rsidRPr="08E360E3">
        <w:rPr>
          <w:rFonts w:eastAsia="EC Square Sans Pro" w:cs="EC Square Sans Pro"/>
          <w:noProof/>
          <w:color w:val="000000" w:themeColor="text1"/>
        </w:rPr>
        <w:t>left</w:t>
      </w:r>
      <w:r w:rsidRPr="08E360E3">
        <w:rPr>
          <w:rFonts w:eastAsia="EC Square Sans Pro" w:cs="EC Square Sans Pro"/>
          <w:noProof/>
          <w:color w:val="000000" w:themeColor="text1"/>
        </w:rPr>
        <w:t xml:space="preserve"> rates unchanged</w:t>
      </w:r>
      <w:r w:rsidR="37F7191A" w:rsidRPr="08E360E3">
        <w:rPr>
          <w:rFonts w:eastAsia="EC Square Sans Pro" w:cs="EC Square Sans Pro"/>
          <w:noProof/>
          <w:color w:val="000000" w:themeColor="text1"/>
        </w:rPr>
        <w:t xml:space="preserve">. </w:t>
      </w:r>
      <w:r w:rsidR="175DD85A" w:rsidRPr="08E360E3">
        <w:rPr>
          <w:rFonts w:eastAsia="EC Square Sans Pro" w:cs="EC Square Sans Pro"/>
          <w:noProof/>
          <w:color w:val="000000" w:themeColor="text1"/>
        </w:rPr>
        <w:t xml:space="preserve">Short-term interest rates also fell following the elections in April. </w:t>
      </w:r>
    </w:p>
    <w:p w14:paraId="456810BA" w14:textId="6A66B4EC" w:rsidR="1E1CCAE5" w:rsidRDefault="5C6CFEDB" w:rsidP="7755A97F">
      <w:pPr>
        <w:ind w:left="567"/>
        <w:rPr>
          <w:rFonts w:eastAsia="EC Square Sans Pro" w:cs="EC Square Sans Pro"/>
          <w:noProof/>
          <w:color w:val="000000" w:themeColor="text1"/>
        </w:rPr>
      </w:pPr>
      <w:r w:rsidRPr="46C448E4">
        <w:rPr>
          <w:rFonts w:eastAsia="EC Square Sans Pro" w:cs="EC Square Sans Pro"/>
          <w:b/>
          <w:bCs/>
          <w:noProof/>
          <w:color w:val="000000" w:themeColor="text1"/>
        </w:rPr>
        <w:t>Hungary does not fulfil the criterion on the convergence of long-term interest rates.</w:t>
      </w:r>
      <w:r w:rsidRPr="46C448E4">
        <w:rPr>
          <w:rFonts w:eastAsia="EC Square Sans Pro" w:cs="EC Square Sans Pro"/>
          <w:noProof/>
          <w:color w:val="000000" w:themeColor="text1"/>
        </w:rPr>
        <w:t xml:space="preserve"> The average long-term interest rate in the year to May 2026 was </w:t>
      </w:r>
      <w:r w:rsidR="00760DCB">
        <w:rPr>
          <w:rFonts w:eastAsia="EC Square Sans Pro" w:cs="EC Square Sans Pro"/>
          <w:noProof/>
          <w:color w:val="000000" w:themeColor="text1"/>
        </w:rPr>
        <w:t>6</w:t>
      </w:r>
      <w:r w:rsidR="00865459">
        <w:rPr>
          <w:rFonts w:eastAsia="EC Square Sans Pro" w:cs="EC Square Sans Pro"/>
          <w:noProof/>
          <w:color w:val="000000" w:themeColor="text1"/>
        </w:rPr>
        <w:t>.7</w:t>
      </w:r>
      <w:r w:rsidRPr="46C448E4">
        <w:rPr>
          <w:rFonts w:eastAsia="EC Square Sans Pro" w:cs="EC Square Sans Pro"/>
          <w:noProof/>
          <w:color w:val="000000" w:themeColor="text1"/>
        </w:rPr>
        <w:t xml:space="preserve">%, </w:t>
      </w:r>
      <w:r w:rsidR="00C91C6A">
        <w:rPr>
          <w:rFonts w:eastAsia="EC Square Sans Pro" w:cs="EC Square Sans Pro"/>
          <w:noProof/>
          <w:color w:val="000000" w:themeColor="text1"/>
        </w:rPr>
        <w:t xml:space="preserve">well </w:t>
      </w:r>
      <w:r w:rsidRPr="46C448E4">
        <w:rPr>
          <w:rFonts w:eastAsia="EC Square Sans Pro" w:cs="EC Square Sans Pro"/>
          <w:noProof/>
          <w:color w:val="000000" w:themeColor="text1"/>
        </w:rPr>
        <w:t xml:space="preserve">above the reference value of </w:t>
      </w:r>
      <w:r>
        <w:rPr>
          <w:rFonts w:eastAsia="EC Square Sans Pro" w:cs="EC Square Sans Pro"/>
          <w:noProof/>
          <w:color w:val="000000" w:themeColor="text1"/>
        </w:rPr>
        <w:t>5.1</w:t>
      </w:r>
      <w:r w:rsidRPr="00865459">
        <w:rPr>
          <w:rFonts w:eastAsia="EC Square Sans Pro" w:cs="EC Square Sans Pro"/>
          <w:noProof/>
          <w:color w:val="000000" w:themeColor="text1"/>
        </w:rPr>
        <w:t xml:space="preserve">%. </w:t>
      </w:r>
      <w:r w:rsidR="00A674AF" w:rsidRPr="00865459">
        <w:rPr>
          <w:rFonts w:eastAsia="EC Square Sans Pro" w:cs="EC Square Sans Pro"/>
          <w:noProof/>
          <w:color w:val="000000" w:themeColor="text1"/>
        </w:rPr>
        <w:t>Hungary’s</w:t>
      </w:r>
      <w:r w:rsidRPr="00865459">
        <w:rPr>
          <w:rFonts w:eastAsia="EC Square Sans Pro" w:cs="EC Square Sans Pro"/>
          <w:noProof/>
          <w:color w:val="000000" w:themeColor="text1"/>
        </w:rPr>
        <w:t xml:space="preserve"> long-term interest </w:t>
      </w:r>
      <w:r w:rsidR="00A674AF" w:rsidRPr="00865459">
        <w:rPr>
          <w:rFonts w:eastAsia="EC Square Sans Pro" w:cs="EC Square Sans Pro"/>
          <w:noProof/>
          <w:color w:val="000000" w:themeColor="text1"/>
        </w:rPr>
        <w:t>rate</w:t>
      </w:r>
      <w:r w:rsidR="00FD4D4B" w:rsidRPr="00865459">
        <w:rPr>
          <w:rFonts w:eastAsia="EC Square Sans Pro" w:cs="EC Square Sans Pro"/>
          <w:noProof/>
          <w:color w:val="000000" w:themeColor="text1"/>
        </w:rPr>
        <w:t xml:space="preserve"> </w:t>
      </w:r>
      <w:r w:rsidRPr="00865459">
        <w:rPr>
          <w:rFonts w:eastAsia="EC Square Sans Pro" w:cs="EC Square Sans Pro"/>
          <w:noProof/>
          <w:color w:val="000000" w:themeColor="text1"/>
        </w:rPr>
        <w:t xml:space="preserve">has been relatively stable since the previous report, </w:t>
      </w:r>
      <w:r w:rsidR="00A674AF" w:rsidRPr="00865459">
        <w:rPr>
          <w:rFonts w:eastAsia="EC Square Sans Pro" w:cs="EC Square Sans Pro"/>
          <w:noProof/>
          <w:color w:val="000000" w:themeColor="text1"/>
        </w:rPr>
        <w:t>with only</w:t>
      </w:r>
      <w:r w:rsidRPr="00865459">
        <w:rPr>
          <w:rFonts w:eastAsia="EC Square Sans Pro" w:cs="EC Square Sans Pro"/>
          <w:noProof/>
          <w:color w:val="000000" w:themeColor="text1"/>
        </w:rPr>
        <w:t xml:space="preserve"> small</w:t>
      </w:r>
      <w:r w:rsidRPr="46C448E4">
        <w:rPr>
          <w:rFonts w:eastAsia="EC Square Sans Pro" w:cs="EC Square Sans Pro"/>
          <w:noProof/>
          <w:color w:val="000000" w:themeColor="text1"/>
        </w:rPr>
        <w:t xml:space="preserve"> changes in the policy rate and </w:t>
      </w:r>
      <w:r w:rsidR="00A674AF">
        <w:rPr>
          <w:rFonts w:eastAsia="EC Square Sans Pro" w:cs="EC Square Sans Pro"/>
          <w:noProof/>
          <w:color w:val="000000" w:themeColor="text1"/>
        </w:rPr>
        <w:t>fairly</w:t>
      </w:r>
      <w:r w:rsidRPr="46C448E4">
        <w:rPr>
          <w:rFonts w:eastAsia="EC Square Sans Pro" w:cs="EC Square Sans Pro"/>
          <w:noProof/>
          <w:color w:val="000000" w:themeColor="text1"/>
        </w:rPr>
        <w:t xml:space="preserve"> stable inflation. </w:t>
      </w:r>
      <w:bookmarkStart w:id="5" w:name="_Hlk232445258"/>
      <w:r w:rsidRPr="46C448E4">
        <w:rPr>
          <w:rFonts w:eastAsia="EC Square Sans Pro" w:cs="EC Square Sans Pro"/>
          <w:noProof/>
          <w:color w:val="000000" w:themeColor="text1"/>
        </w:rPr>
        <w:t>The policy rate cut in February</w:t>
      </w:r>
      <w:r w:rsidRPr="04B6F9DD">
        <w:rPr>
          <w:rFonts w:eastAsia="EC Square Sans Pro" w:cs="EC Square Sans Pro"/>
          <w:noProof/>
          <w:color w:val="000000" w:themeColor="text1"/>
        </w:rPr>
        <w:t xml:space="preserve"> </w:t>
      </w:r>
      <w:r w:rsidR="65F029FB" w:rsidRPr="04B6F9DD">
        <w:rPr>
          <w:rFonts w:eastAsia="EC Square Sans Pro" w:cs="EC Square Sans Pro"/>
          <w:noProof/>
          <w:color w:val="000000" w:themeColor="text1"/>
        </w:rPr>
        <w:t>and the sharp</w:t>
      </w:r>
      <w:r w:rsidR="784F9F47" w:rsidRPr="0673ABAE">
        <w:rPr>
          <w:rFonts w:eastAsia="EC Square Sans Pro" w:cs="EC Square Sans Pro"/>
          <w:noProof/>
          <w:color w:val="000000" w:themeColor="text1"/>
        </w:rPr>
        <w:t xml:space="preserve"> decline in inflation in early</w:t>
      </w:r>
      <w:r w:rsidRPr="46C448E4">
        <w:rPr>
          <w:rFonts w:eastAsia="EC Square Sans Pro" w:cs="EC Square Sans Pro"/>
          <w:noProof/>
          <w:color w:val="000000" w:themeColor="text1"/>
        </w:rPr>
        <w:t xml:space="preserve"> 2026 caused Hungary’s long-term interest rate to </w:t>
      </w:r>
      <w:r w:rsidR="00A674AF">
        <w:rPr>
          <w:rFonts w:eastAsia="EC Square Sans Pro" w:cs="EC Square Sans Pro"/>
          <w:noProof/>
          <w:color w:val="000000" w:themeColor="text1"/>
        </w:rPr>
        <w:t>decrease. However,</w:t>
      </w:r>
      <w:r w:rsidR="5BF2E38B" w:rsidRPr="04B6F9DD">
        <w:rPr>
          <w:rFonts w:eastAsia="EC Square Sans Pro" w:cs="EC Square Sans Pro"/>
          <w:noProof/>
          <w:color w:val="000000" w:themeColor="text1"/>
        </w:rPr>
        <w:t xml:space="preserve"> </w:t>
      </w:r>
      <w:r w:rsidR="00A674AF">
        <w:rPr>
          <w:rFonts w:eastAsia="EC Square Sans Pro" w:cs="EC Square Sans Pro"/>
          <w:noProof/>
          <w:color w:val="000000" w:themeColor="text1"/>
        </w:rPr>
        <w:t>heightened</w:t>
      </w:r>
      <w:r w:rsidRPr="46C448E4">
        <w:rPr>
          <w:rFonts w:eastAsia="EC Square Sans Pro" w:cs="EC Square Sans Pro"/>
          <w:noProof/>
          <w:color w:val="000000" w:themeColor="text1"/>
        </w:rPr>
        <w:t xml:space="preserve"> risk</w:t>
      </w:r>
      <w:r w:rsidR="00A674AF">
        <w:rPr>
          <w:rFonts w:eastAsia="EC Square Sans Pro" w:cs="EC Square Sans Pro"/>
          <w:noProof/>
          <w:color w:val="000000" w:themeColor="text1"/>
        </w:rPr>
        <w:t>s</w:t>
      </w:r>
      <w:r w:rsidRPr="46C448E4">
        <w:rPr>
          <w:rFonts w:eastAsia="EC Square Sans Pro" w:cs="EC Square Sans Pro"/>
          <w:noProof/>
          <w:color w:val="000000" w:themeColor="text1"/>
        </w:rPr>
        <w:t xml:space="preserve"> due to the war in </w:t>
      </w:r>
      <w:r w:rsidR="00A674AF">
        <w:rPr>
          <w:rFonts w:eastAsia="EC Square Sans Pro" w:cs="EC Square Sans Pro"/>
          <w:noProof/>
          <w:color w:val="000000" w:themeColor="text1"/>
        </w:rPr>
        <w:t>the Middle East</w:t>
      </w:r>
      <w:r w:rsidRPr="46C448E4">
        <w:rPr>
          <w:rFonts w:eastAsia="EC Square Sans Pro" w:cs="EC Square Sans Pro"/>
          <w:noProof/>
          <w:color w:val="000000" w:themeColor="text1"/>
        </w:rPr>
        <w:t xml:space="preserve"> </w:t>
      </w:r>
      <w:r w:rsidR="699FBE25" w:rsidRPr="04B6F9DD">
        <w:rPr>
          <w:rFonts w:eastAsia="EC Square Sans Pro" w:cs="EC Square Sans Pro"/>
          <w:noProof/>
          <w:color w:val="000000" w:themeColor="text1"/>
        </w:rPr>
        <w:t xml:space="preserve">temporarily </w:t>
      </w:r>
      <w:r w:rsidRPr="46C448E4">
        <w:rPr>
          <w:rFonts w:eastAsia="EC Square Sans Pro" w:cs="EC Square Sans Pro"/>
          <w:noProof/>
          <w:color w:val="000000" w:themeColor="text1"/>
        </w:rPr>
        <w:t xml:space="preserve">raised </w:t>
      </w:r>
      <w:r w:rsidR="00B82976" w:rsidRPr="46C448E4">
        <w:rPr>
          <w:rFonts w:eastAsia="EC Square Sans Pro" w:cs="EC Square Sans Pro"/>
          <w:noProof/>
          <w:color w:val="000000" w:themeColor="text1"/>
        </w:rPr>
        <w:t xml:space="preserve">it </w:t>
      </w:r>
      <w:r w:rsidRPr="46C448E4">
        <w:rPr>
          <w:rFonts w:eastAsia="EC Square Sans Pro" w:cs="EC Square Sans Pro"/>
          <w:noProof/>
          <w:color w:val="000000" w:themeColor="text1"/>
        </w:rPr>
        <w:t xml:space="preserve">to </w:t>
      </w:r>
      <w:r w:rsidR="00186157">
        <w:rPr>
          <w:rFonts w:eastAsia="EC Square Sans Pro" w:cs="EC Square Sans Pro"/>
          <w:noProof/>
          <w:color w:val="000000" w:themeColor="text1"/>
        </w:rPr>
        <w:t>7.1%</w:t>
      </w:r>
      <w:r w:rsidR="00AB25C6">
        <w:rPr>
          <w:rFonts w:eastAsia="EC Square Sans Pro" w:cs="EC Square Sans Pro"/>
          <w:noProof/>
          <w:color w:val="000000" w:themeColor="text1"/>
        </w:rPr>
        <w:t xml:space="preserve"> in March, the highest </w:t>
      </w:r>
      <w:r w:rsidRPr="46C448E4">
        <w:rPr>
          <w:rFonts w:eastAsia="EC Square Sans Pro" w:cs="EC Square Sans Pro"/>
          <w:noProof/>
          <w:color w:val="000000" w:themeColor="text1"/>
        </w:rPr>
        <w:t>level since 2023</w:t>
      </w:r>
      <w:r w:rsidR="00AB25C6">
        <w:rPr>
          <w:rFonts w:eastAsia="EC Square Sans Pro" w:cs="EC Square Sans Pro"/>
          <w:noProof/>
          <w:color w:val="000000" w:themeColor="text1"/>
        </w:rPr>
        <w:t>. T</w:t>
      </w:r>
      <w:r w:rsidR="7727C173" w:rsidRPr="0673ABAE">
        <w:rPr>
          <w:rFonts w:eastAsia="EC Square Sans Pro" w:cs="EC Square Sans Pro"/>
          <w:noProof/>
          <w:color w:val="000000" w:themeColor="text1"/>
        </w:rPr>
        <w:t>he result</w:t>
      </w:r>
      <w:r w:rsidR="00C04D52">
        <w:rPr>
          <w:rFonts w:eastAsia="EC Square Sans Pro" w:cs="EC Square Sans Pro"/>
          <w:noProof/>
          <w:color w:val="000000" w:themeColor="text1"/>
        </w:rPr>
        <w:t>s</w:t>
      </w:r>
      <w:r w:rsidR="7727C173" w:rsidRPr="0673ABAE">
        <w:rPr>
          <w:rFonts w:eastAsia="EC Square Sans Pro" w:cs="EC Square Sans Pro"/>
          <w:noProof/>
          <w:color w:val="000000" w:themeColor="text1"/>
        </w:rPr>
        <w:t xml:space="preserve"> of </w:t>
      </w:r>
      <w:r w:rsidR="00C04D52">
        <w:rPr>
          <w:rFonts w:eastAsia="EC Square Sans Pro" w:cs="EC Square Sans Pro"/>
          <w:noProof/>
          <w:color w:val="000000" w:themeColor="text1"/>
        </w:rPr>
        <w:t xml:space="preserve">April’s </w:t>
      </w:r>
      <w:r w:rsidR="7727C173" w:rsidRPr="0673ABAE">
        <w:rPr>
          <w:rFonts w:eastAsia="EC Square Sans Pro" w:cs="EC Square Sans Pro"/>
          <w:noProof/>
          <w:color w:val="000000" w:themeColor="text1"/>
        </w:rPr>
        <w:t xml:space="preserve">elections </w:t>
      </w:r>
      <w:r w:rsidR="3241A1D6" w:rsidRPr="0673ABAE">
        <w:rPr>
          <w:rFonts w:eastAsia="EC Square Sans Pro" w:cs="EC Square Sans Pro"/>
          <w:noProof/>
          <w:color w:val="000000" w:themeColor="text1"/>
        </w:rPr>
        <w:t>caused</w:t>
      </w:r>
      <w:r w:rsidR="7727C173" w:rsidRPr="0673ABAE">
        <w:rPr>
          <w:rFonts w:eastAsia="EC Square Sans Pro" w:cs="EC Square Sans Pro"/>
          <w:noProof/>
          <w:color w:val="000000" w:themeColor="text1"/>
        </w:rPr>
        <w:t xml:space="preserve"> </w:t>
      </w:r>
      <w:r w:rsidR="00AB25C6">
        <w:rPr>
          <w:rFonts w:eastAsia="EC Square Sans Pro" w:cs="EC Square Sans Pro"/>
          <w:noProof/>
          <w:color w:val="000000" w:themeColor="text1"/>
        </w:rPr>
        <w:t xml:space="preserve">the </w:t>
      </w:r>
      <w:r w:rsidR="7727C173" w:rsidRPr="0673ABAE">
        <w:rPr>
          <w:rFonts w:eastAsia="EC Square Sans Pro" w:cs="EC Square Sans Pro"/>
          <w:noProof/>
          <w:color w:val="000000" w:themeColor="text1"/>
        </w:rPr>
        <w:t xml:space="preserve">long-term interest rate to </w:t>
      </w:r>
      <w:r w:rsidR="496675C8" w:rsidRPr="0673ABAE">
        <w:rPr>
          <w:rFonts w:eastAsia="EC Square Sans Pro" w:cs="EC Square Sans Pro"/>
          <w:noProof/>
          <w:color w:val="000000" w:themeColor="text1"/>
        </w:rPr>
        <w:t xml:space="preserve">return to </w:t>
      </w:r>
      <w:r w:rsidR="7727C173" w:rsidRPr="0673ABAE">
        <w:rPr>
          <w:rFonts w:eastAsia="EC Square Sans Pro" w:cs="EC Square Sans Pro"/>
          <w:noProof/>
          <w:color w:val="000000" w:themeColor="text1"/>
        </w:rPr>
        <w:t xml:space="preserve">a </w:t>
      </w:r>
      <w:r w:rsidR="466CA25C" w:rsidRPr="0673ABAE">
        <w:rPr>
          <w:rFonts w:eastAsia="EC Square Sans Pro" w:cs="EC Square Sans Pro"/>
          <w:noProof/>
          <w:color w:val="000000" w:themeColor="text1"/>
        </w:rPr>
        <w:t>declining path</w:t>
      </w:r>
      <w:r w:rsidR="001D2516">
        <w:rPr>
          <w:rFonts w:eastAsia="EC Square Sans Pro" w:cs="EC Square Sans Pro"/>
          <w:noProof/>
          <w:color w:val="000000" w:themeColor="text1"/>
        </w:rPr>
        <w:t>, reaching</w:t>
      </w:r>
      <w:r w:rsidR="31DE6B03" w:rsidRPr="0673ABAE">
        <w:rPr>
          <w:rFonts w:eastAsia="EC Square Sans Pro" w:cs="EC Square Sans Pro"/>
          <w:noProof/>
          <w:color w:val="000000" w:themeColor="text1"/>
        </w:rPr>
        <w:t xml:space="preserve"> 5.</w:t>
      </w:r>
      <w:r w:rsidR="00C04D52">
        <w:rPr>
          <w:rFonts w:eastAsia="EC Square Sans Pro" w:cs="EC Square Sans Pro"/>
          <w:noProof/>
          <w:color w:val="000000" w:themeColor="text1"/>
        </w:rPr>
        <w:t>7</w:t>
      </w:r>
      <w:r w:rsidRPr="0673ABAE">
        <w:rPr>
          <w:rFonts w:eastAsia="EC Square Sans Pro" w:cs="EC Square Sans Pro"/>
          <w:noProof/>
          <w:color w:val="000000" w:themeColor="text1"/>
        </w:rPr>
        <w:t>%</w:t>
      </w:r>
      <w:r w:rsidRPr="46C448E4">
        <w:rPr>
          <w:rFonts w:eastAsia="EC Square Sans Pro" w:cs="EC Square Sans Pro"/>
          <w:noProof/>
          <w:color w:val="000000" w:themeColor="text1"/>
        </w:rPr>
        <w:t xml:space="preserve"> in May 2026. </w:t>
      </w:r>
      <w:bookmarkEnd w:id="5"/>
      <w:r w:rsidRPr="46C448E4">
        <w:rPr>
          <w:rFonts w:eastAsia="EC Square Sans Pro" w:cs="EC Square Sans Pro"/>
          <w:noProof/>
          <w:color w:val="000000" w:themeColor="text1"/>
        </w:rPr>
        <w:t xml:space="preserve">The long-term interest rate spread vis-à-vis Germany </w:t>
      </w:r>
      <w:r w:rsidR="00B82976" w:rsidRPr="46C448E4">
        <w:rPr>
          <w:rFonts w:eastAsia="EC Square Sans Pro" w:cs="EC Square Sans Pro"/>
          <w:noProof/>
          <w:color w:val="000000" w:themeColor="text1"/>
        </w:rPr>
        <w:t xml:space="preserve">was </w:t>
      </w:r>
      <w:r w:rsidR="00DA1F51">
        <w:rPr>
          <w:rFonts w:eastAsia="EC Square Sans Pro" w:cs="EC Square Sans Pro"/>
          <w:noProof/>
          <w:color w:val="000000" w:themeColor="text1"/>
        </w:rPr>
        <w:t>relatively</w:t>
      </w:r>
      <w:r w:rsidR="00DA1F51" w:rsidRPr="46C448E4">
        <w:rPr>
          <w:rFonts w:eastAsia="EC Square Sans Pro" w:cs="EC Square Sans Pro"/>
          <w:noProof/>
          <w:color w:val="000000" w:themeColor="text1"/>
        </w:rPr>
        <w:t xml:space="preserve"> </w:t>
      </w:r>
      <w:r w:rsidRPr="46C448E4">
        <w:rPr>
          <w:rFonts w:eastAsia="EC Square Sans Pro" w:cs="EC Square Sans Pro"/>
          <w:noProof/>
          <w:color w:val="000000" w:themeColor="text1"/>
        </w:rPr>
        <w:t xml:space="preserve">stable </w:t>
      </w:r>
      <w:r w:rsidR="00B82976" w:rsidRPr="46C448E4">
        <w:rPr>
          <w:rFonts w:eastAsia="EC Square Sans Pro" w:cs="EC Square Sans Pro"/>
          <w:noProof/>
          <w:color w:val="000000" w:themeColor="text1"/>
        </w:rPr>
        <w:t xml:space="preserve">in </w:t>
      </w:r>
      <w:r w:rsidRPr="46C448E4">
        <w:rPr>
          <w:rFonts w:eastAsia="EC Square Sans Pro" w:cs="EC Square Sans Pro"/>
          <w:noProof/>
          <w:color w:val="000000" w:themeColor="text1"/>
        </w:rPr>
        <w:t xml:space="preserve">2025, </w:t>
      </w:r>
      <w:r w:rsidR="00FA42C8">
        <w:rPr>
          <w:rFonts w:eastAsia="EC Square Sans Pro" w:cs="EC Square Sans Pro"/>
          <w:noProof/>
          <w:color w:val="000000" w:themeColor="text1"/>
        </w:rPr>
        <w:t xml:space="preserve">and then </w:t>
      </w:r>
      <w:r w:rsidR="00EB347B">
        <w:rPr>
          <w:rFonts w:eastAsia="EC Square Sans Pro" w:cs="EC Square Sans Pro"/>
          <w:noProof/>
          <w:color w:val="000000" w:themeColor="text1"/>
        </w:rPr>
        <w:t>fell</w:t>
      </w:r>
      <w:r w:rsidR="00FA42C8">
        <w:rPr>
          <w:rFonts w:eastAsia="EC Square Sans Pro" w:cs="EC Square Sans Pro"/>
          <w:noProof/>
          <w:color w:val="000000" w:themeColor="text1"/>
        </w:rPr>
        <w:t xml:space="preserve"> in </w:t>
      </w:r>
      <w:r w:rsidRPr="46C448E4">
        <w:rPr>
          <w:rFonts w:eastAsia="EC Square Sans Pro" w:cs="EC Square Sans Pro"/>
          <w:noProof/>
          <w:color w:val="000000" w:themeColor="text1"/>
        </w:rPr>
        <w:t>2026</w:t>
      </w:r>
      <w:r w:rsidR="54A6363A" w:rsidRPr="0673ABAE">
        <w:rPr>
          <w:rFonts w:eastAsia="EC Square Sans Pro" w:cs="EC Square Sans Pro"/>
          <w:noProof/>
          <w:color w:val="000000" w:themeColor="text1"/>
        </w:rPr>
        <w:t xml:space="preserve"> following the </w:t>
      </w:r>
      <w:r w:rsidR="00EB347B">
        <w:rPr>
          <w:rFonts w:eastAsia="EC Square Sans Pro" w:cs="EC Square Sans Pro"/>
          <w:noProof/>
          <w:color w:val="000000" w:themeColor="text1"/>
        </w:rPr>
        <w:t>decrease</w:t>
      </w:r>
      <w:r w:rsidR="348A2B09" w:rsidRPr="0673ABAE">
        <w:rPr>
          <w:rFonts w:eastAsia="EC Square Sans Pro" w:cs="EC Square Sans Pro"/>
          <w:noProof/>
          <w:color w:val="000000" w:themeColor="text1"/>
        </w:rPr>
        <w:t xml:space="preserve"> in </w:t>
      </w:r>
      <w:r w:rsidR="00EB347B">
        <w:rPr>
          <w:rFonts w:eastAsia="EC Square Sans Pro" w:cs="EC Square Sans Pro"/>
          <w:noProof/>
          <w:color w:val="000000" w:themeColor="text1"/>
        </w:rPr>
        <w:t xml:space="preserve">the </w:t>
      </w:r>
      <w:r w:rsidR="348A2B09" w:rsidRPr="0673ABAE">
        <w:rPr>
          <w:rFonts w:eastAsia="EC Square Sans Pro" w:cs="EC Square Sans Pro"/>
          <w:noProof/>
          <w:color w:val="000000" w:themeColor="text1"/>
        </w:rPr>
        <w:t xml:space="preserve">long-term </w:t>
      </w:r>
      <w:r w:rsidR="00EB347B">
        <w:rPr>
          <w:rFonts w:eastAsia="EC Square Sans Pro" w:cs="EC Square Sans Pro"/>
          <w:noProof/>
          <w:color w:val="000000" w:themeColor="text1"/>
        </w:rPr>
        <w:t xml:space="preserve">interest </w:t>
      </w:r>
      <w:r w:rsidR="348A2B09" w:rsidRPr="0673ABAE">
        <w:rPr>
          <w:rFonts w:eastAsia="EC Square Sans Pro" w:cs="EC Square Sans Pro"/>
          <w:noProof/>
          <w:color w:val="000000" w:themeColor="text1"/>
        </w:rPr>
        <w:t>rate</w:t>
      </w:r>
      <w:r w:rsidR="00FA42C8" w:rsidRPr="0673ABAE">
        <w:rPr>
          <w:rFonts w:eastAsia="EC Square Sans Pro" w:cs="EC Square Sans Pro"/>
          <w:noProof/>
          <w:color w:val="000000" w:themeColor="text1"/>
        </w:rPr>
        <w:t>.</w:t>
      </w:r>
      <w:r w:rsidR="00FA42C8">
        <w:rPr>
          <w:rFonts w:eastAsia="EC Square Sans Pro" w:cs="EC Square Sans Pro"/>
          <w:noProof/>
          <w:color w:val="000000" w:themeColor="text1"/>
        </w:rPr>
        <w:t xml:space="preserve"> </w:t>
      </w:r>
      <w:r w:rsidRPr="46C448E4">
        <w:rPr>
          <w:rFonts w:eastAsia="EC Square Sans Pro" w:cs="EC Square Sans Pro"/>
          <w:noProof/>
          <w:color w:val="000000" w:themeColor="text1"/>
        </w:rPr>
        <w:t xml:space="preserve">The long-term spread versus the German benchmark bond </w:t>
      </w:r>
      <w:r w:rsidR="00A22C96">
        <w:rPr>
          <w:rFonts w:eastAsia="EC Square Sans Pro" w:cs="EC Square Sans Pro"/>
          <w:noProof/>
          <w:color w:val="000000" w:themeColor="text1"/>
        </w:rPr>
        <w:t>was</w:t>
      </w:r>
      <w:r w:rsidR="4B174770" w:rsidRPr="0673ABAE">
        <w:rPr>
          <w:rFonts w:eastAsia="EC Square Sans Pro" w:cs="EC Square Sans Pro"/>
          <w:noProof/>
          <w:color w:val="000000" w:themeColor="text1"/>
        </w:rPr>
        <w:t xml:space="preserve"> 260 </w:t>
      </w:r>
      <w:r w:rsidRPr="46C448E4">
        <w:rPr>
          <w:rFonts w:eastAsia="EC Square Sans Pro" w:cs="EC Square Sans Pro"/>
          <w:noProof/>
          <w:color w:val="000000" w:themeColor="text1"/>
        </w:rPr>
        <w:t xml:space="preserve">basis points </w:t>
      </w:r>
      <w:r w:rsidR="5E5FC168" w:rsidRPr="46C448E4">
        <w:rPr>
          <w:rFonts w:eastAsia="EC Square Sans Pro" w:cs="EC Square Sans Pro"/>
          <w:noProof/>
          <w:color w:val="000000" w:themeColor="text1"/>
        </w:rPr>
        <w:t>in May 2026</w:t>
      </w:r>
      <w:r w:rsidRPr="46C448E4">
        <w:rPr>
          <w:rFonts w:eastAsia="EC Square Sans Pro" w:cs="EC Square Sans Pro"/>
          <w:noProof/>
          <w:color w:val="000000" w:themeColor="text1"/>
        </w:rPr>
        <w:t>.</w:t>
      </w:r>
    </w:p>
    <w:p w14:paraId="5C9FCB92" w14:textId="364CEE51" w:rsidR="1E1CCAE5" w:rsidRDefault="5C6CFEDB" w:rsidP="004B2463">
      <w:pPr>
        <w:ind w:left="567"/>
        <w:rPr>
          <w:rFonts w:eastAsia="EC Square Sans Pro" w:cs="EC Square Sans Pro"/>
          <w:noProof/>
          <w:color w:val="000000" w:themeColor="text1"/>
        </w:rPr>
      </w:pPr>
      <w:r w:rsidRPr="7755A97F">
        <w:rPr>
          <w:rFonts w:eastAsia="EC Square Sans Pro" w:cs="EC Square Sans Pro"/>
          <w:noProof/>
          <w:color w:val="000000" w:themeColor="text1"/>
        </w:rPr>
        <w:t xml:space="preserve">The Commission has also examined </w:t>
      </w:r>
      <w:r w:rsidRPr="7755A97F">
        <w:rPr>
          <w:rFonts w:eastAsia="EC Square Sans Pro" w:cs="EC Square Sans Pro"/>
          <w:b/>
          <w:bCs/>
          <w:noProof/>
          <w:color w:val="000000" w:themeColor="text1"/>
        </w:rPr>
        <w:t>additional factors</w:t>
      </w:r>
      <w:r w:rsidRPr="7755A97F">
        <w:rPr>
          <w:rFonts w:eastAsia="EC Square Sans Pro" w:cs="EC Square Sans Pro"/>
          <w:noProof/>
          <w:color w:val="000000" w:themeColor="text1"/>
        </w:rPr>
        <w:t xml:space="preserve">, including balance of payments developments, the integration of markets and the institutional environment. </w:t>
      </w:r>
      <w:r w:rsidR="005604F0">
        <w:rPr>
          <w:rFonts w:eastAsia="EC Square Sans Pro" w:cs="EC Square Sans Pro"/>
          <w:noProof/>
          <w:color w:val="000000" w:themeColor="text1"/>
        </w:rPr>
        <w:t xml:space="preserve">Hungary’s </w:t>
      </w:r>
      <w:r w:rsidRPr="7755A97F">
        <w:rPr>
          <w:rFonts w:eastAsia="EC Square Sans Pro" w:cs="EC Square Sans Pro"/>
          <w:noProof/>
          <w:color w:val="000000" w:themeColor="text1"/>
        </w:rPr>
        <w:t>external balance (</w:t>
      </w:r>
      <w:r w:rsidR="005604F0">
        <w:rPr>
          <w:rFonts w:eastAsia="EC Square Sans Pro" w:cs="EC Square Sans Pro"/>
          <w:noProof/>
          <w:color w:val="000000" w:themeColor="text1"/>
        </w:rPr>
        <w:t xml:space="preserve">i.e. </w:t>
      </w:r>
      <w:r w:rsidRPr="7755A97F">
        <w:rPr>
          <w:rFonts w:eastAsia="EC Square Sans Pro" w:cs="EC Square Sans Pro"/>
          <w:noProof/>
          <w:color w:val="000000" w:themeColor="text1"/>
        </w:rPr>
        <w:t xml:space="preserve">the combined current and capital account) improved to </w:t>
      </w:r>
      <w:r w:rsidR="001469A7">
        <w:rPr>
          <w:rFonts w:eastAsia="EC Square Sans Pro" w:cs="EC Square Sans Pro"/>
          <w:noProof/>
          <w:color w:val="000000" w:themeColor="text1"/>
        </w:rPr>
        <w:t>2.2</w:t>
      </w:r>
      <w:r w:rsidRPr="7755A97F">
        <w:rPr>
          <w:rFonts w:eastAsia="EC Square Sans Pro" w:cs="EC Square Sans Pro"/>
          <w:noProof/>
          <w:color w:val="000000" w:themeColor="text1"/>
        </w:rPr>
        <w:t xml:space="preserve">% of GDP in 2024 mainly due to </w:t>
      </w:r>
      <w:r w:rsidR="005604F0">
        <w:rPr>
          <w:rFonts w:eastAsia="EC Square Sans Pro" w:cs="EC Square Sans Pro"/>
          <w:noProof/>
          <w:color w:val="000000" w:themeColor="text1"/>
        </w:rPr>
        <w:t>an</w:t>
      </w:r>
      <w:r w:rsidRPr="7755A97F">
        <w:rPr>
          <w:rFonts w:eastAsia="EC Square Sans Pro" w:cs="EC Square Sans Pro"/>
          <w:noProof/>
          <w:color w:val="000000" w:themeColor="text1"/>
        </w:rPr>
        <w:t xml:space="preserve"> improvement in the trade balance. </w:t>
      </w:r>
      <w:r w:rsidR="6E33601B" w:rsidRPr="7755A97F">
        <w:rPr>
          <w:rFonts w:eastAsia="EC Square Sans Pro" w:cs="EC Square Sans Pro"/>
          <w:noProof/>
          <w:color w:val="000000" w:themeColor="text1"/>
        </w:rPr>
        <w:t>It</w:t>
      </w:r>
      <w:r w:rsidRPr="7755A97F">
        <w:rPr>
          <w:rFonts w:eastAsia="EC Square Sans Pro" w:cs="EC Square Sans Pro"/>
          <w:noProof/>
          <w:color w:val="000000" w:themeColor="text1"/>
        </w:rPr>
        <w:t xml:space="preserve"> </w:t>
      </w:r>
      <w:r w:rsidRPr="00C231B1">
        <w:rPr>
          <w:rFonts w:eastAsia="EC Square Sans Pro" w:cs="EC Square Sans Pro"/>
          <w:noProof/>
          <w:color w:val="000000" w:themeColor="text1"/>
        </w:rPr>
        <w:t xml:space="preserve">remained at </w:t>
      </w:r>
      <w:r w:rsidR="619AB49E" w:rsidRPr="00C231B1">
        <w:rPr>
          <w:rFonts w:eastAsia="EC Square Sans Pro" w:cs="EC Square Sans Pro"/>
          <w:noProof/>
          <w:color w:val="000000" w:themeColor="text1"/>
        </w:rPr>
        <w:t>2</w:t>
      </w:r>
      <w:r w:rsidRPr="00C231B1">
        <w:rPr>
          <w:rFonts w:eastAsia="EC Square Sans Pro" w:cs="EC Square Sans Pro"/>
          <w:noProof/>
          <w:color w:val="000000" w:themeColor="text1"/>
        </w:rPr>
        <w:t>.</w:t>
      </w:r>
      <w:r w:rsidR="001469A7" w:rsidRPr="00C231B1">
        <w:rPr>
          <w:rFonts w:eastAsia="EC Square Sans Pro" w:cs="EC Square Sans Pro"/>
          <w:noProof/>
          <w:color w:val="000000" w:themeColor="text1"/>
        </w:rPr>
        <w:t>2</w:t>
      </w:r>
      <w:r w:rsidRPr="00C231B1">
        <w:rPr>
          <w:rFonts w:eastAsia="EC Square Sans Pro" w:cs="EC Square Sans Pro"/>
          <w:noProof/>
          <w:color w:val="000000" w:themeColor="text1"/>
        </w:rPr>
        <w:t>% of GDP in</w:t>
      </w:r>
      <w:r w:rsidRPr="7755A97F">
        <w:rPr>
          <w:rFonts w:eastAsia="EC Square Sans Pro" w:cs="EC Square Sans Pro"/>
          <w:noProof/>
          <w:color w:val="000000" w:themeColor="text1"/>
        </w:rPr>
        <w:t xml:space="preserve"> 2025 with </w:t>
      </w:r>
      <w:r w:rsidR="00270C3E">
        <w:rPr>
          <w:rFonts w:eastAsia="EC Square Sans Pro" w:cs="EC Square Sans Pro"/>
          <w:noProof/>
          <w:color w:val="000000" w:themeColor="text1"/>
        </w:rPr>
        <w:t xml:space="preserve">its </w:t>
      </w:r>
      <w:r w:rsidRPr="7755A97F">
        <w:rPr>
          <w:rFonts w:eastAsia="EC Square Sans Pro" w:cs="EC Square Sans Pro"/>
          <w:noProof/>
          <w:color w:val="000000" w:themeColor="text1"/>
        </w:rPr>
        <w:t xml:space="preserve">widening trade deficit in goods and trade surplus in services cancelling </w:t>
      </w:r>
      <w:r w:rsidR="00270C3E">
        <w:rPr>
          <w:rFonts w:eastAsia="EC Square Sans Pro" w:cs="EC Square Sans Pro"/>
          <w:noProof/>
          <w:color w:val="000000" w:themeColor="text1"/>
        </w:rPr>
        <w:t>each other out</w:t>
      </w:r>
      <w:r w:rsidRPr="7755A97F">
        <w:rPr>
          <w:rFonts w:eastAsia="EC Square Sans Pro" w:cs="EC Square Sans Pro"/>
          <w:noProof/>
          <w:color w:val="000000" w:themeColor="text1"/>
        </w:rPr>
        <w:t xml:space="preserve">. The </w:t>
      </w:r>
      <w:r w:rsidRPr="008D3E84">
        <w:rPr>
          <w:rFonts w:eastAsia="EC Square Sans Pro" w:cs="EC Square Sans Pro"/>
          <w:noProof/>
          <w:color w:val="000000" w:themeColor="text1"/>
        </w:rPr>
        <w:t xml:space="preserve">Hungarian economy is highly integrated with the euro area through trade and investment linkages. </w:t>
      </w:r>
      <w:r w:rsidRPr="004F5533">
        <w:rPr>
          <w:rFonts w:eastAsia="EC Square Sans Pro" w:cs="EC Square Sans Pro"/>
          <w:noProof/>
          <w:color w:val="000000" w:themeColor="text1"/>
        </w:rPr>
        <w:t xml:space="preserve">Selected indicators relating to the institutional environment show that Hungary performs worse </w:t>
      </w:r>
      <w:r w:rsidRPr="00C6104E">
        <w:rPr>
          <w:rFonts w:eastAsia="EC Square Sans Pro" w:cs="EC Square Sans Pro"/>
          <w:noProof/>
          <w:color w:val="000000" w:themeColor="text1"/>
        </w:rPr>
        <w:t>than many euro area Member States</w:t>
      </w:r>
      <w:r w:rsidR="005A15CA">
        <w:rPr>
          <w:rFonts w:eastAsia="EC Square Sans Pro" w:cs="EC Square Sans Pro"/>
          <w:noProof/>
          <w:color w:val="000000" w:themeColor="text1"/>
        </w:rPr>
        <w:t xml:space="preserve"> in this regard</w:t>
      </w:r>
      <w:r w:rsidRPr="00C6104E">
        <w:rPr>
          <w:rFonts w:eastAsia="EC Square Sans Pro" w:cs="EC Square Sans Pro"/>
          <w:noProof/>
          <w:color w:val="000000" w:themeColor="text1"/>
        </w:rPr>
        <w:t>.</w:t>
      </w:r>
      <w:r w:rsidRPr="00C6104E" w:rsidDel="007D7F74">
        <w:rPr>
          <w:rFonts w:eastAsia="EC Square Sans Pro" w:cs="EC Square Sans Pro"/>
          <w:noProof/>
          <w:color w:val="000000" w:themeColor="text1"/>
        </w:rPr>
        <w:t xml:space="preserve"> Hungary faces challenges in areas such as </w:t>
      </w:r>
      <w:r w:rsidRPr="00C6104E">
        <w:rPr>
          <w:rFonts w:eastAsia="EC Square Sans Pro" w:cs="EC Square Sans Pro"/>
          <w:noProof/>
          <w:color w:val="000000" w:themeColor="text1"/>
        </w:rPr>
        <w:t xml:space="preserve">regulatory quality and control of corruption. It also performs </w:t>
      </w:r>
      <w:r w:rsidR="00B82976" w:rsidRPr="00C6104E">
        <w:rPr>
          <w:rFonts w:eastAsia="EC Square Sans Pro" w:cs="EC Square Sans Pro"/>
          <w:noProof/>
          <w:color w:val="000000" w:themeColor="text1"/>
        </w:rPr>
        <w:t xml:space="preserve">worse </w:t>
      </w:r>
      <w:r w:rsidRPr="00C6104E">
        <w:rPr>
          <w:rFonts w:eastAsia="EC Square Sans Pro" w:cs="EC Square Sans Pro"/>
          <w:noProof/>
          <w:color w:val="000000" w:themeColor="text1"/>
        </w:rPr>
        <w:t>than the euro area average in terms of government effectiveness and rule of law. Hungary’s</w:t>
      </w:r>
      <w:r w:rsidRPr="7755A97F">
        <w:rPr>
          <w:rFonts w:eastAsia="EC Square Sans Pro" w:cs="EC Square Sans Pro"/>
          <w:noProof/>
          <w:color w:val="000000" w:themeColor="text1"/>
        </w:rPr>
        <w:t xml:space="preserve"> financial system is characterised by a large presence of foreign holdings that perform no financial intermediation in the domestic economy. Excluding these, Hungary’s financial system is less developed than the euro area</w:t>
      </w:r>
      <w:r w:rsidR="00B82976">
        <w:rPr>
          <w:rFonts w:eastAsia="EC Square Sans Pro" w:cs="EC Square Sans Pro"/>
          <w:noProof/>
          <w:color w:val="000000" w:themeColor="text1"/>
        </w:rPr>
        <w:t xml:space="preserve"> average</w:t>
      </w:r>
      <w:r w:rsidRPr="7755A97F">
        <w:rPr>
          <w:rFonts w:eastAsia="EC Square Sans Pro" w:cs="EC Square Sans Pro"/>
          <w:noProof/>
          <w:color w:val="000000" w:themeColor="text1"/>
        </w:rPr>
        <w:t xml:space="preserve">. Hungary's banking sector </w:t>
      </w:r>
      <w:r w:rsidR="00270C3E">
        <w:rPr>
          <w:rFonts w:eastAsia="EC Square Sans Pro" w:cs="EC Square Sans Pro"/>
          <w:noProof/>
          <w:color w:val="000000" w:themeColor="text1"/>
        </w:rPr>
        <w:t>has</w:t>
      </w:r>
      <w:r w:rsidRPr="7755A97F">
        <w:rPr>
          <w:rFonts w:eastAsia="EC Square Sans Pro" w:cs="EC Square Sans Pro"/>
          <w:noProof/>
          <w:color w:val="000000" w:themeColor="text1"/>
        </w:rPr>
        <w:t xml:space="preserve"> a large and relatively stable weight in the financial sector and is well integrated into the euro area financial system due to a relatively large share of foreign ownership. The equity and debt markets are small and relatively less developed. In the context of the Macroeconomic Imbalance Procedure, the Commission concluded in its Alert Mechanism Report for 2026 that an In-Depth Review</w:t>
      </w:r>
      <w:r w:rsidR="00CF6F48">
        <w:rPr>
          <w:rFonts w:eastAsia="EC Square Sans Pro" w:cs="EC Square Sans Pro"/>
          <w:noProof/>
          <w:color w:val="000000" w:themeColor="text1"/>
        </w:rPr>
        <w:t xml:space="preserve"> (IDR)</w:t>
      </w:r>
      <w:r w:rsidRPr="7755A97F">
        <w:rPr>
          <w:rFonts w:eastAsia="EC Square Sans Pro" w:cs="EC Square Sans Pro"/>
          <w:noProof/>
          <w:color w:val="000000" w:themeColor="text1"/>
        </w:rPr>
        <w:t xml:space="preserve"> was warranted for Hungary</w:t>
      </w:r>
      <w:r w:rsidRPr="0098657C">
        <w:rPr>
          <w:rFonts w:eastAsia="EC Square Sans Pro" w:cs="EC Square Sans Pro"/>
          <w:noProof/>
          <w:color w:val="000000" w:themeColor="text1"/>
        </w:rPr>
        <w:t xml:space="preserve">. </w:t>
      </w:r>
      <w:r w:rsidRPr="0098405B">
        <w:rPr>
          <w:rFonts w:eastAsia="EC Square Sans Pro" w:cs="EC Square Sans Pro"/>
          <w:noProof/>
          <w:color w:val="000000" w:themeColor="text1"/>
        </w:rPr>
        <w:t xml:space="preserve">The </w:t>
      </w:r>
      <w:r w:rsidR="00BB6DB7">
        <w:rPr>
          <w:rFonts w:eastAsia="EC Square Sans Pro" w:cs="EC Square Sans Pro"/>
          <w:noProof/>
          <w:color w:val="000000" w:themeColor="text1"/>
        </w:rPr>
        <w:t xml:space="preserve">IDR </w:t>
      </w:r>
      <w:r w:rsidRPr="0098405B">
        <w:rPr>
          <w:rFonts w:eastAsia="EC Square Sans Pro" w:cs="EC Square Sans Pro"/>
          <w:noProof/>
          <w:color w:val="000000" w:themeColor="text1"/>
        </w:rPr>
        <w:t xml:space="preserve">concluded that Hungary is experiencing </w:t>
      </w:r>
      <w:r w:rsidR="001242B4" w:rsidRPr="0098405B">
        <w:rPr>
          <w:rFonts w:eastAsia="EC Square Sans Pro" w:cs="EC Square Sans Pro"/>
          <w:noProof/>
          <w:color w:val="000000" w:themeColor="text1"/>
        </w:rPr>
        <w:t>v</w:t>
      </w:r>
      <w:r w:rsidRPr="0098405B">
        <w:rPr>
          <w:rFonts w:eastAsia="EC Square Sans Pro" w:cs="EC Square Sans Pro"/>
          <w:noProof/>
          <w:color w:val="000000" w:themeColor="text1"/>
        </w:rPr>
        <w:t>ulnerabilities relate</w:t>
      </w:r>
      <w:r w:rsidR="001242B4" w:rsidRPr="0098405B">
        <w:rPr>
          <w:rFonts w:eastAsia="EC Square Sans Pro" w:cs="EC Square Sans Pro"/>
          <w:noProof/>
          <w:color w:val="000000" w:themeColor="text1"/>
        </w:rPr>
        <w:t>d</w:t>
      </w:r>
      <w:r w:rsidRPr="0098405B">
        <w:rPr>
          <w:rFonts w:eastAsia="EC Square Sans Pro" w:cs="EC Square Sans Pro"/>
          <w:noProof/>
          <w:color w:val="000000" w:themeColor="text1"/>
        </w:rPr>
        <w:t xml:space="preserve"> to </w:t>
      </w:r>
      <w:r w:rsidR="00BB6DB7">
        <w:rPr>
          <w:rFonts w:eastAsia="EC Square Sans Pro" w:cs="EC Square Sans Pro"/>
          <w:noProof/>
          <w:color w:val="000000" w:themeColor="text1"/>
        </w:rPr>
        <w:t xml:space="preserve">its </w:t>
      </w:r>
      <w:r w:rsidR="005D6325" w:rsidRPr="007B5DCE">
        <w:rPr>
          <w:rFonts w:eastAsia="EC Square Sans Pro" w:cs="EC Square Sans Pro"/>
          <w:noProof/>
          <w:color w:val="000000" w:themeColor="text1"/>
        </w:rPr>
        <w:t xml:space="preserve">high government debt and government financing needs, </w:t>
      </w:r>
      <w:r w:rsidR="00556447" w:rsidRPr="007B5DCE">
        <w:rPr>
          <w:rFonts w:eastAsia="EC Square Sans Pro" w:cs="EC Square Sans Pro"/>
          <w:noProof/>
          <w:color w:val="000000" w:themeColor="text1"/>
        </w:rPr>
        <w:t xml:space="preserve">cost </w:t>
      </w:r>
      <w:r w:rsidR="005D6325" w:rsidRPr="007B5DCE">
        <w:rPr>
          <w:rFonts w:eastAsia="EC Square Sans Pro" w:cs="EC Square Sans Pro"/>
          <w:noProof/>
          <w:color w:val="000000" w:themeColor="text1"/>
        </w:rPr>
        <w:t>competitiveness and house prices</w:t>
      </w:r>
      <w:r w:rsidRPr="007B5DCE">
        <w:rPr>
          <w:rFonts w:eastAsia="EC Square Sans Pro" w:cs="EC Square Sans Pro"/>
          <w:noProof/>
          <w:color w:val="000000" w:themeColor="text1"/>
        </w:rPr>
        <w:t>.</w:t>
      </w:r>
      <w:r w:rsidR="00C518DF">
        <w:rPr>
          <w:rFonts w:eastAsia="EC Square Sans Pro" w:cs="EC Square Sans Pro"/>
          <w:noProof/>
          <w:color w:val="000000" w:themeColor="text1"/>
        </w:rPr>
        <w:t xml:space="preserve"> </w:t>
      </w:r>
      <w:r w:rsidR="00C518DF" w:rsidRPr="00706ECB">
        <w:rPr>
          <w:noProof/>
        </w:rPr>
        <w:t>Taking into account th</w:t>
      </w:r>
      <w:r w:rsidR="001242B4">
        <w:rPr>
          <w:noProof/>
        </w:rPr>
        <w:t>is</w:t>
      </w:r>
      <w:r w:rsidR="00C518DF" w:rsidRPr="00706ECB">
        <w:rPr>
          <w:noProof/>
        </w:rPr>
        <w:t xml:space="preserve"> assessment in the </w:t>
      </w:r>
      <w:r w:rsidR="00CF6F48">
        <w:rPr>
          <w:noProof/>
        </w:rPr>
        <w:t>IDR</w:t>
      </w:r>
      <w:r w:rsidR="00C518DF" w:rsidRPr="00706ECB">
        <w:rPr>
          <w:noProof/>
        </w:rPr>
        <w:t xml:space="preserve">, the </w:t>
      </w:r>
      <w:r w:rsidR="00C518DF" w:rsidRPr="001E4966">
        <w:rPr>
          <w:noProof/>
        </w:rPr>
        <w:t xml:space="preserve">Commission, in its Communication </w:t>
      </w:r>
      <w:r w:rsidR="00FD124B" w:rsidRPr="0098405B">
        <w:rPr>
          <w:noProof/>
        </w:rPr>
        <w:t xml:space="preserve">on </w:t>
      </w:r>
      <w:r w:rsidR="001F2D50" w:rsidRPr="0098405B">
        <w:rPr>
          <w:noProof/>
        </w:rPr>
        <w:t xml:space="preserve">the </w:t>
      </w:r>
      <w:r w:rsidR="00DD4AD4">
        <w:rPr>
          <w:noProof/>
        </w:rPr>
        <w:t xml:space="preserve">2026 </w:t>
      </w:r>
      <w:r w:rsidR="00C518DF" w:rsidRPr="001E4966">
        <w:rPr>
          <w:noProof/>
        </w:rPr>
        <w:t>European Semester Spring Package</w:t>
      </w:r>
      <w:r w:rsidR="00C518DF" w:rsidRPr="00062C27">
        <w:rPr>
          <w:noProof/>
        </w:rPr>
        <w:t>, c</w:t>
      </w:r>
      <w:r w:rsidR="00C518DF" w:rsidRPr="001E4966">
        <w:rPr>
          <w:noProof/>
        </w:rPr>
        <w:t xml:space="preserve">onsiders that </w:t>
      </w:r>
      <w:r w:rsidR="00C518DF" w:rsidRPr="00B73349">
        <w:rPr>
          <w:noProof/>
        </w:rPr>
        <w:t xml:space="preserve">Hungary </w:t>
      </w:r>
      <w:r w:rsidR="007B73A4" w:rsidRPr="00E55FB5">
        <w:rPr>
          <w:noProof/>
        </w:rPr>
        <w:t>continues</w:t>
      </w:r>
      <w:r w:rsidR="00C518DF" w:rsidRPr="00E55FB5">
        <w:rPr>
          <w:noProof/>
        </w:rPr>
        <w:t xml:space="preserve"> </w:t>
      </w:r>
      <w:r w:rsidR="00B73349" w:rsidRPr="00E55FB5">
        <w:rPr>
          <w:noProof/>
        </w:rPr>
        <w:t xml:space="preserve">to </w:t>
      </w:r>
      <w:r w:rsidR="00C518DF" w:rsidRPr="00E55FB5">
        <w:rPr>
          <w:noProof/>
        </w:rPr>
        <w:t>experienc</w:t>
      </w:r>
      <w:r w:rsidR="00B73349" w:rsidRPr="00E55FB5">
        <w:rPr>
          <w:noProof/>
        </w:rPr>
        <w:t>e</w:t>
      </w:r>
      <w:r w:rsidR="00C518DF" w:rsidRPr="00E55FB5">
        <w:rPr>
          <w:noProof/>
        </w:rPr>
        <w:t xml:space="preserve"> macroeconomic imbalances.</w:t>
      </w:r>
    </w:p>
    <w:p w14:paraId="741597F9" w14:textId="281811EA" w:rsidR="52A3362B" w:rsidRDefault="00F96617" w:rsidP="11E801D1">
      <w:pPr>
        <w:ind w:left="567"/>
        <w:rPr>
          <w:rFonts w:eastAsia="EC Square Sans Pro" w:cs="EC Square Sans Pro"/>
          <w:noProof/>
          <w:color w:val="000000" w:themeColor="text1"/>
        </w:rPr>
      </w:pPr>
      <w:r w:rsidRPr="001A0D08">
        <w:rPr>
          <w:noProof/>
        </w:rPr>
        <w:t>Hungary’s recovery and resilience plan (RRP) includes measures to address a series of structural challenges, in synergy with other EU funds, including cohesion policy funds, to boost its competitiveness and stimulate sustainable growth and reduce the country’s territorial and social disparities. The RRF funding provides Hungary with EUR</w:t>
      </w:r>
      <w:r w:rsidRPr="002B0C67">
        <w:rPr>
          <w:noProof/>
        </w:rPr>
        <w:t xml:space="preserve"> </w:t>
      </w:r>
      <w:r w:rsidR="492091EC" w:rsidRPr="00E55FB5">
        <w:rPr>
          <w:noProof/>
        </w:rPr>
        <w:t xml:space="preserve">10 </w:t>
      </w:r>
      <w:r w:rsidRPr="00E55FB5">
        <w:rPr>
          <w:noProof/>
        </w:rPr>
        <w:t xml:space="preserve">billion over the </w:t>
      </w:r>
      <w:r w:rsidR="492091EC" w:rsidRPr="00E55FB5">
        <w:rPr>
          <w:noProof/>
        </w:rPr>
        <w:t>2021-2</w:t>
      </w:r>
      <w:r w:rsidR="00902ED2" w:rsidRPr="00E55FB5">
        <w:rPr>
          <w:noProof/>
        </w:rPr>
        <w:t>02</w:t>
      </w:r>
      <w:r w:rsidR="005B51C4" w:rsidRPr="00E55FB5">
        <w:rPr>
          <w:noProof/>
        </w:rPr>
        <w:t>6</w:t>
      </w:r>
      <w:r w:rsidRPr="00E55FB5">
        <w:rPr>
          <w:noProof/>
        </w:rPr>
        <w:t xml:space="preserve"> period</w:t>
      </w:r>
      <w:r w:rsidR="2AB37CC3" w:rsidRPr="00E55FB5">
        <w:rPr>
          <w:noProof/>
        </w:rPr>
        <w:t>.</w:t>
      </w:r>
      <w:r>
        <w:rPr>
          <w:noProof/>
        </w:rPr>
        <w:t xml:space="preserve"> </w:t>
      </w:r>
      <w:r w:rsidR="00D01B12" w:rsidRPr="00E55FB5">
        <w:rPr>
          <w:noProof/>
        </w:rPr>
        <w:t>Key</w:t>
      </w:r>
      <w:r w:rsidR="00D01B12" w:rsidRPr="11E801D1">
        <w:rPr>
          <w:rFonts w:eastAsia="EC Square Sans Pro" w:cs="EC Square Sans Pro"/>
          <w:noProof/>
          <w:color w:val="000000" w:themeColor="text1"/>
        </w:rPr>
        <w:t xml:space="preserve"> reforms in Hungary’s RRP include those in the areas of Rule of Law</w:t>
      </w:r>
      <w:r w:rsidR="00D01B12">
        <w:rPr>
          <w:noProof/>
        </w:rPr>
        <w:t xml:space="preserve"> (e.g. t</w:t>
      </w:r>
      <w:r w:rsidR="00D01B12" w:rsidRPr="11E801D1">
        <w:rPr>
          <w:rFonts w:eastAsia="EC Square Sans Pro" w:cs="EC Square Sans Pro"/>
          <w:noProof/>
          <w:color w:val="000000" w:themeColor="text1"/>
        </w:rPr>
        <w:t xml:space="preserve">he judicial system, anti-corruption, public procurement), </w:t>
      </w:r>
      <w:r w:rsidR="00227DD8" w:rsidRPr="00227DD8">
        <w:rPr>
          <w:rFonts w:eastAsia="EC Square Sans Pro" w:cs="EC Square Sans Pro"/>
          <w:noProof/>
          <w:color w:val="000000" w:themeColor="text1"/>
        </w:rPr>
        <w:t>sustainable transport, energy, water management and circular economy</w:t>
      </w:r>
      <w:r w:rsidR="00D01B12" w:rsidRPr="11E801D1">
        <w:rPr>
          <w:rFonts w:eastAsia="EC Square Sans Pro" w:cs="EC Square Sans Pro"/>
          <w:noProof/>
          <w:color w:val="000000" w:themeColor="text1"/>
        </w:rPr>
        <w:t>,</w:t>
      </w:r>
      <w:r w:rsidR="0093557A">
        <w:rPr>
          <w:rFonts w:eastAsia="EC Square Sans Pro" w:cs="EC Square Sans Pro"/>
          <w:noProof/>
          <w:color w:val="000000" w:themeColor="text1"/>
        </w:rPr>
        <w:t>taxation</w:t>
      </w:r>
      <w:r w:rsidR="007421D8">
        <w:rPr>
          <w:rFonts w:eastAsia="EC Square Sans Pro" w:cs="EC Square Sans Pro"/>
          <w:noProof/>
          <w:color w:val="000000" w:themeColor="text1"/>
        </w:rPr>
        <w:t xml:space="preserve"> and the fiscal framework</w:t>
      </w:r>
      <w:r w:rsidR="00D01B12">
        <w:rPr>
          <w:rFonts w:eastAsia="EC Square Sans Pro" w:cs="EC Square Sans Pro"/>
          <w:noProof/>
          <w:color w:val="000000" w:themeColor="text1"/>
        </w:rPr>
        <w:t xml:space="preserve">. </w:t>
      </w:r>
      <w:r w:rsidRPr="001A0D08">
        <w:rPr>
          <w:noProof/>
        </w:rPr>
        <w:t xml:space="preserve">In addition, cohesion policy provides Hungary with EUR </w:t>
      </w:r>
      <w:r w:rsidR="00CC0397">
        <w:rPr>
          <w:noProof/>
        </w:rPr>
        <w:t>23.7</w:t>
      </w:r>
      <w:r w:rsidRPr="001A0D08">
        <w:rPr>
          <w:noProof/>
        </w:rPr>
        <w:t xml:space="preserve"> billion for the 2021-2027 period. Cohesion policy financing aims to further support Hungary’s competitiveness, including </w:t>
      </w:r>
      <w:r w:rsidR="00BB6DB7">
        <w:rPr>
          <w:noProof/>
        </w:rPr>
        <w:t xml:space="preserve">through </w:t>
      </w:r>
      <w:r w:rsidRPr="001A0D08">
        <w:rPr>
          <w:noProof/>
        </w:rPr>
        <w:t xml:space="preserve">innovation and the uptake of advanced technologies, </w:t>
      </w:r>
      <w:r w:rsidR="00BB6DB7">
        <w:rPr>
          <w:noProof/>
        </w:rPr>
        <w:t xml:space="preserve">the </w:t>
      </w:r>
      <w:r w:rsidRPr="001A0D08">
        <w:rPr>
          <w:noProof/>
        </w:rPr>
        <w:t>green transition, and upward social convergence, by addressing</w:t>
      </w:r>
      <w:r w:rsidR="00BB6DB7">
        <w:rPr>
          <w:noProof/>
        </w:rPr>
        <w:t>, among other things,</w:t>
      </w:r>
      <w:r w:rsidRPr="001A0D08">
        <w:rPr>
          <w:noProof/>
        </w:rPr>
        <w:t xml:space="preserve"> poverty and developing education systems and skills. While Hungary has made progress in implementing cohesion policy, challenges remain and significant social and regional disparities persist</w:t>
      </w:r>
      <w:r w:rsidR="002D3FED" w:rsidRPr="001A0D08">
        <w:rPr>
          <w:rFonts w:eastAsia="EC Square Sans Pro" w:cs="EC Square Sans Pro"/>
          <w:noProof/>
          <w:color w:val="000000" w:themeColor="text1"/>
        </w:rPr>
        <w:t>.</w:t>
      </w:r>
    </w:p>
    <w:p w14:paraId="04B6DE89" w14:textId="77777777" w:rsidR="00303E27" w:rsidRDefault="00303E27" w:rsidP="009F0DD6">
      <w:pPr>
        <w:rPr>
          <w:b/>
          <w:bCs/>
          <w:noProof/>
        </w:rPr>
      </w:pPr>
    </w:p>
    <w:p w14:paraId="52FC46C2" w14:textId="57CD1792" w:rsidR="003C562C" w:rsidRDefault="003C562C" w:rsidP="003C562C">
      <w:pPr>
        <w:numPr>
          <w:ilvl w:val="0"/>
          <w:numId w:val="1"/>
        </w:numPr>
        <w:ind w:left="567" w:hanging="567"/>
        <w:rPr>
          <w:b/>
          <w:bCs/>
          <w:noProof/>
        </w:rPr>
      </w:pPr>
      <w:r>
        <w:rPr>
          <w:b/>
          <w:bCs/>
          <w:noProof/>
        </w:rPr>
        <w:t>POLAND</w:t>
      </w:r>
      <w:r w:rsidR="008D3149">
        <w:rPr>
          <w:b/>
          <w:bCs/>
          <w:noProof/>
        </w:rPr>
        <w:t xml:space="preserve"> </w:t>
      </w:r>
    </w:p>
    <w:p w14:paraId="7E57616E" w14:textId="6D3ECE6A" w:rsidR="003C562C" w:rsidRPr="00893F33" w:rsidRDefault="3C399B44" w:rsidP="2C28BDD6">
      <w:pPr>
        <w:ind w:left="567"/>
        <w:rPr>
          <w:b/>
          <w:bCs/>
          <w:noProof/>
        </w:rPr>
      </w:pPr>
      <w:r w:rsidRPr="00C7355D">
        <w:rPr>
          <w:b/>
          <w:bCs/>
          <w:noProof/>
        </w:rPr>
        <w:t>In</w:t>
      </w:r>
      <w:r w:rsidR="787E01BF" w:rsidRPr="00C7355D">
        <w:rPr>
          <w:b/>
          <w:bCs/>
          <w:noProof/>
        </w:rPr>
        <w:t xml:space="preserve"> l</w:t>
      </w:r>
      <w:r w:rsidRPr="00C7355D">
        <w:rPr>
          <w:b/>
          <w:bCs/>
          <w:noProof/>
        </w:rPr>
        <w:t xml:space="preserve">ight of its assessment on legal compatibility and on the fulfilment of the convergence criteria, and taking into account the additional relevant factors, the Commission considers that Poland does not fulfil the conditions for </w:t>
      </w:r>
      <w:r w:rsidR="00CF5B5C">
        <w:rPr>
          <w:b/>
          <w:bCs/>
          <w:noProof/>
        </w:rPr>
        <w:t xml:space="preserve">adopting </w:t>
      </w:r>
      <w:r w:rsidRPr="00C7355D">
        <w:rPr>
          <w:b/>
          <w:bCs/>
          <w:noProof/>
        </w:rPr>
        <w:t>the euro.</w:t>
      </w:r>
    </w:p>
    <w:p w14:paraId="1F8AF5D0" w14:textId="4C6F6A33" w:rsidR="00E01E11" w:rsidRPr="00C7355D" w:rsidRDefault="26288E5A" w:rsidP="2C28BDD6">
      <w:pPr>
        <w:ind w:left="567"/>
        <w:rPr>
          <w:noProof/>
        </w:rPr>
      </w:pPr>
      <w:r w:rsidRPr="08E360E3">
        <w:rPr>
          <w:b/>
          <w:bCs/>
          <w:noProof/>
        </w:rPr>
        <w:t>Legislation in Poland</w:t>
      </w:r>
      <w:r w:rsidR="1866ADCE" w:rsidRPr="00E55FB5">
        <w:rPr>
          <w:noProof/>
        </w:rPr>
        <w:t>,</w:t>
      </w:r>
      <w:r w:rsidRPr="000C44C9">
        <w:rPr>
          <w:noProof/>
        </w:rPr>
        <w:t xml:space="preserve"> </w:t>
      </w:r>
      <w:r>
        <w:rPr>
          <w:noProof/>
        </w:rPr>
        <w:t>in particular the Act on the Narodowy Bank Polski (</w:t>
      </w:r>
      <w:r w:rsidR="6F20650F">
        <w:rPr>
          <w:noProof/>
        </w:rPr>
        <w:t xml:space="preserve">the </w:t>
      </w:r>
      <w:r w:rsidR="6A1449CC">
        <w:rPr>
          <w:noProof/>
        </w:rPr>
        <w:t xml:space="preserve">NBP </w:t>
      </w:r>
      <w:r w:rsidR="6F20650F">
        <w:rPr>
          <w:noProof/>
        </w:rPr>
        <w:t>Act</w:t>
      </w:r>
      <w:r>
        <w:rPr>
          <w:noProof/>
        </w:rPr>
        <w:t>) and the Constitution of the Republic of Poland</w:t>
      </w:r>
      <w:r w:rsidR="1866ADCE">
        <w:rPr>
          <w:noProof/>
        </w:rPr>
        <w:t>,</w:t>
      </w:r>
      <w:r>
        <w:rPr>
          <w:noProof/>
        </w:rPr>
        <w:t xml:space="preserve"> </w:t>
      </w:r>
      <w:r w:rsidRPr="08E360E3">
        <w:rPr>
          <w:b/>
          <w:bCs/>
          <w:noProof/>
        </w:rPr>
        <w:t>is not fully compatible</w:t>
      </w:r>
      <w:r>
        <w:rPr>
          <w:noProof/>
        </w:rPr>
        <w:t xml:space="preserve"> with the requirements of Article 131 TFEU. Incompatibilities concern the independence of the central bank, prohibition of monetary financing and </w:t>
      </w:r>
      <w:r w:rsidR="1866ADCE">
        <w:rPr>
          <w:noProof/>
        </w:rPr>
        <w:t xml:space="preserve">the integration of the </w:t>
      </w:r>
      <w:r>
        <w:rPr>
          <w:noProof/>
        </w:rPr>
        <w:t xml:space="preserve">central bank into the </w:t>
      </w:r>
      <w:r w:rsidR="60D62ABE">
        <w:rPr>
          <w:noProof/>
        </w:rPr>
        <w:t>Eurosystem</w:t>
      </w:r>
      <w:r>
        <w:rPr>
          <w:noProof/>
        </w:rPr>
        <w:t>. In addition, the</w:t>
      </w:r>
      <w:r w:rsidR="16D7F47B">
        <w:rPr>
          <w:noProof/>
        </w:rPr>
        <w:t xml:space="preserve"> </w:t>
      </w:r>
      <w:r w:rsidR="3AA57140">
        <w:rPr>
          <w:noProof/>
        </w:rPr>
        <w:t>NBP</w:t>
      </w:r>
      <w:r w:rsidR="1DADB4E9">
        <w:rPr>
          <w:noProof/>
        </w:rPr>
        <w:t xml:space="preserve"> Act</w:t>
      </w:r>
      <w:r>
        <w:rPr>
          <w:noProof/>
        </w:rPr>
        <w:t xml:space="preserve"> also contains some imperfections relating to </w:t>
      </w:r>
      <w:r w:rsidR="16D7F47B">
        <w:rPr>
          <w:noProof/>
        </w:rPr>
        <w:t xml:space="preserve">the NBP’s </w:t>
      </w:r>
      <w:r>
        <w:rPr>
          <w:noProof/>
        </w:rPr>
        <w:t xml:space="preserve">central bank independence and </w:t>
      </w:r>
      <w:r w:rsidR="16D7F47B">
        <w:rPr>
          <w:noProof/>
        </w:rPr>
        <w:t xml:space="preserve">its </w:t>
      </w:r>
      <w:r>
        <w:rPr>
          <w:noProof/>
        </w:rPr>
        <w:t xml:space="preserve">integration into the </w:t>
      </w:r>
      <w:r w:rsidR="4EC8A84F">
        <w:rPr>
          <w:noProof/>
        </w:rPr>
        <w:t xml:space="preserve">Eurosystem </w:t>
      </w:r>
      <w:r w:rsidR="6F20650F">
        <w:rPr>
          <w:noProof/>
        </w:rPr>
        <w:t>with regard to the ESCB</w:t>
      </w:r>
      <w:r w:rsidR="1D334655">
        <w:rPr>
          <w:noProof/>
        </w:rPr>
        <w:t>/ECB</w:t>
      </w:r>
      <w:r w:rsidR="6F20650F">
        <w:rPr>
          <w:noProof/>
        </w:rPr>
        <w:t xml:space="preserve"> tasks laid down in Article 127(2) TFEU and Article 3 of the ESCB/ECB Statute</w:t>
      </w:r>
      <w:r>
        <w:rPr>
          <w:noProof/>
        </w:rPr>
        <w:t>.</w:t>
      </w:r>
    </w:p>
    <w:p w14:paraId="67B5C6FE" w14:textId="7A464DC8" w:rsidR="2E0D7BD1" w:rsidRDefault="090B982B" w:rsidP="4D65903E">
      <w:pPr>
        <w:ind w:left="567"/>
        <w:rPr>
          <w:noProof/>
          <w:color w:val="000000" w:themeColor="text1"/>
        </w:rPr>
      </w:pPr>
      <w:r w:rsidRPr="2EEA064F">
        <w:rPr>
          <w:b/>
          <w:bCs/>
          <w:noProof/>
          <w:color w:val="000000" w:themeColor="text1"/>
        </w:rPr>
        <w:t>Poland does not fulfil the criterion on price stability.</w:t>
      </w:r>
      <w:r w:rsidRPr="2EEA064F">
        <w:rPr>
          <w:noProof/>
          <w:color w:val="000000" w:themeColor="text1"/>
        </w:rPr>
        <w:t xml:space="preserve"> The average inflation rate in Poland during the 12 months to May 202</w:t>
      </w:r>
      <w:r w:rsidR="30B4D4C7" w:rsidRPr="2EEA064F">
        <w:rPr>
          <w:noProof/>
          <w:color w:val="000000" w:themeColor="text1"/>
        </w:rPr>
        <w:t>6</w:t>
      </w:r>
      <w:r w:rsidRPr="2EEA064F">
        <w:rPr>
          <w:noProof/>
          <w:color w:val="000000" w:themeColor="text1"/>
        </w:rPr>
        <w:t xml:space="preserve"> was </w:t>
      </w:r>
      <w:r w:rsidR="002C301F">
        <w:rPr>
          <w:noProof/>
          <w:color w:val="000000" w:themeColor="text1"/>
        </w:rPr>
        <w:t>2.9</w:t>
      </w:r>
      <w:r w:rsidRPr="2EEA064F">
        <w:rPr>
          <w:noProof/>
          <w:color w:val="000000" w:themeColor="text1"/>
        </w:rPr>
        <w:t xml:space="preserve">%, </w:t>
      </w:r>
      <w:r w:rsidR="00E96170">
        <w:rPr>
          <w:noProof/>
          <w:color w:val="000000" w:themeColor="text1"/>
        </w:rPr>
        <w:t xml:space="preserve">slightly </w:t>
      </w:r>
      <w:r w:rsidRPr="2EEA064F">
        <w:rPr>
          <w:noProof/>
          <w:color w:val="000000" w:themeColor="text1"/>
        </w:rPr>
        <w:t xml:space="preserve">above the reference value of </w:t>
      </w:r>
      <w:r w:rsidR="002C301F">
        <w:rPr>
          <w:noProof/>
          <w:color w:val="000000" w:themeColor="text1"/>
        </w:rPr>
        <w:t>2.7</w:t>
      </w:r>
      <w:r w:rsidRPr="2EEA064F">
        <w:rPr>
          <w:noProof/>
          <w:color w:val="000000" w:themeColor="text1"/>
        </w:rPr>
        <w:t xml:space="preserve">%. It is projected </w:t>
      </w:r>
      <w:r w:rsidR="44E260C2" w:rsidRPr="2EEA064F">
        <w:rPr>
          <w:noProof/>
          <w:color w:val="000000" w:themeColor="text1"/>
        </w:rPr>
        <w:t xml:space="preserve">to </w:t>
      </w:r>
      <w:r w:rsidR="53DBF799" w:rsidRPr="414A5A6B">
        <w:rPr>
          <w:noProof/>
          <w:color w:val="000000" w:themeColor="text1"/>
        </w:rPr>
        <w:t xml:space="preserve">increase and remain above the </w:t>
      </w:r>
      <w:r w:rsidR="53DBF799" w:rsidRPr="011E832F">
        <w:rPr>
          <w:noProof/>
          <w:color w:val="000000" w:themeColor="text1"/>
        </w:rPr>
        <w:t xml:space="preserve">reference value </w:t>
      </w:r>
      <w:r w:rsidR="009E12D0">
        <w:rPr>
          <w:noProof/>
          <w:color w:val="000000" w:themeColor="text1"/>
        </w:rPr>
        <w:t>until</w:t>
      </w:r>
      <w:r w:rsidR="53DBF799" w:rsidRPr="011E832F">
        <w:rPr>
          <w:noProof/>
          <w:color w:val="000000" w:themeColor="text1"/>
        </w:rPr>
        <w:t xml:space="preserve"> the end of 2026. </w:t>
      </w:r>
      <w:r w:rsidR="1D677074" w:rsidRPr="37EB65CA">
        <w:rPr>
          <w:noProof/>
          <w:color w:val="000000" w:themeColor="text1"/>
        </w:rPr>
        <w:t>It</w:t>
      </w:r>
      <w:r w:rsidR="53DBF799" w:rsidRPr="40D0CCEC">
        <w:rPr>
          <w:noProof/>
          <w:color w:val="000000" w:themeColor="text1"/>
        </w:rPr>
        <w:t xml:space="preserve"> is</w:t>
      </w:r>
      <w:r w:rsidR="62D53857" w:rsidRPr="37EB65CA">
        <w:rPr>
          <w:noProof/>
          <w:color w:val="000000" w:themeColor="text1"/>
        </w:rPr>
        <w:t>, however, expected</w:t>
      </w:r>
      <w:r w:rsidR="53DBF799" w:rsidRPr="40D0CCEC">
        <w:rPr>
          <w:noProof/>
          <w:color w:val="000000" w:themeColor="text1"/>
        </w:rPr>
        <w:t xml:space="preserve"> to </w:t>
      </w:r>
      <w:r w:rsidR="009E12D0">
        <w:rPr>
          <w:noProof/>
          <w:color w:val="000000" w:themeColor="text1"/>
        </w:rPr>
        <w:t>fall</w:t>
      </w:r>
      <w:r w:rsidR="53DBF799" w:rsidRPr="40D0CCEC">
        <w:rPr>
          <w:noProof/>
          <w:color w:val="000000" w:themeColor="text1"/>
        </w:rPr>
        <w:t xml:space="preserve"> </w:t>
      </w:r>
      <w:r w:rsidR="00260522">
        <w:rPr>
          <w:noProof/>
          <w:color w:val="000000" w:themeColor="text1"/>
        </w:rPr>
        <w:t xml:space="preserve">for most of </w:t>
      </w:r>
      <w:r w:rsidR="53DBF799" w:rsidRPr="7C95AE36">
        <w:rPr>
          <w:noProof/>
          <w:color w:val="000000" w:themeColor="text1"/>
        </w:rPr>
        <w:t xml:space="preserve">2027 </w:t>
      </w:r>
      <w:r w:rsidR="00247914" w:rsidRPr="40D0CCEC">
        <w:rPr>
          <w:noProof/>
          <w:color w:val="000000" w:themeColor="text1"/>
        </w:rPr>
        <w:t>and</w:t>
      </w:r>
      <w:r w:rsidR="00247914">
        <w:rPr>
          <w:noProof/>
          <w:color w:val="000000" w:themeColor="text1"/>
        </w:rPr>
        <w:t xml:space="preserve"> to </w:t>
      </w:r>
      <w:r w:rsidR="009E12D0">
        <w:rPr>
          <w:noProof/>
          <w:color w:val="000000" w:themeColor="text1"/>
        </w:rPr>
        <w:t>pass</w:t>
      </w:r>
      <w:r w:rsidR="00247914">
        <w:rPr>
          <w:noProof/>
          <w:color w:val="000000" w:themeColor="text1"/>
        </w:rPr>
        <w:t xml:space="preserve"> below</w:t>
      </w:r>
      <w:r w:rsidR="44E260C2" w:rsidRPr="2EEA064F">
        <w:rPr>
          <w:noProof/>
          <w:color w:val="000000" w:themeColor="text1"/>
        </w:rPr>
        <w:t xml:space="preserve"> the reference value by </w:t>
      </w:r>
      <w:r w:rsidR="7A0877BE" w:rsidRPr="2EEA064F">
        <w:rPr>
          <w:noProof/>
          <w:color w:val="000000" w:themeColor="text1"/>
        </w:rPr>
        <w:t xml:space="preserve">the </w:t>
      </w:r>
      <w:r w:rsidR="44E260C2" w:rsidRPr="2EEA064F">
        <w:rPr>
          <w:noProof/>
          <w:color w:val="000000" w:themeColor="text1"/>
        </w:rPr>
        <w:t>end of 2027.</w:t>
      </w:r>
      <w:r w:rsidR="003E06F8">
        <w:rPr>
          <w:noProof/>
          <w:color w:val="000000" w:themeColor="text1"/>
        </w:rPr>
        <w:t xml:space="preserve"> </w:t>
      </w:r>
      <w:r w:rsidR="009D0479">
        <w:rPr>
          <w:noProof/>
          <w:color w:val="000000" w:themeColor="text1"/>
        </w:rPr>
        <w:t xml:space="preserve"> </w:t>
      </w:r>
    </w:p>
    <w:p w14:paraId="5C5F2DCE" w14:textId="7DCCA416" w:rsidR="0059245A" w:rsidRPr="00C25B3E" w:rsidRDefault="00DB0A92" w:rsidP="000D4AFA">
      <w:pPr>
        <w:ind w:left="567"/>
        <w:jc w:val="center"/>
        <w:rPr>
          <w:noProof/>
          <w:color w:val="000000" w:themeColor="text1"/>
        </w:rPr>
      </w:pPr>
      <w:r>
        <w:rPr>
          <w:noProof/>
          <w:color w:val="000000" w:themeColor="text1"/>
          <w:lang w:eastAsia="en-GB"/>
        </w:rPr>
        <w:drawing>
          <wp:inline distT="0" distB="0" distL="0" distR="0" wp14:anchorId="49DBCB2B" wp14:editId="4AD043F9">
            <wp:extent cx="3121660" cy="2621280"/>
            <wp:effectExtent l="0" t="0" r="2540" b="0"/>
            <wp:docPr id="2104174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21660" cy="2621280"/>
                    </a:xfrm>
                    <a:prstGeom prst="rect">
                      <a:avLst/>
                    </a:prstGeom>
                    <a:noFill/>
                  </pic:spPr>
                </pic:pic>
              </a:graphicData>
            </a:graphic>
          </wp:inline>
        </w:drawing>
      </w:r>
    </w:p>
    <w:p w14:paraId="28270791" w14:textId="59A43EE0" w:rsidR="6DFC07CC" w:rsidRPr="00D75BFE" w:rsidRDefault="21C75418" w:rsidP="004A57FE">
      <w:pPr>
        <w:ind w:left="567"/>
        <w:rPr>
          <w:rFonts w:eastAsia="EC Square Sans Pro" w:cs="EC Square Sans Pro"/>
          <w:noProof/>
          <w:color w:val="000000" w:themeColor="text1"/>
        </w:rPr>
      </w:pPr>
      <w:r w:rsidRPr="42863A43">
        <w:rPr>
          <w:rFonts w:eastAsia="EC Square Sans Pro" w:cs="EC Square Sans Pro"/>
          <w:noProof/>
          <w:color w:val="000000" w:themeColor="text1"/>
        </w:rPr>
        <w:t xml:space="preserve">Headline inflation </w:t>
      </w:r>
      <w:r w:rsidR="00862647">
        <w:rPr>
          <w:rFonts w:eastAsia="EC Square Sans Pro" w:cs="EC Square Sans Pro"/>
          <w:noProof/>
          <w:color w:val="000000" w:themeColor="text1"/>
        </w:rPr>
        <w:t>fell</w:t>
      </w:r>
      <w:r w:rsidRPr="42863A43">
        <w:rPr>
          <w:rFonts w:eastAsia="EC Square Sans Pro" w:cs="EC Square Sans Pro"/>
          <w:noProof/>
          <w:color w:val="000000" w:themeColor="text1"/>
        </w:rPr>
        <w:t xml:space="preserve"> substantially from </w:t>
      </w:r>
      <w:r w:rsidR="1AC8F97B" w:rsidRPr="42863A43">
        <w:rPr>
          <w:rFonts w:eastAsia="EC Square Sans Pro" w:cs="EC Square Sans Pro"/>
          <w:noProof/>
          <w:color w:val="000000" w:themeColor="text1"/>
        </w:rPr>
        <w:t>10.8</w:t>
      </w:r>
      <w:r w:rsidRPr="42863A43">
        <w:rPr>
          <w:rFonts w:eastAsia="EC Square Sans Pro" w:cs="EC Square Sans Pro"/>
          <w:noProof/>
          <w:color w:val="000000" w:themeColor="text1"/>
        </w:rPr>
        <w:t xml:space="preserve">% in 2023 to </w:t>
      </w:r>
      <w:r w:rsidR="00862647">
        <w:rPr>
          <w:rFonts w:eastAsia="EC Square Sans Pro" w:cs="EC Square Sans Pro"/>
          <w:noProof/>
          <w:color w:val="000000" w:themeColor="text1"/>
        </w:rPr>
        <w:t xml:space="preserve">an average of </w:t>
      </w:r>
      <w:r w:rsidRPr="42863A43">
        <w:rPr>
          <w:rFonts w:eastAsia="EC Square Sans Pro" w:cs="EC Square Sans Pro"/>
          <w:noProof/>
          <w:color w:val="000000" w:themeColor="text1"/>
        </w:rPr>
        <w:t xml:space="preserve">3.7% </w:t>
      </w:r>
      <w:r w:rsidR="00862647">
        <w:rPr>
          <w:rFonts w:eastAsia="EC Square Sans Pro" w:cs="EC Square Sans Pro"/>
          <w:noProof/>
          <w:color w:val="000000" w:themeColor="text1"/>
        </w:rPr>
        <w:t xml:space="preserve">in 2024 </w:t>
      </w:r>
      <w:r w:rsidRPr="42863A43">
        <w:rPr>
          <w:rFonts w:eastAsia="EC Square Sans Pro" w:cs="EC Square Sans Pro"/>
          <w:noProof/>
          <w:color w:val="000000" w:themeColor="text1"/>
        </w:rPr>
        <w:t xml:space="preserve">and 3.3% </w:t>
      </w:r>
      <w:r w:rsidR="00862647">
        <w:rPr>
          <w:rFonts w:eastAsia="EC Square Sans Pro" w:cs="EC Square Sans Pro"/>
          <w:noProof/>
          <w:color w:val="000000" w:themeColor="text1"/>
        </w:rPr>
        <w:t xml:space="preserve">in </w:t>
      </w:r>
      <w:r w:rsidRPr="42863A43">
        <w:rPr>
          <w:rFonts w:eastAsia="EC Square Sans Pro" w:cs="EC Square Sans Pro"/>
          <w:noProof/>
          <w:color w:val="000000" w:themeColor="text1"/>
        </w:rPr>
        <w:t xml:space="preserve">2025. </w:t>
      </w:r>
      <w:r w:rsidR="694B25D0" w:rsidRPr="42863A43">
        <w:rPr>
          <w:rFonts w:eastAsia="EC Square Sans Pro" w:cs="EC Square Sans Pro"/>
          <w:noProof/>
          <w:color w:val="000000" w:themeColor="text1"/>
        </w:rPr>
        <w:t>M</w:t>
      </w:r>
      <w:r w:rsidRPr="42863A43">
        <w:rPr>
          <w:rFonts w:eastAsia="EC Square Sans Pro" w:cs="EC Square Sans Pro"/>
          <w:noProof/>
          <w:color w:val="000000" w:themeColor="text1"/>
        </w:rPr>
        <w:t>ost</w:t>
      </w:r>
      <w:r w:rsidR="00862647">
        <w:rPr>
          <w:rFonts w:eastAsia="EC Square Sans Pro" w:cs="EC Square Sans Pro"/>
          <w:noProof/>
          <w:color w:val="000000" w:themeColor="text1"/>
        </w:rPr>
        <w:t xml:space="preserve"> inflation</w:t>
      </w:r>
      <w:r w:rsidRPr="42863A43">
        <w:rPr>
          <w:rFonts w:eastAsia="EC Square Sans Pro" w:cs="EC Square Sans Pro"/>
          <w:noProof/>
          <w:color w:val="000000" w:themeColor="text1"/>
        </w:rPr>
        <w:t xml:space="preserve"> components</w:t>
      </w:r>
      <w:r w:rsidR="00862647">
        <w:rPr>
          <w:rFonts w:eastAsia="EC Square Sans Pro" w:cs="EC Square Sans Pro"/>
          <w:noProof/>
          <w:color w:val="000000" w:themeColor="text1"/>
        </w:rPr>
        <w:t xml:space="preserve">, </w:t>
      </w:r>
      <w:r w:rsidR="4E53FDAE" w:rsidRPr="081060CF">
        <w:rPr>
          <w:rFonts w:eastAsia="EC Square Sans Pro" w:cs="EC Square Sans Pro"/>
          <w:noProof/>
          <w:color w:val="000000" w:themeColor="text1"/>
        </w:rPr>
        <w:t>except</w:t>
      </w:r>
      <w:r w:rsidRPr="42863A43" w:rsidDel="00862647">
        <w:rPr>
          <w:rFonts w:eastAsia="EC Square Sans Pro" w:cs="EC Square Sans Pro"/>
          <w:noProof/>
          <w:color w:val="000000" w:themeColor="text1"/>
        </w:rPr>
        <w:t xml:space="preserve"> for </w:t>
      </w:r>
      <w:r w:rsidRPr="42863A43">
        <w:rPr>
          <w:rFonts w:eastAsia="EC Square Sans Pro" w:cs="EC Square Sans Pro"/>
          <w:noProof/>
          <w:color w:val="000000" w:themeColor="text1"/>
        </w:rPr>
        <w:t>services and processed food</w:t>
      </w:r>
      <w:r w:rsidR="00862647">
        <w:rPr>
          <w:rFonts w:eastAsia="EC Square Sans Pro" w:cs="EC Square Sans Pro"/>
          <w:noProof/>
          <w:color w:val="000000" w:themeColor="text1"/>
        </w:rPr>
        <w:t>,</w:t>
      </w:r>
      <w:r w:rsidR="2D74C7E3" w:rsidRPr="42863A43">
        <w:rPr>
          <w:rFonts w:eastAsia="EC Square Sans Pro" w:cs="EC Square Sans Pro"/>
          <w:noProof/>
          <w:color w:val="000000" w:themeColor="text1"/>
        </w:rPr>
        <w:t xml:space="preserve"> contributed to this </w:t>
      </w:r>
      <w:r w:rsidR="00862647">
        <w:rPr>
          <w:rFonts w:eastAsia="EC Square Sans Pro" w:cs="EC Square Sans Pro"/>
          <w:noProof/>
          <w:color w:val="000000" w:themeColor="text1"/>
        </w:rPr>
        <w:t>reduction</w:t>
      </w:r>
      <w:r w:rsidRPr="42863A43">
        <w:rPr>
          <w:rFonts w:eastAsia="EC Square Sans Pro" w:cs="EC Square Sans Pro"/>
          <w:noProof/>
          <w:color w:val="000000" w:themeColor="text1"/>
        </w:rPr>
        <w:t xml:space="preserve">. Food prices were impacted by the </w:t>
      </w:r>
      <w:r w:rsidR="00862647">
        <w:rPr>
          <w:rFonts w:eastAsia="EC Square Sans Pro" w:cs="EC Square Sans Pro"/>
          <w:noProof/>
          <w:color w:val="000000" w:themeColor="text1"/>
        </w:rPr>
        <w:t>phasing out</w:t>
      </w:r>
      <w:r w:rsidRPr="42863A43">
        <w:rPr>
          <w:rFonts w:eastAsia="EC Square Sans Pro" w:cs="EC Square Sans Pro"/>
          <w:noProof/>
          <w:color w:val="000000" w:themeColor="text1"/>
        </w:rPr>
        <w:t xml:space="preserve"> of the temporary zero </w:t>
      </w:r>
      <w:r w:rsidR="00862647">
        <w:rPr>
          <w:rFonts w:eastAsia="EC Square Sans Pro" w:cs="EC Square Sans Pro"/>
          <w:noProof/>
          <w:color w:val="000000" w:themeColor="text1"/>
        </w:rPr>
        <w:t xml:space="preserve">rate of </w:t>
      </w:r>
      <w:r w:rsidRPr="42863A43">
        <w:rPr>
          <w:rFonts w:eastAsia="EC Square Sans Pro" w:cs="EC Square Sans Pro"/>
          <w:noProof/>
          <w:color w:val="000000" w:themeColor="text1"/>
        </w:rPr>
        <w:t>VAT on basic food products</w:t>
      </w:r>
      <w:r w:rsidR="5DBD262C" w:rsidRPr="42863A43">
        <w:rPr>
          <w:rFonts w:eastAsia="EC Square Sans Pro" w:cs="EC Square Sans Pro"/>
          <w:noProof/>
          <w:color w:val="000000" w:themeColor="text1"/>
        </w:rPr>
        <w:t xml:space="preserve"> </w:t>
      </w:r>
      <w:r w:rsidR="71AA4988" w:rsidRPr="42863A43">
        <w:rPr>
          <w:rFonts w:eastAsia="EC Square Sans Pro" w:cs="EC Square Sans Pro"/>
          <w:noProof/>
          <w:color w:val="000000" w:themeColor="text1"/>
        </w:rPr>
        <w:t xml:space="preserve">at the end of </w:t>
      </w:r>
      <w:r w:rsidR="5DBD262C" w:rsidRPr="42863A43">
        <w:rPr>
          <w:rFonts w:eastAsia="EC Square Sans Pro" w:cs="EC Square Sans Pro"/>
          <w:noProof/>
          <w:color w:val="000000" w:themeColor="text1"/>
        </w:rPr>
        <w:t xml:space="preserve">March </w:t>
      </w:r>
      <w:r w:rsidR="71AA4988" w:rsidRPr="42863A43">
        <w:rPr>
          <w:rFonts w:eastAsia="EC Square Sans Pro" w:cs="EC Square Sans Pro"/>
          <w:noProof/>
          <w:color w:val="000000" w:themeColor="text1"/>
        </w:rPr>
        <w:t>2024</w:t>
      </w:r>
      <w:r w:rsidRPr="42863A43">
        <w:rPr>
          <w:rFonts w:eastAsia="EC Square Sans Pro" w:cs="EC Square Sans Pro"/>
          <w:noProof/>
          <w:color w:val="000000" w:themeColor="text1"/>
        </w:rPr>
        <w:t xml:space="preserve">. </w:t>
      </w:r>
      <w:r w:rsidR="2DC3D828" w:rsidRPr="42863A43">
        <w:rPr>
          <w:rFonts w:eastAsia="EC Square Sans Pro" w:cs="EC Square Sans Pro"/>
          <w:noProof/>
          <w:color w:val="000000" w:themeColor="text1"/>
        </w:rPr>
        <w:t>In</w:t>
      </w:r>
      <w:r w:rsidR="60855933" w:rsidRPr="42863A43">
        <w:rPr>
          <w:rFonts w:eastAsia="EC Square Sans Pro" w:cs="EC Square Sans Pro"/>
          <w:noProof/>
          <w:color w:val="000000" w:themeColor="text1"/>
        </w:rPr>
        <w:t xml:space="preserve"> </w:t>
      </w:r>
      <w:r w:rsidR="6D82419A" w:rsidRPr="42863A43">
        <w:rPr>
          <w:rFonts w:eastAsia="EC Square Sans Pro" w:cs="EC Square Sans Pro"/>
          <w:noProof/>
          <w:color w:val="000000" w:themeColor="text1"/>
        </w:rPr>
        <w:t xml:space="preserve">2025, </w:t>
      </w:r>
      <w:r w:rsidRPr="42863A43">
        <w:rPr>
          <w:rFonts w:eastAsia="EC Square Sans Pro" w:cs="EC Square Sans Pro"/>
          <w:noProof/>
          <w:color w:val="000000" w:themeColor="text1"/>
        </w:rPr>
        <w:t xml:space="preserve">the freeze on gas </w:t>
      </w:r>
      <w:r w:rsidR="14E1B958" w:rsidRPr="42863A43">
        <w:rPr>
          <w:rFonts w:eastAsia="EC Square Sans Pro" w:cs="EC Square Sans Pro"/>
          <w:noProof/>
          <w:color w:val="000000" w:themeColor="text1"/>
        </w:rPr>
        <w:t>and</w:t>
      </w:r>
      <w:r w:rsidRPr="42863A43">
        <w:rPr>
          <w:rFonts w:eastAsia="EC Square Sans Pro" w:cs="EC Square Sans Pro"/>
          <w:noProof/>
          <w:color w:val="000000" w:themeColor="text1"/>
        </w:rPr>
        <w:t xml:space="preserve"> electricity prices for households</w:t>
      </w:r>
      <w:r w:rsidR="323DE1A7" w:rsidRPr="42863A43">
        <w:rPr>
          <w:rFonts w:eastAsia="EC Square Sans Pro" w:cs="EC Square Sans Pro"/>
          <w:noProof/>
          <w:color w:val="000000" w:themeColor="text1"/>
        </w:rPr>
        <w:t xml:space="preserve"> </w:t>
      </w:r>
      <w:r w:rsidR="00CA1B51">
        <w:rPr>
          <w:rFonts w:eastAsia="EC Square Sans Pro" w:cs="EC Square Sans Pro"/>
          <w:noProof/>
          <w:color w:val="000000" w:themeColor="text1"/>
        </w:rPr>
        <w:t>also came to an end</w:t>
      </w:r>
      <w:r w:rsidRPr="42863A43">
        <w:rPr>
          <w:rFonts w:eastAsia="EC Square Sans Pro" w:cs="EC Square Sans Pro"/>
          <w:noProof/>
          <w:color w:val="000000" w:themeColor="text1"/>
        </w:rPr>
        <w:t xml:space="preserve">. </w:t>
      </w:r>
      <w:r w:rsidR="37FDA687" w:rsidRPr="42863A43">
        <w:rPr>
          <w:rFonts w:eastAsia="EC Square Sans Pro" w:cs="EC Square Sans Pro"/>
          <w:noProof/>
          <w:color w:val="auto"/>
        </w:rPr>
        <w:t xml:space="preserve">After moderating to 2.5% in January and February 2026, HICP inflation increased </w:t>
      </w:r>
      <w:r w:rsidR="00F525E9">
        <w:rPr>
          <w:rFonts w:eastAsia="EC Square Sans Pro" w:cs="EC Square Sans Pro"/>
          <w:noProof/>
          <w:color w:val="auto"/>
        </w:rPr>
        <w:t xml:space="preserve">in the subsequent three months, reaching </w:t>
      </w:r>
      <w:r w:rsidR="002C301F">
        <w:rPr>
          <w:rFonts w:eastAsia="EC Square Sans Pro" w:cs="EC Square Sans Pro"/>
          <w:noProof/>
          <w:color w:val="auto"/>
        </w:rPr>
        <w:t>3.3</w:t>
      </w:r>
      <w:r w:rsidR="37FDA687" w:rsidRPr="42863A43">
        <w:rPr>
          <w:rFonts w:eastAsia="EC Square Sans Pro" w:cs="EC Square Sans Pro"/>
          <w:noProof/>
          <w:color w:val="auto"/>
        </w:rPr>
        <w:t xml:space="preserve">% in </w:t>
      </w:r>
      <w:r w:rsidR="00F525E9">
        <w:rPr>
          <w:rFonts w:eastAsia="EC Square Sans Pro" w:cs="EC Square Sans Pro"/>
          <w:noProof/>
          <w:color w:val="auto"/>
        </w:rPr>
        <w:t xml:space="preserve">May </w:t>
      </w:r>
      <w:r w:rsidR="37FDA687" w:rsidRPr="42863A43">
        <w:rPr>
          <w:rFonts w:eastAsia="EC Square Sans Pro" w:cs="EC Square Sans Pro"/>
          <w:noProof/>
          <w:color w:val="auto"/>
        </w:rPr>
        <w:t xml:space="preserve">2026, </w:t>
      </w:r>
      <w:r w:rsidR="00CA1B51">
        <w:rPr>
          <w:rFonts w:eastAsia="EC Square Sans Pro" w:cs="EC Square Sans Pro"/>
          <w:noProof/>
          <w:color w:val="auto"/>
        </w:rPr>
        <w:t xml:space="preserve">driven </w:t>
      </w:r>
      <w:r w:rsidR="37FDA687" w:rsidRPr="42863A43">
        <w:rPr>
          <w:rFonts w:eastAsia="EC Square Sans Pro" w:cs="EC Square Sans Pro"/>
          <w:noProof/>
          <w:color w:val="auto"/>
        </w:rPr>
        <w:t xml:space="preserve">by </w:t>
      </w:r>
      <w:r w:rsidR="00CA1B51">
        <w:rPr>
          <w:rFonts w:eastAsia="EC Square Sans Pro" w:cs="EC Square Sans Pro"/>
          <w:noProof/>
          <w:color w:val="auto"/>
        </w:rPr>
        <w:t>rising</w:t>
      </w:r>
      <w:r w:rsidR="37FDA687" w:rsidRPr="42863A43">
        <w:rPr>
          <w:rFonts w:eastAsia="EC Square Sans Pro" w:cs="EC Square Sans Pro"/>
          <w:noProof/>
          <w:color w:val="auto"/>
        </w:rPr>
        <w:t xml:space="preserve"> global commodity prices </w:t>
      </w:r>
      <w:r w:rsidR="00CA1B51">
        <w:rPr>
          <w:rFonts w:eastAsia="EC Square Sans Pro" w:cs="EC Square Sans Pro"/>
          <w:noProof/>
          <w:color w:val="auto"/>
        </w:rPr>
        <w:t>as a result of</w:t>
      </w:r>
      <w:r w:rsidR="37FDA687" w:rsidRPr="42863A43">
        <w:rPr>
          <w:rFonts w:eastAsia="EC Square Sans Pro" w:cs="EC Square Sans Pro"/>
          <w:noProof/>
          <w:color w:val="auto"/>
        </w:rPr>
        <w:t xml:space="preserve"> the conflict in the Middle East but </w:t>
      </w:r>
      <w:r w:rsidR="41B4A72B" w:rsidRPr="42863A43">
        <w:rPr>
          <w:noProof/>
          <w:color w:val="auto"/>
        </w:rPr>
        <w:t>mitigated by a temporary reduction in fuel</w:t>
      </w:r>
      <w:r w:rsidR="00DF3388">
        <w:rPr>
          <w:noProof/>
          <w:color w:val="auto"/>
        </w:rPr>
        <w:t xml:space="preserve"> taxe</w:t>
      </w:r>
      <w:r w:rsidR="41B4A72B" w:rsidRPr="42863A43">
        <w:rPr>
          <w:noProof/>
          <w:color w:val="auto"/>
        </w:rPr>
        <w:t>s and a daily price cap introduced at the end of Ma</w:t>
      </w:r>
      <w:r w:rsidR="3AABE3CD" w:rsidRPr="42863A43">
        <w:rPr>
          <w:noProof/>
          <w:color w:val="auto"/>
        </w:rPr>
        <w:t>rch 2026.</w:t>
      </w:r>
      <w:r w:rsidR="1C544E35" w:rsidRPr="42863A43">
        <w:rPr>
          <w:noProof/>
          <w:color w:val="auto"/>
        </w:rPr>
        <w:t xml:space="preserve"> </w:t>
      </w:r>
      <w:r w:rsidRPr="42863A43">
        <w:rPr>
          <w:rFonts w:eastAsia="EC Square Sans Pro" w:cs="EC Square Sans Pro"/>
          <w:noProof/>
          <w:color w:val="000000" w:themeColor="text1"/>
        </w:rPr>
        <w:t xml:space="preserve">In 2024 and 2025, annual HICP inflation </w:t>
      </w:r>
      <w:r w:rsidR="00DF3388">
        <w:rPr>
          <w:rFonts w:eastAsia="EC Square Sans Pro" w:cs="EC Square Sans Pro"/>
          <w:noProof/>
          <w:color w:val="000000" w:themeColor="text1"/>
        </w:rPr>
        <w:t xml:space="preserve">rate </w:t>
      </w:r>
      <w:r w:rsidRPr="42863A43">
        <w:rPr>
          <w:rFonts w:eastAsia="EC Square Sans Pro" w:cs="EC Square Sans Pro"/>
          <w:noProof/>
          <w:color w:val="000000" w:themeColor="text1"/>
        </w:rPr>
        <w:t xml:space="preserve">in Poland </w:t>
      </w:r>
      <w:r w:rsidR="53F698D4" w:rsidRPr="081060CF">
        <w:rPr>
          <w:rFonts w:eastAsia="EC Square Sans Pro" w:cs="EC Square Sans Pro"/>
          <w:noProof/>
          <w:color w:val="000000" w:themeColor="text1"/>
        </w:rPr>
        <w:t>was</w:t>
      </w:r>
      <w:r w:rsidR="00DF3388">
        <w:rPr>
          <w:rFonts w:eastAsia="EC Square Sans Pro" w:cs="EC Square Sans Pro"/>
          <w:noProof/>
          <w:color w:val="000000" w:themeColor="text1"/>
        </w:rPr>
        <w:t xml:space="preserve"> on average </w:t>
      </w:r>
      <w:r w:rsidRPr="42863A43">
        <w:rPr>
          <w:rFonts w:eastAsia="EC Square Sans Pro" w:cs="EC Square Sans Pro"/>
          <w:noProof/>
          <w:color w:val="000000" w:themeColor="text1"/>
        </w:rPr>
        <w:t>higher than in the euro area</w:t>
      </w:r>
      <w:r w:rsidR="00DF3388">
        <w:rPr>
          <w:rFonts w:eastAsia="EC Square Sans Pro" w:cs="EC Square Sans Pro"/>
          <w:noProof/>
          <w:color w:val="000000" w:themeColor="text1"/>
        </w:rPr>
        <w:t xml:space="preserve"> as a whole</w:t>
      </w:r>
      <w:r w:rsidRPr="42863A43">
        <w:rPr>
          <w:rFonts w:eastAsia="EC Square Sans Pro" w:cs="EC Square Sans Pro"/>
          <w:noProof/>
          <w:color w:val="000000" w:themeColor="text1"/>
        </w:rPr>
        <w:t>.</w:t>
      </w:r>
    </w:p>
    <w:p w14:paraId="199636C6" w14:textId="1379DA79" w:rsidR="6DFC07CC" w:rsidRDefault="2AEA9FDB" w:rsidP="29A56CAE">
      <w:pPr>
        <w:ind w:left="567"/>
        <w:rPr>
          <w:rFonts w:eastAsia="EC Square Sans Pro" w:cs="EC Square Sans Pro"/>
          <w:noProof/>
          <w:color w:val="000000" w:themeColor="text1"/>
        </w:rPr>
      </w:pPr>
      <w:r w:rsidRPr="29A56CAE">
        <w:rPr>
          <w:rFonts w:eastAsia="EC Square Sans Pro" w:cs="EC Square Sans Pro"/>
          <w:noProof/>
          <w:color w:val="000000" w:themeColor="text1"/>
        </w:rPr>
        <w:t xml:space="preserve">Looking ahead, </w:t>
      </w:r>
      <w:r w:rsidRPr="0098405B">
        <w:rPr>
          <w:rFonts w:eastAsia="EC Square Sans Pro" w:cs="EC Square Sans Pro"/>
          <w:noProof/>
          <w:color w:val="000000" w:themeColor="text1"/>
        </w:rPr>
        <w:t xml:space="preserve">inflation is expected to </w:t>
      </w:r>
      <w:r w:rsidR="32DA76DE" w:rsidRPr="0098405B">
        <w:rPr>
          <w:rFonts w:eastAsia="EC Square Sans Pro" w:cs="EC Square Sans Pro"/>
          <w:noProof/>
          <w:color w:val="000000" w:themeColor="text1"/>
        </w:rPr>
        <w:t>increase</w:t>
      </w:r>
      <w:r w:rsidRPr="0098405B">
        <w:rPr>
          <w:rFonts w:eastAsia="EC Square Sans Pro" w:cs="EC Square Sans Pro"/>
          <w:noProof/>
          <w:color w:val="000000" w:themeColor="text1"/>
        </w:rPr>
        <w:t xml:space="preserve"> </w:t>
      </w:r>
      <w:r w:rsidRPr="29A56CAE">
        <w:rPr>
          <w:rFonts w:eastAsia="EC Square Sans Pro" w:cs="EC Square Sans Pro"/>
          <w:noProof/>
          <w:color w:val="000000" w:themeColor="text1"/>
        </w:rPr>
        <w:t xml:space="preserve">in 2026 </w:t>
      </w:r>
      <w:r w:rsidR="29A73E5D" w:rsidRPr="69677640">
        <w:rPr>
          <w:rFonts w:eastAsia="EC Square Sans Pro" w:cs="EC Square Sans Pro"/>
          <w:noProof/>
          <w:color w:val="000000" w:themeColor="text1"/>
        </w:rPr>
        <w:t xml:space="preserve">but </w:t>
      </w:r>
      <w:r w:rsidR="00D5205F">
        <w:rPr>
          <w:rFonts w:eastAsia="EC Square Sans Pro" w:cs="EC Square Sans Pro"/>
          <w:noProof/>
          <w:color w:val="000000" w:themeColor="text1"/>
        </w:rPr>
        <w:t xml:space="preserve">then to </w:t>
      </w:r>
      <w:r w:rsidR="29A73E5D" w:rsidRPr="69677640">
        <w:rPr>
          <w:rFonts w:eastAsia="EC Square Sans Pro" w:cs="EC Square Sans Pro"/>
          <w:noProof/>
          <w:color w:val="000000" w:themeColor="text1"/>
        </w:rPr>
        <w:t xml:space="preserve">fall in </w:t>
      </w:r>
      <w:r w:rsidRPr="29A56CAE">
        <w:rPr>
          <w:rFonts w:eastAsia="EC Square Sans Pro" w:cs="EC Square Sans Pro"/>
          <w:noProof/>
          <w:color w:val="000000" w:themeColor="text1"/>
        </w:rPr>
        <w:t>2027</w:t>
      </w:r>
      <w:r w:rsidR="19821455" w:rsidRPr="66E4BFD3">
        <w:rPr>
          <w:rFonts w:eastAsia="EC Square Sans Pro" w:cs="EC Square Sans Pro"/>
          <w:noProof/>
          <w:color w:val="000000" w:themeColor="text1"/>
        </w:rPr>
        <w:t>,</w:t>
      </w:r>
      <w:r w:rsidRPr="29A56CAE">
        <w:rPr>
          <w:rFonts w:eastAsia="EC Square Sans Pro" w:cs="EC Square Sans Pro"/>
          <w:noProof/>
          <w:color w:val="000000" w:themeColor="text1"/>
        </w:rPr>
        <w:t xml:space="preserve"> </w:t>
      </w:r>
      <w:r w:rsidR="00D5205F">
        <w:rPr>
          <w:rFonts w:eastAsia="EC Square Sans Pro" w:cs="EC Square Sans Pro"/>
          <w:noProof/>
          <w:color w:val="000000" w:themeColor="text1"/>
        </w:rPr>
        <w:t xml:space="preserve">while </w:t>
      </w:r>
      <w:r w:rsidRPr="415135D3">
        <w:rPr>
          <w:rFonts w:eastAsia="EC Square Sans Pro" w:cs="EC Square Sans Pro"/>
          <w:noProof/>
          <w:color w:val="000000" w:themeColor="text1"/>
        </w:rPr>
        <w:t>remain</w:t>
      </w:r>
      <w:r w:rsidR="79765856" w:rsidRPr="415135D3">
        <w:rPr>
          <w:rFonts w:eastAsia="EC Square Sans Pro" w:cs="EC Square Sans Pro"/>
          <w:noProof/>
          <w:color w:val="000000" w:themeColor="text1"/>
        </w:rPr>
        <w:t>ing</w:t>
      </w:r>
      <w:r w:rsidRPr="29A56CAE">
        <w:rPr>
          <w:rFonts w:eastAsia="EC Square Sans Pro" w:cs="EC Square Sans Pro"/>
          <w:noProof/>
          <w:color w:val="000000" w:themeColor="text1"/>
        </w:rPr>
        <w:t xml:space="preserve"> above the euro area average</w:t>
      </w:r>
      <w:r w:rsidR="6D2ECB3A" w:rsidRPr="415135D3">
        <w:rPr>
          <w:rFonts w:eastAsia="EC Square Sans Pro" w:cs="EC Square Sans Pro"/>
          <w:noProof/>
          <w:color w:val="000000" w:themeColor="text1"/>
        </w:rPr>
        <w:t xml:space="preserve"> in</w:t>
      </w:r>
      <w:r w:rsidR="6D2ECB3A" w:rsidRPr="279A8868">
        <w:rPr>
          <w:rFonts w:eastAsia="EC Square Sans Pro" w:cs="EC Square Sans Pro"/>
          <w:noProof/>
          <w:color w:val="000000" w:themeColor="text1"/>
        </w:rPr>
        <w:t xml:space="preserve"> both </w:t>
      </w:r>
      <w:r w:rsidR="6D2ECB3A" w:rsidRPr="1CAA7631">
        <w:rPr>
          <w:rFonts w:eastAsia="EC Square Sans Pro" w:cs="EC Square Sans Pro"/>
          <w:noProof/>
          <w:color w:val="000000" w:themeColor="text1"/>
        </w:rPr>
        <w:t>years</w:t>
      </w:r>
      <w:r w:rsidRPr="1CAA7631">
        <w:rPr>
          <w:rFonts w:eastAsia="EC Square Sans Pro" w:cs="EC Square Sans Pro"/>
          <w:noProof/>
          <w:color w:val="000000" w:themeColor="text1"/>
        </w:rPr>
        <w:t>.</w:t>
      </w:r>
      <w:r w:rsidRPr="29A56CAE">
        <w:rPr>
          <w:rFonts w:eastAsia="EC Square Sans Pro" w:cs="EC Square Sans Pro"/>
          <w:noProof/>
          <w:color w:val="000000" w:themeColor="text1"/>
        </w:rPr>
        <w:t xml:space="preserve"> The Commission’s Spring 2026 Economic Forecast projects </w:t>
      </w:r>
      <w:r w:rsidR="00D5205F">
        <w:rPr>
          <w:rFonts w:eastAsia="EC Square Sans Pro" w:cs="EC Square Sans Pro"/>
          <w:noProof/>
          <w:color w:val="000000" w:themeColor="text1"/>
        </w:rPr>
        <w:t xml:space="preserve">that </w:t>
      </w:r>
      <w:r w:rsidRPr="29A56CAE">
        <w:rPr>
          <w:rFonts w:eastAsia="EC Square Sans Pro" w:cs="EC Square Sans Pro"/>
          <w:noProof/>
          <w:color w:val="000000" w:themeColor="text1"/>
        </w:rPr>
        <w:t xml:space="preserve">annual HICP inflation </w:t>
      </w:r>
      <w:r w:rsidR="00D5205F">
        <w:rPr>
          <w:rFonts w:eastAsia="EC Square Sans Pro" w:cs="EC Square Sans Pro"/>
          <w:noProof/>
          <w:color w:val="000000" w:themeColor="text1"/>
        </w:rPr>
        <w:t xml:space="preserve">will </w:t>
      </w:r>
      <w:r w:rsidRPr="29A56CAE">
        <w:rPr>
          <w:rFonts w:eastAsia="EC Square Sans Pro" w:cs="EC Square Sans Pro"/>
          <w:noProof/>
          <w:color w:val="000000" w:themeColor="text1"/>
        </w:rPr>
        <w:t xml:space="preserve">average </w:t>
      </w:r>
      <w:r w:rsidR="56DF0C72" w:rsidRPr="0098405B">
        <w:rPr>
          <w:rFonts w:eastAsia="EC Square Sans Pro" w:cs="EC Square Sans Pro"/>
          <w:noProof/>
          <w:color w:val="000000" w:themeColor="text1"/>
        </w:rPr>
        <w:t>3</w:t>
      </w:r>
      <w:r w:rsidR="08702FEB" w:rsidRPr="0098405B">
        <w:rPr>
          <w:rFonts w:eastAsia="EC Square Sans Pro" w:cs="EC Square Sans Pro"/>
          <w:noProof/>
          <w:color w:val="000000" w:themeColor="text1"/>
        </w:rPr>
        <w:t>.</w:t>
      </w:r>
      <w:r w:rsidR="3D1D1904" w:rsidRPr="0098405B">
        <w:rPr>
          <w:rFonts w:eastAsia="EC Square Sans Pro" w:cs="EC Square Sans Pro"/>
          <w:noProof/>
          <w:color w:val="000000" w:themeColor="text1"/>
        </w:rPr>
        <w:t>6</w:t>
      </w:r>
      <w:r w:rsidRPr="00C6657D">
        <w:rPr>
          <w:rFonts w:eastAsia="EC Square Sans Pro" w:cs="EC Square Sans Pro"/>
          <w:noProof/>
          <w:color w:val="000000" w:themeColor="text1"/>
        </w:rPr>
        <w:t xml:space="preserve">% in 2026 and </w:t>
      </w:r>
      <w:r w:rsidR="2FB0FFB5" w:rsidRPr="0098405B">
        <w:rPr>
          <w:rFonts w:eastAsia="EC Square Sans Pro" w:cs="EC Square Sans Pro"/>
          <w:noProof/>
          <w:color w:val="000000" w:themeColor="text1"/>
        </w:rPr>
        <w:t>2</w:t>
      </w:r>
      <w:r w:rsidR="0ADBC6E1" w:rsidRPr="0098405B">
        <w:rPr>
          <w:rFonts w:eastAsia="EC Square Sans Pro" w:cs="EC Square Sans Pro"/>
          <w:noProof/>
          <w:color w:val="000000" w:themeColor="text1"/>
        </w:rPr>
        <w:t>.</w:t>
      </w:r>
      <w:r w:rsidR="3F637FD2" w:rsidRPr="0098405B">
        <w:rPr>
          <w:rFonts w:eastAsia="EC Square Sans Pro" w:cs="EC Square Sans Pro"/>
          <w:noProof/>
          <w:color w:val="000000" w:themeColor="text1"/>
        </w:rPr>
        <w:t>9</w:t>
      </w:r>
      <w:r w:rsidRPr="00C6657D">
        <w:rPr>
          <w:rFonts w:eastAsia="EC Square Sans Pro" w:cs="EC Square Sans Pro"/>
          <w:noProof/>
          <w:color w:val="000000" w:themeColor="text1"/>
        </w:rPr>
        <w:t xml:space="preserve">% in 2027. </w:t>
      </w:r>
      <w:r w:rsidRPr="0098405B">
        <w:rPr>
          <w:rFonts w:eastAsia="EC Square Sans Pro" w:cs="EC Square Sans Pro"/>
          <w:noProof/>
          <w:color w:val="000000" w:themeColor="text1"/>
        </w:rPr>
        <w:t xml:space="preserve">The inflation outlook remains uncertain due to </w:t>
      </w:r>
      <w:r w:rsidR="6D918506" w:rsidRPr="0098405B">
        <w:rPr>
          <w:rFonts w:eastAsia="EC Square Sans Pro" w:cs="EC Square Sans Pro"/>
          <w:noProof/>
          <w:color w:val="000000" w:themeColor="text1"/>
        </w:rPr>
        <w:t xml:space="preserve">risks related to </w:t>
      </w:r>
      <w:r w:rsidRPr="0098405B">
        <w:rPr>
          <w:rFonts w:eastAsia="EC Square Sans Pro" w:cs="EC Square Sans Pro"/>
          <w:noProof/>
          <w:color w:val="000000" w:themeColor="text1"/>
        </w:rPr>
        <w:t>global commodity prices and geopolitical situation</w:t>
      </w:r>
      <w:r w:rsidRPr="29A56CAE">
        <w:rPr>
          <w:rFonts w:eastAsia="EC Square Sans Pro" w:cs="EC Square Sans Pro"/>
          <w:noProof/>
          <w:color w:val="000000" w:themeColor="text1"/>
        </w:rPr>
        <w:t>.</w:t>
      </w:r>
      <w:r w:rsidR="007F7B97">
        <w:rPr>
          <w:rFonts w:eastAsia="EC Square Sans Pro" w:cs="EC Square Sans Pro"/>
          <w:noProof/>
          <w:color w:val="000000" w:themeColor="text1"/>
        </w:rPr>
        <w:t xml:space="preserve"> </w:t>
      </w:r>
      <w:r w:rsidR="00646070" w:rsidRPr="00646070">
        <w:rPr>
          <w:rFonts w:eastAsia="EC Square Sans Pro" w:cs="EC Square Sans Pro"/>
          <w:noProof/>
          <w:color w:val="000000" w:themeColor="text1"/>
        </w:rPr>
        <w:t xml:space="preserve">The level of consumer prices in </w:t>
      </w:r>
      <w:r w:rsidR="00646070">
        <w:rPr>
          <w:rFonts w:eastAsia="EC Square Sans Pro" w:cs="EC Square Sans Pro"/>
          <w:noProof/>
          <w:color w:val="000000" w:themeColor="text1"/>
        </w:rPr>
        <w:t xml:space="preserve">Poland </w:t>
      </w:r>
      <w:r w:rsidR="00646070" w:rsidRPr="00646070">
        <w:rPr>
          <w:rFonts w:eastAsia="EC Square Sans Pro" w:cs="EC Square Sans Pro"/>
          <w:noProof/>
          <w:color w:val="000000" w:themeColor="text1"/>
        </w:rPr>
        <w:t xml:space="preserve">was about </w:t>
      </w:r>
      <w:r w:rsidR="00646070">
        <w:rPr>
          <w:rFonts w:eastAsia="EC Square Sans Pro" w:cs="EC Square Sans Pro"/>
          <w:noProof/>
          <w:color w:val="000000" w:themeColor="text1"/>
        </w:rPr>
        <w:t>69</w:t>
      </w:r>
      <w:r w:rsidR="00646070" w:rsidRPr="00646070">
        <w:rPr>
          <w:rFonts w:eastAsia="EC Square Sans Pro" w:cs="EC Square Sans Pro"/>
          <w:noProof/>
          <w:color w:val="000000" w:themeColor="text1"/>
        </w:rPr>
        <w:t>% of the euro area average in 2024, suggesting that there is still potential for further price level convergence in the long term.</w:t>
      </w:r>
    </w:p>
    <w:p w14:paraId="12DE7102" w14:textId="5CCFABE2" w:rsidR="00B74B7F" w:rsidRDefault="6E302684" w:rsidP="00B74B7F">
      <w:pPr>
        <w:ind w:left="567"/>
        <w:rPr>
          <w:rFonts w:eastAsia="EC Square Sans Pro" w:cs="EC Square Sans Pro"/>
          <w:noProof/>
          <w:color w:val="000000" w:themeColor="text1"/>
        </w:rPr>
      </w:pPr>
      <w:r w:rsidRPr="42863A43">
        <w:rPr>
          <w:rFonts w:eastAsia="EC Square Sans Pro" w:cs="EC Square Sans Pro"/>
          <w:b/>
          <w:bCs/>
          <w:noProof/>
          <w:color w:val="000000" w:themeColor="text1"/>
        </w:rPr>
        <w:t>Poland does not fulfil the criterion on public finances.</w:t>
      </w:r>
      <w:r w:rsidRPr="42863A43">
        <w:rPr>
          <w:rFonts w:eastAsia="EC Square Sans Pro" w:cs="EC Square Sans Pro"/>
          <w:noProof/>
          <w:color w:val="000000" w:themeColor="text1"/>
        </w:rPr>
        <w:t xml:space="preserve"> Poland is </w:t>
      </w:r>
      <w:r w:rsidR="4725BB11" w:rsidRPr="42863A43">
        <w:rPr>
          <w:rFonts w:eastAsia="EC Square Sans Pro" w:cs="EC Square Sans Pro"/>
          <w:noProof/>
          <w:color w:val="000000" w:themeColor="text1"/>
        </w:rPr>
        <w:t xml:space="preserve">the </w:t>
      </w:r>
      <w:r w:rsidRPr="42863A43">
        <w:rPr>
          <w:rFonts w:eastAsia="EC Square Sans Pro" w:cs="EC Square Sans Pro"/>
          <w:noProof/>
          <w:color w:val="000000" w:themeColor="text1"/>
        </w:rPr>
        <w:t xml:space="preserve">subject of a Council decision on the existence of an excessive deficit. </w:t>
      </w:r>
      <w:r w:rsidR="00D27F53">
        <w:rPr>
          <w:rFonts w:eastAsia="EC Square Sans Pro" w:cs="EC Square Sans Pro"/>
          <w:noProof/>
          <w:color w:val="000000" w:themeColor="text1"/>
        </w:rPr>
        <w:t xml:space="preserve">Since 2022, </w:t>
      </w:r>
      <w:r w:rsidR="76E08AE4" w:rsidRPr="42863A43">
        <w:rPr>
          <w:rFonts w:eastAsia="EC Square Sans Pro" w:cs="EC Square Sans Pro"/>
          <w:noProof/>
          <w:color w:val="000000" w:themeColor="text1"/>
        </w:rPr>
        <w:t xml:space="preserve">Poland’s general government deficit has remained above the 3% of GDP Treaty reference value, increasing from 3.4% of GDP in 2022 to 6.4% of GDP in 2024 and 7.3% of GDP in 2025. This </w:t>
      </w:r>
      <w:r w:rsidR="00C31CB7">
        <w:rPr>
          <w:rFonts w:eastAsia="EC Square Sans Pro" w:cs="EC Square Sans Pro"/>
          <w:noProof/>
          <w:color w:val="000000" w:themeColor="text1"/>
        </w:rPr>
        <w:t>is due to</w:t>
      </w:r>
      <w:r w:rsidR="76E08AE4" w:rsidRPr="42863A43">
        <w:rPr>
          <w:rFonts w:eastAsia="EC Square Sans Pro" w:cs="EC Square Sans Pro"/>
          <w:noProof/>
          <w:color w:val="000000" w:themeColor="text1"/>
        </w:rPr>
        <w:t xml:space="preserve"> higher public spending driven by substantial defence investments, increased social benefits (including pension indexation and also the new Active Parent and Widow Pension programmes), rising costs of servicing public debt, increased salaries in the public sector and higher spending on healthcare. The Commission’s Spring 2026 Economic Forecast expects the general government deficit to decrease to 6.5% of GDP in 2026, </w:t>
      </w:r>
      <w:r w:rsidR="00C31CB7">
        <w:rPr>
          <w:rFonts w:eastAsia="EC Square Sans Pro" w:cs="EC Square Sans Pro"/>
          <w:noProof/>
          <w:color w:val="000000" w:themeColor="text1"/>
        </w:rPr>
        <w:t>due to</w:t>
      </w:r>
      <w:r w:rsidR="76E08AE4" w:rsidRPr="42863A43">
        <w:rPr>
          <w:rFonts w:eastAsia="EC Square Sans Pro" w:cs="EC Square Sans Pro"/>
          <w:noProof/>
          <w:color w:val="000000" w:themeColor="text1"/>
        </w:rPr>
        <w:t xml:space="preserve"> restraint in nationally-financed expenditure and the adopted discretionary revenue measures. In 2027, the government deficit ratio is forecast </w:t>
      </w:r>
      <w:r w:rsidR="00C31CB7">
        <w:rPr>
          <w:rFonts w:eastAsia="EC Square Sans Pro" w:cs="EC Square Sans Pro"/>
          <w:noProof/>
          <w:color w:val="000000" w:themeColor="text1"/>
        </w:rPr>
        <w:t>to be</w:t>
      </w:r>
      <w:r w:rsidR="76E08AE4" w:rsidRPr="42863A43">
        <w:rPr>
          <w:rFonts w:eastAsia="EC Square Sans Pro" w:cs="EC Square Sans Pro"/>
          <w:noProof/>
          <w:color w:val="000000" w:themeColor="text1"/>
        </w:rPr>
        <w:t xml:space="preserve"> 6.3%. </w:t>
      </w:r>
    </w:p>
    <w:p w14:paraId="2E87A3F4" w14:textId="330C65C8" w:rsidR="1A91F675" w:rsidRDefault="1A91F675" w:rsidP="43D0759F">
      <w:pPr>
        <w:ind w:left="567"/>
        <w:rPr>
          <w:rFonts w:eastAsia="EC Square Sans Pro" w:cs="EC Square Sans Pro"/>
          <w:noProof/>
          <w:color w:val="000000" w:themeColor="text1"/>
        </w:rPr>
      </w:pPr>
      <w:r w:rsidRPr="7056CE11">
        <w:rPr>
          <w:rFonts w:eastAsia="EC Square Sans Pro" w:cs="EC Square Sans Pro"/>
          <w:noProof/>
          <w:color w:val="000000" w:themeColor="text1"/>
        </w:rPr>
        <w:t>On 21 January 2025, the Council adopted a recommendation</w:t>
      </w:r>
      <w:r w:rsidR="00A1447A" w:rsidRPr="7056CE11">
        <w:rPr>
          <w:rFonts w:eastAsia="EC Square Sans Pro" w:cs="EC Square Sans Pro"/>
          <w:noProof/>
          <w:color w:val="000000" w:themeColor="text1"/>
        </w:rPr>
        <w:t xml:space="preserve"> endorsing </w:t>
      </w:r>
      <w:r w:rsidRPr="7056CE11">
        <w:rPr>
          <w:rFonts w:eastAsia="EC Square Sans Pro" w:cs="EC Square Sans Pro"/>
          <w:noProof/>
          <w:color w:val="000000" w:themeColor="text1"/>
        </w:rPr>
        <w:t xml:space="preserve">Poland’s </w:t>
      </w:r>
      <w:r w:rsidR="00A22474" w:rsidRPr="7056CE11">
        <w:rPr>
          <w:rFonts w:eastAsia="EC Square Sans Pro" w:cs="EC Square Sans Pro"/>
          <w:noProof/>
          <w:color w:val="000000" w:themeColor="text1"/>
        </w:rPr>
        <w:t>national</w:t>
      </w:r>
      <w:r w:rsidRPr="7056CE11">
        <w:rPr>
          <w:rFonts w:eastAsia="EC Square Sans Pro" w:cs="EC Square Sans Pro"/>
          <w:noProof/>
          <w:color w:val="000000" w:themeColor="text1"/>
        </w:rPr>
        <w:t xml:space="preserve"> medium-term fiscal-structural plan. The plan sets out a fiscal adjustment path over four years, with maximum net expenditure growth of 6.3% in 2025, 4.4% in 2026, 4.0% in 2027 and 3.5% in 2028. </w:t>
      </w:r>
      <w:r w:rsidR="00CD2093" w:rsidRPr="7056CE11">
        <w:rPr>
          <w:rFonts w:eastAsia="EC Square Sans Pro" w:cs="EC Square Sans Pro"/>
          <w:noProof/>
          <w:color w:val="000000" w:themeColor="text1"/>
        </w:rPr>
        <w:t xml:space="preserve">The Council </w:t>
      </w:r>
      <w:r w:rsidR="00BB49FD" w:rsidRPr="7056CE11">
        <w:rPr>
          <w:rFonts w:eastAsia="EC Square Sans Pro" w:cs="EC Square Sans Pro"/>
          <w:noProof/>
          <w:color w:val="000000" w:themeColor="text1"/>
        </w:rPr>
        <w:t xml:space="preserve">also </w:t>
      </w:r>
      <w:r w:rsidR="00CD2093" w:rsidRPr="7056CE11">
        <w:rPr>
          <w:rFonts w:eastAsia="EC Square Sans Pro" w:cs="EC Square Sans Pro"/>
          <w:noProof/>
          <w:color w:val="000000" w:themeColor="text1"/>
        </w:rPr>
        <w:t xml:space="preserve">adopted a recommendation with a view to bringing an end to the situation of an excessive deficit. The recommended maximum net expenditure growth rates under the EDP were in line with those set out in the medium-term fiscal-structural plan. </w:t>
      </w:r>
      <w:r w:rsidRPr="7056CE11">
        <w:rPr>
          <w:rFonts w:eastAsia="EC Square Sans Pro" w:cs="EC Square Sans Pro"/>
          <w:noProof/>
          <w:color w:val="000000" w:themeColor="text1"/>
        </w:rPr>
        <w:t xml:space="preserve">These </w:t>
      </w:r>
      <w:r w:rsidR="0016340E" w:rsidRPr="7056CE11">
        <w:rPr>
          <w:rFonts w:eastAsia="EC Square Sans Pro" w:cs="EC Square Sans Pro"/>
          <w:noProof/>
          <w:color w:val="000000" w:themeColor="text1"/>
        </w:rPr>
        <w:t xml:space="preserve">are consistent with a </w:t>
      </w:r>
      <w:r w:rsidR="0016340E" w:rsidRPr="7056CE11">
        <w:rPr>
          <w:rFonts w:eastAsia="EC Square Sans Pro" w:cs="EC Square Sans Pro"/>
          <w:noProof/>
          <w:color w:val="000000" w:themeColor="text1"/>
          <w:lang w:val="en-IE"/>
        </w:rPr>
        <w:t xml:space="preserve">minimum annual structural adjustment of at least 0.5% GDP as a benchmark </w:t>
      </w:r>
      <w:r w:rsidR="00B83DFF" w:rsidRPr="7056CE11">
        <w:rPr>
          <w:rFonts w:eastAsia="EC Square Sans Pro" w:cs="EC Square Sans Pro"/>
          <w:noProof/>
          <w:color w:val="000000" w:themeColor="text1"/>
          <w:lang w:val="en-IE"/>
        </w:rPr>
        <w:t xml:space="preserve">required under an </w:t>
      </w:r>
      <w:r w:rsidR="00EA654C" w:rsidRPr="7056CE11">
        <w:rPr>
          <w:rFonts w:eastAsia="EC Square Sans Pro" w:cs="EC Square Sans Pro"/>
          <w:noProof/>
          <w:color w:val="000000" w:themeColor="text1"/>
          <w:lang w:val="en-IE"/>
        </w:rPr>
        <w:t>EDP</w:t>
      </w:r>
      <w:r w:rsidR="00B83DFF" w:rsidRPr="7056CE11">
        <w:rPr>
          <w:rFonts w:eastAsia="EC Square Sans Pro" w:cs="EC Square Sans Pro"/>
          <w:noProof/>
          <w:color w:val="000000" w:themeColor="text1"/>
        </w:rPr>
        <w:t xml:space="preserve">. The </w:t>
      </w:r>
      <w:r w:rsidRPr="7056CE11">
        <w:rPr>
          <w:rFonts w:eastAsia="EC Square Sans Pro" w:cs="EC Square Sans Pro"/>
          <w:noProof/>
          <w:color w:val="000000" w:themeColor="text1"/>
        </w:rPr>
        <w:t>EDP correction deadline is 2028, at which point the plan envisages a deficit of 2.9% of GDP.</w:t>
      </w:r>
      <w:r w:rsidR="005F2510" w:rsidRPr="7056CE11">
        <w:rPr>
          <w:rFonts w:eastAsia="EC Square Sans Pro" w:cs="EC Square Sans Pro"/>
          <w:noProof/>
          <w:color w:val="000000" w:themeColor="text1"/>
        </w:rPr>
        <w:t xml:space="preserve"> </w:t>
      </w:r>
      <w:r w:rsidRPr="7056CE11">
        <w:rPr>
          <w:rFonts w:eastAsia="EC Square Sans Pro" w:cs="EC Square Sans Pro"/>
          <w:noProof/>
          <w:color w:val="000000" w:themeColor="text1"/>
        </w:rPr>
        <w:t xml:space="preserve">In July 2025, the Council activated the national escape clause for increases in defence spending for Poland, allowing Poland to deviate from, and exceed, the correction path under the EDP and the net expenditure path of the medium-term fiscal-structural plan. </w:t>
      </w:r>
      <w:r w:rsidR="00387DFE" w:rsidRPr="7056CE11">
        <w:rPr>
          <w:rFonts w:eastAsia="EC Square Sans Pro" w:cs="EC Square Sans Pro"/>
          <w:noProof/>
        </w:rPr>
        <w:t>On 3 June 2026, the Commission concluded that</w:t>
      </w:r>
      <w:r w:rsidR="2EFAB3E3" w:rsidRPr="7056CE11">
        <w:rPr>
          <w:rFonts w:eastAsia="EC Square Sans Pro" w:cs="EC Square Sans Pro"/>
          <w:noProof/>
        </w:rPr>
        <w:t xml:space="preserve"> </w:t>
      </w:r>
      <w:r w:rsidR="511209E2" w:rsidRPr="7056CE11">
        <w:rPr>
          <w:rFonts w:eastAsia="EC Square Sans Pro" w:cs="EC Square Sans Pro"/>
          <w:noProof/>
        </w:rPr>
        <w:t>based on the assessment of effective action</w:t>
      </w:r>
      <w:r w:rsidR="4FDE21F6" w:rsidRPr="7056CE11">
        <w:rPr>
          <w:rFonts w:eastAsia="EC Square Sans Pro" w:cs="EC Square Sans Pro"/>
          <w:noProof/>
        </w:rPr>
        <w:t>,</w:t>
      </w:r>
      <w:r w:rsidR="511209E2" w:rsidRPr="7056CE11">
        <w:rPr>
          <w:rFonts w:eastAsia="EC Square Sans Pro" w:cs="EC Square Sans Pro"/>
          <w:noProof/>
        </w:rPr>
        <w:t xml:space="preserve"> </w:t>
      </w:r>
      <w:r w:rsidR="2EFAB3E3" w:rsidRPr="7056CE11">
        <w:rPr>
          <w:rFonts w:eastAsia="EC Square Sans Pro" w:cs="EC Square Sans Pro"/>
          <w:noProof/>
        </w:rPr>
        <w:t>the excessive deficit procedure for Poland is held in abeyance.</w:t>
      </w:r>
    </w:p>
    <w:p w14:paraId="4FAF4E17" w14:textId="3173EA99" w:rsidR="002A5DD3" w:rsidRDefault="7BE7F982">
      <w:pPr>
        <w:ind w:left="567"/>
        <w:rPr>
          <w:noProof/>
        </w:rPr>
      </w:pPr>
      <w:r w:rsidRPr="6E956E52">
        <w:rPr>
          <w:rFonts w:eastAsia="EC Square Sans Pro" w:cs="EC Square Sans Pro"/>
          <w:noProof/>
          <w:color w:val="000000" w:themeColor="text1"/>
        </w:rPr>
        <w:t xml:space="preserve">Net expenditure is projected to grow by </w:t>
      </w:r>
      <w:r w:rsidR="4EF96A8A" w:rsidRPr="6E956E52">
        <w:rPr>
          <w:rFonts w:eastAsia="EC Square Sans Pro" w:cs="EC Square Sans Pro"/>
          <w:noProof/>
          <w:color w:val="000000" w:themeColor="text1"/>
        </w:rPr>
        <w:t>4.0</w:t>
      </w:r>
      <w:r w:rsidRPr="6E956E52">
        <w:rPr>
          <w:rFonts w:eastAsia="EC Square Sans Pro" w:cs="EC Square Sans Pro"/>
          <w:noProof/>
          <w:color w:val="000000" w:themeColor="text1"/>
        </w:rPr>
        <w:t xml:space="preserve">% in 2026, below the recommended growth of 4.4%. The cumulative </w:t>
      </w:r>
      <w:r w:rsidRPr="0098405B">
        <w:rPr>
          <w:rFonts w:eastAsia="EC Square Sans Pro" w:cs="EC Square Sans Pro"/>
          <w:noProof/>
          <w:color w:val="auto"/>
        </w:rPr>
        <w:t xml:space="preserve">deviation from the recommended maximum is equivalent to </w:t>
      </w:r>
      <w:r w:rsidR="7F5362B3" w:rsidRPr="0098405B">
        <w:rPr>
          <w:rFonts w:eastAsia="EC Square Sans Pro" w:cs="EC Square Sans Pro"/>
          <w:noProof/>
          <w:color w:val="auto"/>
        </w:rPr>
        <w:t>1.0</w:t>
      </w:r>
      <w:r w:rsidRPr="0098405B">
        <w:rPr>
          <w:rFonts w:eastAsia="EC Square Sans Pro" w:cs="EC Square Sans Pro"/>
          <w:noProof/>
          <w:color w:val="auto"/>
        </w:rPr>
        <w:t xml:space="preserve">% of GDP. </w:t>
      </w:r>
      <w:r w:rsidR="436167E9" w:rsidRPr="0098405B">
        <w:rPr>
          <w:rFonts w:eastAsia="EC Square Sans Pro" w:cs="EC Square Sans Pro"/>
          <w:noProof/>
          <w:color w:val="auto"/>
        </w:rPr>
        <w:t>However, t</w:t>
      </w:r>
      <w:r w:rsidR="3DDBAE30" w:rsidRPr="0098405B">
        <w:rPr>
          <w:rFonts w:eastAsia="EC Square Sans Pro" w:cs="EC Square Sans Pro"/>
          <w:noProof/>
          <w:color w:val="auto"/>
          <w:szCs w:val="20"/>
        </w:rPr>
        <w:t>he projected deviation is within the flexibility of the national escape clause based on current projections for defence spending.</w:t>
      </w:r>
      <w:r w:rsidR="79558D74" w:rsidRPr="0098405B">
        <w:rPr>
          <w:noProof/>
          <w:color w:val="auto"/>
        </w:rPr>
        <w:t xml:space="preserve"> </w:t>
      </w:r>
    </w:p>
    <w:p w14:paraId="398DFD64" w14:textId="39905812" w:rsidR="23E6F968" w:rsidRDefault="2D5FEF4D" w:rsidP="7D817C09">
      <w:pPr>
        <w:ind w:left="567"/>
        <w:rPr>
          <w:rFonts w:eastAsia="EC Square Sans Pro" w:cs="EC Square Sans Pro"/>
          <w:noProof/>
          <w:color w:val="000000" w:themeColor="text1"/>
        </w:rPr>
      </w:pPr>
      <w:r w:rsidRPr="7056CE11">
        <w:rPr>
          <w:rFonts w:eastAsia="EC Square Sans Pro" w:cs="EC Square Sans Pro"/>
          <w:noProof/>
          <w:color w:val="000000" w:themeColor="text1"/>
        </w:rPr>
        <w:t xml:space="preserve">The government debt-to-GDP ratio increased from 54.8% in 2024 to 59.7% in 2025 and is projected to increase to 64.5% in 2026 </w:t>
      </w:r>
      <w:r w:rsidRPr="00E55FB5">
        <w:rPr>
          <w:rFonts w:eastAsia="EC Square Sans Pro" w:cs="EC Square Sans Pro"/>
          <w:noProof/>
          <w:color w:val="000000" w:themeColor="text1"/>
        </w:rPr>
        <w:t>and to 68.3% in 2027</w:t>
      </w:r>
      <w:r w:rsidR="00F86C68" w:rsidRPr="00E55FB5">
        <w:rPr>
          <w:rFonts w:eastAsia="EC Square Sans Pro" w:cs="EC Square Sans Pro"/>
          <w:noProof/>
          <w:color w:val="000000" w:themeColor="text1"/>
        </w:rPr>
        <w:t>.</w:t>
      </w:r>
      <w:r w:rsidRPr="7056CE11">
        <w:rPr>
          <w:rFonts w:eastAsia="EC Square Sans Pro" w:cs="EC Square Sans Pro"/>
          <w:noProof/>
          <w:color w:val="000000" w:themeColor="text1"/>
        </w:rPr>
        <w:t xml:space="preserve"> </w:t>
      </w:r>
      <w:r w:rsidR="00F86C68" w:rsidRPr="7056CE11">
        <w:rPr>
          <w:rFonts w:eastAsia="EC Square Sans Pro" w:cs="EC Square Sans Pro"/>
          <w:noProof/>
          <w:color w:val="000000" w:themeColor="text1"/>
        </w:rPr>
        <w:t xml:space="preserve">This is </w:t>
      </w:r>
      <w:r w:rsidRPr="7056CE11">
        <w:rPr>
          <w:rFonts w:eastAsia="EC Square Sans Pro" w:cs="EC Square Sans Pro"/>
          <w:noProof/>
          <w:color w:val="000000" w:themeColor="text1"/>
        </w:rPr>
        <w:t xml:space="preserve">driven by </w:t>
      </w:r>
      <w:r w:rsidR="00F86C68" w:rsidRPr="7056CE11">
        <w:rPr>
          <w:rFonts w:eastAsia="EC Square Sans Pro" w:cs="EC Square Sans Pro"/>
          <w:noProof/>
          <w:color w:val="000000" w:themeColor="text1"/>
        </w:rPr>
        <w:t>a</w:t>
      </w:r>
      <w:r w:rsidRPr="7056CE11">
        <w:rPr>
          <w:rFonts w:eastAsia="EC Square Sans Pro" w:cs="EC Square Sans Pro"/>
          <w:noProof/>
          <w:color w:val="000000" w:themeColor="text1"/>
        </w:rPr>
        <w:t xml:space="preserve"> high primary deficit, elevated interest expenditure and upward stock-flow adjustments. </w:t>
      </w:r>
      <w:r w:rsidR="08452DD8" w:rsidRPr="00E55FB5">
        <w:rPr>
          <w:rFonts w:eastAsia="EC Square Sans Pro" w:cs="EC Square Sans Pro"/>
          <w:noProof/>
          <w:color w:val="000000" w:themeColor="text1"/>
        </w:rPr>
        <w:t>Poland</w:t>
      </w:r>
      <w:r w:rsidR="08452DD8" w:rsidRPr="7056CE11">
        <w:rPr>
          <w:rFonts w:eastAsia="EC Square Sans Pro" w:cs="EC Square Sans Pro"/>
          <w:noProof/>
          <w:color w:val="000000" w:themeColor="text1"/>
        </w:rPr>
        <w:t>’s debt sustainability risks appear high in the medium term</w:t>
      </w:r>
      <w:r w:rsidR="477BA35A" w:rsidRPr="7056CE11">
        <w:rPr>
          <w:rFonts w:eastAsia="EC Square Sans Pro" w:cs="EC Square Sans Pro"/>
          <w:noProof/>
          <w:color w:val="000000" w:themeColor="text1"/>
        </w:rPr>
        <w:t>,</w:t>
      </w:r>
      <w:r w:rsidR="6FD005BE" w:rsidRPr="7056CE11">
        <w:rPr>
          <w:rFonts w:eastAsia="EC Square Sans Pro" w:cs="EC Square Sans Pro"/>
          <w:noProof/>
          <w:color w:val="000000" w:themeColor="text1"/>
        </w:rPr>
        <w:t xml:space="preserve"> </w:t>
      </w:r>
      <w:r w:rsidR="523C185E" w:rsidRPr="7056CE11">
        <w:rPr>
          <w:rFonts w:eastAsia="EC Square Sans Pro" w:cs="EC Square Sans Pro"/>
          <w:noProof/>
          <w:color w:val="000000" w:themeColor="text1"/>
        </w:rPr>
        <w:t xml:space="preserve">with </w:t>
      </w:r>
      <w:r w:rsidR="477BA35A" w:rsidRPr="7056CE11">
        <w:rPr>
          <w:rFonts w:eastAsia="EC Square Sans Pro" w:cs="EC Square Sans Pro"/>
          <w:noProof/>
          <w:color w:val="000000" w:themeColor="text1"/>
        </w:rPr>
        <w:t>g</w:t>
      </w:r>
      <w:r w:rsidR="50DC856F" w:rsidRPr="7056CE11">
        <w:rPr>
          <w:rFonts w:eastAsia="EC Square Sans Pro" w:cs="EC Square Sans Pro"/>
          <w:noProof/>
          <w:color w:val="000000" w:themeColor="text1"/>
        </w:rPr>
        <w:t>overnment debt projected to increase steadily from around 60% in 2025 to around 107% of GDP in 2036.</w:t>
      </w:r>
      <w:r w:rsidR="0A5FC60D" w:rsidRPr="7056CE11">
        <w:rPr>
          <w:rFonts w:eastAsia="EC Square Sans Pro" w:cs="EC Square Sans Pro"/>
          <w:noProof/>
          <w:color w:val="000000" w:themeColor="text1"/>
        </w:rPr>
        <w:t xml:space="preserve"> The fiscal framework </w:t>
      </w:r>
      <w:r w:rsidR="1EB3046A" w:rsidRPr="7056CE11">
        <w:rPr>
          <w:rFonts w:eastAsia="EC Square Sans Pro" w:cs="EC Square Sans Pro"/>
          <w:noProof/>
          <w:color w:val="000000" w:themeColor="text1"/>
        </w:rPr>
        <w:t xml:space="preserve">in Poland </w:t>
      </w:r>
      <w:r w:rsidR="7383A250" w:rsidRPr="7056CE11">
        <w:rPr>
          <w:rFonts w:eastAsia="EC Square Sans Pro" w:cs="EC Square Sans Pro"/>
          <w:noProof/>
          <w:color w:val="000000" w:themeColor="text1"/>
        </w:rPr>
        <w:t>was subject to</w:t>
      </w:r>
      <w:r w:rsidR="1EB3046A" w:rsidRPr="7056CE11">
        <w:rPr>
          <w:rFonts w:eastAsia="EC Square Sans Pro" w:cs="EC Square Sans Pro"/>
          <w:noProof/>
          <w:color w:val="000000" w:themeColor="text1"/>
        </w:rPr>
        <w:t xml:space="preserve"> </w:t>
      </w:r>
      <w:r w:rsidR="359C7206" w:rsidRPr="7056CE11">
        <w:rPr>
          <w:rFonts w:eastAsia="EC Square Sans Pro" w:cs="EC Square Sans Pro"/>
          <w:noProof/>
          <w:color w:val="000000" w:themeColor="text1"/>
        </w:rPr>
        <w:t xml:space="preserve">two significant reforms </w:t>
      </w:r>
      <w:r w:rsidR="2E1CB7B8" w:rsidRPr="7056CE11">
        <w:rPr>
          <w:rFonts w:eastAsia="EC Square Sans Pro" w:cs="EC Square Sans Pro"/>
          <w:noProof/>
          <w:color w:val="000000" w:themeColor="text1"/>
        </w:rPr>
        <w:t xml:space="preserve">in </w:t>
      </w:r>
      <w:r w:rsidR="359C7206" w:rsidRPr="7056CE11">
        <w:rPr>
          <w:rFonts w:eastAsia="EC Square Sans Pro" w:cs="EC Square Sans Pro"/>
          <w:noProof/>
          <w:color w:val="000000" w:themeColor="text1"/>
        </w:rPr>
        <w:t xml:space="preserve">2024, </w:t>
      </w:r>
      <w:r w:rsidR="448179E5" w:rsidRPr="7056CE11">
        <w:rPr>
          <w:rFonts w:eastAsia="EC Square Sans Pro" w:cs="EC Square Sans Pro"/>
          <w:noProof/>
          <w:color w:val="000000" w:themeColor="text1"/>
        </w:rPr>
        <w:t>which</w:t>
      </w:r>
      <w:r w:rsidR="1E859D31" w:rsidRPr="7056CE11">
        <w:rPr>
          <w:rFonts w:eastAsia="EC Square Sans Pro" w:cs="EC Square Sans Pro"/>
          <w:noProof/>
          <w:color w:val="000000" w:themeColor="text1"/>
        </w:rPr>
        <w:t xml:space="preserve"> strengthen</w:t>
      </w:r>
      <w:r w:rsidR="00F86C68" w:rsidRPr="7056CE11">
        <w:rPr>
          <w:rFonts w:eastAsia="EC Square Sans Pro" w:cs="EC Square Sans Pro"/>
          <w:noProof/>
          <w:color w:val="000000" w:themeColor="text1"/>
        </w:rPr>
        <w:t>ed</w:t>
      </w:r>
      <w:r w:rsidR="6E53BE6C" w:rsidRPr="7056CE11">
        <w:rPr>
          <w:rFonts w:eastAsia="EC Square Sans Pro" w:cs="EC Square Sans Pro"/>
          <w:noProof/>
          <w:color w:val="000000" w:themeColor="text1"/>
        </w:rPr>
        <w:t xml:space="preserve"> Polish</w:t>
      </w:r>
      <w:r w:rsidR="1E859D31" w:rsidRPr="7056CE11">
        <w:rPr>
          <w:rFonts w:eastAsia="EC Square Sans Pro" w:cs="EC Square Sans Pro"/>
          <w:noProof/>
          <w:color w:val="000000" w:themeColor="text1"/>
        </w:rPr>
        <w:t xml:space="preserve"> fiscal discipline and </w:t>
      </w:r>
      <w:r w:rsidR="480544A3" w:rsidRPr="7056CE11">
        <w:rPr>
          <w:rFonts w:eastAsia="EC Square Sans Pro" w:cs="EC Square Sans Pro"/>
          <w:noProof/>
          <w:color w:val="000000" w:themeColor="text1"/>
        </w:rPr>
        <w:t xml:space="preserve">fiscal </w:t>
      </w:r>
      <w:r w:rsidR="62042BF3" w:rsidRPr="7056CE11">
        <w:rPr>
          <w:rFonts w:eastAsia="EC Square Sans Pro" w:cs="EC Square Sans Pro"/>
          <w:noProof/>
          <w:color w:val="000000" w:themeColor="text1"/>
        </w:rPr>
        <w:t xml:space="preserve">sustainability </w:t>
      </w:r>
      <w:r w:rsidR="1E859D31" w:rsidRPr="7056CE11">
        <w:rPr>
          <w:rFonts w:eastAsia="EC Square Sans Pro" w:cs="EC Square Sans Pro"/>
          <w:noProof/>
          <w:color w:val="000000" w:themeColor="text1"/>
        </w:rPr>
        <w:t xml:space="preserve">by </w:t>
      </w:r>
      <w:r w:rsidR="3EB26851" w:rsidRPr="7056CE11">
        <w:rPr>
          <w:rFonts w:eastAsia="EC Square Sans Pro" w:cs="EC Square Sans Pro"/>
          <w:noProof/>
          <w:color w:val="000000" w:themeColor="text1"/>
        </w:rPr>
        <w:t>introduc</w:t>
      </w:r>
      <w:r w:rsidR="223BCC8D" w:rsidRPr="7056CE11">
        <w:rPr>
          <w:rFonts w:eastAsia="EC Square Sans Pro" w:cs="EC Square Sans Pro"/>
          <w:noProof/>
          <w:color w:val="000000" w:themeColor="text1"/>
        </w:rPr>
        <w:t>ing</w:t>
      </w:r>
      <w:r w:rsidR="3EB26851" w:rsidRPr="7056CE11">
        <w:rPr>
          <w:rFonts w:eastAsia="EC Square Sans Pro" w:cs="EC Square Sans Pro"/>
          <w:noProof/>
          <w:color w:val="000000" w:themeColor="text1"/>
        </w:rPr>
        <w:t xml:space="preserve"> an </w:t>
      </w:r>
      <w:r w:rsidR="59D067EF" w:rsidRPr="00E55FB5">
        <w:rPr>
          <w:rFonts w:eastAsia="EC Square Sans Pro" w:cs="EC Square Sans Pro"/>
          <w:i/>
          <w:iCs/>
          <w:noProof/>
          <w:color w:val="000000" w:themeColor="text1"/>
        </w:rPr>
        <w:t>ex</w:t>
      </w:r>
      <w:r w:rsidR="00F86C68" w:rsidRPr="7056CE11">
        <w:rPr>
          <w:rFonts w:eastAsia="EC Square Sans Pro" w:cs="EC Square Sans Pro"/>
          <w:i/>
          <w:iCs/>
          <w:noProof/>
          <w:color w:val="000000" w:themeColor="text1"/>
        </w:rPr>
        <w:t xml:space="preserve"> </w:t>
      </w:r>
      <w:r w:rsidR="59D067EF" w:rsidRPr="00E55FB5">
        <w:rPr>
          <w:rFonts w:eastAsia="EC Square Sans Pro" w:cs="EC Square Sans Pro"/>
          <w:i/>
          <w:iCs/>
          <w:noProof/>
          <w:color w:val="000000" w:themeColor="text1"/>
        </w:rPr>
        <w:t>ante</w:t>
      </w:r>
      <w:r w:rsidR="3EB26851" w:rsidRPr="7056CE11">
        <w:rPr>
          <w:rFonts w:eastAsia="EC Square Sans Pro" w:cs="EC Square Sans Pro"/>
          <w:noProof/>
          <w:color w:val="000000" w:themeColor="text1"/>
        </w:rPr>
        <w:t xml:space="preserve"> correction mechanism in</w:t>
      </w:r>
      <w:r w:rsidR="00F86C68" w:rsidRPr="7056CE11">
        <w:rPr>
          <w:rFonts w:eastAsia="EC Square Sans Pro" w:cs="EC Square Sans Pro"/>
          <w:noProof/>
          <w:color w:val="000000" w:themeColor="text1"/>
        </w:rPr>
        <w:t>to</w:t>
      </w:r>
      <w:r w:rsidR="3EB26851" w:rsidRPr="7056CE11">
        <w:rPr>
          <w:rFonts w:eastAsia="EC Square Sans Pro" w:cs="EC Square Sans Pro"/>
          <w:noProof/>
          <w:color w:val="000000" w:themeColor="text1"/>
        </w:rPr>
        <w:t xml:space="preserve"> </w:t>
      </w:r>
      <w:r w:rsidR="756CD3BB" w:rsidRPr="7056CE11">
        <w:rPr>
          <w:rFonts w:eastAsia="EC Square Sans Pro" w:cs="EC Square Sans Pro"/>
          <w:noProof/>
          <w:color w:val="000000" w:themeColor="text1"/>
        </w:rPr>
        <w:t xml:space="preserve">the </w:t>
      </w:r>
      <w:r w:rsidR="09524C68" w:rsidRPr="7056CE11">
        <w:rPr>
          <w:rFonts w:eastAsia="EC Square Sans Pro" w:cs="EC Square Sans Pro"/>
          <w:noProof/>
          <w:color w:val="000000" w:themeColor="text1"/>
        </w:rPr>
        <w:t xml:space="preserve">national </w:t>
      </w:r>
      <w:r w:rsidR="756CD3BB" w:rsidRPr="7056CE11">
        <w:rPr>
          <w:rFonts w:eastAsia="EC Square Sans Pro" w:cs="EC Square Sans Pro"/>
          <w:noProof/>
          <w:color w:val="000000" w:themeColor="text1"/>
        </w:rPr>
        <w:t>expenditure rule</w:t>
      </w:r>
      <w:r w:rsidR="647B2778" w:rsidRPr="7056CE11">
        <w:rPr>
          <w:rFonts w:eastAsia="EC Square Sans Pro" w:cs="EC Square Sans Pro"/>
          <w:noProof/>
          <w:color w:val="000000" w:themeColor="text1"/>
        </w:rPr>
        <w:t xml:space="preserve"> to ensure consistency with </w:t>
      </w:r>
      <w:r w:rsidR="3D1A1486" w:rsidRPr="7056CE11">
        <w:rPr>
          <w:rFonts w:eastAsia="EC Square Sans Pro" w:cs="EC Square Sans Pro"/>
          <w:noProof/>
          <w:color w:val="000000" w:themeColor="text1"/>
        </w:rPr>
        <w:t xml:space="preserve">EU fiscal </w:t>
      </w:r>
      <w:r w:rsidR="734EA511" w:rsidRPr="7056CE11">
        <w:rPr>
          <w:rFonts w:eastAsia="EC Square Sans Pro" w:cs="EC Square Sans Pro"/>
          <w:noProof/>
          <w:color w:val="000000" w:themeColor="text1"/>
        </w:rPr>
        <w:t>requirements</w:t>
      </w:r>
      <w:r w:rsidR="756CD3BB" w:rsidRPr="7056CE11">
        <w:rPr>
          <w:rFonts w:eastAsia="EC Square Sans Pro" w:cs="EC Square Sans Pro"/>
          <w:noProof/>
          <w:color w:val="000000" w:themeColor="text1"/>
        </w:rPr>
        <w:t xml:space="preserve"> and </w:t>
      </w:r>
      <w:r w:rsidR="6ACF434B" w:rsidRPr="7056CE11">
        <w:rPr>
          <w:rFonts w:eastAsia="EC Square Sans Pro" w:cs="EC Square Sans Pro"/>
          <w:noProof/>
          <w:color w:val="000000" w:themeColor="text1"/>
        </w:rPr>
        <w:t>a</w:t>
      </w:r>
      <w:r w:rsidR="17AD6CA4" w:rsidRPr="7056CE11">
        <w:rPr>
          <w:rFonts w:eastAsia="EC Square Sans Pro" w:cs="EC Square Sans Pro"/>
          <w:noProof/>
          <w:color w:val="000000" w:themeColor="text1"/>
        </w:rPr>
        <w:t xml:space="preserve"> comprehensive</w:t>
      </w:r>
      <w:r w:rsidR="64375C08" w:rsidRPr="7056CE11">
        <w:rPr>
          <w:rFonts w:eastAsia="EC Square Sans Pro" w:cs="EC Square Sans Pro"/>
          <w:noProof/>
          <w:color w:val="000000" w:themeColor="text1"/>
        </w:rPr>
        <w:t xml:space="preserve"> </w:t>
      </w:r>
      <w:r w:rsidR="39382D1D" w:rsidRPr="7056CE11">
        <w:rPr>
          <w:rFonts w:eastAsia="EC Square Sans Pro" w:cs="EC Square Sans Pro"/>
          <w:noProof/>
          <w:color w:val="000000" w:themeColor="text1"/>
        </w:rPr>
        <w:t xml:space="preserve">fiscal policy </w:t>
      </w:r>
      <w:r w:rsidR="64375C08" w:rsidRPr="7056CE11">
        <w:rPr>
          <w:rFonts w:eastAsia="EC Square Sans Pro" w:cs="EC Square Sans Pro"/>
          <w:noProof/>
          <w:color w:val="000000" w:themeColor="text1"/>
        </w:rPr>
        <w:t xml:space="preserve">monitoring </w:t>
      </w:r>
      <w:r w:rsidR="567572D8" w:rsidRPr="7056CE11">
        <w:rPr>
          <w:rFonts w:eastAsia="EC Square Sans Pro" w:cs="EC Square Sans Pro"/>
          <w:noProof/>
          <w:color w:val="000000" w:themeColor="text1"/>
        </w:rPr>
        <w:t xml:space="preserve">mandate </w:t>
      </w:r>
      <w:r w:rsidR="64375C08" w:rsidRPr="7056CE11">
        <w:rPr>
          <w:rFonts w:eastAsia="EC Square Sans Pro" w:cs="EC Square Sans Pro"/>
          <w:noProof/>
          <w:color w:val="000000" w:themeColor="text1"/>
        </w:rPr>
        <w:t xml:space="preserve">for the Fiscal Council. </w:t>
      </w:r>
      <w:r w:rsidR="3801FE88" w:rsidRPr="7056CE11">
        <w:rPr>
          <w:rFonts w:eastAsia="EC Square Sans Pro" w:cs="EC Square Sans Pro"/>
          <w:noProof/>
          <w:color w:val="000000" w:themeColor="text1"/>
        </w:rPr>
        <w:t xml:space="preserve"> </w:t>
      </w:r>
    </w:p>
    <w:p w14:paraId="396AB193" w14:textId="2069A7D9" w:rsidR="00B436C7" w:rsidRPr="00C25B3E" w:rsidRDefault="00787FB4" w:rsidP="00B436C7">
      <w:pPr>
        <w:ind w:left="567"/>
        <w:jc w:val="center"/>
        <w:rPr>
          <w:noProof/>
        </w:rPr>
      </w:pPr>
      <w:r>
        <w:rPr>
          <w:noProof/>
          <w:lang w:eastAsia="en-GB"/>
        </w:rPr>
        <w:drawing>
          <wp:inline distT="0" distB="0" distL="0" distR="0" wp14:anchorId="56AA9091" wp14:editId="2AEEA62C">
            <wp:extent cx="3523615" cy="2249805"/>
            <wp:effectExtent l="0" t="0" r="635" b="0"/>
            <wp:docPr id="18736223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23615" cy="2249805"/>
                    </a:xfrm>
                    <a:prstGeom prst="rect">
                      <a:avLst/>
                    </a:prstGeom>
                    <a:noFill/>
                  </pic:spPr>
                </pic:pic>
              </a:graphicData>
            </a:graphic>
          </wp:inline>
        </w:drawing>
      </w:r>
    </w:p>
    <w:p w14:paraId="17CDF6CF" w14:textId="7E9A5A4F" w:rsidR="0045714E" w:rsidRDefault="2ABF2AE3" w:rsidP="009A7AD3">
      <w:pPr>
        <w:ind w:left="567"/>
        <w:rPr>
          <w:rFonts w:eastAsia="EC Square Sans Pro" w:cs="EC Square Sans Pro"/>
          <w:noProof/>
          <w:color w:val="000000" w:themeColor="text1"/>
        </w:rPr>
      </w:pPr>
      <w:r w:rsidRPr="2EEA064F">
        <w:rPr>
          <w:b/>
          <w:bCs/>
          <w:noProof/>
        </w:rPr>
        <w:t>Poland does not fulfil the exchange rate criterion</w:t>
      </w:r>
      <w:r>
        <w:rPr>
          <w:noProof/>
        </w:rPr>
        <w:t>.</w:t>
      </w:r>
      <w:r w:rsidRPr="2EEA064F">
        <w:rPr>
          <w:b/>
          <w:bCs/>
          <w:noProof/>
        </w:rPr>
        <w:t xml:space="preserve"> </w:t>
      </w:r>
      <w:r w:rsidRPr="2EEA064F">
        <w:rPr>
          <w:rFonts w:eastAsia="EC Square Sans Pro" w:cs="EC Square Sans Pro"/>
          <w:noProof/>
          <w:color w:val="000000" w:themeColor="text1"/>
        </w:rPr>
        <w:t xml:space="preserve">The Polish zloty does not participate in </w:t>
      </w:r>
      <w:r w:rsidR="0030343E">
        <w:rPr>
          <w:rFonts w:eastAsia="EC Square Sans Pro" w:cs="EC Square Sans Pro"/>
          <w:noProof/>
          <w:color w:val="000000" w:themeColor="text1"/>
        </w:rPr>
        <w:t xml:space="preserve">the </w:t>
      </w:r>
      <w:r w:rsidR="00683C8D">
        <w:rPr>
          <w:rFonts w:eastAsia="EC Square Sans Pro" w:cs="EC Square Sans Pro"/>
          <w:noProof/>
          <w:color w:val="000000" w:themeColor="text1"/>
        </w:rPr>
        <w:t>Exchange Rate Mechanism II</w:t>
      </w:r>
      <w:r w:rsidRPr="2EEA064F">
        <w:rPr>
          <w:rFonts w:eastAsia="EC Square Sans Pro" w:cs="EC Square Sans Pro"/>
          <w:noProof/>
          <w:color w:val="000000" w:themeColor="text1"/>
        </w:rPr>
        <w:t xml:space="preserve">. </w:t>
      </w:r>
      <w:r w:rsidR="226EE20E" w:rsidRPr="2EEA064F">
        <w:rPr>
          <w:rFonts w:eastAsia="EC Square Sans Pro" w:cs="EC Square Sans Pro"/>
          <w:noProof/>
          <w:color w:val="000000" w:themeColor="text1"/>
        </w:rPr>
        <w:t>Since April 2000, Poland has been operating a free-floating exchange rate regime</w:t>
      </w:r>
      <w:r w:rsidR="0030343E">
        <w:rPr>
          <w:rFonts w:eastAsia="EC Square Sans Pro" w:cs="EC Square Sans Pro"/>
          <w:noProof/>
          <w:color w:val="000000" w:themeColor="text1"/>
        </w:rPr>
        <w:t xml:space="preserve"> that allows </w:t>
      </w:r>
      <w:r w:rsidR="226EE20E" w:rsidRPr="2EEA064F">
        <w:rPr>
          <w:rFonts w:eastAsia="EC Square Sans Pro" w:cs="EC Square Sans Pro"/>
          <w:noProof/>
          <w:color w:val="000000" w:themeColor="text1"/>
        </w:rPr>
        <w:t>foreign exchange market</w:t>
      </w:r>
      <w:r w:rsidR="0030343E">
        <w:rPr>
          <w:rFonts w:eastAsia="EC Square Sans Pro" w:cs="EC Square Sans Pro"/>
          <w:noProof/>
          <w:color w:val="000000" w:themeColor="text1"/>
        </w:rPr>
        <w:t xml:space="preserve"> interventions by the central bank</w:t>
      </w:r>
      <w:r w:rsidR="226EE20E" w:rsidRPr="2EEA064F">
        <w:rPr>
          <w:rFonts w:eastAsia="EC Square Sans Pro" w:cs="EC Square Sans Pro"/>
          <w:noProof/>
          <w:color w:val="000000" w:themeColor="text1"/>
        </w:rPr>
        <w:t>, if it deems this necessary, in order to achieve the inflation target.</w:t>
      </w:r>
      <w:r w:rsidR="09306339" w:rsidRPr="2EEA064F">
        <w:rPr>
          <w:rFonts w:eastAsia="EC Square Sans Pro" w:cs="EC Square Sans Pro"/>
          <w:noProof/>
          <w:color w:val="000000" w:themeColor="text1"/>
        </w:rPr>
        <w:t xml:space="preserve"> </w:t>
      </w:r>
      <w:r w:rsidR="226EE20E" w:rsidRPr="2EEA064F">
        <w:rPr>
          <w:rFonts w:eastAsia="EC Square Sans Pro" w:cs="EC Square Sans Pro"/>
          <w:noProof/>
          <w:color w:val="000000" w:themeColor="text1"/>
        </w:rPr>
        <w:t>Throughout 2024 the zloty remained relatively stable</w:t>
      </w:r>
      <w:r w:rsidR="00294192">
        <w:rPr>
          <w:rFonts w:eastAsia="EC Square Sans Pro" w:cs="EC Square Sans Pro"/>
          <w:noProof/>
          <w:color w:val="000000" w:themeColor="text1"/>
        </w:rPr>
        <w:t>, averaging</w:t>
      </w:r>
      <w:r w:rsidR="226EE20E" w:rsidRPr="2EEA064F">
        <w:rPr>
          <w:rFonts w:eastAsia="EC Square Sans Pro" w:cs="EC Square Sans Pro"/>
          <w:noProof/>
          <w:color w:val="000000" w:themeColor="text1"/>
        </w:rPr>
        <w:t xml:space="preserve"> around </w:t>
      </w:r>
      <w:r w:rsidR="226EE20E" w:rsidRPr="00E55FB5">
        <w:rPr>
          <w:rFonts w:eastAsia="EC Square Sans Pro" w:cs="EC Square Sans Pro"/>
          <w:noProof/>
          <w:color w:val="000000" w:themeColor="text1"/>
        </w:rPr>
        <w:t>4.31</w:t>
      </w:r>
      <w:r w:rsidR="226EE20E" w:rsidRPr="2EEA064F">
        <w:rPr>
          <w:rFonts w:eastAsia="EC Square Sans Pro" w:cs="EC Square Sans Pro"/>
          <w:noProof/>
          <w:color w:val="000000" w:themeColor="text1"/>
        </w:rPr>
        <w:t xml:space="preserve"> PLN/EUR. Between January and March 2025, </w:t>
      </w:r>
      <w:r w:rsidR="000A3B19">
        <w:rPr>
          <w:rFonts w:eastAsia="EC Square Sans Pro" w:cs="EC Square Sans Pro"/>
          <w:noProof/>
          <w:color w:val="000000" w:themeColor="text1"/>
        </w:rPr>
        <w:t>it</w:t>
      </w:r>
      <w:r w:rsidR="226EE20E" w:rsidRPr="2EEA064F">
        <w:rPr>
          <w:rFonts w:eastAsia="EC Square Sans Pro" w:cs="EC Square Sans Pro"/>
          <w:noProof/>
          <w:color w:val="000000" w:themeColor="text1"/>
        </w:rPr>
        <w:t xml:space="preserve"> strengthened slightly</w:t>
      </w:r>
      <w:r w:rsidR="000A3B19">
        <w:rPr>
          <w:rFonts w:eastAsia="EC Square Sans Pro" w:cs="EC Square Sans Pro"/>
          <w:noProof/>
          <w:color w:val="000000" w:themeColor="text1"/>
        </w:rPr>
        <w:t>,</w:t>
      </w:r>
      <w:r w:rsidR="226EE20E" w:rsidRPr="2EEA064F">
        <w:rPr>
          <w:rFonts w:eastAsia="EC Square Sans Pro" w:cs="EC Square Sans Pro"/>
          <w:noProof/>
          <w:color w:val="000000" w:themeColor="text1"/>
        </w:rPr>
        <w:t xml:space="preserve"> from </w:t>
      </w:r>
      <w:r w:rsidR="226EE20E" w:rsidRPr="00E55FB5">
        <w:rPr>
          <w:rFonts w:eastAsia="EC Square Sans Pro" w:cs="EC Square Sans Pro"/>
          <w:noProof/>
          <w:color w:val="000000" w:themeColor="text1"/>
        </w:rPr>
        <w:t>4.25</w:t>
      </w:r>
      <w:r w:rsidR="226EE20E" w:rsidRPr="2EEA064F">
        <w:rPr>
          <w:rFonts w:eastAsia="EC Square Sans Pro" w:cs="EC Square Sans Pro"/>
          <w:noProof/>
          <w:color w:val="000000" w:themeColor="text1"/>
        </w:rPr>
        <w:t xml:space="preserve"> to around </w:t>
      </w:r>
      <w:r w:rsidR="226EE20E" w:rsidRPr="00E55FB5">
        <w:rPr>
          <w:rFonts w:eastAsia="EC Square Sans Pro" w:cs="EC Square Sans Pro"/>
          <w:noProof/>
          <w:color w:val="000000" w:themeColor="text1"/>
        </w:rPr>
        <w:t>4.18</w:t>
      </w:r>
      <w:r w:rsidR="226EE20E" w:rsidRPr="2EEA064F">
        <w:rPr>
          <w:rFonts w:eastAsia="EC Square Sans Pro" w:cs="EC Square Sans Pro"/>
          <w:noProof/>
          <w:color w:val="000000" w:themeColor="text1"/>
        </w:rPr>
        <w:t>. This was followed by rapid depreciation and then a period of relatively minor fluctuations</w:t>
      </w:r>
      <w:r w:rsidR="009903F4">
        <w:rPr>
          <w:rFonts w:eastAsia="EC Square Sans Pro" w:cs="EC Square Sans Pro"/>
          <w:noProof/>
          <w:color w:val="000000" w:themeColor="text1"/>
        </w:rPr>
        <w:t xml:space="preserve"> at</w:t>
      </w:r>
      <w:r w:rsidR="226EE20E" w:rsidRPr="2EEA064F">
        <w:rPr>
          <w:rFonts w:eastAsia="EC Square Sans Pro" w:cs="EC Square Sans Pro"/>
          <w:noProof/>
          <w:color w:val="000000" w:themeColor="text1"/>
        </w:rPr>
        <w:t xml:space="preserve"> around </w:t>
      </w:r>
      <w:r w:rsidR="226EE20E" w:rsidRPr="00E55FB5">
        <w:rPr>
          <w:rFonts w:eastAsia="EC Square Sans Pro" w:cs="EC Square Sans Pro"/>
          <w:noProof/>
          <w:color w:val="000000" w:themeColor="text1"/>
        </w:rPr>
        <w:t>4.24</w:t>
      </w:r>
      <w:r w:rsidR="009903F4">
        <w:rPr>
          <w:rFonts w:eastAsia="EC Square Sans Pro" w:cs="EC Square Sans Pro"/>
          <w:noProof/>
          <w:color w:val="000000" w:themeColor="text1"/>
        </w:rPr>
        <w:t xml:space="preserve"> level</w:t>
      </w:r>
      <w:r w:rsidR="226EE20E" w:rsidRPr="2EEA064F">
        <w:rPr>
          <w:rFonts w:eastAsia="EC Square Sans Pro" w:cs="EC Square Sans Pro"/>
          <w:noProof/>
          <w:color w:val="000000" w:themeColor="text1"/>
        </w:rPr>
        <w:t xml:space="preserve">. </w:t>
      </w:r>
      <w:r w:rsidR="12241541" w:rsidRPr="2EEA064F">
        <w:rPr>
          <w:rFonts w:eastAsia="EC Square Sans Pro" w:cs="EC Square Sans Pro"/>
          <w:noProof/>
          <w:color w:val="000000" w:themeColor="text1"/>
        </w:rPr>
        <w:t xml:space="preserve">Between </w:t>
      </w:r>
      <w:r w:rsidR="226EE20E" w:rsidRPr="2EEA064F">
        <w:rPr>
          <w:rFonts w:eastAsia="EC Square Sans Pro" w:cs="EC Square Sans Pro"/>
          <w:noProof/>
          <w:color w:val="000000" w:themeColor="text1"/>
        </w:rPr>
        <w:t>May 2025</w:t>
      </w:r>
      <w:r w:rsidR="12241541" w:rsidRPr="2EEA064F">
        <w:rPr>
          <w:rFonts w:eastAsia="EC Square Sans Pro" w:cs="EC Square Sans Pro"/>
          <w:noProof/>
          <w:color w:val="000000" w:themeColor="text1"/>
        </w:rPr>
        <w:t xml:space="preserve"> and the end of the year</w:t>
      </w:r>
      <w:r w:rsidR="226EE20E" w:rsidRPr="2EEA064F">
        <w:rPr>
          <w:rFonts w:eastAsia="EC Square Sans Pro" w:cs="EC Square Sans Pro"/>
          <w:noProof/>
          <w:color w:val="000000" w:themeColor="text1"/>
        </w:rPr>
        <w:t xml:space="preserve">, the exchange rate stayed close to </w:t>
      </w:r>
      <w:r w:rsidR="12241541" w:rsidRPr="00E55FB5">
        <w:rPr>
          <w:rFonts w:eastAsia="EC Square Sans Pro" w:cs="EC Square Sans Pro"/>
          <w:noProof/>
          <w:color w:val="000000" w:themeColor="text1"/>
        </w:rPr>
        <w:t>4.25</w:t>
      </w:r>
      <w:r w:rsidR="12241541" w:rsidRPr="2EEA064F">
        <w:rPr>
          <w:rFonts w:eastAsia="EC Square Sans Pro" w:cs="EC Square Sans Pro"/>
          <w:noProof/>
          <w:color w:val="000000" w:themeColor="text1"/>
        </w:rPr>
        <w:t xml:space="preserve"> PLN/EUR</w:t>
      </w:r>
      <w:r w:rsidR="226EE20E" w:rsidRPr="2EEA064F">
        <w:rPr>
          <w:rFonts w:eastAsia="EC Square Sans Pro" w:cs="EC Square Sans Pro"/>
          <w:noProof/>
          <w:color w:val="000000" w:themeColor="text1"/>
        </w:rPr>
        <w:t xml:space="preserve">. In May 2026, the zloty exchange rate against the euro averaged </w:t>
      </w:r>
      <w:r w:rsidR="226EE20E" w:rsidRPr="00E55FB5">
        <w:rPr>
          <w:rFonts w:eastAsia="EC Square Sans Pro" w:cs="EC Square Sans Pro"/>
          <w:noProof/>
          <w:color w:val="000000" w:themeColor="text1"/>
        </w:rPr>
        <w:t>4.25</w:t>
      </w:r>
      <w:r w:rsidR="226EE20E" w:rsidRPr="2EEA064F">
        <w:rPr>
          <w:rFonts w:eastAsia="EC Square Sans Pro" w:cs="EC Square Sans Pro"/>
          <w:noProof/>
          <w:color w:val="000000" w:themeColor="text1"/>
        </w:rPr>
        <w:t>.</w:t>
      </w:r>
      <w:r w:rsidR="17215580" w:rsidRPr="2EEA064F">
        <w:rPr>
          <w:rFonts w:eastAsia="EC Square Sans Pro" w:cs="EC Square Sans Pro"/>
          <w:noProof/>
          <w:color w:val="000000" w:themeColor="text1"/>
        </w:rPr>
        <w:t xml:space="preserve"> </w:t>
      </w:r>
      <w:r w:rsidR="12241541" w:rsidRPr="2EEA064F">
        <w:rPr>
          <w:rFonts w:eastAsia="EC Square Sans Pro" w:cs="EC Square Sans Pro"/>
          <w:noProof/>
          <w:color w:val="000000" w:themeColor="text1"/>
        </w:rPr>
        <w:t xml:space="preserve">It </w:t>
      </w:r>
      <w:r w:rsidR="17215580" w:rsidRPr="2EEA064F">
        <w:rPr>
          <w:rFonts w:eastAsia="EC Square Sans Pro" w:cs="EC Square Sans Pro"/>
          <w:noProof/>
          <w:color w:val="000000" w:themeColor="text1"/>
        </w:rPr>
        <w:t xml:space="preserve">was about </w:t>
      </w:r>
      <w:r w:rsidR="00FC7316">
        <w:rPr>
          <w:rFonts w:eastAsia="EC Square Sans Pro" w:cs="EC Square Sans Pro"/>
          <w:noProof/>
          <w:color w:val="000000" w:themeColor="text1"/>
        </w:rPr>
        <w:t>1</w:t>
      </w:r>
      <w:r w:rsidR="5D22C805" w:rsidRPr="2EEA064F">
        <w:rPr>
          <w:rFonts w:eastAsia="EC Square Sans Pro" w:cs="EC Square Sans Pro"/>
          <w:noProof/>
          <w:color w:val="000000" w:themeColor="text1"/>
        </w:rPr>
        <w:t xml:space="preserve">% </w:t>
      </w:r>
      <w:r w:rsidR="5D22C805" w:rsidRPr="00E55FB5">
        <w:rPr>
          <w:rFonts w:eastAsia="EC Square Sans Pro" w:cs="EC Square Sans Pro"/>
          <w:noProof/>
          <w:color w:val="000000" w:themeColor="text1"/>
        </w:rPr>
        <w:t>stronger</w:t>
      </w:r>
      <w:r w:rsidR="5D22C805" w:rsidRPr="2EEA064F">
        <w:rPr>
          <w:rFonts w:eastAsia="EC Square Sans Pro" w:cs="EC Square Sans Pro"/>
          <w:noProof/>
          <w:color w:val="000000" w:themeColor="text1"/>
        </w:rPr>
        <w:t xml:space="preserve"> against the euro </w:t>
      </w:r>
      <w:r w:rsidR="009D1E6D">
        <w:rPr>
          <w:rFonts w:eastAsia="EC Square Sans Pro" w:cs="EC Square Sans Pro"/>
          <w:noProof/>
          <w:color w:val="000000" w:themeColor="text1"/>
        </w:rPr>
        <w:t>compared with two</w:t>
      </w:r>
      <w:r w:rsidR="5D22C805" w:rsidRPr="2EEA064F">
        <w:rPr>
          <w:rFonts w:eastAsia="EC Square Sans Pro" w:cs="EC Square Sans Pro"/>
          <w:noProof/>
          <w:color w:val="000000" w:themeColor="text1"/>
        </w:rPr>
        <w:t xml:space="preserve"> years earlier</w:t>
      </w:r>
      <w:r w:rsidR="61DA6E42" w:rsidRPr="2EEA064F">
        <w:rPr>
          <w:rFonts w:eastAsia="EC Square Sans Pro" w:cs="EC Square Sans Pro"/>
          <w:noProof/>
          <w:color w:val="000000" w:themeColor="text1"/>
        </w:rPr>
        <w:t>.</w:t>
      </w:r>
    </w:p>
    <w:p w14:paraId="724350A0" w14:textId="4371DFE6" w:rsidR="0045714E" w:rsidRPr="004A57FE" w:rsidRDefault="6BC54327" w:rsidP="2EEA064F">
      <w:pPr>
        <w:ind w:left="567"/>
        <w:rPr>
          <w:noProof/>
          <w:color w:val="000000" w:themeColor="text1"/>
        </w:rPr>
      </w:pPr>
      <w:r w:rsidRPr="2EEA064F">
        <w:rPr>
          <w:noProof/>
          <w:color w:val="000000" w:themeColor="text1"/>
        </w:rPr>
        <w:t xml:space="preserve">The short-term interest rate differential with the euro area increased continuously </w:t>
      </w:r>
      <w:r w:rsidR="00F8010E">
        <w:rPr>
          <w:noProof/>
          <w:color w:val="000000" w:themeColor="text1"/>
        </w:rPr>
        <w:t xml:space="preserve">over the course of </w:t>
      </w:r>
      <w:r w:rsidRPr="2EEA064F">
        <w:rPr>
          <w:noProof/>
          <w:color w:val="000000" w:themeColor="text1"/>
        </w:rPr>
        <w:t>2024 and the first three months of 2025</w:t>
      </w:r>
      <w:r w:rsidR="00F8010E">
        <w:rPr>
          <w:noProof/>
          <w:color w:val="000000" w:themeColor="text1"/>
        </w:rPr>
        <w:t>,</w:t>
      </w:r>
      <w:r w:rsidRPr="2EEA064F">
        <w:rPr>
          <w:noProof/>
          <w:color w:val="000000" w:themeColor="text1"/>
        </w:rPr>
        <w:t xml:space="preserve"> reach</w:t>
      </w:r>
      <w:r w:rsidR="00F8010E">
        <w:rPr>
          <w:noProof/>
          <w:color w:val="000000" w:themeColor="text1"/>
        </w:rPr>
        <w:t>ing</w:t>
      </w:r>
      <w:r w:rsidRPr="2EEA064F">
        <w:rPr>
          <w:noProof/>
          <w:color w:val="000000" w:themeColor="text1"/>
        </w:rPr>
        <w:t xml:space="preserve"> </w:t>
      </w:r>
      <w:r w:rsidRPr="00E55FB5">
        <w:rPr>
          <w:noProof/>
          <w:color w:val="000000" w:themeColor="text1"/>
        </w:rPr>
        <w:t>341</w:t>
      </w:r>
      <w:r w:rsidRPr="2EEA064F">
        <w:rPr>
          <w:noProof/>
          <w:color w:val="000000" w:themeColor="text1"/>
        </w:rPr>
        <w:t xml:space="preserve"> basis points in March 2025. During this period, in line with </w:t>
      </w:r>
      <w:r w:rsidR="12241541" w:rsidRPr="2EEA064F">
        <w:rPr>
          <w:noProof/>
          <w:color w:val="000000" w:themeColor="text1"/>
        </w:rPr>
        <w:t xml:space="preserve">the </w:t>
      </w:r>
      <w:r w:rsidRPr="2EEA064F">
        <w:rPr>
          <w:noProof/>
          <w:color w:val="000000" w:themeColor="text1"/>
        </w:rPr>
        <w:t xml:space="preserve">easing </w:t>
      </w:r>
      <w:r w:rsidR="12241541" w:rsidRPr="2EEA064F">
        <w:rPr>
          <w:noProof/>
          <w:color w:val="000000" w:themeColor="text1"/>
        </w:rPr>
        <w:t xml:space="preserve">of </w:t>
      </w:r>
      <w:r w:rsidRPr="2EEA064F">
        <w:rPr>
          <w:noProof/>
          <w:color w:val="000000" w:themeColor="text1"/>
        </w:rPr>
        <w:t>the ECB</w:t>
      </w:r>
      <w:r w:rsidR="12241541" w:rsidRPr="2EEA064F">
        <w:rPr>
          <w:noProof/>
          <w:color w:val="000000" w:themeColor="text1"/>
        </w:rPr>
        <w:t>’s</w:t>
      </w:r>
      <w:r w:rsidRPr="2EEA064F">
        <w:rPr>
          <w:noProof/>
          <w:color w:val="000000" w:themeColor="text1"/>
        </w:rPr>
        <w:t xml:space="preserve"> policy rate, the euro area </w:t>
      </w:r>
      <w:r w:rsidR="12241541" w:rsidRPr="2EEA064F">
        <w:rPr>
          <w:noProof/>
          <w:color w:val="000000" w:themeColor="text1"/>
        </w:rPr>
        <w:t xml:space="preserve">short-term </w:t>
      </w:r>
      <w:r w:rsidRPr="2EEA064F">
        <w:rPr>
          <w:noProof/>
          <w:color w:val="000000" w:themeColor="text1"/>
        </w:rPr>
        <w:t xml:space="preserve">rate continued to fall, while the Polish </w:t>
      </w:r>
      <w:r w:rsidR="00F8010E">
        <w:rPr>
          <w:noProof/>
          <w:color w:val="000000" w:themeColor="text1"/>
        </w:rPr>
        <w:t>three</w:t>
      </w:r>
      <w:r w:rsidRPr="2EEA064F">
        <w:rPr>
          <w:noProof/>
          <w:color w:val="000000" w:themeColor="text1"/>
        </w:rPr>
        <w:t xml:space="preserve">-month rate remained stable. From </w:t>
      </w:r>
      <w:r w:rsidR="69DC214A" w:rsidRPr="2EEA064F">
        <w:rPr>
          <w:noProof/>
          <w:color w:val="000000" w:themeColor="text1"/>
        </w:rPr>
        <w:t>May 2025</w:t>
      </w:r>
      <w:r w:rsidR="00516A75" w:rsidRPr="2EEA064F">
        <w:rPr>
          <w:noProof/>
          <w:color w:val="000000" w:themeColor="text1"/>
        </w:rPr>
        <w:t xml:space="preserve"> </w:t>
      </w:r>
      <w:r w:rsidRPr="2EEA064F">
        <w:rPr>
          <w:noProof/>
          <w:color w:val="000000" w:themeColor="text1"/>
        </w:rPr>
        <w:t xml:space="preserve">onwards, the </w:t>
      </w:r>
      <w:r w:rsidR="69DC214A" w:rsidRPr="2EEA064F">
        <w:rPr>
          <w:noProof/>
          <w:color w:val="000000" w:themeColor="text1"/>
        </w:rPr>
        <w:t>NBP embarked on a</w:t>
      </w:r>
      <w:r w:rsidR="48225C43" w:rsidRPr="2EEA064F">
        <w:rPr>
          <w:noProof/>
          <w:color w:val="000000" w:themeColor="text1"/>
        </w:rPr>
        <w:t>n</w:t>
      </w:r>
      <w:r w:rsidR="69DC214A" w:rsidRPr="2EEA064F">
        <w:rPr>
          <w:noProof/>
          <w:color w:val="000000" w:themeColor="text1"/>
        </w:rPr>
        <w:t xml:space="preserve"> easing cycle that led to a substantial narrowing of the interest rate differential to </w:t>
      </w:r>
      <w:r w:rsidR="3B4E0B77" w:rsidRPr="00E55FB5">
        <w:rPr>
          <w:noProof/>
          <w:color w:val="000000" w:themeColor="text1"/>
        </w:rPr>
        <w:t>200</w:t>
      </w:r>
      <w:r w:rsidR="69DC214A" w:rsidRPr="2EEA064F">
        <w:rPr>
          <w:noProof/>
          <w:color w:val="000000" w:themeColor="text1"/>
        </w:rPr>
        <w:t xml:space="preserve"> </w:t>
      </w:r>
      <w:r w:rsidR="007D7C75">
        <w:rPr>
          <w:noProof/>
          <w:color w:val="000000" w:themeColor="text1"/>
        </w:rPr>
        <w:t xml:space="preserve">basis points </w:t>
      </w:r>
      <w:r w:rsidR="69DC214A" w:rsidRPr="2EEA064F">
        <w:rPr>
          <w:noProof/>
          <w:color w:val="000000" w:themeColor="text1"/>
        </w:rPr>
        <w:t xml:space="preserve">in December. </w:t>
      </w:r>
      <w:r w:rsidR="7F130659" w:rsidRPr="2EEA064F">
        <w:rPr>
          <w:noProof/>
          <w:color w:val="000000" w:themeColor="text1"/>
        </w:rPr>
        <w:t>This</w:t>
      </w:r>
      <w:r w:rsidR="39863C21" w:rsidRPr="2EEA064F">
        <w:rPr>
          <w:noProof/>
          <w:color w:val="000000" w:themeColor="text1"/>
        </w:rPr>
        <w:t xml:space="preserve"> trend </w:t>
      </w:r>
      <w:r w:rsidR="51455336" w:rsidRPr="2EEA064F">
        <w:rPr>
          <w:noProof/>
          <w:color w:val="000000" w:themeColor="text1"/>
        </w:rPr>
        <w:t xml:space="preserve">continued </w:t>
      </w:r>
      <w:r w:rsidR="39863C21" w:rsidRPr="2EEA064F">
        <w:rPr>
          <w:noProof/>
          <w:color w:val="000000" w:themeColor="text1"/>
        </w:rPr>
        <w:t xml:space="preserve">into 2026, </w:t>
      </w:r>
      <w:r w:rsidR="5A661C84" w:rsidRPr="2EEA064F">
        <w:rPr>
          <w:noProof/>
          <w:color w:val="000000" w:themeColor="text1"/>
        </w:rPr>
        <w:t>with</w:t>
      </w:r>
      <w:r w:rsidR="39863C21" w:rsidRPr="2EEA064F">
        <w:rPr>
          <w:noProof/>
          <w:color w:val="000000" w:themeColor="text1"/>
        </w:rPr>
        <w:t xml:space="preserve"> the interest rate differential </w:t>
      </w:r>
      <w:r w:rsidR="4AC67634" w:rsidRPr="2EEA064F">
        <w:rPr>
          <w:noProof/>
          <w:color w:val="000000" w:themeColor="text1"/>
        </w:rPr>
        <w:t>reaching</w:t>
      </w:r>
      <w:r w:rsidR="39863C21" w:rsidRPr="2EEA064F">
        <w:rPr>
          <w:noProof/>
          <w:color w:val="000000" w:themeColor="text1"/>
        </w:rPr>
        <w:t xml:space="preserve"> </w:t>
      </w:r>
      <w:r w:rsidR="31DD52FD" w:rsidRPr="07741764">
        <w:rPr>
          <w:noProof/>
          <w:color w:val="000000" w:themeColor="text1"/>
        </w:rPr>
        <w:t>162</w:t>
      </w:r>
      <w:r w:rsidR="06D4FF9A" w:rsidRPr="2EEA064F">
        <w:rPr>
          <w:noProof/>
          <w:color w:val="000000" w:themeColor="text1"/>
        </w:rPr>
        <w:t xml:space="preserve"> </w:t>
      </w:r>
      <w:r w:rsidR="39863C21" w:rsidRPr="2EEA064F">
        <w:rPr>
          <w:noProof/>
          <w:color w:val="000000" w:themeColor="text1"/>
        </w:rPr>
        <w:t>basis points in May</w:t>
      </w:r>
      <w:r w:rsidRPr="2EEA064F">
        <w:rPr>
          <w:noProof/>
          <w:color w:val="000000" w:themeColor="text1"/>
        </w:rPr>
        <w:t>.</w:t>
      </w:r>
    </w:p>
    <w:p w14:paraId="74E498E7" w14:textId="75BA5D26" w:rsidR="0045714E" w:rsidRPr="004A57FE" w:rsidRDefault="0CC8EAC1" w:rsidP="2EEA064F">
      <w:pPr>
        <w:ind w:left="567"/>
        <w:rPr>
          <w:noProof/>
          <w:color w:val="000000" w:themeColor="text1"/>
        </w:rPr>
      </w:pPr>
      <w:r w:rsidRPr="2EEA064F">
        <w:rPr>
          <w:b/>
          <w:bCs/>
          <w:noProof/>
          <w:color w:val="000000" w:themeColor="text1"/>
        </w:rPr>
        <w:t>Poland does not fulfil the criterion on the convergence of long-term interest rates.</w:t>
      </w:r>
      <w:r w:rsidR="79B9F401" w:rsidRPr="2EEA064F">
        <w:rPr>
          <w:noProof/>
          <w:color w:val="000000" w:themeColor="text1"/>
        </w:rPr>
        <w:t xml:space="preserve"> </w:t>
      </w:r>
      <w:r w:rsidR="61084312" w:rsidRPr="2EEA064F">
        <w:rPr>
          <w:noProof/>
          <w:color w:val="000000" w:themeColor="text1"/>
        </w:rPr>
        <w:t xml:space="preserve">The average long-term </w:t>
      </w:r>
      <w:r w:rsidR="61084312" w:rsidRPr="002479F0">
        <w:rPr>
          <w:noProof/>
          <w:color w:val="000000" w:themeColor="text1"/>
        </w:rPr>
        <w:t xml:space="preserve">interest rate in the 12 months to May 2026 was </w:t>
      </w:r>
      <w:r w:rsidR="002479F0" w:rsidRPr="002479F0">
        <w:rPr>
          <w:noProof/>
          <w:color w:val="000000" w:themeColor="text1"/>
        </w:rPr>
        <w:t>5.4</w:t>
      </w:r>
      <w:r w:rsidR="61084312" w:rsidRPr="002479F0">
        <w:rPr>
          <w:noProof/>
          <w:color w:val="000000" w:themeColor="text1"/>
        </w:rPr>
        <w:t xml:space="preserve">%, slightly above the reference value of </w:t>
      </w:r>
      <w:r>
        <w:rPr>
          <w:noProof/>
          <w:color w:val="000000" w:themeColor="text1"/>
        </w:rPr>
        <w:t>5.1</w:t>
      </w:r>
      <w:r w:rsidR="61084312" w:rsidRPr="002479F0">
        <w:rPr>
          <w:noProof/>
          <w:color w:val="000000" w:themeColor="text1"/>
        </w:rPr>
        <w:t xml:space="preserve">%. </w:t>
      </w:r>
      <w:r w:rsidR="00854BBA" w:rsidRPr="002479F0">
        <w:rPr>
          <w:noProof/>
          <w:color w:val="000000" w:themeColor="text1"/>
        </w:rPr>
        <w:t>Poland’s</w:t>
      </w:r>
      <w:r w:rsidR="6375AA22" w:rsidRPr="2EEA064F">
        <w:rPr>
          <w:noProof/>
          <w:color w:val="000000" w:themeColor="text1"/>
        </w:rPr>
        <w:t xml:space="preserve"> long-term interest rate initially moved slightly upwards in 2024, peaking </w:t>
      </w:r>
      <w:r w:rsidR="6375AA22" w:rsidRPr="00910844">
        <w:rPr>
          <w:noProof/>
          <w:color w:val="000000" w:themeColor="text1"/>
        </w:rPr>
        <w:t xml:space="preserve">at </w:t>
      </w:r>
      <w:r w:rsidR="6375AA22" w:rsidRPr="00E55FB5">
        <w:rPr>
          <w:noProof/>
          <w:color w:val="000000" w:themeColor="text1"/>
        </w:rPr>
        <w:t>5.7</w:t>
      </w:r>
      <w:r w:rsidR="6375AA22" w:rsidRPr="00910844">
        <w:rPr>
          <w:noProof/>
          <w:color w:val="000000" w:themeColor="text1"/>
        </w:rPr>
        <w:t>% in June</w:t>
      </w:r>
      <w:r w:rsidR="00854BBA" w:rsidRPr="00910844">
        <w:rPr>
          <w:noProof/>
          <w:color w:val="000000" w:themeColor="text1"/>
        </w:rPr>
        <w:t xml:space="preserve"> 2024</w:t>
      </w:r>
      <w:r w:rsidR="6375AA22" w:rsidRPr="00910844">
        <w:rPr>
          <w:noProof/>
          <w:color w:val="000000" w:themeColor="text1"/>
        </w:rPr>
        <w:t xml:space="preserve">, in a context of restrictive monetary policy and </w:t>
      </w:r>
      <w:r w:rsidR="00854BBA" w:rsidRPr="00910844">
        <w:rPr>
          <w:noProof/>
          <w:color w:val="000000" w:themeColor="text1"/>
        </w:rPr>
        <w:t xml:space="preserve">a </w:t>
      </w:r>
      <w:r w:rsidR="6375AA22" w:rsidRPr="00910844">
        <w:rPr>
          <w:noProof/>
          <w:color w:val="000000" w:themeColor="text1"/>
        </w:rPr>
        <w:t xml:space="preserve">high fiscal deficit. Over that period, the long-term interest rate spread vis-à-vis the German benchmark bond </w:t>
      </w:r>
      <w:r w:rsidR="00854BBA" w:rsidRPr="00910844">
        <w:rPr>
          <w:noProof/>
          <w:color w:val="000000" w:themeColor="text1"/>
        </w:rPr>
        <w:t>remained</w:t>
      </w:r>
      <w:r w:rsidR="6375AA22" w:rsidRPr="00910844">
        <w:rPr>
          <w:noProof/>
          <w:color w:val="000000" w:themeColor="text1"/>
        </w:rPr>
        <w:t xml:space="preserve"> relatively stable</w:t>
      </w:r>
      <w:r w:rsidR="00854BBA" w:rsidRPr="00910844">
        <w:rPr>
          <w:noProof/>
          <w:color w:val="000000" w:themeColor="text1"/>
        </w:rPr>
        <w:t xml:space="preserve">, before </w:t>
      </w:r>
      <w:r w:rsidR="6375AA22" w:rsidRPr="00910844">
        <w:rPr>
          <w:noProof/>
          <w:color w:val="000000" w:themeColor="text1"/>
        </w:rPr>
        <w:t>increas</w:t>
      </w:r>
      <w:r w:rsidR="00854BBA" w:rsidRPr="00910844">
        <w:rPr>
          <w:noProof/>
          <w:color w:val="000000" w:themeColor="text1"/>
        </w:rPr>
        <w:t>ing</w:t>
      </w:r>
      <w:r w:rsidR="6375AA22" w:rsidRPr="00910844">
        <w:rPr>
          <w:noProof/>
          <w:color w:val="000000" w:themeColor="text1"/>
        </w:rPr>
        <w:t xml:space="preserve"> from </w:t>
      </w:r>
      <w:r w:rsidR="6375AA22" w:rsidRPr="00E55FB5">
        <w:rPr>
          <w:noProof/>
          <w:color w:val="000000" w:themeColor="text1"/>
        </w:rPr>
        <w:t>319</w:t>
      </w:r>
      <w:r w:rsidR="6375AA22" w:rsidRPr="00910844">
        <w:rPr>
          <w:noProof/>
          <w:color w:val="000000" w:themeColor="text1"/>
        </w:rPr>
        <w:t xml:space="preserve"> basis points in July </w:t>
      </w:r>
      <w:r w:rsidR="00854BBA" w:rsidRPr="00910844">
        <w:rPr>
          <w:noProof/>
          <w:color w:val="000000" w:themeColor="text1"/>
        </w:rPr>
        <w:t xml:space="preserve">2024 </w:t>
      </w:r>
      <w:r w:rsidR="6375AA22" w:rsidRPr="00910844">
        <w:rPr>
          <w:noProof/>
          <w:color w:val="000000" w:themeColor="text1"/>
        </w:rPr>
        <w:t xml:space="preserve">to a peak of </w:t>
      </w:r>
      <w:r w:rsidR="6375AA22" w:rsidRPr="00E55FB5">
        <w:rPr>
          <w:noProof/>
          <w:color w:val="000000" w:themeColor="text1"/>
        </w:rPr>
        <w:t>355</w:t>
      </w:r>
      <w:r w:rsidR="6375AA22" w:rsidRPr="00910844">
        <w:rPr>
          <w:noProof/>
          <w:color w:val="000000" w:themeColor="text1"/>
        </w:rPr>
        <w:t xml:space="preserve"> basis points in December 2024. Since January 2025, the long-term interest rate has </w:t>
      </w:r>
      <w:r w:rsidR="00854BBA" w:rsidRPr="00910844">
        <w:rPr>
          <w:noProof/>
          <w:color w:val="000000" w:themeColor="text1"/>
        </w:rPr>
        <w:t>been</w:t>
      </w:r>
      <w:r w:rsidR="6375AA22" w:rsidRPr="00910844">
        <w:rPr>
          <w:noProof/>
          <w:color w:val="000000" w:themeColor="text1"/>
        </w:rPr>
        <w:t xml:space="preserve"> gradual</w:t>
      </w:r>
      <w:r w:rsidR="00854BBA" w:rsidRPr="00910844">
        <w:rPr>
          <w:noProof/>
          <w:color w:val="000000" w:themeColor="text1"/>
        </w:rPr>
        <w:t>ly</w:t>
      </w:r>
      <w:r w:rsidR="6375AA22" w:rsidRPr="00910844">
        <w:rPr>
          <w:noProof/>
          <w:color w:val="000000" w:themeColor="text1"/>
        </w:rPr>
        <w:t xml:space="preserve"> decreas</w:t>
      </w:r>
      <w:r w:rsidR="00854BBA" w:rsidRPr="00910844">
        <w:rPr>
          <w:noProof/>
          <w:color w:val="000000" w:themeColor="text1"/>
        </w:rPr>
        <w:t>ing, albeit</w:t>
      </w:r>
      <w:r w:rsidR="69DC214A" w:rsidRPr="00910844">
        <w:rPr>
          <w:noProof/>
          <w:color w:val="000000" w:themeColor="text1"/>
        </w:rPr>
        <w:t xml:space="preserve"> with some fluctuations </w:t>
      </w:r>
      <w:r w:rsidR="6375AA22" w:rsidRPr="00910844">
        <w:rPr>
          <w:noProof/>
          <w:color w:val="000000" w:themeColor="text1"/>
        </w:rPr>
        <w:t xml:space="preserve">as monetary policy has </w:t>
      </w:r>
      <w:r w:rsidR="00854BBA" w:rsidRPr="00910844">
        <w:rPr>
          <w:noProof/>
          <w:color w:val="000000" w:themeColor="text1"/>
        </w:rPr>
        <w:t xml:space="preserve">been </w:t>
      </w:r>
      <w:r w:rsidR="6375AA22" w:rsidRPr="00910844">
        <w:rPr>
          <w:noProof/>
          <w:color w:val="000000" w:themeColor="text1"/>
        </w:rPr>
        <w:t xml:space="preserve">eased, </w:t>
      </w:r>
      <w:r w:rsidR="00854BBA" w:rsidRPr="00910844">
        <w:rPr>
          <w:noProof/>
          <w:color w:val="000000" w:themeColor="text1"/>
        </w:rPr>
        <w:t xml:space="preserve">to </w:t>
      </w:r>
      <w:r w:rsidR="6375AA22" w:rsidRPr="00910844">
        <w:rPr>
          <w:noProof/>
          <w:color w:val="000000" w:themeColor="text1"/>
        </w:rPr>
        <w:t xml:space="preserve">reach </w:t>
      </w:r>
      <w:r w:rsidR="6A078B04" w:rsidRPr="00E55FB5">
        <w:rPr>
          <w:noProof/>
          <w:color w:val="000000" w:themeColor="text1"/>
        </w:rPr>
        <w:t>5.7</w:t>
      </w:r>
      <w:r w:rsidR="6375AA22" w:rsidRPr="081060CF">
        <w:rPr>
          <w:noProof/>
          <w:color w:val="000000" w:themeColor="text1"/>
        </w:rPr>
        <w:t>%</w:t>
      </w:r>
      <w:r w:rsidR="6375AA22" w:rsidRPr="00910844">
        <w:rPr>
          <w:noProof/>
          <w:color w:val="000000" w:themeColor="text1"/>
        </w:rPr>
        <w:t xml:space="preserve"> in May 2026. As a result, the </w:t>
      </w:r>
      <w:r w:rsidR="00854BBA" w:rsidRPr="00910844">
        <w:rPr>
          <w:noProof/>
          <w:color w:val="000000" w:themeColor="text1"/>
        </w:rPr>
        <w:t xml:space="preserve">long-term interest rate </w:t>
      </w:r>
      <w:r w:rsidR="6375AA22" w:rsidRPr="00910844">
        <w:rPr>
          <w:noProof/>
          <w:color w:val="000000" w:themeColor="text1"/>
        </w:rPr>
        <w:t xml:space="preserve">spread versus the German benchmark bond narrowed steadily </w:t>
      </w:r>
      <w:r w:rsidR="69DC214A" w:rsidRPr="00910844">
        <w:rPr>
          <w:noProof/>
          <w:color w:val="000000" w:themeColor="text1"/>
        </w:rPr>
        <w:t xml:space="preserve">to </w:t>
      </w:r>
      <w:r w:rsidR="6375AA22" w:rsidRPr="00910844">
        <w:rPr>
          <w:noProof/>
          <w:color w:val="000000" w:themeColor="text1"/>
        </w:rPr>
        <w:t xml:space="preserve">around </w:t>
      </w:r>
      <w:r w:rsidR="68FB5BCB" w:rsidRPr="00E55FB5">
        <w:rPr>
          <w:noProof/>
          <w:color w:val="000000" w:themeColor="text1"/>
        </w:rPr>
        <w:t>269</w:t>
      </w:r>
      <w:r w:rsidR="6375AA22" w:rsidRPr="00E55FB5">
        <w:rPr>
          <w:b/>
          <w:noProof/>
          <w:color w:val="000000" w:themeColor="text1"/>
        </w:rPr>
        <w:t xml:space="preserve"> </w:t>
      </w:r>
      <w:r w:rsidR="6375AA22" w:rsidRPr="00910844">
        <w:rPr>
          <w:noProof/>
          <w:color w:val="000000" w:themeColor="text1"/>
        </w:rPr>
        <w:t>basis points</w:t>
      </w:r>
      <w:r w:rsidR="00854BBA" w:rsidRPr="00910844">
        <w:rPr>
          <w:noProof/>
          <w:color w:val="000000" w:themeColor="text1"/>
        </w:rPr>
        <w:t xml:space="preserve"> in the course of May 2026</w:t>
      </w:r>
      <w:r w:rsidR="6375AA22" w:rsidRPr="00910844">
        <w:rPr>
          <w:noProof/>
          <w:color w:val="000000" w:themeColor="text1"/>
        </w:rPr>
        <w:t>.</w:t>
      </w:r>
    </w:p>
    <w:p w14:paraId="3B6C3229" w14:textId="058FB07B" w:rsidR="0045714E" w:rsidRDefault="26806A35" w:rsidP="2C28BDD6">
      <w:pPr>
        <w:ind w:left="567"/>
        <w:rPr>
          <w:noProof/>
        </w:rPr>
      </w:pPr>
      <w:r>
        <w:rPr>
          <w:noProof/>
        </w:rPr>
        <w:t xml:space="preserve">The Commission has also examined </w:t>
      </w:r>
      <w:r w:rsidRPr="21B10765">
        <w:rPr>
          <w:b/>
          <w:bCs/>
          <w:noProof/>
        </w:rPr>
        <w:t>additional factors</w:t>
      </w:r>
      <w:r>
        <w:rPr>
          <w:noProof/>
        </w:rPr>
        <w:t>, including balance of payments developments</w:t>
      </w:r>
      <w:r w:rsidR="2F48CF57">
        <w:rPr>
          <w:noProof/>
        </w:rPr>
        <w:t>,</w:t>
      </w:r>
      <w:r>
        <w:rPr>
          <w:noProof/>
        </w:rPr>
        <w:t xml:space="preserve"> the integration of markets</w:t>
      </w:r>
      <w:r w:rsidR="2F48CF57">
        <w:rPr>
          <w:noProof/>
        </w:rPr>
        <w:t xml:space="preserve"> and the institutional environment</w:t>
      </w:r>
      <w:r>
        <w:rPr>
          <w:noProof/>
        </w:rPr>
        <w:t>.</w:t>
      </w:r>
      <w:r w:rsidR="2F7AFF21">
        <w:rPr>
          <w:noProof/>
        </w:rPr>
        <w:t xml:space="preserve"> </w:t>
      </w:r>
      <w:r w:rsidR="115AED9C" w:rsidRPr="21B10765">
        <w:rPr>
          <w:rFonts w:eastAsia="EC Square Sans Pro" w:cs="EC Square Sans Pro"/>
          <w:noProof/>
          <w:color w:val="000000" w:themeColor="text1"/>
        </w:rPr>
        <w:t>Poland’s external balance (i.e. the combined current and capital account) deteriorated in both 2024 and 2025, largely driven by</w:t>
      </w:r>
      <w:r w:rsidR="00C866EF" w:rsidRPr="21B10765">
        <w:rPr>
          <w:rFonts w:eastAsia="EC Square Sans Pro" w:cs="EC Square Sans Pro"/>
          <w:noProof/>
          <w:color w:val="000000" w:themeColor="text1"/>
        </w:rPr>
        <w:t xml:space="preserve"> a</w:t>
      </w:r>
      <w:r w:rsidR="115AED9C" w:rsidRPr="21B10765">
        <w:rPr>
          <w:rFonts w:eastAsia="EC Square Sans Pro" w:cs="EC Square Sans Pro"/>
          <w:noProof/>
          <w:color w:val="000000" w:themeColor="text1"/>
        </w:rPr>
        <w:t xml:space="preserve"> </w:t>
      </w:r>
      <w:r w:rsidR="58E5AD6C" w:rsidRPr="21B10765">
        <w:rPr>
          <w:rFonts w:eastAsia="EC Square Sans Pro" w:cs="EC Square Sans Pro"/>
          <w:noProof/>
          <w:color w:val="000000" w:themeColor="text1"/>
        </w:rPr>
        <w:t xml:space="preserve">decline </w:t>
      </w:r>
      <w:r w:rsidR="115AED9C" w:rsidRPr="21B10765">
        <w:rPr>
          <w:rFonts w:eastAsia="EC Square Sans Pro" w:cs="EC Square Sans Pro"/>
          <w:noProof/>
          <w:color w:val="000000" w:themeColor="text1"/>
        </w:rPr>
        <w:t>in the current account</w:t>
      </w:r>
      <w:r w:rsidR="6692B971" w:rsidRPr="21B10765">
        <w:rPr>
          <w:rFonts w:eastAsia="EC Square Sans Pro" w:cs="EC Square Sans Pro"/>
          <w:noProof/>
          <w:color w:val="000000" w:themeColor="text1"/>
        </w:rPr>
        <w:t>,</w:t>
      </w:r>
      <w:r w:rsidR="16733DB5" w:rsidRPr="21B10765">
        <w:rPr>
          <w:rFonts w:eastAsia="EC Square Sans Pro" w:cs="EC Square Sans Pro"/>
          <w:noProof/>
          <w:color w:val="000000" w:themeColor="text1"/>
        </w:rPr>
        <w:t xml:space="preserve"> as export prices fell faster than import prices. </w:t>
      </w:r>
      <w:r w:rsidR="1F755E05" w:rsidRPr="21B10765">
        <w:rPr>
          <w:rFonts w:eastAsia="EC Square Sans Pro" w:cs="EC Square Sans Pro"/>
          <w:noProof/>
          <w:color w:val="000000" w:themeColor="text1"/>
        </w:rPr>
        <w:t>T</w:t>
      </w:r>
      <w:r w:rsidR="3F624159">
        <w:rPr>
          <w:noProof/>
        </w:rPr>
        <w:t xml:space="preserve">he </w:t>
      </w:r>
      <w:r w:rsidR="00243BF1">
        <w:rPr>
          <w:noProof/>
        </w:rPr>
        <w:t xml:space="preserve">external balance moved from a surplus in </w:t>
      </w:r>
      <w:r w:rsidR="3F624159">
        <w:rPr>
          <w:noProof/>
        </w:rPr>
        <w:t>2024 (0.</w:t>
      </w:r>
      <w:r w:rsidR="63B892E3">
        <w:rPr>
          <w:noProof/>
        </w:rPr>
        <w:t>6</w:t>
      </w:r>
      <w:r w:rsidR="3F624159">
        <w:rPr>
          <w:noProof/>
        </w:rPr>
        <w:t xml:space="preserve">% of GDP) </w:t>
      </w:r>
      <w:r w:rsidR="00243BF1">
        <w:rPr>
          <w:noProof/>
        </w:rPr>
        <w:t xml:space="preserve">to a neutral position </w:t>
      </w:r>
      <w:r w:rsidR="3F624159">
        <w:rPr>
          <w:noProof/>
        </w:rPr>
        <w:t>in 2025.</w:t>
      </w:r>
      <w:r w:rsidR="294EF8AB">
        <w:rPr>
          <w:noProof/>
        </w:rPr>
        <w:t xml:space="preserve"> </w:t>
      </w:r>
      <w:r w:rsidR="294EF8AB" w:rsidRPr="21B10765">
        <w:rPr>
          <w:rFonts w:eastAsia="EC Square Sans Pro" w:cs="EC Square Sans Pro"/>
          <w:noProof/>
          <w:color w:val="000000" w:themeColor="text1"/>
        </w:rPr>
        <w:t xml:space="preserve">Poland’s economy is well-integrated with the euro area, through both trade and investment linkages. </w:t>
      </w:r>
      <w:r w:rsidR="5180BCA1" w:rsidRPr="21B10765">
        <w:rPr>
          <w:rFonts w:eastAsia="EC Square Sans Pro" w:cs="EC Square Sans Pro"/>
          <w:noProof/>
          <w:color w:val="000000" w:themeColor="text1"/>
        </w:rPr>
        <w:t>Based on</w:t>
      </w:r>
      <w:r w:rsidR="30340FE4" w:rsidRPr="21B10765">
        <w:rPr>
          <w:rFonts w:eastAsia="EC Square Sans Pro" w:cs="EC Square Sans Pro"/>
          <w:noProof/>
          <w:color w:val="000000" w:themeColor="text1"/>
        </w:rPr>
        <w:t xml:space="preserve"> selected indicators relating to the institutional environment, Poland ranks below the average </w:t>
      </w:r>
      <w:r w:rsidR="00C866EF" w:rsidRPr="21B10765">
        <w:rPr>
          <w:rFonts w:eastAsia="EC Square Sans Pro" w:cs="EC Square Sans Pro"/>
          <w:noProof/>
          <w:color w:val="000000" w:themeColor="text1"/>
        </w:rPr>
        <w:t>for</w:t>
      </w:r>
      <w:r w:rsidR="30340FE4" w:rsidRPr="21B10765">
        <w:rPr>
          <w:rFonts w:eastAsia="EC Square Sans Pro" w:cs="EC Square Sans Pro"/>
          <w:noProof/>
          <w:color w:val="000000" w:themeColor="text1"/>
        </w:rPr>
        <w:t xml:space="preserve"> euro area Member States</w:t>
      </w:r>
      <w:r w:rsidR="00C04D52">
        <w:rPr>
          <w:rFonts w:eastAsia="EC Square Sans Pro" w:cs="EC Square Sans Pro"/>
          <w:noProof/>
          <w:color w:val="000000" w:themeColor="text1"/>
        </w:rPr>
        <w:t xml:space="preserve"> in this regard</w:t>
      </w:r>
      <w:r w:rsidR="30340FE4" w:rsidRPr="21B10765">
        <w:rPr>
          <w:rFonts w:eastAsia="EC Square Sans Pro" w:cs="EC Square Sans Pro"/>
          <w:noProof/>
          <w:color w:val="000000" w:themeColor="text1"/>
        </w:rPr>
        <w:t xml:space="preserve">. </w:t>
      </w:r>
      <w:bookmarkStart w:id="6" w:name="_Hlk227311494"/>
      <w:r w:rsidR="330877E2">
        <w:rPr>
          <w:noProof/>
        </w:rPr>
        <w:t>T</w:t>
      </w:r>
      <w:bookmarkEnd w:id="6"/>
      <w:r w:rsidR="330877E2">
        <w:rPr>
          <w:noProof/>
        </w:rPr>
        <w:t>he financial sector in Poland is smaller and less developed than in the euro area. It is dominated by banks, which are well</w:t>
      </w:r>
      <w:r w:rsidR="00375593">
        <w:rPr>
          <w:noProof/>
        </w:rPr>
        <w:t>-</w:t>
      </w:r>
      <w:r w:rsidR="330877E2">
        <w:rPr>
          <w:noProof/>
        </w:rPr>
        <w:t>integrated into the euro area’s financial system through a high level of foreign ownership.</w:t>
      </w:r>
      <w:r w:rsidR="589B9A1B">
        <w:rPr>
          <w:noProof/>
        </w:rPr>
        <w:t xml:space="preserve"> Market-based financing is less developed than </w:t>
      </w:r>
      <w:r w:rsidR="007C5B84">
        <w:rPr>
          <w:noProof/>
        </w:rPr>
        <w:t xml:space="preserve">in </w:t>
      </w:r>
      <w:r w:rsidR="589B9A1B">
        <w:rPr>
          <w:noProof/>
        </w:rPr>
        <w:t>the euro area</w:t>
      </w:r>
      <w:r w:rsidR="00297C8E">
        <w:rPr>
          <w:noProof/>
        </w:rPr>
        <w:t>, as</w:t>
      </w:r>
      <w:r w:rsidR="589B9A1B">
        <w:rPr>
          <w:noProof/>
        </w:rPr>
        <w:t xml:space="preserve"> reflected in the very small markets for equity and private sector debt.</w:t>
      </w:r>
      <w:r w:rsidR="1B17DCDF">
        <w:rPr>
          <w:noProof/>
        </w:rPr>
        <w:t xml:space="preserve"> In the context of the Macroeconomic Imbalance Procedure, the Commission concluded in its Alert Mechanism Report for 2026 that</w:t>
      </w:r>
      <w:r w:rsidR="1B17DCDF" w:rsidRPr="21B10765">
        <w:rPr>
          <w:rFonts w:eastAsia="EC Square Sans Pro" w:cs="EC Square Sans Pro"/>
          <w:noProof/>
          <w:color w:val="000000" w:themeColor="text1"/>
        </w:rPr>
        <w:t xml:space="preserve"> </w:t>
      </w:r>
      <w:r w:rsidR="373CEFCD">
        <w:rPr>
          <w:noProof/>
        </w:rPr>
        <w:t>no In-Depth Review was warranted</w:t>
      </w:r>
      <w:r w:rsidR="373CEFCD" w:rsidRPr="21B10765">
        <w:rPr>
          <w:rFonts w:eastAsia="EC Square Sans Pro" w:cs="EC Square Sans Pro"/>
          <w:noProof/>
          <w:color w:val="000000" w:themeColor="text1"/>
        </w:rPr>
        <w:t xml:space="preserve"> </w:t>
      </w:r>
      <w:r w:rsidR="3280D583" w:rsidRPr="21B10765">
        <w:rPr>
          <w:rFonts w:eastAsia="EC Square Sans Pro" w:cs="EC Square Sans Pro"/>
          <w:noProof/>
          <w:color w:val="000000" w:themeColor="text1"/>
        </w:rPr>
        <w:t xml:space="preserve">for </w:t>
      </w:r>
      <w:r w:rsidR="1B17DCDF" w:rsidRPr="21B10765">
        <w:rPr>
          <w:rFonts w:eastAsia="EC Square Sans Pro" w:cs="EC Square Sans Pro"/>
          <w:noProof/>
          <w:color w:val="000000" w:themeColor="text1"/>
        </w:rPr>
        <w:t>Poland</w:t>
      </w:r>
      <w:r w:rsidR="1B17DCDF">
        <w:rPr>
          <w:noProof/>
        </w:rPr>
        <w:t>.</w:t>
      </w:r>
    </w:p>
    <w:p w14:paraId="68B3CE9F" w14:textId="7269B57B" w:rsidR="0045714E" w:rsidRPr="009F0DD6" w:rsidRDefault="00D77FB1" w:rsidP="009F0DD6">
      <w:pPr>
        <w:spacing w:after="0"/>
        <w:ind w:left="567"/>
        <w:rPr>
          <w:rFonts w:eastAsia="EC Square Sans Pro" w:cs="EC Square Sans Pro"/>
          <w:noProof/>
          <w:color w:val="000000" w:themeColor="text1"/>
        </w:rPr>
      </w:pPr>
      <w:r w:rsidRPr="09CE4841">
        <w:rPr>
          <w:rFonts w:eastAsia="EC Square Sans Pro" w:cs="EC Square Sans Pro"/>
          <w:noProof/>
          <w:color w:val="000000" w:themeColor="text1"/>
        </w:rPr>
        <w:t>Poland’s recovery and resilience plan</w:t>
      </w:r>
      <w:r w:rsidR="00D95284" w:rsidRPr="09CE4841">
        <w:rPr>
          <w:rFonts w:eastAsia="EC Square Sans Pro" w:cs="EC Square Sans Pro"/>
          <w:noProof/>
          <w:color w:val="000000" w:themeColor="text1"/>
        </w:rPr>
        <w:t xml:space="preserve"> (RRP)</w:t>
      </w:r>
      <w:r w:rsidRPr="09CE4841">
        <w:rPr>
          <w:rFonts w:eastAsia="EC Square Sans Pro" w:cs="EC Square Sans Pro"/>
          <w:noProof/>
          <w:color w:val="000000" w:themeColor="text1"/>
        </w:rPr>
        <w:t xml:space="preserve"> includes measures to address a series of structural challenges, in synergy with other EU funds, including cohesion policy funds, to boost its competitiveness and stimulate sustainable growth and reduce the country’s territorial and social disparities. </w:t>
      </w:r>
      <w:r w:rsidR="00D95284" w:rsidRPr="09CE4841">
        <w:rPr>
          <w:rFonts w:eastAsia="EC Square Sans Pro" w:cs="EC Square Sans Pro"/>
          <w:noProof/>
          <w:color w:val="000000" w:themeColor="text1"/>
        </w:rPr>
        <w:t xml:space="preserve">The RRF funding provides Poland with EUR 54.7 billion in grants and loans over the 2021-2026 period. </w:t>
      </w:r>
      <w:r w:rsidR="396BF75A" w:rsidRPr="09CE4841">
        <w:rPr>
          <w:rFonts w:eastAsia="EC Square Sans Pro" w:cs="EC Square Sans Pro"/>
          <w:noProof/>
          <w:color w:val="000000" w:themeColor="text1"/>
        </w:rPr>
        <w:t xml:space="preserve">The implementation of Poland’s </w:t>
      </w:r>
      <w:r w:rsidR="00D95284" w:rsidRPr="09CE4841">
        <w:rPr>
          <w:rFonts w:eastAsia="EC Square Sans Pro" w:cs="EC Square Sans Pro"/>
          <w:noProof/>
          <w:color w:val="000000" w:themeColor="text1"/>
        </w:rPr>
        <w:t>RRP</w:t>
      </w:r>
      <w:r w:rsidR="396BF75A" w:rsidRPr="09CE4841">
        <w:rPr>
          <w:rFonts w:eastAsia="EC Square Sans Pro" w:cs="EC Square Sans Pro"/>
          <w:noProof/>
          <w:color w:val="000000" w:themeColor="text1"/>
        </w:rPr>
        <w:t xml:space="preserve"> is </w:t>
      </w:r>
      <w:r w:rsidR="00657B21">
        <w:rPr>
          <w:rFonts w:eastAsia="EC Square Sans Pro" w:cs="EC Square Sans Pro"/>
          <w:noProof/>
          <w:color w:val="000000" w:themeColor="text1"/>
        </w:rPr>
        <w:t>ongoing</w:t>
      </w:r>
      <w:r w:rsidR="396BF75A" w:rsidRPr="09CE4841">
        <w:rPr>
          <w:rFonts w:eastAsia="EC Square Sans Pro" w:cs="EC Square Sans Pro"/>
          <w:noProof/>
          <w:color w:val="000000" w:themeColor="text1"/>
        </w:rPr>
        <w:t xml:space="preserve">, with </w:t>
      </w:r>
      <w:r w:rsidR="00657B21">
        <w:rPr>
          <w:rFonts w:eastAsia="EC Square Sans Pro" w:cs="EC Square Sans Pro"/>
          <w:noProof/>
          <w:color w:val="000000" w:themeColor="text1"/>
        </w:rPr>
        <w:t xml:space="preserve">a total disbursement of </w:t>
      </w:r>
      <w:r w:rsidR="396BF75A" w:rsidRPr="09CE4841">
        <w:rPr>
          <w:rFonts w:eastAsia="EC Square Sans Pro" w:cs="EC Square Sans Pro"/>
          <w:noProof/>
          <w:color w:val="000000" w:themeColor="text1"/>
        </w:rPr>
        <w:t xml:space="preserve">EUR </w:t>
      </w:r>
      <w:r w:rsidR="3EF2BB55" w:rsidRPr="01515519">
        <w:rPr>
          <w:rFonts w:eastAsia="EC Square Sans Pro" w:cs="EC Square Sans Pro"/>
          <w:noProof/>
          <w:color w:val="000000" w:themeColor="text1"/>
        </w:rPr>
        <w:t>34</w:t>
      </w:r>
      <w:r w:rsidR="3534F59D" w:rsidRPr="01515519">
        <w:rPr>
          <w:rFonts w:eastAsia="EC Square Sans Pro" w:cs="EC Square Sans Pro"/>
          <w:noProof/>
          <w:color w:val="000000" w:themeColor="text1"/>
        </w:rPr>
        <w:t>.</w:t>
      </w:r>
      <w:r w:rsidR="6D4B56C5" w:rsidRPr="01515519">
        <w:rPr>
          <w:rFonts w:eastAsia="EC Square Sans Pro" w:cs="EC Square Sans Pro"/>
          <w:noProof/>
          <w:color w:val="000000" w:themeColor="text1"/>
        </w:rPr>
        <w:t>15</w:t>
      </w:r>
      <w:r w:rsidR="396BF75A" w:rsidRPr="09CE4841">
        <w:rPr>
          <w:rFonts w:eastAsia="EC Square Sans Pro" w:cs="EC Square Sans Pro"/>
          <w:noProof/>
          <w:color w:val="000000" w:themeColor="text1"/>
        </w:rPr>
        <w:t xml:space="preserve"> billion</w:t>
      </w:r>
      <w:r w:rsidR="00657B21">
        <w:rPr>
          <w:rFonts w:eastAsia="EC Square Sans Pro" w:cs="EC Square Sans Pro"/>
          <w:noProof/>
          <w:color w:val="000000" w:themeColor="text1"/>
        </w:rPr>
        <w:t xml:space="preserve"> (or</w:t>
      </w:r>
      <w:r w:rsidR="396BF75A" w:rsidRPr="09CE4841">
        <w:rPr>
          <w:rFonts w:eastAsia="EC Square Sans Pro" w:cs="EC Square Sans Pro"/>
          <w:noProof/>
          <w:color w:val="000000" w:themeColor="text1"/>
        </w:rPr>
        <w:t xml:space="preserve"> </w:t>
      </w:r>
      <w:r w:rsidR="497BB30C" w:rsidRPr="01515519">
        <w:rPr>
          <w:rFonts w:eastAsia="EC Square Sans Pro" w:cs="EC Square Sans Pro"/>
          <w:noProof/>
          <w:color w:val="000000" w:themeColor="text1"/>
        </w:rPr>
        <w:t>62.</w:t>
      </w:r>
      <w:r w:rsidR="396BF75A" w:rsidRPr="09CE4841">
        <w:rPr>
          <w:rFonts w:eastAsia="EC Square Sans Pro" w:cs="EC Square Sans Pro"/>
          <w:noProof/>
          <w:color w:val="000000" w:themeColor="text1"/>
        </w:rPr>
        <w:t>4% of the total amount</w:t>
      </w:r>
      <w:r w:rsidR="00657B21">
        <w:rPr>
          <w:rFonts w:eastAsia="EC Square Sans Pro" w:cs="EC Square Sans Pro"/>
          <w:noProof/>
          <w:color w:val="000000" w:themeColor="text1"/>
        </w:rPr>
        <w:t>)</w:t>
      </w:r>
      <w:r w:rsidR="396BF75A" w:rsidRPr="09CE4841">
        <w:rPr>
          <w:rFonts w:eastAsia="EC Square Sans Pro" w:cs="EC Square Sans Pro"/>
          <w:noProof/>
          <w:color w:val="000000" w:themeColor="text1"/>
        </w:rPr>
        <w:t xml:space="preserve"> </w:t>
      </w:r>
      <w:r w:rsidR="00657B21">
        <w:rPr>
          <w:rFonts w:eastAsia="EC Square Sans Pro" w:cs="EC Square Sans Pro"/>
          <w:noProof/>
          <w:color w:val="000000" w:themeColor="text1"/>
        </w:rPr>
        <w:t>at</w:t>
      </w:r>
      <w:r w:rsidR="396BF75A" w:rsidRPr="09CE4841">
        <w:rPr>
          <w:rFonts w:eastAsia="EC Square Sans Pro" w:cs="EC Square Sans Pro"/>
          <w:noProof/>
          <w:color w:val="000000" w:themeColor="text1"/>
        </w:rPr>
        <w:t xml:space="preserve"> the end of </w:t>
      </w:r>
      <w:r w:rsidR="12BC50DF" w:rsidRPr="01515519">
        <w:rPr>
          <w:rFonts w:eastAsia="EC Square Sans Pro" w:cs="EC Square Sans Pro"/>
          <w:noProof/>
          <w:color w:val="000000" w:themeColor="text1"/>
        </w:rPr>
        <w:t xml:space="preserve">June </w:t>
      </w:r>
      <w:r w:rsidR="3534F59D" w:rsidRPr="01515519">
        <w:rPr>
          <w:rFonts w:eastAsia="EC Square Sans Pro" w:cs="EC Square Sans Pro"/>
          <w:noProof/>
          <w:color w:val="000000" w:themeColor="text1"/>
        </w:rPr>
        <w:t>202</w:t>
      </w:r>
      <w:r w:rsidR="368B0275" w:rsidRPr="01515519">
        <w:rPr>
          <w:rFonts w:eastAsia="EC Square Sans Pro" w:cs="EC Square Sans Pro"/>
          <w:noProof/>
          <w:color w:val="000000" w:themeColor="text1"/>
        </w:rPr>
        <w:t>6</w:t>
      </w:r>
      <w:r w:rsidR="3534F59D" w:rsidRPr="01515519">
        <w:rPr>
          <w:rFonts w:eastAsia="EC Square Sans Pro" w:cs="EC Square Sans Pro"/>
          <w:noProof/>
          <w:color w:val="000000" w:themeColor="text1"/>
        </w:rPr>
        <w:t>.</w:t>
      </w:r>
      <w:r w:rsidR="396BF75A" w:rsidRPr="09CE4841">
        <w:rPr>
          <w:rFonts w:eastAsia="EC Square Sans Pro" w:cs="EC Square Sans Pro"/>
          <w:noProof/>
          <w:color w:val="000000" w:themeColor="text1"/>
        </w:rPr>
        <w:t xml:space="preserve"> </w:t>
      </w:r>
      <w:r w:rsidR="00E95F63" w:rsidRPr="61A093ED">
        <w:rPr>
          <w:rFonts w:eastAsia="EC Square Sans Pro" w:cs="EC Square Sans Pro"/>
          <w:noProof/>
          <w:color w:val="000000" w:themeColor="text1"/>
        </w:rPr>
        <w:t>Key</w:t>
      </w:r>
      <w:r w:rsidR="00E95F63" w:rsidRPr="00B45618">
        <w:rPr>
          <w:rFonts w:eastAsia="EC Square Sans Pro" w:cs="EC Square Sans Pro"/>
          <w:noProof/>
          <w:color w:val="000000" w:themeColor="text1"/>
        </w:rPr>
        <w:t xml:space="preserve"> reforms in Poland’s RRP include those in the areas of decarbonisation of the Polish economy, facilitating the development of network infrastructure to ensure universal access to </w:t>
      </w:r>
      <w:r w:rsidR="001706DF">
        <w:rPr>
          <w:rFonts w:eastAsia="EC Square Sans Pro" w:cs="EC Square Sans Pro"/>
          <w:noProof/>
          <w:color w:val="000000" w:themeColor="text1"/>
        </w:rPr>
        <w:t xml:space="preserve">the </w:t>
      </w:r>
      <w:r w:rsidR="00E95F63" w:rsidRPr="00B45618">
        <w:rPr>
          <w:rFonts w:eastAsia="EC Square Sans Pro" w:cs="EC Square Sans Pro"/>
          <w:noProof/>
          <w:color w:val="000000" w:themeColor="text1"/>
        </w:rPr>
        <w:t>internet, reforming the health sector and labour market institutions.</w:t>
      </w:r>
      <w:r w:rsidR="00E95F63">
        <w:rPr>
          <w:rFonts w:eastAsia="EC Square Sans Pro" w:cs="EC Square Sans Pro"/>
          <w:noProof/>
          <w:color w:val="000000" w:themeColor="text1"/>
        </w:rPr>
        <w:t xml:space="preserve"> </w:t>
      </w:r>
      <w:r w:rsidR="396BF75A" w:rsidRPr="00438311">
        <w:rPr>
          <w:rFonts w:eastAsia="EC Square Sans Pro" w:cs="EC Square Sans Pro"/>
          <w:noProof/>
          <w:color w:val="000000" w:themeColor="text1"/>
        </w:rPr>
        <w:t xml:space="preserve">In addition, cohesion policy provides Poland with EUR </w:t>
      </w:r>
      <w:r w:rsidR="000113B3">
        <w:rPr>
          <w:rFonts w:eastAsia="EC Square Sans Pro" w:cs="EC Square Sans Pro"/>
          <w:noProof/>
          <w:color w:val="000000" w:themeColor="text1"/>
        </w:rPr>
        <w:t>80.6</w:t>
      </w:r>
      <w:r w:rsidR="396BF75A" w:rsidRPr="00438311">
        <w:rPr>
          <w:rFonts w:eastAsia="EC Square Sans Pro" w:cs="EC Square Sans Pro"/>
          <w:noProof/>
          <w:color w:val="000000" w:themeColor="text1"/>
        </w:rPr>
        <w:t xml:space="preserve"> billion for the 2021-2027 period.</w:t>
      </w:r>
      <w:r w:rsidR="00FB65E0">
        <w:rPr>
          <w:rFonts w:eastAsia="EC Square Sans Pro" w:cs="EC Square Sans Pro"/>
          <w:noProof/>
          <w:color w:val="000000" w:themeColor="text1"/>
        </w:rPr>
        <w:t xml:space="preserve"> </w:t>
      </w:r>
      <w:r w:rsidR="396BF75A" w:rsidRPr="00438311">
        <w:rPr>
          <w:rFonts w:eastAsia="EC Square Sans Pro" w:cs="EC Square Sans Pro"/>
          <w:noProof/>
          <w:color w:val="000000" w:themeColor="text1"/>
        </w:rPr>
        <w:t xml:space="preserve">Cohesion policy financing aims particularly to further support Poland’s </w:t>
      </w:r>
      <w:r w:rsidR="2D8FB4FF" w:rsidRPr="00438311">
        <w:rPr>
          <w:rFonts w:eastAsia="EC Square Sans Pro" w:cs="EC Square Sans Pro"/>
          <w:noProof/>
          <w:color w:val="000000" w:themeColor="text1"/>
        </w:rPr>
        <w:t>competitiveness, environmental sustainability as well as skills and social fairness</w:t>
      </w:r>
      <w:r w:rsidR="752ABCC3" w:rsidRPr="00438311">
        <w:rPr>
          <w:rFonts w:eastAsia="EC Square Sans Pro" w:cs="EC Square Sans Pro"/>
          <w:noProof/>
          <w:color w:val="000000" w:themeColor="text1"/>
        </w:rPr>
        <w:t>.</w:t>
      </w:r>
      <w:r w:rsidR="396BF75A" w:rsidRPr="00438311">
        <w:rPr>
          <w:rFonts w:eastAsia="EC Square Sans Pro" w:cs="EC Square Sans Pro"/>
          <w:noProof/>
          <w:color w:val="000000" w:themeColor="text1"/>
        </w:rPr>
        <w:t xml:space="preserve"> </w:t>
      </w:r>
      <w:r w:rsidR="001706DF">
        <w:rPr>
          <w:rFonts w:eastAsia="EC Square Sans Pro" w:cs="EC Square Sans Pro"/>
          <w:noProof/>
          <w:color w:val="000000" w:themeColor="text1"/>
        </w:rPr>
        <w:t xml:space="preserve">While </w:t>
      </w:r>
      <w:r w:rsidR="396BF75A" w:rsidRPr="00438311">
        <w:rPr>
          <w:rFonts w:eastAsia="EC Square Sans Pro" w:cs="EC Square Sans Pro"/>
          <w:noProof/>
          <w:color w:val="000000" w:themeColor="text1"/>
        </w:rPr>
        <w:t>Poland has made progress in implementing cohesion policy, challenges remain</w:t>
      </w:r>
      <w:r w:rsidR="001706DF">
        <w:rPr>
          <w:rFonts w:eastAsia="EC Square Sans Pro" w:cs="EC Square Sans Pro"/>
          <w:noProof/>
          <w:color w:val="000000" w:themeColor="text1"/>
        </w:rPr>
        <w:t>, with</w:t>
      </w:r>
      <w:r w:rsidR="396BF75A" w:rsidRPr="00438311">
        <w:rPr>
          <w:rFonts w:eastAsia="EC Square Sans Pro" w:cs="EC Square Sans Pro"/>
          <w:noProof/>
          <w:color w:val="000000" w:themeColor="text1"/>
        </w:rPr>
        <w:t xml:space="preserve"> regional disparities between eastern regions and the rest of the country </w:t>
      </w:r>
      <w:r w:rsidR="001706DF" w:rsidRPr="1C73F0D4">
        <w:rPr>
          <w:rFonts w:eastAsia="EC Square Sans Pro" w:cs="EC Square Sans Pro"/>
          <w:noProof/>
          <w:color w:val="000000" w:themeColor="text1"/>
        </w:rPr>
        <w:t>continu</w:t>
      </w:r>
      <w:r w:rsidR="50D7AB84" w:rsidRPr="1C73F0D4">
        <w:rPr>
          <w:rFonts w:eastAsia="EC Square Sans Pro" w:cs="EC Square Sans Pro"/>
          <w:noProof/>
          <w:color w:val="000000" w:themeColor="text1"/>
        </w:rPr>
        <w:t>e</w:t>
      </w:r>
      <w:r w:rsidR="001706DF">
        <w:rPr>
          <w:rFonts w:eastAsia="EC Square Sans Pro" w:cs="EC Square Sans Pro"/>
          <w:noProof/>
          <w:color w:val="000000" w:themeColor="text1"/>
        </w:rPr>
        <w:t xml:space="preserve"> to </w:t>
      </w:r>
      <w:r w:rsidR="396BF75A" w:rsidRPr="00438311">
        <w:rPr>
          <w:rFonts w:eastAsia="EC Square Sans Pro" w:cs="EC Square Sans Pro"/>
          <w:noProof/>
          <w:color w:val="000000" w:themeColor="text1"/>
        </w:rPr>
        <w:t>widen.</w:t>
      </w:r>
    </w:p>
    <w:p w14:paraId="393F5560" w14:textId="77777777" w:rsidR="00A97E17" w:rsidRPr="00BC3C52" w:rsidRDefault="00A97E17" w:rsidP="2C28BDD6">
      <w:pPr>
        <w:rPr>
          <w:noProof/>
        </w:rPr>
      </w:pPr>
    </w:p>
    <w:p w14:paraId="014DECDB" w14:textId="40A58569" w:rsidR="003C562C" w:rsidRDefault="003C562C" w:rsidP="003C562C">
      <w:pPr>
        <w:numPr>
          <w:ilvl w:val="0"/>
          <w:numId w:val="1"/>
        </w:numPr>
        <w:ind w:left="567" w:hanging="567"/>
        <w:rPr>
          <w:b/>
          <w:bCs/>
          <w:noProof/>
        </w:rPr>
      </w:pPr>
      <w:r>
        <w:rPr>
          <w:b/>
          <w:bCs/>
          <w:noProof/>
        </w:rPr>
        <w:t>ROMANIA</w:t>
      </w:r>
    </w:p>
    <w:p w14:paraId="2C0E0325" w14:textId="5C6423AC" w:rsidR="003C562C" w:rsidRDefault="0017458C" w:rsidP="005E11EB">
      <w:pPr>
        <w:ind w:left="567"/>
        <w:rPr>
          <w:b/>
          <w:bCs/>
          <w:noProof/>
        </w:rPr>
      </w:pPr>
      <w:r w:rsidRPr="0017458C">
        <w:rPr>
          <w:b/>
          <w:bCs/>
          <w:noProof/>
        </w:rPr>
        <w:t xml:space="preserve">In the light of its assessment on legal compatibility and on the fulfilment of the convergence criteria, and taking into account the additional relevant factors, the Commission considers that Romania does not fulfil the conditions for </w:t>
      </w:r>
      <w:r w:rsidR="00D225FE">
        <w:rPr>
          <w:b/>
          <w:bCs/>
          <w:noProof/>
        </w:rPr>
        <w:t xml:space="preserve">adopting </w:t>
      </w:r>
      <w:r w:rsidRPr="0017458C">
        <w:rPr>
          <w:b/>
          <w:bCs/>
          <w:noProof/>
        </w:rPr>
        <w:t>the euro.</w:t>
      </w:r>
    </w:p>
    <w:p w14:paraId="39FF0844" w14:textId="3A25ADE2" w:rsidR="009A28D7" w:rsidRDefault="009A28D7" w:rsidP="00A345CC">
      <w:pPr>
        <w:ind w:left="567"/>
        <w:rPr>
          <w:noProof/>
        </w:rPr>
      </w:pPr>
      <w:r w:rsidRPr="009A28D7">
        <w:rPr>
          <w:b/>
          <w:bCs/>
          <w:noProof/>
        </w:rPr>
        <w:t>Legislation in Romania</w:t>
      </w:r>
      <w:r w:rsidR="00CC6411" w:rsidRPr="00E55FB5">
        <w:rPr>
          <w:noProof/>
        </w:rPr>
        <w:t>,</w:t>
      </w:r>
      <w:r w:rsidRPr="009A28D7">
        <w:rPr>
          <w:noProof/>
        </w:rPr>
        <w:t xml:space="preserve"> in particular Law No. 312 on the Statute of the </w:t>
      </w:r>
      <w:r w:rsidR="73F98D59">
        <w:rPr>
          <w:noProof/>
        </w:rPr>
        <w:t xml:space="preserve">National </w:t>
      </w:r>
      <w:r w:rsidRPr="009A28D7">
        <w:rPr>
          <w:noProof/>
        </w:rPr>
        <w:t>Bank of Romania of 28 June 2004 (the BNR Law)</w:t>
      </w:r>
      <w:r w:rsidR="00CC6411">
        <w:rPr>
          <w:noProof/>
        </w:rPr>
        <w:t>,</w:t>
      </w:r>
      <w:r w:rsidRPr="009A28D7">
        <w:rPr>
          <w:noProof/>
        </w:rPr>
        <w:t xml:space="preserve"> </w:t>
      </w:r>
      <w:r w:rsidRPr="009A28D7">
        <w:rPr>
          <w:b/>
          <w:bCs/>
          <w:noProof/>
        </w:rPr>
        <w:t xml:space="preserve">is </w:t>
      </w:r>
      <w:r w:rsidRPr="009F0DD6">
        <w:rPr>
          <w:b/>
          <w:bCs/>
          <w:noProof/>
        </w:rPr>
        <w:t>not fully</w:t>
      </w:r>
      <w:r w:rsidRPr="009A28D7">
        <w:rPr>
          <w:b/>
          <w:bCs/>
          <w:noProof/>
        </w:rPr>
        <w:t xml:space="preserve"> compatible</w:t>
      </w:r>
      <w:r w:rsidRPr="009A28D7">
        <w:rPr>
          <w:noProof/>
        </w:rPr>
        <w:t xml:space="preserve"> with the requirements of Article 131 TFEU. Incompatibilities concern the independence of the central bank, prohibition of monetary financing and </w:t>
      </w:r>
      <w:r w:rsidR="00CC6411">
        <w:rPr>
          <w:noProof/>
        </w:rPr>
        <w:t xml:space="preserve">the integration of the </w:t>
      </w:r>
      <w:r w:rsidRPr="009A28D7">
        <w:rPr>
          <w:noProof/>
        </w:rPr>
        <w:t xml:space="preserve">central bank into the </w:t>
      </w:r>
      <w:r w:rsidR="3185A669">
        <w:rPr>
          <w:noProof/>
        </w:rPr>
        <w:t>Eurosystem</w:t>
      </w:r>
      <w:r w:rsidRPr="009A28D7">
        <w:rPr>
          <w:noProof/>
        </w:rPr>
        <w:t xml:space="preserve">. In addition, the BNR Law contains imperfections relating to </w:t>
      </w:r>
      <w:r w:rsidR="00CC6411">
        <w:rPr>
          <w:noProof/>
        </w:rPr>
        <w:t xml:space="preserve">the BNR’s </w:t>
      </w:r>
      <w:r w:rsidRPr="009A28D7">
        <w:rPr>
          <w:noProof/>
        </w:rPr>
        <w:t xml:space="preserve">independence and </w:t>
      </w:r>
      <w:r w:rsidR="00CC6411">
        <w:rPr>
          <w:noProof/>
        </w:rPr>
        <w:t>its</w:t>
      </w:r>
      <w:r w:rsidRPr="009A28D7">
        <w:rPr>
          <w:noProof/>
        </w:rPr>
        <w:t xml:space="preserve"> integration in the </w:t>
      </w:r>
      <w:r w:rsidR="4ACE21D9">
        <w:rPr>
          <w:noProof/>
        </w:rPr>
        <w:t xml:space="preserve">Eurosystem </w:t>
      </w:r>
      <w:r w:rsidRPr="009A28D7">
        <w:rPr>
          <w:noProof/>
        </w:rPr>
        <w:t>with regard to the ESCB</w:t>
      </w:r>
      <w:r w:rsidR="07189A98">
        <w:rPr>
          <w:noProof/>
        </w:rPr>
        <w:t>/ECB</w:t>
      </w:r>
      <w:r>
        <w:rPr>
          <w:noProof/>
        </w:rPr>
        <w:t xml:space="preserve"> </w:t>
      </w:r>
      <w:r w:rsidRPr="009A28D7">
        <w:rPr>
          <w:noProof/>
        </w:rPr>
        <w:t>tasks laid down in Article 127(2) TFEU and Article 3 of the ESCB/ECB Statute.</w:t>
      </w:r>
    </w:p>
    <w:p w14:paraId="0014EC95" w14:textId="445783DB" w:rsidR="003A705A" w:rsidRDefault="17C4E04A" w:rsidP="00F94D3B">
      <w:pPr>
        <w:ind w:left="567"/>
        <w:rPr>
          <w:noProof/>
        </w:rPr>
      </w:pPr>
      <w:r w:rsidRPr="14433F98">
        <w:rPr>
          <w:b/>
          <w:bCs/>
          <w:noProof/>
        </w:rPr>
        <w:t>Romania does not fulfil the criterion on price stability</w:t>
      </w:r>
      <w:r w:rsidRPr="00065E75">
        <w:rPr>
          <w:noProof/>
        </w:rPr>
        <w:t>.</w:t>
      </w:r>
      <w:r w:rsidR="72D52CC4" w:rsidRPr="14433F98">
        <w:rPr>
          <w:b/>
          <w:bCs/>
          <w:noProof/>
        </w:rPr>
        <w:t xml:space="preserve"> </w:t>
      </w:r>
      <w:r w:rsidR="72D52CC4">
        <w:rPr>
          <w:noProof/>
        </w:rPr>
        <w:t>The average inflation rate in Romania during the 12 months to May 202</w:t>
      </w:r>
      <w:r w:rsidR="00280EDD">
        <w:rPr>
          <w:noProof/>
        </w:rPr>
        <w:t>6</w:t>
      </w:r>
      <w:r w:rsidR="72D52CC4">
        <w:rPr>
          <w:noProof/>
        </w:rPr>
        <w:t xml:space="preserve"> was </w:t>
      </w:r>
      <w:r w:rsidR="00865530">
        <w:rPr>
          <w:noProof/>
        </w:rPr>
        <w:t>8.4</w:t>
      </w:r>
      <w:r w:rsidR="72D52CC4" w:rsidRPr="00E9275A">
        <w:rPr>
          <w:noProof/>
        </w:rPr>
        <w:t xml:space="preserve">%, well above the reference value of </w:t>
      </w:r>
      <w:r w:rsidR="00865530">
        <w:rPr>
          <w:noProof/>
        </w:rPr>
        <w:t>2.7</w:t>
      </w:r>
      <w:r w:rsidR="72D52CC4" w:rsidRPr="00E9275A">
        <w:rPr>
          <w:noProof/>
        </w:rPr>
        <w:t>%.</w:t>
      </w:r>
      <w:r w:rsidR="72D52CC4">
        <w:rPr>
          <w:noProof/>
        </w:rPr>
        <w:t xml:space="preserve"> It is projected </w:t>
      </w:r>
      <w:r w:rsidR="009A37EB">
        <w:rPr>
          <w:noProof/>
        </w:rPr>
        <w:t>to decrease</w:t>
      </w:r>
      <w:r w:rsidR="00760494">
        <w:rPr>
          <w:noProof/>
        </w:rPr>
        <w:t xml:space="preserve"> in the second half of 2026</w:t>
      </w:r>
      <w:r w:rsidR="009A37EB">
        <w:rPr>
          <w:noProof/>
        </w:rPr>
        <w:t xml:space="preserve">, but </w:t>
      </w:r>
      <w:r w:rsidR="72D52CC4" w:rsidRPr="004061DF">
        <w:rPr>
          <w:noProof/>
        </w:rPr>
        <w:t xml:space="preserve">remain well above the reference value </w:t>
      </w:r>
      <w:r w:rsidR="005A38DB" w:rsidRPr="004061DF">
        <w:rPr>
          <w:noProof/>
        </w:rPr>
        <w:t>by the end of 2026</w:t>
      </w:r>
      <w:r w:rsidR="00BA51CF" w:rsidRPr="004061DF">
        <w:rPr>
          <w:noProof/>
        </w:rPr>
        <w:t xml:space="preserve">. It is projected to </w:t>
      </w:r>
      <w:r w:rsidR="002D6F4F">
        <w:rPr>
          <w:noProof/>
        </w:rPr>
        <w:t>continue decreasing in 2027</w:t>
      </w:r>
      <w:r w:rsidR="004061DF" w:rsidRPr="004061DF">
        <w:rPr>
          <w:noProof/>
        </w:rPr>
        <w:t>,</w:t>
      </w:r>
      <w:r w:rsidR="00745E00" w:rsidRPr="004061DF">
        <w:rPr>
          <w:noProof/>
        </w:rPr>
        <w:t xml:space="preserve"> but rem</w:t>
      </w:r>
      <w:r w:rsidR="008B494A" w:rsidRPr="004061DF">
        <w:rPr>
          <w:noProof/>
        </w:rPr>
        <w:t>a</w:t>
      </w:r>
      <w:r w:rsidR="00745E00" w:rsidRPr="004061DF">
        <w:rPr>
          <w:noProof/>
        </w:rPr>
        <w:t xml:space="preserve">in </w:t>
      </w:r>
      <w:r w:rsidR="00745E00" w:rsidRPr="0098405B">
        <w:rPr>
          <w:noProof/>
        </w:rPr>
        <w:t>above</w:t>
      </w:r>
      <w:r w:rsidR="00745E00" w:rsidRPr="004061DF">
        <w:rPr>
          <w:noProof/>
        </w:rPr>
        <w:t xml:space="preserve"> the </w:t>
      </w:r>
      <w:r w:rsidR="008B494A" w:rsidRPr="004061DF">
        <w:rPr>
          <w:noProof/>
        </w:rPr>
        <w:t xml:space="preserve">reference value </w:t>
      </w:r>
      <w:r w:rsidR="002D6F4F">
        <w:rPr>
          <w:noProof/>
        </w:rPr>
        <w:t xml:space="preserve">through to </w:t>
      </w:r>
      <w:r w:rsidR="008B494A" w:rsidRPr="004061DF">
        <w:rPr>
          <w:noProof/>
        </w:rPr>
        <w:t>the end of 2027.</w:t>
      </w:r>
      <w:r w:rsidR="008B494A">
        <w:rPr>
          <w:noProof/>
        </w:rPr>
        <w:t xml:space="preserve"> </w:t>
      </w:r>
    </w:p>
    <w:p w14:paraId="038CA1F5" w14:textId="06E24A51" w:rsidR="00F24393" w:rsidRDefault="72D52CC4" w:rsidP="00F94D3B">
      <w:pPr>
        <w:ind w:left="567"/>
        <w:rPr>
          <w:noProof/>
        </w:rPr>
      </w:pPr>
      <w:r>
        <w:rPr>
          <w:noProof/>
        </w:rPr>
        <w:t xml:space="preserve">Annual HICP inflation in Romania </w:t>
      </w:r>
      <w:r w:rsidR="00845589">
        <w:rPr>
          <w:noProof/>
        </w:rPr>
        <w:t xml:space="preserve">rose </w:t>
      </w:r>
      <w:r w:rsidR="008B3670">
        <w:rPr>
          <w:noProof/>
        </w:rPr>
        <w:t>to</w:t>
      </w:r>
      <w:r>
        <w:rPr>
          <w:noProof/>
        </w:rPr>
        <w:t xml:space="preserve"> </w:t>
      </w:r>
      <w:r w:rsidR="008B3670">
        <w:rPr>
          <w:noProof/>
        </w:rPr>
        <w:t>6.8</w:t>
      </w:r>
      <w:r>
        <w:rPr>
          <w:noProof/>
        </w:rPr>
        <w:t>% in 202</w:t>
      </w:r>
      <w:r w:rsidR="008B3670">
        <w:rPr>
          <w:noProof/>
        </w:rPr>
        <w:t>5</w:t>
      </w:r>
      <w:r>
        <w:rPr>
          <w:noProof/>
        </w:rPr>
        <w:t xml:space="preserve">, from </w:t>
      </w:r>
      <w:r w:rsidR="008B3670">
        <w:rPr>
          <w:noProof/>
        </w:rPr>
        <w:t>5.</w:t>
      </w:r>
      <w:r w:rsidR="0023539A">
        <w:rPr>
          <w:noProof/>
        </w:rPr>
        <w:t>8</w:t>
      </w:r>
      <w:r>
        <w:rPr>
          <w:noProof/>
        </w:rPr>
        <w:t>% in 202</w:t>
      </w:r>
      <w:r w:rsidR="00781B12">
        <w:rPr>
          <w:noProof/>
        </w:rPr>
        <w:t>4</w:t>
      </w:r>
      <w:r>
        <w:rPr>
          <w:noProof/>
        </w:rPr>
        <w:t xml:space="preserve">. </w:t>
      </w:r>
      <w:r w:rsidR="00845589">
        <w:rPr>
          <w:noProof/>
        </w:rPr>
        <w:t>D</w:t>
      </w:r>
      <w:r w:rsidR="00823D06">
        <w:rPr>
          <w:noProof/>
        </w:rPr>
        <w:t xml:space="preserve">isinflation, which followed the </w:t>
      </w:r>
      <w:r w:rsidR="0005080B">
        <w:rPr>
          <w:noProof/>
        </w:rPr>
        <w:t xml:space="preserve">energy price shock </w:t>
      </w:r>
      <w:r w:rsidR="00CB4A78">
        <w:rPr>
          <w:noProof/>
        </w:rPr>
        <w:t xml:space="preserve">in 2022, </w:t>
      </w:r>
      <w:r w:rsidR="00053C24">
        <w:rPr>
          <w:noProof/>
        </w:rPr>
        <w:t xml:space="preserve">stalled </w:t>
      </w:r>
      <w:r w:rsidR="003E440F">
        <w:rPr>
          <w:noProof/>
        </w:rPr>
        <w:t xml:space="preserve">and </w:t>
      </w:r>
      <w:r w:rsidR="00845589">
        <w:rPr>
          <w:noProof/>
        </w:rPr>
        <w:t xml:space="preserve">subsequently </w:t>
      </w:r>
      <w:r w:rsidR="003E440F">
        <w:rPr>
          <w:noProof/>
        </w:rPr>
        <w:t xml:space="preserve">reversed </w:t>
      </w:r>
      <w:r w:rsidR="00A25071">
        <w:rPr>
          <w:noProof/>
        </w:rPr>
        <w:t xml:space="preserve">in mid-2025. </w:t>
      </w:r>
      <w:r w:rsidR="001356EF" w:rsidRPr="001356EF">
        <w:rPr>
          <w:noProof/>
        </w:rPr>
        <w:t>The year-on</w:t>
      </w:r>
      <w:r w:rsidR="007C1B3F">
        <w:rPr>
          <w:noProof/>
        </w:rPr>
        <w:t>-</w:t>
      </w:r>
      <w:r w:rsidR="001356EF" w:rsidRPr="001356EF">
        <w:rPr>
          <w:noProof/>
        </w:rPr>
        <w:t xml:space="preserve">year headline HICP inflation rate </w:t>
      </w:r>
      <w:r w:rsidR="00845589">
        <w:rPr>
          <w:noProof/>
        </w:rPr>
        <w:t>fell</w:t>
      </w:r>
      <w:r w:rsidR="001356EF" w:rsidRPr="001356EF">
        <w:rPr>
          <w:noProof/>
        </w:rPr>
        <w:t xml:space="preserve"> from 7.3% in January 2024 to 4.9% in April</w:t>
      </w:r>
      <w:r w:rsidR="00406FCA">
        <w:rPr>
          <w:noProof/>
        </w:rPr>
        <w:t xml:space="preserve"> 2</w:t>
      </w:r>
      <w:r w:rsidR="002C6363">
        <w:rPr>
          <w:noProof/>
        </w:rPr>
        <w:t>0</w:t>
      </w:r>
      <w:r w:rsidR="00406FCA">
        <w:rPr>
          <w:noProof/>
        </w:rPr>
        <w:t>25</w:t>
      </w:r>
      <w:r w:rsidR="001356EF" w:rsidRPr="001356EF">
        <w:rPr>
          <w:noProof/>
        </w:rPr>
        <w:t xml:space="preserve">, before increasing </w:t>
      </w:r>
      <w:r w:rsidR="00A67CFF">
        <w:rPr>
          <w:noProof/>
        </w:rPr>
        <w:t xml:space="preserve">steadily and </w:t>
      </w:r>
      <w:r w:rsidR="001356EF" w:rsidRPr="001356EF">
        <w:rPr>
          <w:noProof/>
        </w:rPr>
        <w:t xml:space="preserve">significantly to 8.6% in </w:t>
      </w:r>
      <w:r w:rsidR="00FC5AE8">
        <w:rPr>
          <w:noProof/>
        </w:rPr>
        <w:t>September and remain</w:t>
      </w:r>
      <w:r w:rsidR="006773BC">
        <w:rPr>
          <w:noProof/>
        </w:rPr>
        <w:t>ing</w:t>
      </w:r>
      <w:r w:rsidR="00FC5AE8">
        <w:rPr>
          <w:noProof/>
        </w:rPr>
        <w:t xml:space="preserve"> at that level in December 2025</w:t>
      </w:r>
      <w:r w:rsidR="001356EF" w:rsidRPr="001356EF">
        <w:rPr>
          <w:noProof/>
        </w:rPr>
        <w:t xml:space="preserve">. </w:t>
      </w:r>
      <w:r w:rsidR="00753421">
        <w:rPr>
          <w:noProof/>
        </w:rPr>
        <w:t>Surging f</w:t>
      </w:r>
      <w:r w:rsidR="00412AAF">
        <w:rPr>
          <w:noProof/>
        </w:rPr>
        <w:t>ood and e</w:t>
      </w:r>
      <w:r w:rsidR="00816282">
        <w:rPr>
          <w:noProof/>
        </w:rPr>
        <w:t>nergy</w:t>
      </w:r>
      <w:r w:rsidR="00753421">
        <w:rPr>
          <w:noProof/>
        </w:rPr>
        <w:t xml:space="preserve"> prices</w:t>
      </w:r>
      <w:r w:rsidR="009E36AE">
        <w:rPr>
          <w:noProof/>
        </w:rPr>
        <w:t xml:space="preserve"> </w:t>
      </w:r>
      <w:r w:rsidR="004C502D">
        <w:rPr>
          <w:noProof/>
        </w:rPr>
        <w:t>w</w:t>
      </w:r>
      <w:r w:rsidR="00204607">
        <w:rPr>
          <w:noProof/>
        </w:rPr>
        <w:t xml:space="preserve">ere </w:t>
      </w:r>
      <w:r w:rsidR="00E92F41">
        <w:rPr>
          <w:noProof/>
        </w:rPr>
        <w:t xml:space="preserve">the </w:t>
      </w:r>
      <w:r w:rsidR="0027435E">
        <w:rPr>
          <w:noProof/>
        </w:rPr>
        <w:t xml:space="preserve">main </w:t>
      </w:r>
      <w:r w:rsidR="00015E33">
        <w:rPr>
          <w:noProof/>
        </w:rPr>
        <w:t>contributors</w:t>
      </w:r>
      <w:r w:rsidR="00EE7936">
        <w:rPr>
          <w:noProof/>
        </w:rPr>
        <w:t xml:space="preserve"> to </w:t>
      </w:r>
      <w:r w:rsidR="00015E33">
        <w:rPr>
          <w:noProof/>
        </w:rPr>
        <w:t xml:space="preserve">the </w:t>
      </w:r>
      <w:r w:rsidR="00D65749">
        <w:rPr>
          <w:noProof/>
        </w:rPr>
        <w:t xml:space="preserve">rise </w:t>
      </w:r>
      <w:r w:rsidR="00015E33">
        <w:rPr>
          <w:noProof/>
        </w:rPr>
        <w:t>in</w:t>
      </w:r>
      <w:r w:rsidR="00B404DD">
        <w:rPr>
          <w:noProof/>
        </w:rPr>
        <w:t xml:space="preserve"> headline</w:t>
      </w:r>
      <w:r w:rsidR="00015E33">
        <w:rPr>
          <w:noProof/>
        </w:rPr>
        <w:t xml:space="preserve"> inflation. </w:t>
      </w:r>
      <w:r w:rsidR="001356EF" w:rsidRPr="001356EF">
        <w:rPr>
          <w:noProof/>
        </w:rPr>
        <w:t xml:space="preserve">The </w:t>
      </w:r>
      <w:r w:rsidR="00D65749">
        <w:rPr>
          <w:noProof/>
        </w:rPr>
        <w:t>rise in</w:t>
      </w:r>
      <w:r w:rsidR="001356EF" w:rsidRPr="001356EF">
        <w:rPr>
          <w:noProof/>
        </w:rPr>
        <w:t xml:space="preserve"> inflation in the second half of 2025 w</w:t>
      </w:r>
      <w:r w:rsidR="00C041F3">
        <w:rPr>
          <w:noProof/>
        </w:rPr>
        <w:t>as</w:t>
      </w:r>
      <w:r w:rsidR="001356EF" w:rsidRPr="001356EF">
        <w:rPr>
          <w:noProof/>
        </w:rPr>
        <w:t xml:space="preserve"> largely the effect of the </w:t>
      </w:r>
      <w:r w:rsidR="00CE6672">
        <w:rPr>
          <w:noProof/>
        </w:rPr>
        <w:t xml:space="preserve">removal </w:t>
      </w:r>
      <w:r w:rsidR="001356EF" w:rsidRPr="001356EF">
        <w:rPr>
          <w:noProof/>
        </w:rPr>
        <w:t xml:space="preserve">of the </w:t>
      </w:r>
      <w:r w:rsidR="00D65749">
        <w:rPr>
          <w:noProof/>
        </w:rPr>
        <w:t xml:space="preserve">household electricity price </w:t>
      </w:r>
      <w:r w:rsidR="001356EF" w:rsidRPr="001356EF">
        <w:rPr>
          <w:noProof/>
        </w:rPr>
        <w:t>cap in July 2025</w:t>
      </w:r>
      <w:r w:rsidR="00772E5C">
        <w:rPr>
          <w:noProof/>
        </w:rPr>
        <w:t>, combined with</w:t>
      </w:r>
      <w:r w:rsidR="00F8710B">
        <w:rPr>
          <w:noProof/>
        </w:rPr>
        <w:t xml:space="preserve"> hikes</w:t>
      </w:r>
      <w:r w:rsidR="001356EF" w:rsidRPr="001356EF">
        <w:rPr>
          <w:noProof/>
        </w:rPr>
        <w:t xml:space="preserve"> in </w:t>
      </w:r>
      <w:r w:rsidR="00945E6E">
        <w:rPr>
          <w:noProof/>
        </w:rPr>
        <w:t xml:space="preserve">the </w:t>
      </w:r>
      <w:r w:rsidR="001356EF" w:rsidRPr="001356EF">
        <w:rPr>
          <w:noProof/>
        </w:rPr>
        <w:t xml:space="preserve">VAT </w:t>
      </w:r>
      <w:r w:rsidR="005C3527">
        <w:rPr>
          <w:noProof/>
        </w:rPr>
        <w:t xml:space="preserve">rate </w:t>
      </w:r>
      <w:r w:rsidR="001356EF" w:rsidRPr="001356EF">
        <w:rPr>
          <w:noProof/>
        </w:rPr>
        <w:t>and excise</w:t>
      </w:r>
      <w:r w:rsidR="0022242A">
        <w:rPr>
          <w:noProof/>
        </w:rPr>
        <w:t xml:space="preserve"> duties</w:t>
      </w:r>
      <w:r w:rsidR="001356EF" w:rsidRPr="001356EF">
        <w:rPr>
          <w:noProof/>
        </w:rPr>
        <w:t>.</w:t>
      </w:r>
      <w:r w:rsidR="00463C9E" w:rsidRPr="00463C9E">
        <w:rPr>
          <w:noProof/>
        </w:rPr>
        <w:t xml:space="preserve"> </w:t>
      </w:r>
      <w:r w:rsidR="00077D65" w:rsidRPr="00077D65">
        <w:rPr>
          <w:noProof/>
        </w:rPr>
        <w:t>Prices of unprocessed food</w:t>
      </w:r>
      <w:r w:rsidR="00D63E20">
        <w:rPr>
          <w:noProof/>
        </w:rPr>
        <w:t xml:space="preserve"> </w:t>
      </w:r>
      <w:r w:rsidR="001833D3">
        <w:rPr>
          <w:noProof/>
        </w:rPr>
        <w:t xml:space="preserve">rose </w:t>
      </w:r>
      <w:r w:rsidR="003346F8">
        <w:rPr>
          <w:noProof/>
        </w:rPr>
        <w:t xml:space="preserve">as </w:t>
      </w:r>
      <w:r w:rsidR="00580131">
        <w:rPr>
          <w:noProof/>
        </w:rPr>
        <w:t xml:space="preserve">a result of </w:t>
      </w:r>
      <w:r w:rsidR="002929D8">
        <w:rPr>
          <w:noProof/>
        </w:rPr>
        <w:t xml:space="preserve">the impact of </w:t>
      </w:r>
      <w:r w:rsidR="00572DC5">
        <w:rPr>
          <w:noProof/>
        </w:rPr>
        <w:t xml:space="preserve">adverse </w:t>
      </w:r>
      <w:r w:rsidR="00B404DD" w:rsidRPr="00077D65">
        <w:rPr>
          <w:noProof/>
        </w:rPr>
        <w:t xml:space="preserve">weather conditions </w:t>
      </w:r>
      <w:r w:rsidR="002929D8">
        <w:rPr>
          <w:noProof/>
        </w:rPr>
        <w:t>o</w:t>
      </w:r>
      <w:r w:rsidR="00B404DD" w:rsidRPr="00077D65">
        <w:rPr>
          <w:noProof/>
        </w:rPr>
        <w:t>n agriculture</w:t>
      </w:r>
      <w:r w:rsidR="000D1BC2">
        <w:rPr>
          <w:noProof/>
        </w:rPr>
        <w:t xml:space="preserve">, </w:t>
      </w:r>
      <w:r w:rsidR="00D63E20">
        <w:rPr>
          <w:noProof/>
        </w:rPr>
        <w:t xml:space="preserve">while </w:t>
      </w:r>
      <w:r w:rsidR="00077D65" w:rsidRPr="00077D65">
        <w:rPr>
          <w:noProof/>
        </w:rPr>
        <w:t>services</w:t>
      </w:r>
      <w:r w:rsidR="004A241A">
        <w:rPr>
          <w:noProof/>
        </w:rPr>
        <w:t xml:space="preserve"> inflation</w:t>
      </w:r>
      <w:r w:rsidR="00077D65" w:rsidRPr="00077D65">
        <w:rPr>
          <w:noProof/>
        </w:rPr>
        <w:t xml:space="preserve"> </w:t>
      </w:r>
      <w:r w:rsidR="003766BD">
        <w:rPr>
          <w:noProof/>
        </w:rPr>
        <w:t>remained persistent</w:t>
      </w:r>
      <w:r w:rsidR="00A67CFF">
        <w:rPr>
          <w:noProof/>
        </w:rPr>
        <w:t>ly high,</w:t>
      </w:r>
      <w:r w:rsidR="00077D65" w:rsidRPr="00077D65">
        <w:rPr>
          <w:noProof/>
        </w:rPr>
        <w:t xml:space="preserve"> </w:t>
      </w:r>
      <w:r w:rsidR="002929D8">
        <w:rPr>
          <w:noProof/>
        </w:rPr>
        <w:t>due to strong,</w:t>
      </w:r>
      <w:r w:rsidR="0043438D">
        <w:rPr>
          <w:noProof/>
        </w:rPr>
        <w:t xml:space="preserve"> but </w:t>
      </w:r>
      <w:r w:rsidR="006D7C5C">
        <w:rPr>
          <w:noProof/>
        </w:rPr>
        <w:t>moderating wage growth</w:t>
      </w:r>
      <w:r w:rsidR="006E72AD">
        <w:rPr>
          <w:noProof/>
        </w:rPr>
        <w:t xml:space="preserve"> </w:t>
      </w:r>
      <w:r w:rsidR="00764F35">
        <w:rPr>
          <w:noProof/>
        </w:rPr>
        <w:t>in 2025</w:t>
      </w:r>
      <w:r w:rsidR="00572DC5">
        <w:rPr>
          <w:noProof/>
        </w:rPr>
        <w:t xml:space="preserve"> </w:t>
      </w:r>
      <w:r w:rsidR="002929D8">
        <w:rPr>
          <w:noProof/>
        </w:rPr>
        <w:t xml:space="preserve">following </w:t>
      </w:r>
      <w:r w:rsidR="00A67CFF">
        <w:rPr>
          <w:noProof/>
        </w:rPr>
        <w:t>a</w:t>
      </w:r>
      <w:r w:rsidR="009424F5">
        <w:rPr>
          <w:noProof/>
        </w:rPr>
        <w:t xml:space="preserve"> </w:t>
      </w:r>
      <w:r w:rsidR="00254FB6">
        <w:rPr>
          <w:noProof/>
        </w:rPr>
        <w:t>public</w:t>
      </w:r>
      <w:r w:rsidR="00FF09F7">
        <w:rPr>
          <w:noProof/>
        </w:rPr>
        <w:t>-</w:t>
      </w:r>
      <w:r w:rsidR="00254FB6">
        <w:rPr>
          <w:noProof/>
        </w:rPr>
        <w:t xml:space="preserve">sector wage </w:t>
      </w:r>
      <w:r w:rsidR="00263E7D">
        <w:rPr>
          <w:noProof/>
        </w:rPr>
        <w:t>freeze</w:t>
      </w:r>
      <w:r w:rsidR="007B6C7E">
        <w:rPr>
          <w:noProof/>
        </w:rPr>
        <w:t xml:space="preserve">. </w:t>
      </w:r>
      <w:r w:rsidR="000738AB">
        <w:rPr>
          <w:noProof/>
        </w:rPr>
        <w:t xml:space="preserve">The </w:t>
      </w:r>
      <w:r w:rsidR="0E04C41C">
        <w:rPr>
          <w:noProof/>
        </w:rPr>
        <w:t>increase</w:t>
      </w:r>
      <w:r w:rsidR="000738AB">
        <w:rPr>
          <w:noProof/>
        </w:rPr>
        <w:t xml:space="preserve"> in energy prices </w:t>
      </w:r>
      <w:r w:rsidR="001B1C6D">
        <w:rPr>
          <w:noProof/>
        </w:rPr>
        <w:t>following the conflict in</w:t>
      </w:r>
      <w:r w:rsidR="00BE6C58">
        <w:rPr>
          <w:noProof/>
        </w:rPr>
        <w:t xml:space="preserve"> the Middle East</w:t>
      </w:r>
      <w:r w:rsidR="001B1C6D">
        <w:rPr>
          <w:noProof/>
        </w:rPr>
        <w:t xml:space="preserve"> </w:t>
      </w:r>
      <w:r w:rsidR="00033F8D">
        <w:rPr>
          <w:noProof/>
        </w:rPr>
        <w:t xml:space="preserve">caused </w:t>
      </w:r>
      <w:r w:rsidR="008F24FD">
        <w:rPr>
          <w:noProof/>
        </w:rPr>
        <w:t>headline</w:t>
      </w:r>
      <w:r w:rsidR="006A65DB">
        <w:rPr>
          <w:noProof/>
        </w:rPr>
        <w:t xml:space="preserve"> </w:t>
      </w:r>
      <w:r w:rsidR="005F64DC">
        <w:rPr>
          <w:noProof/>
        </w:rPr>
        <w:t xml:space="preserve">inflation </w:t>
      </w:r>
      <w:r w:rsidR="008F24FD">
        <w:rPr>
          <w:noProof/>
        </w:rPr>
        <w:t>to</w:t>
      </w:r>
      <w:r w:rsidR="00033F8D">
        <w:rPr>
          <w:noProof/>
        </w:rPr>
        <w:t xml:space="preserve"> increase to</w:t>
      </w:r>
      <w:r w:rsidR="008F24FD">
        <w:rPr>
          <w:noProof/>
        </w:rPr>
        <w:t xml:space="preserve"> </w:t>
      </w:r>
      <w:r w:rsidR="00865530">
        <w:rPr>
          <w:noProof/>
        </w:rPr>
        <w:t>9.7</w:t>
      </w:r>
      <w:r w:rsidR="008F24FD">
        <w:rPr>
          <w:noProof/>
        </w:rPr>
        <w:t xml:space="preserve">% in </w:t>
      </w:r>
      <w:r w:rsidR="00033F8D">
        <w:rPr>
          <w:noProof/>
        </w:rPr>
        <w:t>May</w:t>
      </w:r>
      <w:r w:rsidR="003841C5">
        <w:rPr>
          <w:noProof/>
        </w:rPr>
        <w:t xml:space="preserve"> </w:t>
      </w:r>
      <w:r w:rsidR="008F24FD">
        <w:rPr>
          <w:noProof/>
        </w:rPr>
        <w:t>2026</w:t>
      </w:r>
      <w:r w:rsidR="005F64DC">
        <w:rPr>
          <w:noProof/>
        </w:rPr>
        <w:t xml:space="preserve"> </w:t>
      </w:r>
      <w:r w:rsidR="00033F8D">
        <w:rPr>
          <w:noProof/>
        </w:rPr>
        <w:t>from</w:t>
      </w:r>
      <w:r w:rsidR="0044127F">
        <w:rPr>
          <w:noProof/>
        </w:rPr>
        <w:t xml:space="preserve"> </w:t>
      </w:r>
      <w:r w:rsidR="00B61DA8">
        <w:rPr>
          <w:noProof/>
        </w:rPr>
        <w:t xml:space="preserve">8.3% in February 2026. </w:t>
      </w:r>
      <w:r w:rsidR="00463C9E">
        <w:rPr>
          <w:noProof/>
        </w:rPr>
        <w:t>A</w:t>
      </w:r>
      <w:r w:rsidR="00463C9E" w:rsidRPr="00463C9E">
        <w:rPr>
          <w:noProof/>
        </w:rPr>
        <w:t xml:space="preserve">nnual HICP inflation </w:t>
      </w:r>
      <w:r w:rsidR="00FC6F49">
        <w:rPr>
          <w:noProof/>
        </w:rPr>
        <w:t xml:space="preserve">rates </w:t>
      </w:r>
      <w:r w:rsidR="00463C9E" w:rsidRPr="00463C9E">
        <w:rPr>
          <w:noProof/>
        </w:rPr>
        <w:t xml:space="preserve">in Romania </w:t>
      </w:r>
      <w:r w:rsidR="00D00743">
        <w:rPr>
          <w:noProof/>
        </w:rPr>
        <w:t>in 202</w:t>
      </w:r>
      <w:r w:rsidR="0009540F">
        <w:rPr>
          <w:noProof/>
        </w:rPr>
        <w:t xml:space="preserve">4 and 2025 </w:t>
      </w:r>
      <w:r w:rsidR="00463C9E" w:rsidRPr="00463C9E">
        <w:rPr>
          <w:noProof/>
        </w:rPr>
        <w:t>w</w:t>
      </w:r>
      <w:r w:rsidR="00FC6F49">
        <w:rPr>
          <w:noProof/>
        </w:rPr>
        <w:t xml:space="preserve">ere </w:t>
      </w:r>
      <w:r w:rsidR="00463C9E" w:rsidRPr="00463C9E">
        <w:rPr>
          <w:noProof/>
        </w:rPr>
        <w:t>higher than in the euro area</w:t>
      </w:r>
      <w:r w:rsidR="00FC6F49">
        <w:rPr>
          <w:noProof/>
        </w:rPr>
        <w:t xml:space="preserve"> as a whole</w:t>
      </w:r>
      <w:r w:rsidR="00463C9E" w:rsidRPr="00463C9E">
        <w:rPr>
          <w:noProof/>
        </w:rPr>
        <w:t>.</w:t>
      </w:r>
      <w:r w:rsidR="001C2CB5">
        <w:rPr>
          <w:noProof/>
        </w:rPr>
        <w:t xml:space="preserve"> </w:t>
      </w:r>
    </w:p>
    <w:p w14:paraId="243751EE" w14:textId="1937D022" w:rsidR="005E11EB" w:rsidRDefault="00A345CC" w:rsidP="00A345CC">
      <w:pPr>
        <w:ind w:left="567"/>
        <w:rPr>
          <w:noProof/>
        </w:rPr>
      </w:pPr>
      <w:r>
        <w:rPr>
          <w:noProof/>
        </w:rPr>
        <w:t>The Commission’s Spring 202</w:t>
      </w:r>
      <w:r w:rsidR="005D7F89">
        <w:rPr>
          <w:noProof/>
        </w:rPr>
        <w:t>6</w:t>
      </w:r>
      <w:r>
        <w:rPr>
          <w:noProof/>
        </w:rPr>
        <w:t xml:space="preserve"> Economic Forecast </w:t>
      </w:r>
      <w:r w:rsidR="00277135">
        <w:rPr>
          <w:noProof/>
        </w:rPr>
        <w:t>projects that</w:t>
      </w:r>
      <w:r w:rsidRPr="00C12BA8">
        <w:rPr>
          <w:noProof/>
        </w:rPr>
        <w:t xml:space="preserve"> the annual average rate of inflation </w:t>
      </w:r>
      <w:r w:rsidR="00277135">
        <w:rPr>
          <w:noProof/>
        </w:rPr>
        <w:t xml:space="preserve">will </w:t>
      </w:r>
      <w:r w:rsidR="00FA1B17">
        <w:rPr>
          <w:noProof/>
        </w:rPr>
        <w:t xml:space="preserve">increase </w:t>
      </w:r>
      <w:r w:rsidR="00277135">
        <w:rPr>
          <w:noProof/>
        </w:rPr>
        <w:t xml:space="preserve">slightly </w:t>
      </w:r>
      <w:r w:rsidRPr="00C12BA8">
        <w:rPr>
          <w:noProof/>
        </w:rPr>
        <w:t xml:space="preserve">to </w:t>
      </w:r>
      <w:r w:rsidR="00D33115" w:rsidRPr="00762025">
        <w:rPr>
          <w:noProof/>
        </w:rPr>
        <w:t>7</w:t>
      </w:r>
      <w:r w:rsidR="009E2789" w:rsidRPr="00762025">
        <w:rPr>
          <w:noProof/>
        </w:rPr>
        <w:t>.0</w:t>
      </w:r>
      <w:r w:rsidRPr="00BE1D37">
        <w:rPr>
          <w:noProof/>
        </w:rPr>
        <w:t>%</w:t>
      </w:r>
      <w:r w:rsidRPr="00C12BA8">
        <w:rPr>
          <w:noProof/>
        </w:rPr>
        <w:t xml:space="preserve"> in 202</w:t>
      </w:r>
      <w:r w:rsidR="007623A1">
        <w:rPr>
          <w:noProof/>
        </w:rPr>
        <w:t>6</w:t>
      </w:r>
      <w:r w:rsidRPr="00C12BA8">
        <w:rPr>
          <w:noProof/>
        </w:rPr>
        <w:t xml:space="preserve"> and t</w:t>
      </w:r>
      <w:r w:rsidR="00277135">
        <w:rPr>
          <w:noProof/>
        </w:rPr>
        <w:t>hen</w:t>
      </w:r>
      <w:r w:rsidRPr="00C12BA8">
        <w:rPr>
          <w:noProof/>
        </w:rPr>
        <w:t xml:space="preserve"> ease to </w:t>
      </w:r>
      <w:r w:rsidR="003C0428" w:rsidRPr="0098405B">
        <w:rPr>
          <w:noProof/>
        </w:rPr>
        <w:t>3.7</w:t>
      </w:r>
      <w:r w:rsidRPr="004E337F">
        <w:rPr>
          <w:noProof/>
        </w:rPr>
        <w:t>%</w:t>
      </w:r>
      <w:r>
        <w:rPr>
          <w:noProof/>
        </w:rPr>
        <w:t xml:space="preserve"> in 202</w:t>
      </w:r>
      <w:r w:rsidR="006472F6">
        <w:rPr>
          <w:noProof/>
        </w:rPr>
        <w:t>7</w:t>
      </w:r>
      <w:r w:rsidR="00572DC5">
        <w:rPr>
          <w:noProof/>
        </w:rPr>
        <w:t xml:space="preserve">. </w:t>
      </w:r>
      <w:r w:rsidR="00277135">
        <w:rPr>
          <w:noProof/>
        </w:rPr>
        <w:t>D</w:t>
      </w:r>
      <w:r w:rsidR="00572DC5">
        <w:rPr>
          <w:noProof/>
        </w:rPr>
        <w:t xml:space="preserve">isinflation </w:t>
      </w:r>
      <w:r w:rsidR="00BF34FC">
        <w:rPr>
          <w:noProof/>
        </w:rPr>
        <w:t xml:space="preserve">over the forecast </w:t>
      </w:r>
      <w:r w:rsidR="00277135">
        <w:rPr>
          <w:noProof/>
        </w:rPr>
        <w:t>period</w:t>
      </w:r>
      <w:r w:rsidR="00572DC5">
        <w:rPr>
          <w:noProof/>
        </w:rPr>
        <w:t xml:space="preserve"> </w:t>
      </w:r>
      <w:r w:rsidR="00277135">
        <w:rPr>
          <w:noProof/>
        </w:rPr>
        <w:t xml:space="preserve">is expected to </w:t>
      </w:r>
      <w:r w:rsidR="00572DC5">
        <w:rPr>
          <w:noProof/>
        </w:rPr>
        <w:t>be</w:t>
      </w:r>
      <w:r>
        <w:rPr>
          <w:noProof/>
        </w:rPr>
        <w:t xml:space="preserve"> supported by </w:t>
      </w:r>
      <w:r w:rsidR="000E33AD">
        <w:rPr>
          <w:noProof/>
        </w:rPr>
        <w:t xml:space="preserve">strong moderation </w:t>
      </w:r>
      <w:r w:rsidR="00572DC5">
        <w:rPr>
          <w:noProof/>
        </w:rPr>
        <w:t xml:space="preserve">in </w:t>
      </w:r>
      <w:r w:rsidR="000E33AD">
        <w:rPr>
          <w:noProof/>
        </w:rPr>
        <w:t>wage growth</w:t>
      </w:r>
      <w:r w:rsidR="000811EE">
        <w:rPr>
          <w:noProof/>
        </w:rPr>
        <w:t xml:space="preserve"> </w:t>
      </w:r>
      <w:r w:rsidR="00277135">
        <w:rPr>
          <w:noProof/>
        </w:rPr>
        <w:t>while a</w:t>
      </w:r>
      <w:r w:rsidR="000811EE">
        <w:rPr>
          <w:noProof/>
        </w:rPr>
        <w:t xml:space="preserve"> </w:t>
      </w:r>
      <w:r w:rsidR="00AE7F96">
        <w:rPr>
          <w:noProof/>
        </w:rPr>
        <w:t>hike</w:t>
      </w:r>
      <w:r w:rsidR="000811EE">
        <w:rPr>
          <w:noProof/>
        </w:rPr>
        <w:t xml:space="preserve"> in energy prices </w:t>
      </w:r>
      <w:r w:rsidR="00140F55">
        <w:rPr>
          <w:noProof/>
        </w:rPr>
        <w:t>w</w:t>
      </w:r>
      <w:r w:rsidR="00277135">
        <w:rPr>
          <w:noProof/>
        </w:rPr>
        <w:t>ill</w:t>
      </w:r>
      <w:r w:rsidR="00140F55">
        <w:rPr>
          <w:noProof/>
        </w:rPr>
        <w:t xml:space="preserve"> </w:t>
      </w:r>
      <w:r w:rsidR="000811EE">
        <w:rPr>
          <w:noProof/>
        </w:rPr>
        <w:t>slow it down</w:t>
      </w:r>
      <w:r w:rsidR="00A06D8A">
        <w:rPr>
          <w:noProof/>
        </w:rPr>
        <w:t>.</w:t>
      </w:r>
      <w:r w:rsidR="009F0DD6">
        <w:rPr>
          <w:noProof/>
        </w:rPr>
        <w:t xml:space="preserve"> </w:t>
      </w:r>
      <w:r w:rsidRPr="00C12BA8">
        <w:rPr>
          <w:noProof/>
        </w:rPr>
        <w:t>The relatively low price level in Romania</w:t>
      </w:r>
      <w:r w:rsidR="00D22D59">
        <w:rPr>
          <w:noProof/>
        </w:rPr>
        <w:t xml:space="preserve">, which was </w:t>
      </w:r>
      <w:r w:rsidRPr="00C12BA8">
        <w:rPr>
          <w:noProof/>
        </w:rPr>
        <w:t xml:space="preserve">about </w:t>
      </w:r>
      <w:r w:rsidR="0054091D">
        <w:rPr>
          <w:noProof/>
        </w:rPr>
        <w:t>61</w:t>
      </w:r>
      <w:r w:rsidRPr="00C12BA8">
        <w:rPr>
          <w:noProof/>
        </w:rPr>
        <w:t>% of the euro area average in 202</w:t>
      </w:r>
      <w:r w:rsidR="005C4D8C">
        <w:rPr>
          <w:noProof/>
        </w:rPr>
        <w:t>4</w:t>
      </w:r>
      <w:r w:rsidR="00D22D59">
        <w:rPr>
          <w:noProof/>
        </w:rPr>
        <w:t>,</w:t>
      </w:r>
      <w:r w:rsidRPr="00C12BA8">
        <w:rPr>
          <w:noProof/>
        </w:rPr>
        <w:t xml:space="preserve"> suggests pote</w:t>
      </w:r>
      <w:r>
        <w:rPr>
          <w:noProof/>
        </w:rPr>
        <w:t>ntial for price level convergence in the long term.</w:t>
      </w:r>
    </w:p>
    <w:p w14:paraId="60FCBE0F" w14:textId="5250F413" w:rsidR="005865F4" w:rsidRDefault="00DB0A92" w:rsidP="00FE48D9">
      <w:pPr>
        <w:ind w:left="567"/>
        <w:jc w:val="center"/>
        <w:rPr>
          <w:b/>
          <w:bCs/>
          <w:noProof/>
        </w:rPr>
      </w:pPr>
      <w:r>
        <w:rPr>
          <w:b/>
          <w:bCs/>
          <w:noProof/>
          <w:lang w:eastAsia="en-GB"/>
        </w:rPr>
        <w:drawing>
          <wp:inline distT="0" distB="0" distL="0" distR="0" wp14:anchorId="1C2216B5" wp14:editId="4CD8047A">
            <wp:extent cx="3127375" cy="2651760"/>
            <wp:effectExtent l="0" t="0" r="0" b="0"/>
            <wp:docPr id="19474911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7375" cy="2651760"/>
                    </a:xfrm>
                    <a:prstGeom prst="rect">
                      <a:avLst/>
                    </a:prstGeom>
                    <a:noFill/>
                  </pic:spPr>
                </pic:pic>
              </a:graphicData>
            </a:graphic>
          </wp:inline>
        </w:drawing>
      </w:r>
    </w:p>
    <w:p w14:paraId="5C935E50" w14:textId="473EE4DF" w:rsidR="00DF3C6F" w:rsidRDefault="7B44B56D" w:rsidP="00070E58">
      <w:pPr>
        <w:ind w:left="567"/>
        <w:rPr>
          <w:noProof/>
        </w:rPr>
      </w:pPr>
      <w:r w:rsidRPr="14433F98">
        <w:rPr>
          <w:b/>
          <w:bCs/>
          <w:noProof/>
        </w:rPr>
        <w:t>Romania does not fulfil the criterion on public finances</w:t>
      </w:r>
      <w:r w:rsidRPr="00065E75">
        <w:rPr>
          <w:noProof/>
        </w:rPr>
        <w:t>.</w:t>
      </w:r>
      <w:r w:rsidR="789BB5D7" w:rsidRPr="14433F98">
        <w:rPr>
          <w:b/>
          <w:bCs/>
          <w:noProof/>
        </w:rPr>
        <w:t xml:space="preserve"> </w:t>
      </w:r>
      <w:r w:rsidR="673E61DB">
        <w:rPr>
          <w:noProof/>
        </w:rPr>
        <w:t xml:space="preserve">Romania is </w:t>
      </w:r>
      <w:r w:rsidR="00E63A45">
        <w:rPr>
          <w:noProof/>
        </w:rPr>
        <w:t xml:space="preserve">the </w:t>
      </w:r>
      <w:r w:rsidR="673E61DB">
        <w:rPr>
          <w:noProof/>
        </w:rPr>
        <w:t xml:space="preserve">subject </w:t>
      </w:r>
      <w:r w:rsidR="009060D4">
        <w:rPr>
          <w:noProof/>
        </w:rPr>
        <w:t xml:space="preserve">of a Council decision on the existence of </w:t>
      </w:r>
      <w:r w:rsidR="673E61DB">
        <w:rPr>
          <w:noProof/>
        </w:rPr>
        <w:t xml:space="preserve">an excessive deficit. </w:t>
      </w:r>
      <w:r w:rsidR="00DF3C6F">
        <w:rPr>
          <w:noProof/>
        </w:rPr>
        <w:t>The general government deficit improved from 9.3% of GDP in 2024 to 7.9% in 2025, but remained well above the 3% of GDP Treaty reference value. Th</w:t>
      </w:r>
      <w:r w:rsidR="00032D2D">
        <w:rPr>
          <w:noProof/>
        </w:rPr>
        <w:t>is</w:t>
      </w:r>
      <w:r w:rsidR="00DF3C6F">
        <w:rPr>
          <w:noProof/>
        </w:rPr>
        <w:t xml:space="preserve"> improvement </w:t>
      </w:r>
      <w:r w:rsidR="00032D2D">
        <w:rPr>
          <w:noProof/>
        </w:rPr>
        <w:t>was due to</w:t>
      </w:r>
      <w:r w:rsidR="00DF3C6F">
        <w:rPr>
          <w:noProof/>
        </w:rPr>
        <w:t xml:space="preserve"> stronger tax collection and two major fiscal consolidation packages in 2025, with a combined estimated revenue-increasing and expenditure-reducing yield of about 3.7 percentage points of GDP. The Commission’s Spring 2026 Economic Forecast expects the general government deficit to decrease to </w:t>
      </w:r>
      <w:r w:rsidR="00DF3C6F" w:rsidRPr="00A72D8C">
        <w:rPr>
          <w:noProof/>
        </w:rPr>
        <w:t>6.2</w:t>
      </w:r>
      <w:r w:rsidR="00DF3C6F">
        <w:rPr>
          <w:noProof/>
        </w:rPr>
        <w:t xml:space="preserve">% of GDP in 2026, reflecting the full-year effect of the 2025 fiscal adjustment packages </w:t>
      </w:r>
      <w:r w:rsidR="0015779B">
        <w:rPr>
          <w:noProof/>
        </w:rPr>
        <w:t xml:space="preserve">as well as </w:t>
      </w:r>
      <w:r w:rsidR="00DF3C6F">
        <w:rPr>
          <w:noProof/>
        </w:rPr>
        <w:t xml:space="preserve">additional revenue in 2026, </w:t>
      </w:r>
      <w:r w:rsidR="0015779B">
        <w:rPr>
          <w:noProof/>
        </w:rPr>
        <w:t xml:space="preserve">through </w:t>
      </w:r>
      <w:r w:rsidR="00DF3C6F">
        <w:rPr>
          <w:noProof/>
        </w:rPr>
        <w:t xml:space="preserve">higher VAT and excise duties, a higher dividend tax, property tax changes, and the broadening of </w:t>
      </w:r>
      <w:r w:rsidR="1195CF93">
        <w:rPr>
          <w:noProof/>
        </w:rPr>
        <w:t>the</w:t>
      </w:r>
      <w:r w:rsidR="00DF3C6F">
        <w:rPr>
          <w:noProof/>
        </w:rPr>
        <w:t xml:space="preserve"> health contribution base, </w:t>
      </w:r>
      <w:r w:rsidR="00DF3C6F" w:rsidRPr="00374DB6">
        <w:rPr>
          <w:noProof/>
        </w:rPr>
        <w:t>alongside tighter control</w:t>
      </w:r>
      <w:r w:rsidR="0015779B">
        <w:rPr>
          <w:noProof/>
        </w:rPr>
        <w:t>s</w:t>
      </w:r>
      <w:r w:rsidR="00DF3C6F" w:rsidRPr="00374DB6">
        <w:rPr>
          <w:noProof/>
        </w:rPr>
        <w:t xml:space="preserve"> o</w:t>
      </w:r>
      <w:r w:rsidR="0015779B">
        <w:rPr>
          <w:noProof/>
        </w:rPr>
        <w:t>n</w:t>
      </w:r>
      <w:r w:rsidR="00DF3C6F">
        <w:rPr>
          <w:noProof/>
        </w:rPr>
        <w:t xml:space="preserve"> current expenditure. In 2027, the government deficit ratio is forecast </w:t>
      </w:r>
      <w:r w:rsidR="0015779B">
        <w:rPr>
          <w:noProof/>
        </w:rPr>
        <w:t xml:space="preserve">to be </w:t>
      </w:r>
      <w:r w:rsidR="00DF3C6F" w:rsidRPr="00A72D8C">
        <w:rPr>
          <w:noProof/>
        </w:rPr>
        <w:t>5.8</w:t>
      </w:r>
      <w:r w:rsidR="00DF3C6F">
        <w:rPr>
          <w:noProof/>
        </w:rPr>
        <w:t>%.</w:t>
      </w:r>
    </w:p>
    <w:p w14:paraId="1144688C" w14:textId="1B0991A1" w:rsidR="00264A46" w:rsidRDefault="673E61DB" w:rsidP="00D567A3">
      <w:pPr>
        <w:ind w:left="567"/>
        <w:rPr>
          <w:noProof/>
        </w:rPr>
      </w:pPr>
      <w:r>
        <w:rPr>
          <w:noProof/>
        </w:rPr>
        <w:t xml:space="preserve">On </w:t>
      </w:r>
      <w:r w:rsidR="00627F2D">
        <w:rPr>
          <w:noProof/>
        </w:rPr>
        <w:t>20 June</w:t>
      </w:r>
      <w:r>
        <w:rPr>
          <w:noProof/>
        </w:rPr>
        <w:t xml:space="preserve"> 202</w:t>
      </w:r>
      <w:r w:rsidR="004D5F63">
        <w:rPr>
          <w:noProof/>
        </w:rPr>
        <w:t>5</w:t>
      </w:r>
      <w:r>
        <w:rPr>
          <w:noProof/>
        </w:rPr>
        <w:t xml:space="preserve">, </w:t>
      </w:r>
      <w:r w:rsidR="005B5B9E" w:rsidRPr="005B5B9E">
        <w:rPr>
          <w:noProof/>
        </w:rPr>
        <w:t xml:space="preserve">the </w:t>
      </w:r>
      <w:r w:rsidR="00681D58">
        <w:rPr>
          <w:noProof/>
        </w:rPr>
        <w:t xml:space="preserve">Council adopted </w:t>
      </w:r>
      <w:r w:rsidR="00DD0AD9">
        <w:rPr>
          <w:noProof/>
        </w:rPr>
        <w:t xml:space="preserve">a decision under </w:t>
      </w:r>
      <w:r w:rsidR="005C088A">
        <w:rPr>
          <w:noProof/>
        </w:rPr>
        <w:t>Article</w:t>
      </w:r>
      <w:r w:rsidR="00DD0AD9">
        <w:rPr>
          <w:noProof/>
        </w:rPr>
        <w:t xml:space="preserve"> 126(8) </w:t>
      </w:r>
      <w:r w:rsidR="005C088A">
        <w:rPr>
          <w:noProof/>
        </w:rPr>
        <w:t xml:space="preserve">of the TFEU </w:t>
      </w:r>
      <w:r w:rsidR="00D11A09">
        <w:rPr>
          <w:noProof/>
        </w:rPr>
        <w:t xml:space="preserve">establishing </w:t>
      </w:r>
      <w:r w:rsidR="00AB5DEC">
        <w:rPr>
          <w:noProof/>
        </w:rPr>
        <w:t xml:space="preserve">that </w:t>
      </w:r>
      <w:r w:rsidR="005A3711">
        <w:rPr>
          <w:noProof/>
        </w:rPr>
        <w:t xml:space="preserve">Romania had not taken effective action to correct its excessive deficit. </w:t>
      </w:r>
      <w:r w:rsidR="00BF2D08">
        <w:rPr>
          <w:noProof/>
        </w:rPr>
        <w:t>On 8 July 2025, t</w:t>
      </w:r>
      <w:r w:rsidR="00332F2D" w:rsidRPr="00332F2D">
        <w:rPr>
          <w:noProof/>
        </w:rPr>
        <w:t xml:space="preserve">he Council then revised Romania’s </w:t>
      </w:r>
      <w:r w:rsidR="00A615FE">
        <w:rPr>
          <w:noProof/>
        </w:rPr>
        <w:t xml:space="preserve">EDP </w:t>
      </w:r>
      <w:r w:rsidR="00332F2D" w:rsidRPr="00332F2D">
        <w:rPr>
          <w:noProof/>
        </w:rPr>
        <w:t>fiscal adjustment path, under which Romania must keep nominal net expenditure growth below 2.8% in 2025, 2.6% in 2026, 4.6% in 2027, 4.4% in 2028, 4.2% in 2029 and 4.0% in 2030.</w:t>
      </w:r>
      <w:r w:rsidR="00407528" w:rsidRPr="00407528">
        <w:rPr>
          <w:noProof/>
        </w:rPr>
        <w:t xml:space="preserve"> </w:t>
      </w:r>
      <w:r w:rsidR="00CF09FA" w:rsidRPr="00CF09FA">
        <w:rPr>
          <w:noProof/>
        </w:rPr>
        <w:t xml:space="preserve">These </w:t>
      </w:r>
      <w:r w:rsidR="00297BAE">
        <w:rPr>
          <w:noProof/>
        </w:rPr>
        <w:t xml:space="preserve">maximum net expenditure growth rates </w:t>
      </w:r>
      <w:r w:rsidR="00CF09FA" w:rsidRPr="00CF09FA">
        <w:rPr>
          <w:noProof/>
        </w:rPr>
        <w:t>equate to an annual adjustment of about 2 percentage points per year in 2025 and 2026 and about 1 percentage point thereafter</w:t>
      </w:r>
      <w:r w:rsidR="00140F55">
        <w:rPr>
          <w:noProof/>
        </w:rPr>
        <w:t xml:space="preserve">, </w:t>
      </w:r>
      <w:r w:rsidR="003D7001">
        <w:rPr>
          <w:noProof/>
        </w:rPr>
        <w:t xml:space="preserve">above </w:t>
      </w:r>
      <w:r w:rsidR="003D7001">
        <w:rPr>
          <w:rFonts w:eastAsia="EC Square Sans Pro" w:cs="EC Square Sans Pro"/>
          <w:noProof/>
          <w:color w:val="000000" w:themeColor="text1"/>
        </w:rPr>
        <w:t>the</w:t>
      </w:r>
      <w:r w:rsidR="00140F55">
        <w:rPr>
          <w:rFonts w:eastAsia="EC Square Sans Pro" w:cs="EC Square Sans Pro"/>
          <w:noProof/>
          <w:color w:val="000000" w:themeColor="text1"/>
        </w:rPr>
        <w:t xml:space="preserve"> </w:t>
      </w:r>
      <w:r w:rsidR="00140F55" w:rsidRPr="00492002">
        <w:rPr>
          <w:rFonts w:eastAsia="EC Square Sans Pro" w:cs="EC Square Sans Pro"/>
          <w:noProof/>
          <w:color w:val="000000" w:themeColor="text1"/>
          <w:lang w:val="en-IE"/>
        </w:rPr>
        <w:t>minimum annual structural adjustment of at least 0.5%</w:t>
      </w:r>
      <w:r w:rsidR="00D11A09">
        <w:rPr>
          <w:rFonts w:eastAsia="EC Square Sans Pro" w:cs="EC Square Sans Pro"/>
          <w:noProof/>
          <w:color w:val="000000" w:themeColor="text1"/>
          <w:lang w:val="en-IE"/>
        </w:rPr>
        <w:t xml:space="preserve"> of</w:t>
      </w:r>
      <w:r w:rsidR="00140F55" w:rsidRPr="00492002">
        <w:rPr>
          <w:rFonts w:eastAsia="EC Square Sans Pro" w:cs="EC Square Sans Pro"/>
          <w:noProof/>
          <w:color w:val="000000" w:themeColor="text1"/>
          <w:lang w:val="en-IE"/>
        </w:rPr>
        <w:t xml:space="preserve"> GDP as a benchmark </w:t>
      </w:r>
      <w:r w:rsidR="00562AEF">
        <w:rPr>
          <w:rFonts w:eastAsia="EC Square Sans Pro" w:cs="EC Square Sans Pro"/>
          <w:noProof/>
          <w:color w:val="000000" w:themeColor="text1"/>
          <w:lang w:val="en-IE"/>
        </w:rPr>
        <w:t>required under an EDP</w:t>
      </w:r>
      <w:r w:rsidR="00CF09FA" w:rsidRPr="00CF09FA">
        <w:rPr>
          <w:noProof/>
        </w:rPr>
        <w:t xml:space="preserve">. The EDP correction deadline is 2030 at which point the July 2025 revised recommendation under Article 126(7) TFEU envisages a deficit of 2.8% of GDP. </w:t>
      </w:r>
      <w:r w:rsidR="00407528" w:rsidRPr="00407528">
        <w:rPr>
          <w:noProof/>
        </w:rPr>
        <w:t xml:space="preserve">The revised recommendation </w:t>
      </w:r>
      <w:r w:rsidR="004173BD">
        <w:rPr>
          <w:noProof/>
        </w:rPr>
        <w:t xml:space="preserve">of </w:t>
      </w:r>
      <w:r w:rsidR="004173BD" w:rsidRPr="00407528">
        <w:rPr>
          <w:noProof/>
        </w:rPr>
        <w:t xml:space="preserve">July 2025 </w:t>
      </w:r>
      <w:r w:rsidR="00407528" w:rsidRPr="00407528">
        <w:rPr>
          <w:noProof/>
        </w:rPr>
        <w:t>replaced the original net expenditure path of Romania’s medium-term fiscal-structural plan</w:t>
      </w:r>
      <w:r w:rsidR="001B31BA">
        <w:rPr>
          <w:noProof/>
        </w:rPr>
        <w:t xml:space="preserve"> </w:t>
      </w:r>
      <w:r w:rsidR="00407528" w:rsidRPr="00407528">
        <w:rPr>
          <w:noProof/>
        </w:rPr>
        <w:t xml:space="preserve">as the operative benchmark for EDP monitoring, while the reforms and investments underpinning the </w:t>
      </w:r>
      <w:r w:rsidR="00387302">
        <w:rPr>
          <w:noProof/>
        </w:rPr>
        <w:t>plan’s</w:t>
      </w:r>
      <w:r w:rsidR="00387302" w:rsidRPr="00407528">
        <w:rPr>
          <w:noProof/>
        </w:rPr>
        <w:t xml:space="preserve"> </w:t>
      </w:r>
      <w:r w:rsidR="00407528" w:rsidRPr="00407528">
        <w:rPr>
          <w:noProof/>
        </w:rPr>
        <w:t>extended adjustment period remain in force and continue to be monitored by the Commission</w:t>
      </w:r>
      <w:r w:rsidR="00591A54" w:rsidRPr="00591A54">
        <w:rPr>
          <w:noProof/>
        </w:rPr>
        <w:t>.</w:t>
      </w:r>
      <w:r w:rsidR="00665E08">
        <w:rPr>
          <w:noProof/>
        </w:rPr>
        <w:t xml:space="preserve"> </w:t>
      </w:r>
      <w:r w:rsidR="00733218" w:rsidRPr="00B02628">
        <w:rPr>
          <w:noProof/>
        </w:rPr>
        <w:t>On 3 June 2026</w:t>
      </w:r>
      <w:r w:rsidR="00733218">
        <w:rPr>
          <w:noProof/>
        </w:rPr>
        <w:t xml:space="preserve">, </w:t>
      </w:r>
      <w:r w:rsidR="00E638A1">
        <w:rPr>
          <w:noProof/>
        </w:rPr>
        <w:t xml:space="preserve">the Commission </w:t>
      </w:r>
      <w:r w:rsidR="00325A2B">
        <w:rPr>
          <w:noProof/>
        </w:rPr>
        <w:t>concluded that</w:t>
      </w:r>
      <w:r w:rsidR="00BB5E48">
        <w:rPr>
          <w:noProof/>
        </w:rPr>
        <w:t xml:space="preserve"> </w:t>
      </w:r>
      <w:r w:rsidR="35469750">
        <w:rPr>
          <w:noProof/>
        </w:rPr>
        <w:t>Romania had taken effective action in response to the Council recommendation and the excessive deficit procedure was therefore held in abeyance</w:t>
      </w:r>
      <w:r w:rsidR="00C61F4B">
        <w:rPr>
          <w:noProof/>
        </w:rPr>
        <w:t xml:space="preserve">. </w:t>
      </w:r>
      <w:r w:rsidR="1CEB35ED">
        <w:rPr>
          <w:noProof/>
        </w:rPr>
        <w:t xml:space="preserve">Net expenditure in 2026 is projected to </w:t>
      </w:r>
      <w:r w:rsidR="6594F75E" w:rsidRPr="0098405B">
        <w:rPr>
          <w:noProof/>
        </w:rPr>
        <w:t xml:space="preserve">increase by </w:t>
      </w:r>
      <w:r w:rsidR="5ECD6F88" w:rsidRPr="0098405B">
        <w:rPr>
          <w:noProof/>
        </w:rPr>
        <w:t>1.</w:t>
      </w:r>
      <w:r w:rsidR="3A4F0950" w:rsidRPr="0098405B">
        <w:rPr>
          <w:noProof/>
        </w:rPr>
        <w:t>8</w:t>
      </w:r>
      <w:r w:rsidR="1CEB35ED">
        <w:rPr>
          <w:noProof/>
        </w:rPr>
        <w:t xml:space="preserve">%, which is </w:t>
      </w:r>
      <w:r w:rsidR="1CEB35ED" w:rsidRPr="0098405B">
        <w:rPr>
          <w:noProof/>
        </w:rPr>
        <w:t>below</w:t>
      </w:r>
      <w:r w:rsidR="1CEB35ED">
        <w:rPr>
          <w:noProof/>
        </w:rPr>
        <w:t xml:space="preserve"> the ceiling recommended by the Council of 2.6% for 2026, and the cumulative net expenditure growth by 2026 is projected to </w:t>
      </w:r>
      <w:r w:rsidR="1CEB35ED" w:rsidRPr="0098405B">
        <w:rPr>
          <w:noProof/>
        </w:rPr>
        <w:t>remain</w:t>
      </w:r>
      <w:r w:rsidR="1CEB35ED">
        <w:rPr>
          <w:noProof/>
        </w:rPr>
        <w:t xml:space="preserve"> within the recommended cumulative ceiling of 5.5%. </w:t>
      </w:r>
    </w:p>
    <w:p w14:paraId="4D8E7BB1" w14:textId="23D1DAF3" w:rsidR="00E94D44" w:rsidRDefault="00264A46" w:rsidP="00D567A3">
      <w:pPr>
        <w:ind w:left="567"/>
        <w:rPr>
          <w:noProof/>
        </w:rPr>
      </w:pPr>
      <w:r>
        <w:rPr>
          <w:noProof/>
        </w:rPr>
        <w:t xml:space="preserve">The government debt-to-GDP ratio increased from 54.8% of GDP in 2024 to 59.3% in 2025 and is expected to increase further to </w:t>
      </w:r>
      <w:r w:rsidRPr="002D6667">
        <w:rPr>
          <w:noProof/>
        </w:rPr>
        <w:t>61.6</w:t>
      </w:r>
      <w:r>
        <w:rPr>
          <w:noProof/>
        </w:rPr>
        <w:t xml:space="preserve">% in 2026 and to </w:t>
      </w:r>
      <w:r w:rsidRPr="002D6667">
        <w:rPr>
          <w:noProof/>
        </w:rPr>
        <w:t>63.4</w:t>
      </w:r>
      <w:r>
        <w:rPr>
          <w:noProof/>
        </w:rPr>
        <w:t xml:space="preserve">% in 2027, driven by </w:t>
      </w:r>
      <w:r w:rsidR="00EF6B22">
        <w:rPr>
          <w:noProof/>
        </w:rPr>
        <w:t xml:space="preserve">a </w:t>
      </w:r>
      <w:r>
        <w:rPr>
          <w:noProof/>
        </w:rPr>
        <w:t xml:space="preserve">high primary deficit and rising interest payments. </w:t>
      </w:r>
      <w:r w:rsidR="3559CE0C">
        <w:rPr>
          <w:noProof/>
        </w:rPr>
        <w:t>Romania’s d</w:t>
      </w:r>
      <w:r w:rsidR="06BB2BA7">
        <w:rPr>
          <w:noProof/>
        </w:rPr>
        <w:t xml:space="preserve">ebt sustainability risks appear high in the medium term, </w:t>
      </w:r>
      <w:r w:rsidR="2F605052">
        <w:rPr>
          <w:noProof/>
        </w:rPr>
        <w:t xml:space="preserve">with </w:t>
      </w:r>
      <w:r w:rsidR="06BB2BA7">
        <w:rPr>
          <w:noProof/>
        </w:rPr>
        <w:t>government debt projected to increase</w:t>
      </w:r>
      <w:r w:rsidR="617D94B8">
        <w:rPr>
          <w:noProof/>
        </w:rPr>
        <w:t xml:space="preserve"> rapidly</w:t>
      </w:r>
      <w:r w:rsidR="06BB2BA7">
        <w:rPr>
          <w:noProof/>
        </w:rPr>
        <w:t xml:space="preserve"> to around </w:t>
      </w:r>
      <w:r w:rsidR="496A7E88">
        <w:rPr>
          <w:noProof/>
        </w:rPr>
        <w:t>90</w:t>
      </w:r>
      <w:r w:rsidR="06BB2BA7">
        <w:rPr>
          <w:noProof/>
        </w:rPr>
        <w:t>% of GDP in 203</w:t>
      </w:r>
      <w:r w:rsidR="496A7E88">
        <w:rPr>
          <w:noProof/>
        </w:rPr>
        <w:t>6</w:t>
      </w:r>
      <w:r w:rsidR="06BB2BA7">
        <w:rPr>
          <w:noProof/>
        </w:rPr>
        <w:t xml:space="preserve">. </w:t>
      </w:r>
      <w:r w:rsidR="78217DA6">
        <w:rPr>
          <w:noProof/>
        </w:rPr>
        <w:t xml:space="preserve">Regarding </w:t>
      </w:r>
      <w:r w:rsidR="00EF6B22">
        <w:rPr>
          <w:noProof/>
        </w:rPr>
        <w:t xml:space="preserve">Romania’s </w:t>
      </w:r>
      <w:r w:rsidR="78217DA6">
        <w:rPr>
          <w:noProof/>
        </w:rPr>
        <w:t xml:space="preserve">fiscal framework, </w:t>
      </w:r>
      <w:bookmarkStart w:id="7" w:name="_Hlk227083429"/>
      <w:r w:rsidR="2B9DF4F4">
        <w:rPr>
          <w:noProof/>
        </w:rPr>
        <w:t xml:space="preserve">severe weaknesses </w:t>
      </w:r>
      <w:r w:rsidR="00EF6B22">
        <w:rPr>
          <w:noProof/>
        </w:rPr>
        <w:t xml:space="preserve">remain in relation to </w:t>
      </w:r>
      <w:r w:rsidR="2B9DF4F4">
        <w:rPr>
          <w:noProof/>
        </w:rPr>
        <w:t xml:space="preserve">recruitment </w:t>
      </w:r>
      <w:r w:rsidR="00EF6B22">
        <w:rPr>
          <w:noProof/>
        </w:rPr>
        <w:t>to</w:t>
      </w:r>
      <w:r w:rsidR="2B9DF4F4">
        <w:rPr>
          <w:noProof/>
        </w:rPr>
        <w:t xml:space="preserve"> the Fiscal Council </w:t>
      </w:r>
      <w:r w:rsidR="20D17444">
        <w:rPr>
          <w:noProof/>
        </w:rPr>
        <w:t>and the management of public investment</w:t>
      </w:r>
      <w:r w:rsidR="00EF6B22">
        <w:rPr>
          <w:noProof/>
        </w:rPr>
        <w:t>s</w:t>
      </w:r>
      <w:r w:rsidR="6D3DBF3A">
        <w:rPr>
          <w:noProof/>
        </w:rPr>
        <w:t xml:space="preserve">. </w:t>
      </w:r>
    </w:p>
    <w:bookmarkEnd w:id="7"/>
    <w:p w14:paraId="4E75A418" w14:textId="7A6BE5CC" w:rsidR="00DF1265" w:rsidRDefault="005B3E54" w:rsidP="00E408C4">
      <w:pPr>
        <w:ind w:left="567"/>
        <w:jc w:val="center"/>
        <w:rPr>
          <w:noProof/>
        </w:rPr>
      </w:pPr>
      <w:r>
        <w:rPr>
          <w:noProof/>
          <w:lang w:eastAsia="en-GB"/>
        </w:rPr>
        <w:drawing>
          <wp:inline distT="0" distB="0" distL="0" distR="0" wp14:anchorId="5CE925D2" wp14:editId="3D4AD220">
            <wp:extent cx="3529965" cy="2249805"/>
            <wp:effectExtent l="0" t="0" r="0" b="0"/>
            <wp:docPr id="186296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29965" cy="2249805"/>
                    </a:xfrm>
                    <a:prstGeom prst="rect">
                      <a:avLst/>
                    </a:prstGeom>
                    <a:noFill/>
                  </pic:spPr>
                </pic:pic>
              </a:graphicData>
            </a:graphic>
          </wp:inline>
        </w:drawing>
      </w:r>
    </w:p>
    <w:p w14:paraId="3B2E6387" w14:textId="57A6B2B2" w:rsidR="005865F4" w:rsidRDefault="7B44B56D" w:rsidP="005865F4">
      <w:pPr>
        <w:ind w:left="567"/>
        <w:rPr>
          <w:noProof/>
        </w:rPr>
      </w:pPr>
      <w:r w:rsidRPr="14433F98">
        <w:rPr>
          <w:b/>
          <w:bCs/>
          <w:noProof/>
        </w:rPr>
        <w:t>Romania does not fulfil the exchange rate criterion</w:t>
      </w:r>
      <w:r w:rsidRPr="00065E75">
        <w:rPr>
          <w:noProof/>
        </w:rPr>
        <w:t>.</w:t>
      </w:r>
      <w:r>
        <w:rPr>
          <w:noProof/>
        </w:rPr>
        <w:t xml:space="preserve"> The Romanian leu does not participate in </w:t>
      </w:r>
      <w:r w:rsidR="005174AC">
        <w:rPr>
          <w:noProof/>
        </w:rPr>
        <w:t xml:space="preserve">the </w:t>
      </w:r>
      <w:r w:rsidR="00CE22C2">
        <w:rPr>
          <w:noProof/>
        </w:rPr>
        <w:t>Exchange Rate Mechanism II</w:t>
      </w:r>
      <w:r>
        <w:rPr>
          <w:noProof/>
        </w:rPr>
        <w:t xml:space="preserve">. Romania operates a </w:t>
      </w:r>
      <w:r w:rsidR="00536B59">
        <w:rPr>
          <w:noProof/>
        </w:rPr>
        <w:t>‘</w:t>
      </w:r>
      <w:r>
        <w:rPr>
          <w:noProof/>
        </w:rPr>
        <w:t>crawl-like</w:t>
      </w:r>
      <w:r w:rsidR="00536B59">
        <w:rPr>
          <w:noProof/>
        </w:rPr>
        <w:t>’</w:t>
      </w:r>
      <w:r>
        <w:rPr>
          <w:noProof/>
        </w:rPr>
        <w:t xml:space="preserve"> exchange rate arrangement</w:t>
      </w:r>
      <w:r w:rsidR="193C0D38">
        <w:rPr>
          <w:noProof/>
        </w:rPr>
        <w:t xml:space="preserve"> that</w:t>
      </w:r>
      <w:r>
        <w:rPr>
          <w:noProof/>
        </w:rPr>
        <w:t xml:space="preserve"> allow</w:t>
      </w:r>
      <w:r w:rsidR="402458BE">
        <w:rPr>
          <w:noProof/>
        </w:rPr>
        <w:t>s</w:t>
      </w:r>
      <w:r>
        <w:rPr>
          <w:noProof/>
        </w:rPr>
        <w:t xml:space="preserve"> for foreign exchange market interventions by the central bank. </w:t>
      </w:r>
      <w:r w:rsidR="7AA85028">
        <w:rPr>
          <w:noProof/>
        </w:rPr>
        <w:t xml:space="preserve">Exchange rate stability has been used by the BNR as an important mechanism to ensure financial stability and anchor inflation expectations. </w:t>
      </w:r>
      <w:r>
        <w:rPr>
          <w:noProof/>
        </w:rPr>
        <w:t xml:space="preserve">The leu </w:t>
      </w:r>
      <w:r w:rsidR="000B2C36">
        <w:rPr>
          <w:noProof/>
        </w:rPr>
        <w:t xml:space="preserve">was </w:t>
      </w:r>
      <w:r w:rsidR="00E74A2B">
        <w:rPr>
          <w:noProof/>
        </w:rPr>
        <w:t>relatively stable against</w:t>
      </w:r>
      <w:r>
        <w:rPr>
          <w:noProof/>
        </w:rPr>
        <w:t xml:space="preserve"> the euro in 202</w:t>
      </w:r>
      <w:r w:rsidR="00E74A2B">
        <w:rPr>
          <w:noProof/>
        </w:rPr>
        <w:t>4</w:t>
      </w:r>
      <w:r>
        <w:rPr>
          <w:noProof/>
        </w:rPr>
        <w:t xml:space="preserve"> and </w:t>
      </w:r>
      <w:r w:rsidR="002A4842">
        <w:rPr>
          <w:noProof/>
        </w:rPr>
        <w:t xml:space="preserve">depreciated </w:t>
      </w:r>
      <w:r w:rsidR="00272355">
        <w:rPr>
          <w:noProof/>
        </w:rPr>
        <w:t>in</w:t>
      </w:r>
      <w:r w:rsidR="002A4842">
        <w:rPr>
          <w:noProof/>
        </w:rPr>
        <w:t xml:space="preserve"> </w:t>
      </w:r>
      <w:r>
        <w:rPr>
          <w:noProof/>
        </w:rPr>
        <w:t>202</w:t>
      </w:r>
      <w:r w:rsidR="002A4842">
        <w:rPr>
          <w:noProof/>
        </w:rPr>
        <w:t>5</w:t>
      </w:r>
      <w:r w:rsidR="0099749F">
        <w:rPr>
          <w:noProof/>
        </w:rPr>
        <w:t>.</w:t>
      </w:r>
      <w:r w:rsidR="004A5429">
        <w:rPr>
          <w:noProof/>
        </w:rPr>
        <w:t xml:space="preserve"> </w:t>
      </w:r>
      <w:r w:rsidR="00A34F1B">
        <w:rPr>
          <w:noProof/>
        </w:rPr>
        <w:t>I</w:t>
      </w:r>
      <w:r w:rsidR="00B00EBA">
        <w:rPr>
          <w:noProof/>
        </w:rPr>
        <w:t xml:space="preserve">n May 2025, </w:t>
      </w:r>
      <w:r w:rsidR="00392F28">
        <w:rPr>
          <w:noProof/>
        </w:rPr>
        <w:t xml:space="preserve">capital outflow pressures </w:t>
      </w:r>
      <w:r w:rsidR="00592BE9">
        <w:rPr>
          <w:noProof/>
        </w:rPr>
        <w:t xml:space="preserve">in the context of </w:t>
      </w:r>
      <w:r w:rsidR="008F542A">
        <w:rPr>
          <w:noProof/>
        </w:rPr>
        <w:t>increased political uncertainty</w:t>
      </w:r>
      <w:r w:rsidR="00B00EBA">
        <w:rPr>
          <w:noProof/>
        </w:rPr>
        <w:t xml:space="preserve"> </w:t>
      </w:r>
      <w:r w:rsidR="008F542A">
        <w:rPr>
          <w:noProof/>
        </w:rPr>
        <w:t>t</w:t>
      </w:r>
      <w:r w:rsidR="007B1D25">
        <w:rPr>
          <w:noProof/>
        </w:rPr>
        <w:t xml:space="preserve">riggered </w:t>
      </w:r>
      <w:r w:rsidR="00CD0EE5">
        <w:rPr>
          <w:noProof/>
        </w:rPr>
        <w:t>a</w:t>
      </w:r>
      <w:r w:rsidR="00426247">
        <w:rPr>
          <w:noProof/>
        </w:rPr>
        <w:t xml:space="preserve"> </w:t>
      </w:r>
      <w:r w:rsidR="00CD0EE5">
        <w:rPr>
          <w:noProof/>
        </w:rPr>
        <w:t xml:space="preserve">strong depreciation </w:t>
      </w:r>
      <w:r w:rsidR="00426247">
        <w:rPr>
          <w:noProof/>
        </w:rPr>
        <w:t>episode</w:t>
      </w:r>
      <w:r w:rsidR="00757324">
        <w:rPr>
          <w:noProof/>
        </w:rPr>
        <w:t xml:space="preserve">, </w:t>
      </w:r>
      <w:r w:rsidR="00B00EBA">
        <w:rPr>
          <w:noProof/>
        </w:rPr>
        <w:t xml:space="preserve">with losses against the euro of </w:t>
      </w:r>
      <w:r w:rsidR="00A34F1B" w:rsidRPr="00A34F1B">
        <w:rPr>
          <w:noProof/>
        </w:rPr>
        <w:t>2% compared to the previous month</w:t>
      </w:r>
      <w:r w:rsidR="00A34F1B">
        <w:rPr>
          <w:noProof/>
        </w:rPr>
        <w:t>.</w:t>
      </w:r>
      <w:r w:rsidR="00B00EBA">
        <w:rPr>
          <w:noProof/>
        </w:rPr>
        <w:t xml:space="preserve"> This </w:t>
      </w:r>
      <w:r w:rsidR="00757324">
        <w:rPr>
          <w:noProof/>
        </w:rPr>
        <w:t xml:space="preserve">was followed by a </w:t>
      </w:r>
      <w:r w:rsidR="00B00EBA">
        <w:rPr>
          <w:noProof/>
        </w:rPr>
        <w:t xml:space="preserve">period of </w:t>
      </w:r>
      <w:r w:rsidR="00757324">
        <w:rPr>
          <w:noProof/>
        </w:rPr>
        <w:t xml:space="preserve">moderate volatility </w:t>
      </w:r>
      <w:r w:rsidR="00005AE1">
        <w:rPr>
          <w:noProof/>
        </w:rPr>
        <w:t xml:space="preserve">in the second half of the year. </w:t>
      </w:r>
      <w:r>
        <w:rPr>
          <w:noProof/>
        </w:rPr>
        <w:t>In May 202</w:t>
      </w:r>
      <w:r w:rsidR="00426247">
        <w:rPr>
          <w:noProof/>
        </w:rPr>
        <w:t>6</w:t>
      </w:r>
      <w:r>
        <w:rPr>
          <w:noProof/>
        </w:rPr>
        <w:t xml:space="preserve">, the </w:t>
      </w:r>
      <w:r w:rsidRPr="00B66DE4">
        <w:rPr>
          <w:noProof/>
        </w:rPr>
        <w:t xml:space="preserve">leu was about </w:t>
      </w:r>
      <w:r w:rsidR="00797788">
        <w:rPr>
          <w:noProof/>
        </w:rPr>
        <w:t>5</w:t>
      </w:r>
      <w:r w:rsidRPr="00B66DE4">
        <w:rPr>
          <w:noProof/>
        </w:rPr>
        <w:t xml:space="preserve">% </w:t>
      </w:r>
      <w:r w:rsidRPr="00E55FB5">
        <w:rPr>
          <w:noProof/>
        </w:rPr>
        <w:t>weaker</w:t>
      </w:r>
      <w:r>
        <w:rPr>
          <w:noProof/>
        </w:rPr>
        <w:t xml:space="preserve"> against the euro </w:t>
      </w:r>
      <w:r w:rsidR="009B0E24">
        <w:rPr>
          <w:noProof/>
        </w:rPr>
        <w:t>compared with two</w:t>
      </w:r>
      <w:r>
        <w:rPr>
          <w:noProof/>
        </w:rPr>
        <w:t xml:space="preserve"> years earlier. The short-term interest rate spread vis-à-vis the euro area increased substantially </w:t>
      </w:r>
      <w:r w:rsidR="7B8B94AC">
        <w:rPr>
          <w:noProof/>
        </w:rPr>
        <w:t>(</w:t>
      </w:r>
      <w:r>
        <w:rPr>
          <w:noProof/>
        </w:rPr>
        <w:t xml:space="preserve">by around </w:t>
      </w:r>
      <w:r w:rsidR="0000375A">
        <w:rPr>
          <w:noProof/>
        </w:rPr>
        <w:t>3</w:t>
      </w:r>
      <w:r>
        <w:rPr>
          <w:noProof/>
        </w:rPr>
        <w:t>00 basis points</w:t>
      </w:r>
      <w:r w:rsidR="53B38FDE">
        <w:rPr>
          <w:noProof/>
        </w:rPr>
        <w:t>)</w:t>
      </w:r>
      <w:r>
        <w:rPr>
          <w:noProof/>
        </w:rPr>
        <w:t xml:space="preserve"> between August 202</w:t>
      </w:r>
      <w:r w:rsidR="0000375A">
        <w:rPr>
          <w:noProof/>
        </w:rPr>
        <w:t>4</w:t>
      </w:r>
      <w:r w:rsidR="00A54D90">
        <w:rPr>
          <w:noProof/>
        </w:rPr>
        <w:t xml:space="preserve"> and </w:t>
      </w:r>
      <w:r w:rsidR="00A26CF1">
        <w:rPr>
          <w:noProof/>
        </w:rPr>
        <w:t>June 2025</w:t>
      </w:r>
      <w:r>
        <w:rPr>
          <w:noProof/>
        </w:rPr>
        <w:t xml:space="preserve">, reflecting the </w:t>
      </w:r>
      <w:r w:rsidR="00A26CF1">
        <w:rPr>
          <w:noProof/>
        </w:rPr>
        <w:t xml:space="preserve">pause in the </w:t>
      </w:r>
      <w:r>
        <w:rPr>
          <w:noProof/>
        </w:rPr>
        <w:t xml:space="preserve">BNR’s key policy rate </w:t>
      </w:r>
      <w:r w:rsidR="00236163">
        <w:rPr>
          <w:noProof/>
        </w:rPr>
        <w:t>as of</w:t>
      </w:r>
      <w:r w:rsidR="00783C1A">
        <w:rPr>
          <w:noProof/>
        </w:rPr>
        <w:t xml:space="preserve"> mid-2024 </w:t>
      </w:r>
      <w:r w:rsidR="00B00EBA">
        <w:rPr>
          <w:noProof/>
        </w:rPr>
        <w:t xml:space="preserve">and </w:t>
      </w:r>
      <w:r w:rsidR="00783C1A">
        <w:rPr>
          <w:noProof/>
        </w:rPr>
        <w:t>the monetary policy easing cycle in the euro area</w:t>
      </w:r>
      <w:r>
        <w:rPr>
          <w:noProof/>
        </w:rPr>
        <w:t xml:space="preserve">. The </w:t>
      </w:r>
      <w:r w:rsidR="00830321">
        <w:rPr>
          <w:noProof/>
        </w:rPr>
        <w:t xml:space="preserve">spread widened </w:t>
      </w:r>
      <w:r w:rsidR="00236163">
        <w:rPr>
          <w:noProof/>
        </w:rPr>
        <w:t xml:space="preserve">further </w:t>
      </w:r>
      <w:r w:rsidR="0009591E">
        <w:rPr>
          <w:noProof/>
        </w:rPr>
        <w:t xml:space="preserve">amid </w:t>
      </w:r>
      <w:r w:rsidR="00830321">
        <w:rPr>
          <w:noProof/>
        </w:rPr>
        <w:t>stress on Romania’s money market</w:t>
      </w:r>
      <w:r w:rsidR="00A34F1B">
        <w:rPr>
          <w:noProof/>
        </w:rPr>
        <w:t xml:space="preserve"> in late spring</w:t>
      </w:r>
      <w:r w:rsidR="00236163">
        <w:rPr>
          <w:noProof/>
        </w:rPr>
        <w:t>,</w:t>
      </w:r>
      <w:r w:rsidR="00A34F1B">
        <w:rPr>
          <w:noProof/>
        </w:rPr>
        <w:t xml:space="preserve"> </w:t>
      </w:r>
      <w:r>
        <w:rPr>
          <w:noProof/>
        </w:rPr>
        <w:t>peak</w:t>
      </w:r>
      <w:r w:rsidR="00236163">
        <w:rPr>
          <w:noProof/>
        </w:rPr>
        <w:t>ing</w:t>
      </w:r>
      <w:r>
        <w:rPr>
          <w:noProof/>
        </w:rPr>
        <w:t xml:space="preserve"> at around </w:t>
      </w:r>
      <w:r w:rsidR="00883E7A">
        <w:rPr>
          <w:noProof/>
        </w:rPr>
        <w:t>515</w:t>
      </w:r>
      <w:r>
        <w:rPr>
          <w:noProof/>
        </w:rPr>
        <w:t xml:space="preserve"> basis points in </w:t>
      </w:r>
      <w:r w:rsidR="00EA7D74">
        <w:rPr>
          <w:noProof/>
        </w:rPr>
        <w:t>June 2025</w:t>
      </w:r>
      <w:r>
        <w:rPr>
          <w:noProof/>
        </w:rPr>
        <w:t xml:space="preserve">. </w:t>
      </w:r>
      <w:r w:rsidR="00236163">
        <w:rPr>
          <w:noProof/>
        </w:rPr>
        <w:t>I</w:t>
      </w:r>
      <w:r w:rsidR="00830321">
        <w:rPr>
          <w:noProof/>
        </w:rPr>
        <w:t xml:space="preserve">t </w:t>
      </w:r>
      <w:r w:rsidR="00236163">
        <w:rPr>
          <w:noProof/>
        </w:rPr>
        <w:t xml:space="preserve">then </w:t>
      </w:r>
      <w:r>
        <w:rPr>
          <w:noProof/>
        </w:rPr>
        <w:t xml:space="preserve">decreased steadily during the </w:t>
      </w:r>
      <w:r w:rsidR="00BB31BF">
        <w:rPr>
          <w:noProof/>
        </w:rPr>
        <w:t xml:space="preserve">second half of </w:t>
      </w:r>
      <w:r w:rsidR="004E0FC3">
        <w:rPr>
          <w:noProof/>
        </w:rPr>
        <w:t>2025 and in early 2026</w:t>
      </w:r>
      <w:r>
        <w:rPr>
          <w:noProof/>
        </w:rPr>
        <w:t xml:space="preserve">, </w:t>
      </w:r>
      <w:r w:rsidR="003435F4">
        <w:rPr>
          <w:noProof/>
        </w:rPr>
        <w:t xml:space="preserve">reflecting </w:t>
      </w:r>
      <w:r w:rsidR="004E0FC3">
        <w:rPr>
          <w:noProof/>
        </w:rPr>
        <w:t xml:space="preserve">improved </w:t>
      </w:r>
      <w:r w:rsidR="009411D6" w:rsidRPr="009411D6">
        <w:rPr>
          <w:noProof/>
        </w:rPr>
        <w:t xml:space="preserve">liquidity </w:t>
      </w:r>
      <w:r w:rsidR="00E74A6E">
        <w:rPr>
          <w:noProof/>
        </w:rPr>
        <w:t xml:space="preserve">conditions </w:t>
      </w:r>
      <w:r w:rsidR="00236163">
        <w:rPr>
          <w:noProof/>
        </w:rPr>
        <w:t>o</w:t>
      </w:r>
      <w:r w:rsidR="009411D6" w:rsidRPr="009411D6">
        <w:rPr>
          <w:noProof/>
        </w:rPr>
        <w:t>n Romania’s money market</w:t>
      </w:r>
      <w:r w:rsidR="009411D6">
        <w:rPr>
          <w:noProof/>
        </w:rPr>
        <w:t>.</w:t>
      </w:r>
      <w:r w:rsidR="003435F4">
        <w:rPr>
          <w:noProof/>
        </w:rPr>
        <w:t xml:space="preserve"> It </w:t>
      </w:r>
      <w:r w:rsidR="00236163">
        <w:rPr>
          <w:noProof/>
        </w:rPr>
        <w:t xml:space="preserve">reached </w:t>
      </w:r>
      <w:r w:rsidR="000835AA">
        <w:rPr>
          <w:noProof/>
        </w:rPr>
        <w:t>362</w:t>
      </w:r>
      <w:r>
        <w:rPr>
          <w:noProof/>
        </w:rPr>
        <w:t xml:space="preserve"> basis points </w:t>
      </w:r>
      <w:r w:rsidR="003435F4">
        <w:rPr>
          <w:noProof/>
        </w:rPr>
        <w:t xml:space="preserve">in </w:t>
      </w:r>
      <w:r>
        <w:rPr>
          <w:noProof/>
        </w:rPr>
        <w:t>May 202</w:t>
      </w:r>
      <w:r w:rsidR="00E74A6E">
        <w:rPr>
          <w:noProof/>
        </w:rPr>
        <w:t>6</w:t>
      </w:r>
      <w:r w:rsidR="008E0F9A">
        <w:rPr>
          <w:noProof/>
        </w:rPr>
        <w:t>.</w:t>
      </w:r>
      <w:r w:rsidR="003435F4" w:rsidRPr="003435F4">
        <w:rPr>
          <w:noProof/>
        </w:rPr>
        <w:t xml:space="preserve"> </w:t>
      </w:r>
    </w:p>
    <w:p w14:paraId="7DAD104D" w14:textId="1573B3B3" w:rsidR="005865F4" w:rsidRDefault="4629D3B0" w:rsidP="005865F4">
      <w:pPr>
        <w:ind w:left="567"/>
        <w:rPr>
          <w:noProof/>
        </w:rPr>
      </w:pPr>
      <w:r w:rsidRPr="448A9998">
        <w:rPr>
          <w:b/>
          <w:bCs/>
          <w:noProof/>
        </w:rPr>
        <w:t>Romania does not fulfil the criterion on the convergence of long-term interest rates</w:t>
      </w:r>
      <w:r>
        <w:rPr>
          <w:noProof/>
        </w:rPr>
        <w:t>.</w:t>
      </w:r>
      <w:r w:rsidRPr="448A9998">
        <w:rPr>
          <w:b/>
          <w:bCs/>
          <w:noProof/>
        </w:rPr>
        <w:t xml:space="preserve"> </w:t>
      </w:r>
      <w:r>
        <w:rPr>
          <w:noProof/>
        </w:rPr>
        <w:t xml:space="preserve">The average long-term </w:t>
      </w:r>
      <w:r w:rsidRPr="00202D04">
        <w:rPr>
          <w:noProof/>
        </w:rPr>
        <w:t xml:space="preserve">interest rate in the </w:t>
      </w:r>
      <w:r w:rsidR="780824B0" w:rsidRPr="00202D04">
        <w:rPr>
          <w:noProof/>
        </w:rPr>
        <w:t xml:space="preserve">12 months </w:t>
      </w:r>
      <w:r w:rsidRPr="00202D04">
        <w:rPr>
          <w:noProof/>
        </w:rPr>
        <w:t>to May 202</w:t>
      </w:r>
      <w:r w:rsidR="6817E6F5" w:rsidRPr="00202D04">
        <w:rPr>
          <w:noProof/>
        </w:rPr>
        <w:t>6</w:t>
      </w:r>
      <w:r w:rsidRPr="00202D04">
        <w:rPr>
          <w:noProof/>
        </w:rPr>
        <w:t xml:space="preserve"> was </w:t>
      </w:r>
      <w:r w:rsidR="00202D04" w:rsidRPr="00202D04">
        <w:rPr>
          <w:noProof/>
        </w:rPr>
        <w:t>6.7</w:t>
      </w:r>
      <w:r w:rsidRPr="00202D04">
        <w:rPr>
          <w:noProof/>
        </w:rPr>
        <w:t xml:space="preserve">%, </w:t>
      </w:r>
      <w:r w:rsidR="00202D04" w:rsidRPr="00202D04">
        <w:rPr>
          <w:noProof/>
        </w:rPr>
        <w:t xml:space="preserve">well </w:t>
      </w:r>
      <w:r w:rsidRPr="00202D04">
        <w:rPr>
          <w:noProof/>
        </w:rPr>
        <w:t xml:space="preserve">above the reference value of </w:t>
      </w:r>
      <w:r>
        <w:rPr>
          <w:noProof/>
        </w:rPr>
        <w:t>5.1</w:t>
      </w:r>
      <w:r w:rsidRPr="00202D04">
        <w:rPr>
          <w:noProof/>
        </w:rPr>
        <w:t xml:space="preserve">%. </w:t>
      </w:r>
      <w:r w:rsidR="00932E9E" w:rsidRPr="00202D04">
        <w:rPr>
          <w:noProof/>
        </w:rPr>
        <w:t>Romania’s</w:t>
      </w:r>
      <w:r w:rsidRPr="00202D04">
        <w:rPr>
          <w:noProof/>
        </w:rPr>
        <w:t xml:space="preserve"> long-term interest rate </w:t>
      </w:r>
      <w:r w:rsidR="5E76CDBA" w:rsidRPr="00202D04">
        <w:rPr>
          <w:noProof/>
        </w:rPr>
        <w:t>increased gradually throughout 2024, rising to 7.1% in January 2025.</w:t>
      </w:r>
      <w:r w:rsidR="5E76CDBA">
        <w:rPr>
          <w:noProof/>
        </w:rPr>
        <w:t xml:space="preserve"> </w:t>
      </w:r>
      <w:r w:rsidR="4B24FB89">
        <w:rPr>
          <w:noProof/>
        </w:rPr>
        <w:t>After</w:t>
      </w:r>
      <w:r w:rsidR="45606979">
        <w:rPr>
          <w:noProof/>
        </w:rPr>
        <w:t xml:space="preserve"> </w:t>
      </w:r>
      <w:r w:rsidR="7345DA47">
        <w:rPr>
          <w:noProof/>
        </w:rPr>
        <w:t xml:space="preserve">decreasing </w:t>
      </w:r>
      <w:r w:rsidR="00932E9E">
        <w:rPr>
          <w:noProof/>
        </w:rPr>
        <w:t>slightly during</w:t>
      </w:r>
      <w:r w:rsidR="12854B86">
        <w:rPr>
          <w:noProof/>
        </w:rPr>
        <w:t xml:space="preserve"> the first </w:t>
      </w:r>
      <w:r w:rsidR="00932E9E">
        <w:rPr>
          <w:noProof/>
        </w:rPr>
        <w:t xml:space="preserve">few </w:t>
      </w:r>
      <w:r w:rsidR="12854B86">
        <w:rPr>
          <w:noProof/>
        </w:rPr>
        <w:t xml:space="preserve">months of 2025, </w:t>
      </w:r>
      <w:r w:rsidR="252F2368">
        <w:rPr>
          <w:noProof/>
        </w:rPr>
        <w:t xml:space="preserve">it </w:t>
      </w:r>
      <w:r w:rsidR="00932E9E">
        <w:rPr>
          <w:noProof/>
        </w:rPr>
        <w:t xml:space="preserve">began to climb again </w:t>
      </w:r>
      <w:r w:rsidR="45606979">
        <w:rPr>
          <w:noProof/>
        </w:rPr>
        <w:t>in April</w:t>
      </w:r>
      <w:r w:rsidR="0C31C5D9">
        <w:rPr>
          <w:noProof/>
        </w:rPr>
        <w:t xml:space="preserve">, fuelled by </w:t>
      </w:r>
      <w:r w:rsidR="4178974F">
        <w:rPr>
          <w:noProof/>
        </w:rPr>
        <w:t xml:space="preserve">increased market risk aversion </w:t>
      </w:r>
      <w:r w:rsidR="68B873BB">
        <w:rPr>
          <w:noProof/>
        </w:rPr>
        <w:t>amid</w:t>
      </w:r>
      <w:r w:rsidR="4178974F">
        <w:rPr>
          <w:noProof/>
        </w:rPr>
        <w:t xml:space="preserve"> a widening fiscal deficit and investors’ concerns </w:t>
      </w:r>
      <w:r w:rsidR="2D7B2492">
        <w:rPr>
          <w:noProof/>
        </w:rPr>
        <w:t xml:space="preserve">over </w:t>
      </w:r>
      <w:r w:rsidR="690DEC5E">
        <w:rPr>
          <w:noProof/>
        </w:rPr>
        <w:t xml:space="preserve">the outlook for </w:t>
      </w:r>
      <w:r w:rsidR="4178974F">
        <w:rPr>
          <w:noProof/>
        </w:rPr>
        <w:t>fiscal consolidation</w:t>
      </w:r>
      <w:r w:rsidR="4657E25B">
        <w:rPr>
          <w:noProof/>
        </w:rPr>
        <w:t xml:space="preserve">. </w:t>
      </w:r>
      <w:r w:rsidR="23CB1723">
        <w:rPr>
          <w:noProof/>
        </w:rPr>
        <w:t>T</w:t>
      </w:r>
      <w:r>
        <w:rPr>
          <w:noProof/>
        </w:rPr>
        <w:t xml:space="preserve">he long-term interest rate </w:t>
      </w:r>
      <w:r w:rsidR="11142C90">
        <w:rPr>
          <w:noProof/>
        </w:rPr>
        <w:t xml:space="preserve">then </w:t>
      </w:r>
      <w:r>
        <w:rPr>
          <w:noProof/>
        </w:rPr>
        <w:t xml:space="preserve">decreased </w:t>
      </w:r>
      <w:r w:rsidR="6DD29849">
        <w:rPr>
          <w:noProof/>
        </w:rPr>
        <w:t>steadily</w:t>
      </w:r>
      <w:r>
        <w:rPr>
          <w:noProof/>
        </w:rPr>
        <w:t xml:space="preserve"> </w:t>
      </w:r>
      <w:r w:rsidR="00932E9E">
        <w:rPr>
          <w:noProof/>
        </w:rPr>
        <w:t>during</w:t>
      </w:r>
      <w:r>
        <w:rPr>
          <w:noProof/>
        </w:rPr>
        <w:t xml:space="preserve"> the second half of 202</w:t>
      </w:r>
      <w:r w:rsidR="249DB56E">
        <w:rPr>
          <w:noProof/>
        </w:rPr>
        <w:t>5</w:t>
      </w:r>
      <w:r w:rsidR="3FB2DCAC">
        <w:rPr>
          <w:noProof/>
        </w:rPr>
        <w:t xml:space="preserve">, </w:t>
      </w:r>
      <w:r w:rsidR="0722CC89">
        <w:rPr>
          <w:noProof/>
        </w:rPr>
        <w:t xml:space="preserve">following the </w:t>
      </w:r>
      <w:r w:rsidR="00932E9E">
        <w:rPr>
          <w:noProof/>
        </w:rPr>
        <w:t xml:space="preserve">government’s </w:t>
      </w:r>
      <w:r w:rsidR="0722CC89">
        <w:rPr>
          <w:noProof/>
        </w:rPr>
        <w:t xml:space="preserve">adoption of fiscal consolidation measures. </w:t>
      </w:r>
      <w:bookmarkStart w:id="8" w:name="_Hlk162022491"/>
      <w:r w:rsidR="00932E9E">
        <w:rPr>
          <w:noProof/>
        </w:rPr>
        <w:t>During</w:t>
      </w:r>
      <w:r>
        <w:rPr>
          <w:noProof/>
        </w:rPr>
        <w:t xml:space="preserve"> the first </w:t>
      </w:r>
      <w:r w:rsidR="00932E9E">
        <w:rPr>
          <w:noProof/>
        </w:rPr>
        <w:t>five</w:t>
      </w:r>
      <w:r>
        <w:rPr>
          <w:noProof/>
        </w:rPr>
        <w:t xml:space="preserve"> months of 202</w:t>
      </w:r>
      <w:r w:rsidR="0722CC89">
        <w:rPr>
          <w:noProof/>
        </w:rPr>
        <w:t>6</w:t>
      </w:r>
      <w:r>
        <w:rPr>
          <w:noProof/>
        </w:rPr>
        <w:t xml:space="preserve">, Romania’s long-term interest </w:t>
      </w:r>
      <w:r w:rsidRPr="00157142">
        <w:rPr>
          <w:noProof/>
        </w:rPr>
        <w:t xml:space="preserve">rate </w:t>
      </w:r>
      <w:r w:rsidR="1342C0B4" w:rsidRPr="00157142">
        <w:rPr>
          <w:noProof/>
        </w:rPr>
        <w:t xml:space="preserve">was </w:t>
      </w:r>
      <w:r w:rsidR="1342C0B4" w:rsidRPr="00E55FB5">
        <w:rPr>
          <w:noProof/>
        </w:rPr>
        <w:t>broadly stable</w:t>
      </w:r>
      <w:r w:rsidR="1342C0B4" w:rsidRPr="00157142">
        <w:rPr>
          <w:noProof/>
        </w:rPr>
        <w:t>,</w:t>
      </w:r>
      <w:r w:rsidR="1342C0B4">
        <w:rPr>
          <w:noProof/>
        </w:rPr>
        <w:t xml:space="preserve"> standing at </w:t>
      </w:r>
      <w:r w:rsidR="00157142">
        <w:rPr>
          <w:noProof/>
        </w:rPr>
        <w:t>6.2</w:t>
      </w:r>
      <w:r>
        <w:rPr>
          <w:noProof/>
        </w:rPr>
        <w:t>% in May 202</w:t>
      </w:r>
      <w:r w:rsidR="051798BD">
        <w:rPr>
          <w:noProof/>
        </w:rPr>
        <w:t>6</w:t>
      </w:r>
      <w:r>
        <w:rPr>
          <w:noProof/>
        </w:rPr>
        <w:t xml:space="preserve">. The long-term spread versus the German benchmark bond </w:t>
      </w:r>
      <w:r w:rsidR="1E5F5396">
        <w:rPr>
          <w:noProof/>
        </w:rPr>
        <w:t>was</w:t>
      </w:r>
      <w:r>
        <w:rPr>
          <w:noProof/>
        </w:rPr>
        <w:t xml:space="preserve"> </w:t>
      </w:r>
      <w:r w:rsidR="00157142">
        <w:rPr>
          <w:noProof/>
        </w:rPr>
        <w:t>312</w:t>
      </w:r>
      <w:r>
        <w:rPr>
          <w:noProof/>
        </w:rPr>
        <w:t xml:space="preserve"> basis points in </w:t>
      </w:r>
      <w:r w:rsidR="00142F0E">
        <w:rPr>
          <w:noProof/>
        </w:rPr>
        <w:t>May 2026</w:t>
      </w:r>
      <w:r>
        <w:rPr>
          <w:noProof/>
        </w:rPr>
        <w:t xml:space="preserve">, down from </w:t>
      </w:r>
      <w:r w:rsidR="00142F0E">
        <w:rPr>
          <w:noProof/>
        </w:rPr>
        <w:t>its</w:t>
      </w:r>
      <w:r w:rsidR="01E01E72">
        <w:rPr>
          <w:noProof/>
        </w:rPr>
        <w:t xml:space="preserve"> peak </w:t>
      </w:r>
      <w:r w:rsidR="6B75C350">
        <w:rPr>
          <w:noProof/>
        </w:rPr>
        <w:t>of</w:t>
      </w:r>
      <w:r w:rsidR="01E01E72">
        <w:rPr>
          <w:noProof/>
        </w:rPr>
        <w:t xml:space="preserve"> </w:t>
      </w:r>
      <w:r w:rsidR="1284EDE3">
        <w:rPr>
          <w:noProof/>
        </w:rPr>
        <w:t>4</w:t>
      </w:r>
      <w:r w:rsidR="6B75C350">
        <w:rPr>
          <w:noProof/>
        </w:rPr>
        <w:t>85</w:t>
      </w:r>
      <w:r>
        <w:rPr>
          <w:noProof/>
        </w:rPr>
        <w:t xml:space="preserve"> basis points in Ju</w:t>
      </w:r>
      <w:r w:rsidR="27858CC9">
        <w:rPr>
          <w:noProof/>
        </w:rPr>
        <w:t>ne</w:t>
      </w:r>
      <w:r>
        <w:rPr>
          <w:noProof/>
        </w:rPr>
        <w:t xml:space="preserve"> 202</w:t>
      </w:r>
      <w:r w:rsidR="27858CC9">
        <w:rPr>
          <w:noProof/>
        </w:rPr>
        <w:t>5</w:t>
      </w:r>
      <w:r>
        <w:rPr>
          <w:noProof/>
        </w:rPr>
        <w:t>.</w:t>
      </w:r>
    </w:p>
    <w:bookmarkEnd w:id="8"/>
    <w:p w14:paraId="73574724" w14:textId="16C18944" w:rsidR="005865F4" w:rsidRDefault="7B44B56D" w:rsidP="00857958">
      <w:pPr>
        <w:ind w:left="567"/>
        <w:rPr>
          <w:noProof/>
        </w:rPr>
      </w:pPr>
      <w:r>
        <w:rPr>
          <w:noProof/>
        </w:rPr>
        <w:t xml:space="preserve">The Commission has also examined </w:t>
      </w:r>
      <w:r w:rsidRPr="14433F98">
        <w:rPr>
          <w:b/>
          <w:bCs/>
          <w:noProof/>
        </w:rPr>
        <w:t>additional factors</w:t>
      </w:r>
      <w:r>
        <w:rPr>
          <w:noProof/>
        </w:rPr>
        <w:t>, including balance of payments developments</w:t>
      </w:r>
      <w:r w:rsidR="340BED57">
        <w:rPr>
          <w:noProof/>
        </w:rPr>
        <w:t>,</w:t>
      </w:r>
      <w:r>
        <w:rPr>
          <w:noProof/>
        </w:rPr>
        <w:t xml:space="preserve"> the integration of markets</w:t>
      </w:r>
      <w:r w:rsidR="340BED57">
        <w:rPr>
          <w:noProof/>
        </w:rPr>
        <w:t xml:space="preserve"> and the institutional environment</w:t>
      </w:r>
      <w:r>
        <w:rPr>
          <w:noProof/>
        </w:rPr>
        <w:t>. Romania</w:t>
      </w:r>
      <w:r w:rsidR="00794EC3">
        <w:rPr>
          <w:noProof/>
        </w:rPr>
        <w:t>’</w:t>
      </w:r>
      <w:r>
        <w:rPr>
          <w:noProof/>
        </w:rPr>
        <w:t>s external balance (</w:t>
      </w:r>
      <w:r w:rsidR="00E014AF">
        <w:rPr>
          <w:noProof/>
        </w:rPr>
        <w:t xml:space="preserve">i.e. </w:t>
      </w:r>
      <w:r>
        <w:rPr>
          <w:noProof/>
        </w:rPr>
        <w:t xml:space="preserve">the combined current and capital account) </w:t>
      </w:r>
      <w:r w:rsidR="7AA85028">
        <w:rPr>
          <w:noProof/>
        </w:rPr>
        <w:t xml:space="preserve">improved </w:t>
      </w:r>
      <w:r w:rsidR="00E014AF">
        <w:rPr>
          <w:noProof/>
        </w:rPr>
        <w:t xml:space="preserve">slightly </w:t>
      </w:r>
      <w:r>
        <w:rPr>
          <w:noProof/>
        </w:rPr>
        <w:t>from -6.7% of GDP in 202</w:t>
      </w:r>
      <w:r w:rsidR="006835AE">
        <w:rPr>
          <w:noProof/>
        </w:rPr>
        <w:t>4</w:t>
      </w:r>
      <w:r>
        <w:rPr>
          <w:noProof/>
        </w:rPr>
        <w:t xml:space="preserve"> to </w:t>
      </w:r>
      <w:r w:rsidRPr="00AF11CC">
        <w:rPr>
          <w:noProof/>
        </w:rPr>
        <w:t>-</w:t>
      </w:r>
      <w:r w:rsidR="00BF72CE" w:rsidRPr="00AF11CC">
        <w:rPr>
          <w:noProof/>
        </w:rPr>
        <w:t>6.</w:t>
      </w:r>
      <w:r w:rsidR="0042565A" w:rsidRPr="00AF11CC">
        <w:rPr>
          <w:noProof/>
        </w:rPr>
        <w:t>0</w:t>
      </w:r>
      <w:r w:rsidRPr="0042565A">
        <w:rPr>
          <w:noProof/>
        </w:rPr>
        <w:t>%</w:t>
      </w:r>
      <w:r>
        <w:rPr>
          <w:noProof/>
        </w:rPr>
        <w:t xml:space="preserve"> in 202</w:t>
      </w:r>
      <w:r w:rsidR="00135089">
        <w:rPr>
          <w:noProof/>
        </w:rPr>
        <w:t>5</w:t>
      </w:r>
      <w:r>
        <w:rPr>
          <w:noProof/>
        </w:rPr>
        <w:t xml:space="preserve">, mainly due to </w:t>
      </w:r>
      <w:r w:rsidR="00A14315" w:rsidRPr="00A14315">
        <w:rPr>
          <w:noProof/>
        </w:rPr>
        <w:t xml:space="preserve">an increase in the capital account surplus </w:t>
      </w:r>
      <w:r w:rsidR="00B845A1">
        <w:rPr>
          <w:noProof/>
        </w:rPr>
        <w:t xml:space="preserve">thanks </w:t>
      </w:r>
      <w:r w:rsidR="00A14315" w:rsidRPr="00A14315">
        <w:rPr>
          <w:noProof/>
        </w:rPr>
        <w:t>to better absorption of EU funds</w:t>
      </w:r>
      <w:r w:rsidR="00FF333E">
        <w:rPr>
          <w:noProof/>
        </w:rPr>
        <w:t xml:space="preserve">. </w:t>
      </w:r>
      <w:r w:rsidR="00B845A1">
        <w:rPr>
          <w:noProof/>
        </w:rPr>
        <w:t>Romania’s current account deficit remained considerable, a</w:t>
      </w:r>
      <w:r w:rsidR="008A5254">
        <w:rPr>
          <w:noProof/>
        </w:rPr>
        <w:t xml:space="preserve">t </w:t>
      </w:r>
      <w:r w:rsidR="008060ED">
        <w:rPr>
          <w:noProof/>
        </w:rPr>
        <w:t>7.9</w:t>
      </w:r>
      <w:r w:rsidR="008A5254">
        <w:rPr>
          <w:noProof/>
        </w:rPr>
        <w:t xml:space="preserve">% of GDP </w:t>
      </w:r>
      <w:r w:rsidR="00B845A1">
        <w:rPr>
          <w:noProof/>
        </w:rPr>
        <w:t>in</w:t>
      </w:r>
      <w:r w:rsidR="008A5254">
        <w:rPr>
          <w:noProof/>
        </w:rPr>
        <w:t xml:space="preserve"> 2025</w:t>
      </w:r>
      <w:r w:rsidR="00B845A1">
        <w:rPr>
          <w:noProof/>
        </w:rPr>
        <w:t>,</w:t>
      </w:r>
      <w:r w:rsidR="00FF333E">
        <w:rPr>
          <w:noProof/>
        </w:rPr>
        <w:t xml:space="preserve"> despite </w:t>
      </w:r>
      <w:r w:rsidR="00244EEC">
        <w:rPr>
          <w:noProof/>
        </w:rPr>
        <w:t xml:space="preserve">a marginal decrease in the second half of </w:t>
      </w:r>
      <w:r w:rsidR="008A5254">
        <w:rPr>
          <w:noProof/>
        </w:rPr>
        <w:t>the year</w:t>
      </w:r>
      <w:r w:rsidR="00244EEC">
        <w:rPr>
          <w:noProof/>
        </w:rPr>
        <w:t xml:space="preserve"> </w:t>
      </w:r>
      <w:r w:rsidR="00B11684" w:rsidRPr="00B11684">
        <w:rPr>
          <w:noProof/>
        </w:rPr>
        <w:t>amid fiscal consolidation</w:t>
      </w:r>
      <w:r w:rsidR="00B11684">
        <w:rPr>
          <w:noProof/>
        </w:rPr>
        <w:t xml:space="preserve"> and </w:t>
      </w:r>
      <w:r w:rsidR="00B11684" w:rsidRPr="00B11684">
        <w:rPr>
          <w:noProof/>
        </w:rPr>
        <w:t>weaker domestic demand</w:t>
      </w:r>
      <w:r w:rsidR="00B11684">
        <w:rPr>
          <w:noProof/>
        </w:rPr>
        <w:t>.</w:t>
      </w:r>
      <w:r w:rsidR="005916A3">
        <w:rPr>
          <w:noProof/>
        </w:rPr>
        <w:t xml:space="preserve"> </w:t>
      </w:r>
      <w:r>
        <w:rPr>
          <w:noProof/>
        </w:rPr>
        <w:t>The Romanian economy is well</w:t>
      </w:r>
      <w:r w:rsidR="00D6132F">
        <w:rPr>
          <w:noProof/>
        </w:rPr>
        <w:t>-</w:t>
      </w:r>
      <w:r>
        <w:rPr>
          <w:noProof/>
        </w:rPr>
        <w:t xml:space="preserve">integrated with the euro area through trade and investment linkages. Selected indicators relating to the </w:t>
      </w:r>
      <w:r w:rsidR="340BED57">
        <w:rPr>
          <w:noProof/>
        </w:rPr>
        <w:t xml:space="preserve">institutional </w:t>
      </w:r>
      <w:r>
        <w:rPr>
          <w:noProof/>
        </w:rPr>
        <w:t>environment show that Romania perform</w:t>
      </w:r>
      <w:r w:rsidR="005865F4">
        <w:rPr>
          <w:noProof/>
        </w:rPr>
        <w:t>s</w:t>
      </w:r>
      <w:r>
        <w:rPr>
          <w:noProof/>
        </w:rPr>
        <w:t xml:space="preserve"> worse than many euro area Member States</w:t>
      </w:r>
      <w:r w:rsidR="00C04D52">
        <w:rPr>
          <w:noProof/>
        </w:rPr>
        <w:t xml:space="preserve"> in this regard</w:t>
      </w:r>
      <w:r>
        <w:rPr>
          <w:noProof/>
        </w:rPr>
        <w:t xml:space="preserve">. </w:t>
      </w:r>
      <w:r w:rsidR="001946FC">
        <w:rPr>
          <w:noProof/>
        </w:rPr>
        <w:t xml:space="preserve">Romania </w:t>
      </w:r>
      <w:r w:rsidR="001946FC" w:rsidRPr="001946FC">
        <w:rPr>
          <w:noProof/>
        </w:rPr>
        <w:t>faces challenges in areas such as control of corruption.</w:t>
      </w:r>
      <w:r w:rsidR="001946FC">
        <w:rPr>
          <w:noProof/>
        </w:rPr>
        <w:t xml:space="preserve"> </w:t>
      </w:r>
      <w:r>
        <w:rPr>
          <w:noProof/>
        </w:rPr>
        <w:t>The financial sector in Romania is smaller and less developed than in the euro area. Romania's banking sector is well</w:t>
      </w:r>
      <w:r w:rsidR="00524319">
        <w:rPr>
          <w:noProof/>
        </w:rPr>
        <w:t>-</w:t>
      </w:r>
      <w:r>
        <w:rPr>
          <w:noProof/>
        </w:rPr>
        <w:t xml:space="preserve">integrated </w:t>
      </w:r>
      <w:r w:rsidR="00A965B7">
        <w:rPr>
          <w:noProof/>
        </w:rPr>
        <w:t>into</w:t>
      </w:r>
      <w:r>
        <w:rPr>
          <w:noProof/>
        </w:rPr>
        <w:t xml:space="preserve"> the euro area</w:t>
      </w:r>
      <w:r w:rsidR="00DC457E">
        <w:rPr>
          <w:noProof/>
        </w:rPr>
        <w:t>’s</w:t>
      </w:r>
      <w:r>
        <w:rPr>
          <w:noProof/>
        </w:rPr>
        <w:t xml:space="preserve"> financial system, in particular through a high level of foreign ownership in its banking system. However, market-based financing is less developed</w:t>
      </w:r>
      <w:r w:rsidR="008A5254">
        <w:rPr>
          <w:noProof/>
        </w:rPr>
        <w:t xml:space="preserve"> than in the euro area</w:t>
      </w:r>
      <w:r>
        <w:rPr>
          <w:noProof/>
        </w:rPr>
        <w:t xml:space="preserve">, </w:t>
      </w:r>
      <w:r w:rsidR="00B845A1">
        <w:rPr>
          <w:noProof/>
        </w:rPr>
        <w:t>as</w:t>
      </w:r>
      <w:r>
        <w:rPr>
          <w:noProof/>
        </w:rPr>
        <w:t xml:space="preserve"> </w:t>
      </w:r>
      <w:r w:rsidRPr="00122FCB">
        <w:rPr>
          <w:noProof/>
        </w:rPr>
        <w:t xml:space="preserve">reflected in the very small markets for equity and private sector debt. </w:t>
      </w:r>
      <w:bookmarkStart w:id="9" w:name="_Hlk161993249"/>
      <w:r w:rsidRPr="00122FCB">
        <w:rPr>
          <w:noProof/>
        </w:rPr>
        <w:t>In the context of the Macroeconomic Imbalance Procedure, the Commission concluded in its Alert Mechanism Report for 202</w:t>
      </w:r>
      <w:r w:rsidR="00DA14BE">
        <w:rPr>
          <w:noProof/>
        </w:rPr>
        <w:t>6</w:t>
      </w:r>
      <w:r w:rsidRPr="00122FCB">
        <w:rPr>
          <w:noProof/>
        </w:rPr>
        <w:t xml:space="preserve"> that </w:t>
      </w:r>
      <w:r w:rsidR="7616D289" w:rsidRPr="00122FCB">
        <w:rPr>
          <w:noProof/>
        </w:rPr>
        <w:t xml:space="preserve">an In-Depth Review </w:t>
      </w:r>
      <w:r w:rsidR="00724C5A">
        <w:rPr>
          <w:noProof/>
        </w:rPr>
        <w:t xml:space="preserve">(IDR) </w:t>
      </w:r>
      <w:r w:rsidR="7616D289" w:rsidRPr="00122FCB">
        <w:rPr>
          <w:noProof/>
        </w:rPr>
        <w:t xml:space="preserve">was </w:t>
      </w:r>
      <w:r w:rsidRPr="00122FCB">
        <w:rPr>
          <w:noProof/>
        </w:rPr>
        <w:t xml:space="preserve">warranted </w:t>
      </w:r>
      <w:r w:rsidR="7616D289" w:rsidRPr="00122FCB">
        <w:rPr>
          <w:noProof/>
        </w:rPr>
        <w:t>for Romania</w:t>
      </w:r>
      <w:r w:rsidRPr="00122FCB">
        <w:rPr>
          <w:noProof/>
        </w:rPr>
        <w:t xml:space="preserve">. The </w:t>
      </w:r>
      <w:r w:rsidR="009239AD">
        <w:rPr>
          <w:noProof/>
        </w:rPr>
        <w:t>IDR</w:t>
      </w:r>
      <w:r w:rsidRPr="00122FCB">
        <w:rPr>
          <w:noProof/>
        </w:rPr>
        <w:t xml:space="preserve"> concluded that </w:t>
      </w:r>
      <w:r w:rsidR="00724C5A" w:rsidRPr="00724C5A">
        <w:rPr>
          <w:noProof/>
        </w:rPr>
        <w:t xml:space="preserve">Romania continues to face vulnerabilities related to </w:t>
      </w:r>
      <w:r w:rsidR="00724C5A" w:rsidRPr="007B5DCE">
        <w:rPr>
          <w:noProof/>
        </w:rPr>
        <w:t>large fiscal and external deficits, despite improvement</w:t>
      </w:r>
      <w:r w:rsidR="0025684A">
        <w:rPr>
          <w:noProof/>
        </w:rPr>
        <w:t>s</w:t>
      </w:r>
      <w:r w:rsidR="00724C5A" w:rsidRPr="007B5DCE">
        <w:rPr>
          <w:noProof/>
        </w:rPr>
        <w:t xml:space="preserve"> since the second half of 2025. At the same time, wage and cost pressures have moderated, with a potential positive impact on cost competitiveness. Romania’s high government deficit has been a key driver of the large external deficits and borrowing needs. The fiscal consolidation process initiated in 2025 helps reducing Romania’s vulnerabilities and </w:t>
      </w:r>
      <w:r w:rsidR="00C4620F">
        <w:rPr>
          <w:noProof/>
        </w:rPr>
        <w:t>is expected to</w:t>
      </w:r>
      <w:r w:rsidR="00724C5A" w:rsidRPr="007B5DCE">
        <w:rPr>
          <w:noProof/>
        </w:rPr>
        <w:t xml:space="preserve"> continue.</w:t>
      </w:r>
      <w:r w:rsidR="0091229E" w:rsidRPr="007B5DCE">
        <w:rPr>
          <w:noProof/>
        </w:rPr>
        <w:t xml:space="preserve"> </w:t>
      </w:r>
      <w:r w:rsidR="00347094" w:rsidRPr="00347094">
        <w:rPr>
          <w:noProof/>
        </w:rPr>
        <w:t xml:space="preserve">Taking into account this assessment in the IDR, the Commission, in its Communication on the </w:t>
      </w:r>
      <w:r w:rsidR="00EE0D1A">
        <w:rPr>
          <w:noProof/>
        </w:rPr>
        <w:t xml:space="preserve">2026 </w:t>
      </w:r>
      <w:r w:rsidR="00347094" w:rsidRPr="00347094">
        <w:rPr>
          <w:noProof/>
        </w:rPr>
        <w:t xml:space="preserve">European Semester Spring Package, considers </w:t>
      </w:r>
      <w:r w:rsidR="00347094" w:rsidRPr="00BD758F">
        <w:rPr>
          <w:noProof/>
        </w:rPr>
        <w:t xml:space="preserve">that Romania </w:t>
      </w:r>
      <w:r w:rsidR="00347094" w:rsidRPr="00E55FB5">
        <w:rPr>
          <w:noProof/>
        </w:rPr>
        <w:t xml:space="preserve">continues </w:t>
      </w:r>
      <w:r w:rsidR="00BD758F" w:rsidRPr="00E55FB5">
        <w:rPr>
          <w:noProof/>
        </w:rPr>
        <w:t xml:space="preserve">to </w:t>
      </w:r>
      <w:r w:rsidR="00347094" w:rsidRPr="00E55FB5">
        <w:rPr>
          <w:noProof/>
        </w:rPr>
        <w:t>experienc</w:t>
      </w:r>
      <w:r w:rsidR="00BD758F" w:rsidRPr="00E55FB5">
        <w:rPr>
          <w:noProof/>
        </w:rPr>
        <w:t>e</w:t>
      </w:r>
      <w:r w:rsidR="00347094" w:rsidRPr="00E55FB5">
        <w:rPr>
          <w:noProof/>
        </w:rPr>
        <w:t xml:space="preserve"> excessive macroeconomic imbalances.</w:t>
      </w:r>
    </w:p>
    <w:bookmarkEnd w:id="9"/>
    <w:p w14:paraId="16007571" w14:textId="4BF157A1" w:rsidR="00B064F5" w:rsidRDefault="00F62737" w:rsidP="009F0DD6">
      <w:pPr>
        <w:ind w:left="567"/>
        <w:rPr>
          <w:noProof/>
        </w:rPr>
      </w:pPr>
      <w:r w:rsidRPr="00E20F9B">
        <w:rPr>
          <w:noProof/>
        </w:rPr>
        <w:t xml:space="preserve">Romania’s recovery and resilience plan (RRP) includes measures to address a series of structural challenges, in synergy with other EU funds, including cohesion policy funds, to boost its competitiveness and stimulate sustainable growth and reduce the country’s territorial and social disparities. </w:t>
      </w:r>
      <w:r w:rsidR="32BFE008">
        <w:rPr>
          <w:noProof/>
        </w:rPr>
        <w:t>Following the 2025 revision</w:t>
      </w:r>
      <w:r w:rsidR="00924A38">
        <w:rPr>
          <w:noProof/>
        </w:rPr>
        <w:t xml:space="preserve"> of its RRP</w:t>
      </w:r>
      <w:r w:rsidR="32BFE008">
        <w:rPr>
          <w:noProof/>
        </w:rPr>
        <w:t xml:space="preserve">, Romania’s RRF envelope amounts to about EUR 21.4 billion for 2021-2026, including EUR 13.5 billion in grants and EUR 7.8 billion in loans. The revised plan substantially reduced the loan component from EUR 14.9 billion to EUR 7.8 billion, </w:t>
      </w:r>
      <w:r w:rsidR="00924A38">
        <w:rPr>
          <w:noProof/>
        </w:rPr>
        <w:t>due to</w:t>
      </w:r>
      <w:r w:rsidR="32BFE008">
        <w:rPr>
          <w:noProof/>
        </w:rPr>
        <w:t xml:space="preserve"> implementation delays and the scaling back of measures considered no longer fully achievable. Romania ha</w:t>
      </w:r>
      <w:r w:rsidR="00924A38">
        <w:rPr>
          <w:noProof/>
        </w:rPr>
        <w:t>d</w:t>
      </w:r>
      <w:r w:rsidR="32BFE008">
        <w:rPr>
          <w:noProof/>
        </w:rPr>
        <w:t xml:space="preserve"> submitted four payment requests by the end of 2025. By </w:t>
      </w:r>
      <w:r w:rsidR="6E0980C4">
        <w:rPr>
          <w:noProof/>
        </w:rPr>
        <w:t>June</w:t>
      </w:r>
      <w:r w:rsidR="32BFE008">
        <w:rPr>
          <w:noProof/>
        </w:rPr>
        <w:t xml:space="preserve"> 2026, total disbursements amounted to </w:t>
      </w:r>
      <w:r w:rsidR="5B375159">
        <w:rPr>
          <w:noProof/>
        </w:rPr>
        <w:t>around 60% of the total envelope</w:t>
      </w:r>
      <w:r w:rsidR="3BD480F2">
        <w:rPr>
          <w:noProof/>
        </w:rPr>
        <w:t>.</w:t>
      </w:r>
      <w:r w:rsidR="004A208C" w:rsidRPr="004A208C">
        <w:rPr>
          <w:noProof/>
        </w:rPr>
        <w:t xml:space="preserve"> </w:t>
      </w:r>
      <w:r w:rsidR="00132973" w:rsidRPr="00132973">
        <w:rPr>
          <w:noProof/>
        </w:rPr>
        <w:t xml:space="preserve">Key reforms in </w:t>
      </w:r>
      <w:r w:rsidR="00132973">
        <w:rPr>
          <w:noProof/>
        </w:rPr>
        <w:t>Romania</w:t>
      </w:r>
      <w:r w:rsidR="00132973" w:rsidRPr="00132973">
        <w:rPr>
          <w:noProof/>
        </w:rPr>
        <w:t xml:space="preserve">’s RRP </w:t>
      </w:r>
      <w:r w:rsidR="00924A38">
        <w:rPr>
          <w:noProof/>
        </w:rPr>
        <w:t xml:space="preserve">concern </w:t>
      </w:r>
      <w:r w:rsidR="00132973" w:rsidRPr="00132973">
        <w:rPr>
          <w:noProof/>
        </w:rPr>
        <w:t>pension</w:t>
      </w:r>
      <w:r w:rsidR="00132973">
        <w:rPr>
          <w:noProof/>
        </w:rPr>
        <w:t>s</w:t>
      </w:r>
      <w:r w:rsidR="00132973" w:rsidRPr="00132973">
        <w:rPr>
          <w:noProof/>
        </w:rPr>
        <w:t>, decarbonisation/</w:t>
      </w:r>
      <w:r w:rsidR="00924A38">
        <w:rPr>
          <w:noProof/>
        </w:rPr>
        <w:t xml:space="preserve">phase-out of </w:t>
      </w:r>
      <w:r w:rsidR="00132973" w:rsidRPr="00132973">
        <w:rPr>
          <w:noProof/>
        </w:rPr>
        <w:t>coal and lignite energy production, state-owned enterprises, tax administration and tax reform, and social and healthcare</w:t>
      </w:r>
      <w:r w:rsidR="00132973">
        <w:rPr>
          <w:noProof/>
        </w:rPr>
        <w:t xml:space="preserve">. </w:t>
      </w:r>
      <w:r w:rsidR="00F60DF0" w:rsidRPr="00E20F9B">
        <w:rPr>
          <w:noProof/>
        </w:rPr>
        <w:t xml:space="preserve">In addition, cohesion policy provides Romania with </w:t>
      </w:r>
      <w:r w:rsidR="00F60DF0" w:rsidRPr="0A0524D5">
        <w:rPr>
          <w:noProof/>
        </w:rPr>
        <w:t>EUR</w:t>
      </w:r>
      <w:r w:rsidR="00F60DF0" w:rsidRPr="0A0524D5">
        <w:rPr>
          <w:rFonts w:ascii="Arial" w:hAnsi="Arial" w:cs="Arial"/>
          <w:noProof/>
        </w:rPr>
        <w:t> </w:t>
      </w:r>
      <w:r w:rsidR="00F96391">
        <w:rPr>
          <w:noProof/>
        </w:rPr>
        <w:t>33.7</w:t>
      </w:r>
      <w:r w:rsidR="00F60DF0" w:rsidRPr="00E20F9B">
        <w:rPr>
          <w:noProof/>
        </w:rPr>
        <w:t xml:space="preserve"> </w:t>
      </w:r>
      <w:r w:rsidR="00F60DF0" w:rsidRPr="0A0524D5">
        <w:rPr>
          <w:noProof/>
        </w:rPr>
        <w:t>billion</w:t>
      </w:r>
      <w:r w:rsidR="00F60DF0" w:rsidRPr="0A0524D5">
        <w:rPr>
          <w:rFonts w:ascii="Arial" w:hAnsi="Arial" w:cs="Arial"/>
          <w:noProof/>
        </w:rPr>
        <w:t> </w:t>
      </w:r>
      <w:r w:rsidR="00F60DF0" w:rsidRPr="0A0524D5">
        <w:rPr>
          <w:noProof/>
        </w:rPr>
        <w:t>for</w:t>
      </w:r>
      <w:r w:rsidR="00F60DF0" w:rsidRPr="00E20F9B">
        <w:rPr>
          <w:noProof/>
        </w:rPr>
        <w:t xml:space="preserve"> the 2021-2027 period. Cohesion policy financing aims to further support Romania</w:t>
      </w:r>
      <w:r w:rsidR="00F60DF0" w:rsidRPr="00E20F9B">
        <w:rPr>
          <w:rFonts w:cs="EC Square Sans Pro"/>
          <w:noProof/>
        </w:rPr>
        <w:t>’</w:t>
      </w:r>
      <w:r w:rsidR="00F60DF0" w:rsidRPr="00E20F9B">
        <w:rPr>
          <w:noProof/>
        </w:rPr>
        <w:t>s competitiveness</w:t>
      </w:r>
      <w:r w:rsidR="00F60DF0" w:rsidRPr="00C4496A">
        <w:rPr>
          <w:noProof/>
        </w:rPr>
        <w:t xml:space="preserve"> and upward social convergence</w:t>
      </w:r>
      <w:r w:rsidR="00F60DF0" w:rsidRPr="00E20F9B">
        <w:rPr>
          <w:noProof/>
        </w:rPr>
        <w:t>, including</w:t>
      </w:r>
      <w:r w:rsidR="00924A38">
        <w:rPr>
          <w:noProof/>
        </w:rPr>
        <w:t xml:space="preserve"> through investments in</w:t>
      </w:r>
      <w:r w:rsidR="00F60DF0" w:rsidRPr="00E20F9B">
        <w:rPr>
          <w:noProof/>
        </w:rPr>
        <w:t xml:space="preserve"> </w:t>
      </w:r>
      <w:r w:rsidR="6824CF59" w:rsidRPr="0A0524D5">
        <w:rPr>
          <w:noProof/>
        </w:rPr>
        <w:t xml:space="preserve">research, </w:t>
      </w:r>
      <w:r w:rsidR="00F60DF0" w:rsidRPr="0A0524D5">
        <w:rPr>
          <w:noProof/>
        </w:rPr>
        <w:t>innovation</w:t>
      </w:r>
      <w:r w:rsidR="73A30C23" w:rsidRPr="0A0524D5">
        <w:rPr>
          <w:noProof/>
        </w:rPr>
        <w:t xml:space="preserve">, and </w:t>
      </w:r>
      <w:r w:rsidR="1865E7D3" w:rsidRPr="0A0524D5">
        <w:rPr>
          <w:noProof/>
        </w:rPr>
        <w:t>SMEs competitiveness,</w:t>
      </w:r>
      <w:r w:rsidR="00F60DF0" w:rsidRPr="00E20F9B">
        <w:rPr>
          <w:noProof/>
        </w:rPr>
        <w:t xml:space="preserve"> the green and just transition, the modernisation of </w:t>
      </w:r>
      <w:r w:rsidR="19895DA1" w:rsidRPr="0A0524D5">
        <w:rPr>
          <w:noProof/>
        </w:rPr>
        <w:t>labour market institutions</w:t>
      </w:r>
      <w:r w:rsidR="00F60DF0" w:rsidRPr="00E20F9B">
        <w:rPr>
          <w:noProof/>
        </w:rPr>
        <w:t xml:space="preserve">, the development of skills and </w:t>
      </w:r>
      <w:r w:rsidR="00F60DF0" w:rsidRPr="00C4496A">
        <w:rPr>
          <w:noProof/>
        </w:rPr>
        <w:t>increased quality</w:t>
      </w:r>
      <w:r w:rsidR="00F60DF0" w:rsidRPr="00E20F9B">
        <w:rPr>
          <w:noProof/>
        </w:rPr>
        <w:t xml:space="preserve"> and </w:t>
      </w:r>
      <w:r w:rsidR="00F60DF0" w:rsidRPr="00C4496A">
        <w:rPr>
          <w:noProof/>
        </w:rPr>
        <w:t xml:space="preserve">inclusiveness of education and training, as well as </w:t>
      </w:r>
      <w:r w:rsidR="00924A38">
        <w:rPr>
          <w:noProof/>
        </w:rPr>
        <w:t xml:space="preserve">poverty </w:t>
      </w:r>
      <w:r w:rsidR="00F60DF0" w:rsidRPr="00E20F9B">
        <w:rPr>
          <w:noProof/>
        </w:rPr>
        <w:t xml:space="preserve">reduction. </w:t>
      </w:r>
      <w:r w:rsidR="00594AC4">
        <w:rPr>
          <w:noProof/>
        </w:rPr>
        <w:t xml:space="preserve">While </w:t>
      </w:r>
      <w:r w:rsidR="00F60DF0" w:rsidRPr="00E20F9B">
        <w:rPr>
          <w:noProof/>
        </w:rPr>
        <w:t>Romania has made progress in implementing cohesion policy</w:t>
      </w:r>
      <w:r w:rsidR="00594AC4">
        <w:rPr>
          <w:noProof/>
        </w:rPr>
        <w:t>,</w:t>
      </w:r>
      <w:r w:rsidR="00F60DF0" w:rsidRPr="00E20F9B">
        <w:rPr>
          <w:noProof/>
        </w:rPr>
        <w:t xml:space="preserve"> challenges remain</w:t>
      </w:r>
      <w:r w:rsidR="00594AC4">
        <w:rPr>
          <w:noProof/>
        </w:rPr>
        <w:t xml:space="preserve">, with </w:t>
      </w:r>
      <w:r w:rsidR="00F60DF0" w:rsidRPr="00E20F9B">
        <w:rPr>
          <w:noProof/>
        </w:rPr>
        <w:t>significant territorial disparities in</w:t>
      </w:r>
      <w:r w:rsidR="00594AC4">
        <w:rPr>
          <w:noProof/>
        </w:rPr>
        <w:t xml:space="preserve"> terms of</w:t>
      </w:r>
      <w:r w:rsidR="00F60DF0" w:rsidRPr="00E20F9B">
        <w:rPr>
          <w:noProof/>
        </w:rPr>
        <w:t xml:space="preserve"> investment and employment between the capital region and other regions, as well as between urban and non-urban areas.</w:t>
      </w:r>
      <w:r w:rsidR="00F60DF0">
        <w:rPr>
          <w:noProof/>
        </w:rPr>
        <w:t xml:space="preserve"> </w:t>
      </w:r>
    </w:p>
    <w:p w14:paraId="62F0F636" w14:textId="77777777" w:rsidR="00574760" w:rsidRPr="00E20F9B" w:rsidRDefault="00574760" w:rsidP="00574760">
      <w:pPr>
        <w:ind w:left="567"/>
        <w:rPr>
          <w:noProof/>
        </w:rPr>
      </w:pPr>
    </w:p>
    <w:p w14:paraId="63CE77E7" w14:textId="718937EF" w:rsidR="00B33FB6" w:rsidRPr="00222EB8" w:rsidRDefault="003C562C" w:rsidP="64663B56">
      <w:pPr>
        <w:numPr>
          <w:ilvl w:val="0"/>
          <w:numId w:val="1"/>
        </w:numPr>
        <w:ind w:left="567" w:hanging="567"/>
        <w:rPr>
          <w:b/>
          <w:bCs/>
          <w:noProof/>
        </w:rPr>
      </w:pPr>
      <w:r w:rsidRPr="64663B56">
        <w:rPr>
          <w:b/>
          <w:bCs/>
          <w:noProof/>
        </w:rPr>
        <w:t>SWEDEN</w:t>
      </w:r>
    </w:p>
    <w:p w14:paraId="0B1EF0DB" w14:textId="04BB910F" w:rsidR="00B33FB6" w:rsidRDefault="18C99602">
      <w:pPr>
        <w:spacing w:after="0"/>
        <w:ind w:left="555"/>
        <w:rPr>
          <w:rFonts w:ascii="Calibri" w:eastAsia="Calibri" w:hAnsi="Calibri" w:cs="Calibri"/>
          <w:noProof/>
          <w:color w:val="000000" w:themeColor="text1"/>
          <w:szCs w:val="20"/>
        </w:rPr>
      </w:pPr>
      <w:r w:rsidRPr="64663B56">
        <w:rPr>
          <w:rFonts w:eastAsia="EC Square Sans Pro" w:cs="EC Square Sans Pro"/>
          <w:b/>
          <w:bCs/>
          <w:noProof/>
          <w:szCs w:val="20"/>
        </w:rPr>
        <w:t>In the light of its assessment on legal compatibility and on the fulfilment of the convergence criteria, and</w:t>
      </w:r>
      <w:r w:rsidRPr="64663B56">
        <w:rPr>
          <w:rFonts w:ascii="Calibri" w:eastAsia="Calibri" w:hAnsi="Calibri" w:cs="Calibri"/>
          <w:b/>
          <w:bCs/>
          <w:noProof/>
          <w:szCs w:val="20"/>
        </w:rPr>
        <w:t xml:space="preserve"> </w:t>
      </w:r>
      <w:r w:rsidRPr="64663B56">
        <w:rPr>
          <w:rFonts w:eastAsia="EC Square Sans Pro" w:cs="EC Square Sans Pro"/>
          <w:b/>
          <w:bCs/>
          <w:noProof/>
          <w:szCs w:val="20"/>
        </w:rPr>
        <w:t>taking into account</w:t>
      </w:r>
      <w:r w:rsidRPr="64663B56">
        <w:rPr>
          <w:rFonts w:ascii="Calibri" w:eastAsia="Calibri" w:hAnsi="Calibri" w:cs="Calibri"/>
          <w:b/>
          <w:bCs/>
          <w:noProof/>
          <w:szCs w:val="20"/>
        </w:rPr>
        <w:t xml:space="preserve"> </w:t>
      </w:r>
      <w:r w:rsidRPr="64663B56">
        <w:rPr>
          <w:rFonts w:eastAsia="EC Square Sans Pro" w:cs="EC Square Sans Pro"/>
          <w:b/>
          <w:bCs/>
          <w:noProof/>
          <w:szCs w:val="20"/>
        </w:rPr>
        <w:t>the</w:t>
      </w:r>
      <w:r w:rsidRPr="64663B56">
        <w:rPr>
          <w:rFonts w:ascii="Calibri" w:eastAsia="Calibri" w:hAnsi="Calibri" w:cs="Calibri"/>
          <w:b/>
          <w:bCs/>
          <w:noProof/>
          <w:szCs w:val="20"/>
        </w:rPr>
        <w:t xml:space="preserve"> </w:t>
      </w:r>
      <w:r w:rsidRPr="64663B56">
        <w:rPr>
          <w:rFonts w:eastAsia="EC Square Sans Pro" w:cs="EC Square Sans Pro"/>
          <w:b/>
          <w:bCs/>
          <w:noProof/>
          <w:szCs w:val="20"/>
        </w:rPr>
        <w:t>additional</w:t>
      </w:r>
      <w:r w:rsidRPr="64663B56">
        <w:rPr>
          <w:rFonts w:ascii="Calibri" w:eastAsia="Calibri" w:hAnsi="Calibri" w:cs="Calibri"/>
          <w:b/>
          <w:bCs/>
          <w:noProof/>
          <w:szCs w:val="20"/>
        </w:rPr>
        <w:t xml:space="preserve"> </w:t>
      </w:r>
      <w:r w:rsidRPr="64663B56">
        <w:rPr>
          <w:rFonts w:eastAsia="EC Square Sans Pro" w:cs="EC Square Sans Pro"/>
          <w:b/>
          <w:bCs/>
          <w:noProof/>
          <w:szCs w:val="20"/>
        </w:rPr>
        <w:t>relevant factors, the</w:t>
      </w:r>
      <w:r w:rsidRPr="64663B56">
        <w:rPr>
          <w:rFonts w:ascii="Calibri" w:eastAsia="Calibri" w:hAnsi="Calibri" w:cs="Calibri"/>
          <w:b/>
          <w:bCs/>
          <w:noProof/>
          <w:szCs w:val="20"/>
        </w:rPr>
        <w:t xml:space="preserve"> </w:t>
      </w:r>
      <w:r w:rsidRPr="64663B56">
        <w:rPr>
          <w:rFonts w:eastAsia="EC Square Sans Pro" w:cs="EC Square Sans Pro"/>
          <w:b/>
          <w:bCs/>
          <w:noProof/>
          <w:szCs w:val="20"/>
        </w:rPr>
        <w:t xml:space="preserve">Commission considers that Sweden does not fulfil the conditions for </w:t>
      </w:r>
      <w:r w:rsidR="00A03890">
        <w:rPr>
          <w:rFonts w:eastAsia="EC Square Sans Pro" w:cs="EC Square Sans Pro"/>
          <w:b/>
          <w:bCs/>
          <w:noProof/>
          <w:szCs w:val="20"/>
        </w:rPr>
        <w:t xml:space="preserve">adopting </w:t>
      </w:r>
      <w:r w:rsidRPr="64663B56">
        <w:rPr>
          <w:rFonts w:eastAsia="EC Square Sans Pro" w:cs="EC Square Sans Pro"/>
          <w:b/>
          <w:bCs/>
          <w:noProof/>
          <w:szCs w:val="20"/>
        </w:rPr>
        <w:t>the euro.</w:t>
      </w:r>
      <w:r w:rsidRPr="64663B56">
        <w:rPr>
          <w:rFonts w:ascii="Calibri" w:eastAsia="Calibri" w:hAnsi="Calibri" w:cs="Calibri"/>
          <w:noProof/>
          <w:color w:val="000000" w:themeColor="text1"/>
          <w:szCs w:val="20"/>
        </w:rPr>
        <w:t xml:space="preserve"> </w:t>
      </w:r>
    </w:p>
    <w:p w14:paraId="6EF44F8E" w14:textId="77777777" w:rsidR="00716992" w:rsidRPr="00222EB8" w:rsidRDefault="00716992" w:rsidP="00790336">
      <w:pPr>
        <w:spacing w:after="0"/>
        <w:ind w:left="555"/>
        <w:rPr>
          <w:rFonts w:ascii="Calibri" w:eastAsia="Calibri" w:hAnsi="Calibri" w:cs="Calibri"/>
          <w:noProof/>
          <w:color w:val="000000" w:themeColor="text1"/>
          <w:szCs w:val="20"/>
        </w:rPr>
      </w:pPr>
    </w:p>
    <w:p w14:paraId="3F096AF4" w14:textId="313E103F" w:rsidR="00B33FB6" w:rsidRDefault="18C99602" w:rsidP="5BEF577F">
      <w:pPr>
        <w:spacing w:after="0"/>
        <w:ind w:left="555"/>
        <w:rPr>
          <w:rFonts w:eastAsia="EC Square Sans Pro" w:cs="EC Square Sans Pro"/>
          <w:noProof/>
          <w:color w:val="000000" w:themeColor="text1"/>
        </w:rPr>
      </w:pPr>
      <w:r w:rsidRPr="5BEF577F">
        <w:rPr>
          <w:rFonts w:eastAsia="EC Square Sans Pro" w:cs="EC Square Sans Pro"/>
          <w:b/>
          <w:bCs/>
          <w:noProof/>
          <w:color w:val="000000" w:themeColor="text1"/>
        </w:rPr>
        <w:t>Legislation in Sweden</w:t>
      </w:r>
      <w:r w:rsidR="00480CF0" w:rsidRPr="00E55FB5">
        <w:rPr>
          <w:rFonts w:eastAsia="EC Square Sans Pro" w:cs="EC Square Sans Pro"/>
          <w:noProof/>
          <w:color w:val="000000" w:themeColor="text1"/>
        </w:rPr>
        <w:t>,</w:t>
      </w:r>
      <w:r w:rsidRPr="5BEF577F">
        <w:rPr>
          <w:rFonts w:eastAsia="EC Square Sans Pro" w:cs="EC Square Sans Pro"/>
          <w:noProof/>
          <w:color w:val="000000" w:themeColor="text1"/>
        </w:rPr>
        <w:t xml:space="preserve"> particularly</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the</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Riksbank</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Act,</w:t>
      </w:r>
      <w:r w:rsidRPr="5BEF577F">
        <w:rPr>
          <w:rFonts w:ascii="Calibri" w:eastAsia="Calibri" w:hAnsi="Calibri" w:cs="Calibri"/>
          <w:noProof/>
          <w:color w:val="000000" w:themeColor="text1"/>
        </w:rPr>
        <w:t xml:space="preserve"> </w:t>
      </w:r>
      <w:r w:rsidRPr="5BEF577F">
        <w:rPr>
          <w:rFonts w:eastAsia="EC Square Sans Pro" w:cs="EC Square Sans Pro"/>
          <w:b/>
          <w:bCs/>
          <w:noProof/>
          <w:color w:val="000000" w:themeColor="text1"/>
        </w:rPr>
        <w:t>is not fully compatible</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 xml:space="preserve">with the requirements of Article 131 TFEU. Incompatibilities and imperfections persist in the fields of </w:t>
      </w:r>
      <w:r w:rsidR="00480CF0">
        <w:rPr>
          <w:rFonts w:eastAsia="EC Square Sans Pro" w:cs="EC Square Sans Pro"/>
          <w:noProof/>
          <w:color w:val="000000" w:themeColor="text1"/>
        </w:rPr>
        <w:t xml:space="preserve">the </w:t>
      </w:r>
      <w:r w:rsidRPr="5BEF577F">
        <w:rPr>
          <w:rFonts w:eastAsia="EC Square Sans Pro" w:cs="EC Square Sans Pro"/>
          <w:noProof/>
          <w:color w:val="000000" w:themeColor="text1"/>
        </w:rPr>
        <w:t xml:space="preserve">independence of the central bank, prohibition of monetary financing and </w:t>
      </w:r>
      <w:r w:rsidR="00480CF0">
        <w:rPr>
          <w:rFonts w:eastAsia="EC Square Sans Pro" w:cs="EC Square Sans Pro"/>
          <w:noProof/>
          <w:color w:val="000000" w:themeColor="text1"/>
        </w:rPr>
        <w:t xml:space="preserve">the integration of the </w:t>
      </w:r>
      <w:r w:rsidRPr="5BEF577F">
        <w:rPr>
          <w:rFonts w:eastAsia="EC Square Sans Pro" w:cs="EC Square Sans Pro"/>
          <w:noProof/>
          <w:color w:val="000000" w:themeColor="text1"/>
        </w:rPr>
        <w:t>central bank into the</w:t>
      </w:r>
      <w:r w:rsidR="1734BD5D" w:rsidRPr="38EC39C3">
        <w:rPr>
          <w:rFonts w:ascii="Calibri" w:eastAsia="Calibri" w:hAnsi="Calibri" w:cs="Calibri"/>
          <w:noProof/>
          <w:color w:val="000000" w:themeColor="text1"/>
        </w:rPr>
        <w:t xml:space="preserve"> </w:t>
      </w:r>
      <w:r w:rsidR="1734BD5D" w:rsidRPr="009F0DD6">
        <w:rPr>
          <w:rFonts w:eastAsia="EC Square Sans Pro" w:cs="EC Square Sans Pro"/>
          <w:noProof/>
          <w:color w:val="000000" w:themeColor="text1"/>
        </w:rPr>
        <w:t>Eurosystem</w:t>
      </w:r>
      <w:r w:rsidR="1734BD5D" w:rsidRPr="38EC39C3">
        <w:rPr>
          <w:rFonts w:ascii="Calibri" w:eastAsia="Calibri" w:hAnsi="Calibri" w:cs="Calibri"/>
          <w:noProof/>
          <w:color w:val="000000" w:themeColor="text1"/>
        </w:rPr>
        <w:t xml:space="preserve"> </w:t>
      </w:r>
      <w:r w:rsidRPr="5BEF577F">
        <w:rPr>
          <w:rFonts w:eastAsia="EC Square Sans Pro" w:cs="EC Square Sans Pro"/>
          <w:noProof/>
          <w:color w:val="000000" w:themeColor="text1"/>
        </w:rPr>
        <w:t>with regard to the</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Riksbank’s</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objectives and the</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ESCB</w:t>
      </w:r>
      <w:r w:rsidR="5F81C345" w:rsidRPr="38EC39C3">
        <w:rPr>
          <w:rFonts w:eastAsia="EC Square Sans Pro" w:cs="EC Square Sans Pro"/>
          <w:noProof/>
          <w:color w:val="000000" w:themeColor="text1"/>
        </w:rPr>
        <w:t>/ECB</w:t>
      </w:r>
      <w:r w:rsidRPr="38EC39C3">
        <w:rPr>
          <w:rFonts w:ascii="Calibri" w:eastAsia="Calibri" w:hAnsi="Calibri" w:cs="Calibri"/>
          <w:noProof/>
          <w:color w:val="000000" w:themeColor="text1"/>
        </w:rPr>
        <w:t xml:space="preserve"> </w:t>
      </w:r>
      <w:r w:rsidRPr="5BEF577F">
        <w:rPr>
          <w:rFonts w:eastAsia="EC Square Sans Pro" w:cs="EC Square Sans Pro"/>
          <w:noProof/>
          <w:color w:val="000000" w:themeColor="text1"/>
        </w:rPr>
        <w:t>tasks laid down in Article 127(</w:t>
      </w:r>
      <w:r w:rsidR="2202ADC7" w:rsidRPr="38EC39C3">
        <w:rPr>
          <w:rFonts w:eastAsia="EC Square Sans Pro" w:cs="EC Square Sans Pro"/>
          <w:noProof/>
          <w:color w:val="000000" w:themeColor="text1"/>
        </w:rPr>
        <w:t xml:space="preserve">1) and </w:t>
      </w:r>
      <w:r w:rsidRPr="38EC39C3">
        <w:rPr>
          <w:rFonts w:eastAsia="EC Square Sans Pro" w:cs="EC Square Sans Pro"/>
          <w:noProof/>
          <w:color w:val="000000" w:themeColor="text1"/>
        </w:rPr>
        <w:t>(</w:t>
      </w:r>
      <w:r w:rsidRPr="5BEF577F">
        <w:rPr>
          <w:rFonts w:eastAsia="EC Square Sans Pro" w:cs="EC Square Sans Pro"/>
          <w:noProof/>
          <w:color w:val="000000" w:themeColor="text1"/>
        </w:rPr>
        <w:t>2) TFEU and Article</w:t>
      </w:r>
      <w:r w:rsidR="00AB5993">
        <w:rPr>
          <w:rFonts w:eastAsia="EC Square Sans Pro" w:cs="EC Square Sans Pro"/>
          <w:noProof/>
          <w:color w:val="000000" w:themeColor="text1"/>
        </w:rPr>
        <w:t>s</w:t>
      </w:r>
      <w:r w:rsidRPr="5BEF577F">
        <w:rPr>
          <w:rFonts w:eastAsia="EC Square Sans Pro" w:cs="EC Square Sans Pro"/>
          <w:noProof/>
          <w:color w:val="000000" w:themeColor="text1"/>
        </w:rPr>
        <w:t xml:space="preserve"> </w:t>
      </w:r>
      <w:r w:rsidR="2D0151DB" w:rsidRPr="38EC39C3">
        <w:rPr>
          <w:rFonts w:eastAsia="EC Square Sans Pro" w:cs="EC Square Sans Pro"/>
          <w:noProof/>
          <w:color w:val="000000" w:themeColor="text1"/>
        </w:rPr>
        <w:t xml:space="preserve">2 and </w:t>
      </w:r>
      <w:r w:rsidRPr="5BEF577F">
        <w:rPr>
          <w:rFonts w:eastAsia="EC Square Sans Pro" w:cs="EC Square Sans Pro"/>
          <w:noProof/>
          <w:color w:val="000000" w:themeColor="text1"/>
        </w:rPr>
        <w:t>3 of the</w:t>
      </w:r>
      <w:r w:rsidRPr="5BEF577F">
        <w:rPr>
          <w:rFonts w:ascii="Calibri" w:eastAsia="Calibri" w:hAnsi="Calibri" w:cs="Calibri"/>
          <w:noProof/>
          <w:color w:val="000000" w:themeColor="text1"/>
        </w:rPr>
        <w:t xml:space="preserve"> </w:t>
      </w:r>
      <w:r w:rsidRPr="5BEF577F">
        <w:rPr>
          <w:rFonts w:eastAsia="EC Square Sans Pro" w:cs="EC Square Sans Pro"/>
          <w:noProof/>
          <w:color w:val="000000" w:themeColor="text1"/>
        </w:rPr>
        <w:t>ESCB/ECB Statute.</w:t>
      </w:r>
    </w:p>
    <w:p w14:paraId="0DE92A2C" w14:textId="77777777" w:rsidR="00716992" w:rsidRPr="00222EB8" w:rsidRDefault="00716992" w:rsidP="00790336">
      <w:pPr>
        <w:spacing w:after="0"/>
        <w:ind w:left="555"/>
        <w:rPr>
          <w:rFonts w:eastAsia="EC Square Sans Pro" w:cs="EC Square Sans Pro"/>
          <w:noProof/>
          <w:color w:val="000000" w:themeColor="text1"/>
          <w:szCs w:val="20"/>
        </w:rPr>
      </w:pPr>
    </w:p>
    <w:p w14:paraId="0EF24A35" w14:textId="13F48804" w:rsidR="0081542C" w:rsidRDefault="18C99602" w:rsidP="0008445A">
      <w:pPr>
        <w:spacing w:after="0"/>
        <w:ind w:left="555"/>
        <w:rPr>
          <w:rFonts w:eastAsia="EC Square Sans Pro" w:cs="EC Square Sans Pro"/>
          <w:noProof/>
        </w:rPr>
      </w:pPr>
      <w:r w:rsidRPr="6BEC2DF0">
        <w:rPr>
          <w:rFonts w:eastAsia="EC Square Sans Pro" w:cs="EC Square Sans Pro"/>
          <w:b/>
          <w:noProof/>
        </w:rPr>
        <w:t>Sweden</w:t>
      </w:r>
      <w:r w:rsidRPr="6BEC2DF0">
        <w:rPr>
          <w:rFonts w:ascii="Calibri" w:eastAsia="Calibri" w:hAnsi="Calibri" w:cs="Calibri"/>
          <w:b/>
          <w:noProof/>
        </w:rPr>
        <w:t xml:space="preserve"> </w:t>
      </w:r>
      <w:r w:rsidRPr="6BEC2DF0">
        <w:rPr>
          <w:rFonts w:eastAsia="EC Square Sans Pro" w:cs="EC Square Sans Pro"/>
          <w:b/>
          <w:noProof/>
        </w:rPr>
        <w:t>fulfils</w:t>
      </w:r>
      <w:r w:rsidRPr="6BEC2DF0">
        <w:rPr>
          <w:rFonts w:ascii="Calibri" w:eastAsia="Calibri" w:hAnsi="Calibri" w:cs="Calibri"/>
          <w:b/>
          <w:noProof/>
        </w:rPr>
        <w:t xml:space="preserve"> </w:t>
      </w:r>
      <w:r w:rsidRPr="6BEC2DF0">
        <w:rPr>
          <w:rFonts w:eastAsia="EC Square Sans Pro" w:cs="EC Square Sans Pro"/>
          <w:b/>
          <w:noProof/>
        </w:rPr>
        <w:t>the criterion on price stability.</w:t>
      </w:r>
      <w:r w:rsidRPr="6BEC2DF0">
        <w:rPr>
          <w:rFonts w:ascii="Calibri" w:eastAsia="Calibri" w:hAnsi="Calibri" w:cs="Calibri"/>
          <w:noProof/>
        </w:rPr>
        <w:t xml:space="preserve"> </w:t>
      </w:r>
      <w:r w:rsidRPr="6BEC2DF0">
        <w:rPr>
          <w:rFonts w:eastAsia="EC Square Sans Pro" w:cs="EC Square Sans Pro"/>
          <w:noProof/>
        </w:rPr>
        <w:t>The average HICP inflation rate in Sweden during the 12 months to</w:t>
      </w:r>
      <w:r w:rsidRPr="6BEC2DF0">
        <w:rPr>
          <w:rFonts w:ascii="Calibri" w:eastAsia="Calibri" w:hAnsi="Calibri" w:cs="Calibri"/>
          <w:noProof/>
        </w:rPr>
        <w:t xml:space="preserve"> </w:t>
      </w:r>
      <w:r w:rsidRPr="6BEC2DF0">
        <w:rPr>
          <w:rFonts w:eastAsia="EC Square Sans Pro" w:cs="EC Square Sans Pro"/>
          <w:noProof/>
        </w:rPr>
        <w:t>May 2026 was</w:t>
      </w:r>
      <w:r w:rsidRPr="00BE0276">
        <w:rPr>
          <w:rFonts w:eastAsia="EC Square Sans Pro" w:cs="EC Square Sans Pro"/>
          <w:noProof/>
        </w:rPr>
        <w:t xml:space="preserve"> </w:t>
      </w:r>
      <w:r w:rsidR="00380A2F" w:rsidRPr="00BE0276">
        <w:rPr>
          <w:rFonts w:eastAsia="EC Square Sans Pro" w:cs="EC Square Sans Pro"/>
          <w:noProof/>
        </w:rPr>
        <w:t>2.</w:t>
      </w:r>
      <w:r w:rsidR="00760DCB" w:rsidRPr="00BE0276">
        <w:rPr>
          <w:rFonts w:eastAsia="EC Square Sans Pro" w:cs="EC Square Sans Pro"/>
          <w:noProof/>
        </w:rPr>
        <w:t>2</w:t>
      </w:r>
      <w:r w:rsidRPr="6BEC2DF0">
        <w:rPr>
          <w:rFonts w:eastAsia="EC Square Sans Pro" w:cs="EC Square Sans Pro"/>
          <w:noProof/>
        </w:rPr>
        <w:t>%,</w:t>
      </w:r>
      <w:r w:rsidRPr="6BEC2DF0">
        <w:rPr>
          <w:rFonts w:ascii="Calibri" w:eastAsia="Calibri" w:hAnsi="Calibri" w:cs="Calibri"/>
          <w:noProof/>
        </w:rPr>
        <w:t xml:space="preserve"> </w:t>
      </w:r>
      <w:r w:rsidRPr="6BEC2DF0">
        <w:rPr>
          <w:rFonts w:eastAsia="EC Square Sans Pro" w:cs="EC Square Sans Pro"/>
          <w:noProof/>
        </w:rPr>
        <w:t>below</w:t>
      </w:r>
      <w:r w:rsidRPr="6BEC2DF0">
        <w:rPr>
          <w:rFonts w:ascii="Calibri" w:eastAsia="Calibri" w:hAnsi="Calibri" w:cs="Calibri"/>
          <w:noProof/>
        </w:rPr>
        <w:t xml:space="preserve"> </w:t>
      </w:r>
      <w:r w:rsidRPr="6BEC2DF0">
        <w:rPr>
          <w:rFonts w:eastAsia="EC Square Sans Pro" w:cs="EC Square Sans Pro"/>
          <w:noProof/>
        </w:rPr>
        <w:t>the reference value of</w:t>
      </w:r>
      <w:r w:rsidRPr="00BE0276">
        <w:rPr>
          <w:rFonts w:eastAsia="EC Square Sans Pro" w:cs="EC Square Sans Pro"/>
          <w:noProof/>
        </w:rPr>
        <w:t xml:space="preserve"> </w:t>
      </w:r>
      <w:r w:rsidR="00760DCB" w:rsidRPr="00BE0276">
        <w:rPr>
          <w:rFonts w:eastAsia="EC Square Sans Pro" w:cs="EC Square Sans Pro"/>
          <w:noProof/>
        </w:rPr>
        <w:t>2.7</w:t>
      </w:r>
      <w:r w:rsidRPr="6BEC2DF0">
        <w:rPr>
          <w:rFonts w:eastAsia="EC Square Sans Pro" w:cs="EC Square Sans Pro"/>
          <w:noProof/>
        </w:rPr>
        <w:t xml:space="preserve">%. </w:t>
      </w:r>
      <w:r w:rsidR="00402981" w:rsidRPr="6BEC2DF0">
        <w:rPr>
          <w:rFonts w:eastAsia="EC Square Sans Pro" w:cs="EC Square Sans Pro"/>
          <w:noProof/>
        </w:rPr>
        <w:t xml:space="preserve">It is projected to </w:t>
      </w:r>
      <w:r w:rsidR="005A0197">
        <w:rPr>
          <w:rFonts w:eastAsia="EC Square Sans Pro" w:cs="EC Square Sans Pro"/>
          <w:noProof/>
        </w:rPr>
        <w:t>decrease</w:t>
      </w:r>
      <w:r w:rsidR="0027078E" w:rsidRPr="6BEC2DF0">
        <w:rPr>
          <w:rFonts w:eastAsia="EC Square Sans Pro" w:cs="EC Square Sans Pro"/>
          <w:noProof/>
        </w:rPr>
        <w:t xml:space="preserve"> by the end of 2026 </w:t>
      </w:r>
      <w:r w:rsidR="003E7976" w:rsidRPr="6BEC2DF0">
        <w:rPr>
          <w:rFonts w:eastAsia="EC Square Sans Pro" w:cs="EC Square Sans Pro"/>
          <w:noProof/>
        </w:rPr>
        <w:t xml:space="preserve">before </w:t>
      </w:r>
      <w:r w:rsidR="003E7976" w:rsidRPr="0098405B">
        <w:rPr>
          <w:rFonts w:eastAsia="EC Square Sans Pro" w:cs="EC Square Sans Pro"/>
          <w:noProof/>
        </w:rPr>
        <w:t>increasing</w:t>
      </w:r>
      <w:r w:rsidR="008F4596" w:rsidRPr="005C455C">
        <w:rPr>
          <w:rFonts w:eastAsia="EC Square Sans Pro" w:cs="EC Square Sans Pro"/>
          <w:noProof/>
        </w:rPr>
        <w:t xml:space="preserve"> s</w:t>
      </w:r>
      <w:r w:rsidR="005A0197">
        <w:rPr>
          <w:rFonts w:eastAsia="EC Square Sans Pro" w:cs="EC Square Sans Pro"/>
          <w:noProof/>
        </w:rPr>
        <w:t>lightly</w:t>
      </w:r>
      <w:r w:rsidR="003E7976" w:rsidRPr="005C455C">
        <w:rPr>
          <w:rFonts w:eastAsia="EC Square Sans Pro" w:cs="EC Square Sans Pro"/>
          <w:noProof/>
        </w:rPr>
        <w:t xml:space="preserve"> </w:t>
      </w:r>
      <w:r w:rsidR="00C12596" w:rsidRPr="005C455C">
        <w:rPr>
          <w:rFonts w:eastAsia="EC Square Sans Pro" w:cs="EC Square Sans Pro"/>
          <w:noProof/>
        </w:rPr>
        <w:t>in 2027,</w:t>
      </w:r>
      <w:r w:rsidR="00957AC3" w:rsidRPr="005C455C">
        <w:rPr>
          <w:rFonts w:eastAsia="EC Square Sans Pro" w:cs="EC Square Sans Pro"/>
          <w:noProof/>
        </w:rPr>
        <w:t xml:space="preserve"> but </w:t>
      </w:r>
      <w:r w:rsidR="005A0197">
        <w:rPr>
          <w:rFonts w:eastAsia="EC Square Sans Pro" w:cs="EC Square Sans Pro"/>
          <w:noProof/>
        </w:rPr>
        <w:t>should</w:t>
      </w:r>
      <w:r w:rsidR="0008445A" w:rsidRPr="005C455C">
        <w:rPr>
          <w:rFonts w:eastAsia="EC Square Sans Pro" w:cs="EC Square Sans Pro"/>
          <w:noProof/>
        </w:rPr>
        <w:t xml:space="preserve"> </w:t>
      </w:r>
      <w:r w:rsidR="00957AC3" w:rsidRPr="005C455C">
        <w:rPr>
          <w:rFonts w:eastAsia="EC Square Sans Pro" w:cs="EC Square Sans Pro"/>
          <w:noProof/>
        </w:rPr>
        <w:t>remain below the reference</w:t>
      </w:r>
      <w:r w:rsidR="00577096" w:rsidRPr="005C455C">
        <w:rPr>
          <w:rFonts w:eastAsia="EC Square Sans Pro" w:cs="EC Square Sans Pro"/>
          <w:noProof/>
        </w:rPr>
        <w:t xml:space="preserve"> </w:t>
      </w:r>
      <w:r w:rsidR="00957AC3" w:rsidRPr="005C455C">
        <w:rPr>
          <w:rFonts w:eastAsia="EC Square Sans Pro" w:cs="EC Square Sans Pro"/>
          <w:noProof/>
        </w:rPr>
        <w:t xml:space="preserve">value </w:t>
      </w:r>
      <w:r w:rsidR="0008445A" w:rsidRPr="005C455C">
        <w:rPr>
          <w:rFonts w:eastAsia="EC Square Sans Pro" w:cs="EC Square Sans Pro"/>
          <w:noProof/>
        </w:rPr>
        <w:t>in both years.</w:t>
      </w:r>
    </w:p>
    <w:p w14:paraId="1A36086E" w14:textId="7EBAFCB2" w:rsidR="00B33FB6" w:rsidRPr="00222EB8" w:rsidRDefault="0008445A" w:rsidP="0008445A">
      <w:pPr>
        <w:spacing w:after="0"/>
        <w:ind w:left="555"/>
        <w:rPr>
          <w:rFonts w:eastAsia="EC Square Sans Pro" w:cs="EC Square Sans Pro"/>
          <w:noProof/>
          <w:szCs w:val="20"/>
        </w:rPr>
      </w:pPr>
      <w:r>
        <w:rPr>
          <w:rFonts w:eastAsia="EC Square Sans Pro" w:cs="EC Square Sans Pro"/>
          <w:noProof/>
          <w:szCs w:val="20"/>
        </w:rPr>
        <w:t xml:space="preserve"> </w:t>
      </w:r>
      <w:r w:rsidR="00957AC3">
        <w:rPr>
          <w:rFonts w:eastAsia="EC Square Sans Pro" w:cs="EC Square Sans Pro"/>
          <w:noProof/>
          <w:szCs w:val="20"/>
        </w:rPr>
        <w:t xml:space="preserve"> </w:t>
      </w:r>
    </w:p>
    <w:p w14:paraId="780EE280" w14:textId="4D8007BF" w:rsidR="00B33FB6" w:rsidRPr="00222EB8" w:rsidRDefault="00DB0A92" w:rsidP="00790336">
      <w:pPr>
        <w:spacing w:after="0"/>
        <w:ind w:left="555"/>
        <w:jc w:val="center"/>
        <w:rPr>
          <w:noProof/>
        </w:rPr>
      </w:pPr>
      <w:r>
        <w:rPr>
          <w:noProof/>
          <w:lang w:eastAsia="en-GB"/>
        </w:rPr>
        <w:drawing>
          <wp:inline distT="0" distB="0" distL="0" distR="0" wp14:anchorId="0C210396" wp14:editId="3D8F75E3">
            <wp:extent cx="3115310" cy="2603500"/>
            <wp:effectExtent l="0" t="0" r="8890" b="6350"/>
            <wp:docPr id="9583926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5310" cy="2603500"/>
                    </a:xfrm>
                    <a:prstGeom prst="rect">
                      <a:avLst/>
                    </a:prstGeom>
                    <a:noFill/>
                  </pic:spPr>
                </pic:pic>
              </a:graphicData>
            </a:graphic>
          </wp:inline>
        </w:drawing>
      </w:r>
    </w:p>
    <w:p w14:paraId="76F3C17B" w14:textId="77777777" w:rsidR="000248FD" w:rsidRDefault="000248FD">
      <w:pPr>
        <w:spacing w:after="0"/>
        <w:ind w:left="555"/>
        <w:rPr>
          <w:rFonts w:eastAsia="EC Square Sans Pro" w:cs="EC Square Sans Pro"/>
          <w:noProof/>
          <w:szCs w:val="20"/>
        </w:rPr>
      </w:pPr>
    </w:p>
    <w:p w14:paraId="2D4EACF0" w14:textId="4EA4AD22" w:rsidR="00B33FB6" w:rsidRDefault="0074798B">
      <w:pPr>
        <w:spacing w:after="0"/>
        <w:ind w:left="555"/>
        <w:rPr>
          <w:rFonts w:eastAsia="EC Square Sans Pro" w:cs="EC Square Sans Pro"/>
          <w:noProof/>
        </w:rPr>
      </w:pPr>
      <w:r w:rsidRPr="6A3CE5EF">
        <w:rPr>
          <w:rFonts w:eastAsia="EC Square Sans Pro" w:cs="EC Square Sans Pro"/>
          <w:noProof/>
        </w:rPr>
        <w:t>Sweden’s annual HICP inflation rate averaged 2.0% in 2024 and increased to 2.</w:t>
      </w:r>
      <w:r w:rsidR="6860531B" w:rsidRPr="0433A6CF">
        <w:rPr>
          <w:rFonts w:eastAsia="EC Square Sans Pro" w:cs="EC Square Sans Pro"/>
          <w:noProof/>
        </w:rPr>
        <w:t>6</w:t>
      </w:r>
      <w:r w:rsidRPr="6A3CE5EF">
        <w:rPr>
          <w:rFonts w:eastAsia="EC Square Sans Pro" w:cs="EC Square Sans Pro"/>
          <w:noProof/>
        </w:rPr>
        <w:t xml:space="preserve">% in 2025. </w:t>
      </w:r>
      <w:r w:rsidR="00D84726">
        <w:rPr>
          <w:rFonts w:eastAsia="EC Square Sans Pro" w:cs="EC Square Sans Pro"/>
          <w:noProof/>
        </w:rPr>
        <w:t xml:space="preserve">These </w:t>
      </w:r>
      <w:r w:rsidR="00D84726" w:rsidRPr="6A3CE5EF">
        <w:rPr>
          <w:rFonts w:eastAsia="EC Square Sans Pro" w:cs="EC Square Sans Pro"/>
          <w:noProof/>
        </w:rPr>
        <w:t>inflation rates were broadly</w:t>
      </w:r>
      <w:r w:rsidR="00D84726" w:rsidRPr="6A3CE5EF">
        <w:rPr>
          <w:rFonts w:ascii="Calibri" w:eastAsia="Calibri" w:hAnsi="Calibri" w:cs="Calibri"/>
          <w:noProof/>
        </w:rPr>
        <w:t xml:space="preserve"> </w:t>
      </w:r>
      <w:r w:rsidR="00D84726" w:rsidRPr="6A3CE5EF">
        <w:rPr>
          <w:rFonts w:eastAsia="EC Square Sans Pro" w:cs="EC Square Sans Pro"/>
          <w:noProof/>
        </w:rPr>
        <w:t>in line with</w:t>
      </w:r>
      <w:r w:rsidR="00D84726" w:rsidRPr="6A3CE5EF">
        <w:rPr>
          <w:rFonts w:ascii="Calibri" w:eastAsia="Calibri" w:hAnsi="Calibri" w:cs="Calibri"/>
          <w:noProof/>
        </w:rPr>
        <w:t xml:space="preserve"> </w:t>
      </w:r>
      <w:r w:rsidR="00D84726" w:rsidRPr="6A3CE5EF">
        <w:rPr>
          <w:rFonts w:eastAsia="EC Square Sans Pro" w:cs="EC Square Sans Pro"/>
          <w:noProof/>
        </w:rPr>
        <w:t>those</w:t>
      </w:r>
      <w:r w:rsidR="00D84726" w:rsidRPr="6A3CE5EF">
        <w:rPr>
          <w:rFonts w:ascii="Calibri" w:eastAsia="Calibri" w:hAnsi="Calibri" w:cs="Calibri"/>
          <w:noProof/>
        </w:rPr>
        <w:t xml:space="preserve"> </w:t>
      </w:r>
      <w:r w:rsidR="00D84726" w:rsidRPr="6A3CE5EF">
        <w:rPr>
          <w:rFonts w:eastAsia="EC Square Sans Pro" w:cs="EC Square Sans Pro"/>
          <w:noProof/>
        </w:rPr>
        <w:t>for</w:t>
      </w:r>
      <w:r w:rsidR="00D84726" w:rsidRPr="6A3CE5EF">
        <w:rPr>
          <w:rFonts w:ascii="Calibri" w:eastAsia="Calibri" w:hAnsi="Calibri" w:cs="Calibri"/>
          <w:noProof/>
        </w:rPr>
        <w:t xml:space="preserve"> </w:t>
      </w:r>
      <w:r w:rsidR="00D84726" w:rsidRPr="6A3CE5EF">
        <w:rPr>
          <w:rFonts w:eastAsia="EC Square Sans Pro" w:cs="EC Square Sans Pro"/>
          <w:noProof/>
        </w:rPr>
        <w:t>the euro area.</w:t>
      </w:r>
      <w:r w:rsidR="001722B5">
        <w:rPr>
          <w:rFonts w:eastAsia="EC Square Sans Pro" w:cs="EC Square Sans Pro"/>
          <w:noProof/>
        </w:rPr>
        <w:t xml:space="preserve"> </w:t>
      </w:r>
      <w:r w:rsidR="00036BD9" w:rsidRPr="6A3CE5EF">
        <w:rPr>
          <w:rFonts w:eastAsia="EC Square Sans Pro" w:cs="EC Square Sans Pro"/>
          <w:noProof/>
        </w:rPr>
        <w:t xml:space="preserve">Lower energy prices, base effects and moderate wage </w:t>
      </w:r>
      <w:r w:rsidR="00146912" w:rsidRPr="6A3CE5EF">
        <w:rPr>
          <w:rFonts w:eastAsia="EC Square Sans Pro" w:cs="EC Square Sans Pro"/>
          <w:noProof/>
        </w:rPr>
        <w:t xml:space="preserve">growth </w:t>
      </w:r>
      <w:r w:rsidR="005D2DEA" w:rsidRPr="6A3CE5EF">
        <w:rPr>
          <w:rFonts w:eastAsia="EC Square Sans Pro" w:cs="EC Square Sans Pro"/>
          <w:noProof/>
        </w:rPr>
        <w:t xml:space="preserve">on the back of moderate multiannual wage agreements </w:t>
      </w:r>
      <w:r w:rsidR="003C0650" w:rsidRPr="6A3CE5EF">
        <w:rPr>
          <w:rFonts w:eastAsia="EC Square Sans Pro" w:cs="EC Square Sans Pro"/>
          <w:noProof/>
        </w:rPr>
        <w:t xml:space="preserve">helped </w:t>
      </w:r>
      <w:r w:rsidR="00036BD9" w:rsidRPr="6A3CE5EF">
        <w:rPr>
          <w:rFonts w:eastAsia="EC Square Sans Pro" w:cs="EC Square Sans Pro"/>
          <w:noProof/>
        </w:rPr>
        <w:t xml:space="preserve">disinflation in </w:t>
      </w:r>
      <w:r w:rsidR="007D3184" w:rsidRPr="6A3CE5EF">
        <w:rPr>
          <w:rFonts w:eastAsia="EC Square Sans Pro" w:cs="EC Square Sans Pro"/>
          <w:noProof/>
        </w:rPr>
        <w:t>both years.</w:t>
      </w:r>
      <w:r w:rsidR="00036BD9" w:rsidRPr="6A3CE5EF" w:rsidDel="00C464FB">
        <w:rPr>
          <w:rFonts w:eastAsia="EC Square Sans Pro" w:cs="EC Square Sans Pro"/>
          <w:noProof/>
        </w:rPr>
        <w:t xml:space="preserve"> </w:t>
      </w:r>
      <w:r w:rsidR="00201632" w:rsidRPr="6A3CE5EF">
        <w:rPr>
          <w:rFonts w:eastAsia="EC Square Sans Pro" w:cs="EC Square Sans Pro"/>
          <w:noProof/>
        </w:rPr>
        <w:t>Strong deceleration of food prices</w:t>
      </w:r>
      <w:r w:rsidR="00204E3F" w:rsidRPr="6A3CE5EF">
        <w:rPr>
          <w:rFonts w:eastAsia="EC Square Sans Pro" w:cs="EC Square Sans Pro"/>
          <w:noProof/>
        </w:rPr>
        <w:t xml:space="preserve"> in 2024 and</w:t>
      </w:r>
      <w:r w:rsidR="00201632" w:rsidRPr="6A3CE5EF">
        <w:rPr>
          <w:rFonts w:eastAsia="EC Square Sans Pro" w:cs="EC Square Sans Pro"/>
          <w:noProof/>
        </w:rPr>
        <w:t xml:space="preserve"> </w:t>
      </w:r>
      <w:r w:rsidR="00146912" w:rsidRPr="6A3CE5EF">
        <w:rPr>
          <w:rFonts w:eastAsia="EC Square Sans Pro" w:cs="EC Square Sans Pro"/>
          <w:noProof/>
        </w:rPr>
        <w:t xml:space="preserve">a </w:t>
      </w:r>
      <w:r w:rsidR="00204E3F" w:rsidRPr="6A3CE5EF">
        <w:rPr>
          <w:rFonts w:eastAsia="EC Square Sans Pro" w:cs="EC Square Sans Pro"/>
          <w:noProof/>
        </w:rPr>
        <w:t xml:space="preserve">pronounced easing of price </w:t>
      </w:r>
      <w:r w:rsidR="00276D86">
        <w:rPr>
          <w:rFonts w:eastAsia="EC Square Sans Pro" w:cs="EC Square Sans Pro"/>
          <w:noProof/>
        </w:rPr>
        <w:t>rises</w:t>
      </w:r>
      <w:r w:rsidR="00276D86" w:rsidRPr="6A3CE5EF">
        <w:rPr>
          <w:rFonts w:eastAsia="EC Square Sans Pro" w:cs="EC Square Sans Pro"/>
          <w:noProof/>
        </w:rPr>
        <w:t xml:space="preserve"> </w:t>
      </w:r>
      <w:r w:rsidR="00204E3F" w:rsidRPr="6A3CE5EF">
        <w:rPr>
          <w:rFonts w:eastAsia="EC Square Sans Pro" w:cs="EC Square Sans Pro"/>
          <w:noProof/>
        </w:rPr>
        <w:t>in the non-energy industrial goods</w:t>
      </w:r>
      <w:r w:rsidR="00440BC3" w:rsidRPr="6A3CE5EF">
        <w:rPr>
          <w:rFonts w:eastAsia="EC Square Sans Pro" w:cs="EC Square Sans Pro"/>
          <w:noProof/>
        </w:rPr>
        <w:t xml:space="preserve"> in both</w:t>
      </w:r>
      <w:r w:rsidR="00B22B5F" w:rsidRPr="6A3CE5EF">
        <w:rPr>
          <w:rFonts w:eastAsia="EC Square Sans Pro" w:cs="EC Square Sans Pro"/>
          <w:noProof/>
        </w:rPr>
        <w:t xml:space="preserve"> years</w:t>
      </w:r>
      <w:r w:rsidR="000B0C3A" w:rsidRPr="6A3CE5EF">
        <w:rPr>
          <w:rFonts w:eastAsia="EC Square Sans Pro" w:cs="EC Square Sans Pro"/>
          <w:noProof/>
        </w:rPr>
        <w:t xml:space="preserve"> </w:t>
      </w:r>
      <w:r w:rsidR="00146912" w:rsidRPr="6A3CE5EF">
        <w:rPr>
          <w:rFonts w:eastAsia="EC Square Sans Pro" w:cs="EC Square Sans Pro"/>
          <w:noProof/>
        </w:rPr>
        <w:t xml:space="preserve">also </w:t>
      </w:r>
      <w:r w:rsidR="00201632" w:rsidRPr="6A3CE5EF">
        <w:rPr>
          <w:rFonts w:eastAsia="EC Square Sans Pro" w:cs="EC Square Sans Pro"/>
          <w:noProof/>
        </w:rPr>
        <w:t xml:space="preserve">contributed to </w:t>
      </w:r>
      <w:r w:rsidR="0012068A" w:rsidRPr="6A3CE5EF">
        <w:rPr>
          <w:rFonts w:eastAsia="EC Square Sans Pro" w:cs="EC Square Sans Pro"/>
          <w:noProof/>
        </w:rPr>
        <w:t xml:space="preserve">lower </w:t>
      </w:r>
      <w:r w:rsidR="00435EA5" w:rsidRPr="6A3CE5EF">
        <w:rPr>
          <w:rFonts w:eastAsia="EC Square Sans Pro" w:cs="EC Square Sans Pro"/>
          <w:noProof/>
        </w:rPr>
        <w:t xml:space="preserve">headline </w:t>
      </w:r>
      <w:r w:rsidR="0012068A" w:rsidRPr="6A3CE5EF">
        <w:rPr>
          <w:rFonts w:eastAsia="EC Square Sans Pro" w:cs="EC Square Sans Pro"/>
          <w:noProof/>
        </w:rPr>
        <w:t>inflation</w:t>
      </w:r>
      <w:r w:rsidR="00B22B5F" w:rsidRPr="6A3CE5EF">
        <w:rPr>
          <w:rFonts w:eastAsia="EC Square Sans Pro" w:cs="EC Square Sans Pro"/>
          <w:noProof/>
        </w:rPr>
        <w:t>,</w:t>
      </w:r>
      <w:r w:rsidR="008C6D31" w:rsidRPr="6A3CE5EF">
        <w:rPr>
          <w:rFonts w:eastAsia="EC Square Sans Pro" w:cs="EC Square Sans Pro"/>
          <w:noProof/>
        </w:rPr>
        <w:t xml:space="preserve"> while </w:t>
      </w:r>
      <w:r w:rsidR="00551343" w:rsidRPr="6A3CE5EF">
        <w:rPr>
          <w:rFonts w:eastAsia="EC Square Sans Pro" w:cs="EC Square Sans Pro"/>
          <w:noProof/>
        </w:rPr>
        <w:t xml:space="preserve">services inflation </w:t>
      </w:r>
      <w:r w:rsidR="003645FB">
        <w:rPr>
          <w:rFonts w:eastAsia="EC Square Sans Pro" w:cs="EC Square Sans Pro"/>
          <w:noProof/>
        </w:rPr>
        <w:t xml:space="preserve">remained elevated but </w:t>
      </w:r>
      <w:r w:rsidR="00F63E3D">
        <w:rPr>
          <w:rFonts w:eastAsia="EC Square Sans Pro" w:cs="EC Square Sans Pro"/>
          <w:noProof/>
        </w:rPr>
        <w:t xml:space="preserve">declined from </w:t>
      </w:r>
      <w:r w:rsidR="009C7810">
        <w:rPr>
          <w:rFonts w:eastAsia="EC Square Sans Pro" w:cs="EC Square Sans Pro"/>
          <w:noProof/>
        </w:rPr>
        <w:t>4.9% in 2024 to 3.8% in 2025</w:t>
      </w:r>
      <w:r w:rsidR="00435EA5" w:rsidRPr="6A3CE5EF">
        <w:rPr>
          <w:rFonts w:eastAsia="EC Square Sans Pro" w:cs="EC Square Sans Pro"/>
          <w:noProof/>
        </w:rPr>
        <w:t xml:space="preserve">. </w:t>
      </w:r>
      <w:r w:rsidR="00234DA8" w:rsidRPr="6A3CE5EF">
        <w:rPr>
          <w:rFonts w:eastAsia="EC Square Sans Pro" w:cs="EC Square Sans Pro"/>
          <w:noProof/>
        </w:rPr>
        <w:t xml:space="preserve">In 2025, somewhat stronger food and energy prices </w:t>
      </w:r>
      <w:r w:rsidR="00192605" w:rsidRPr="6A3CE5EF">
        <w:rPr>
          <w:rFonts w:eastAsia="EC Square Sans Pro" w:cs="EC Square Sans Pro"/>
          <w:noProof/>
        </w:rPr>
        <w:t xml:space="preserve">accounted for </w:t>
      </w:r>
      <w:r w:rsidR="007546FD" w:rsidRPr="6A3CE5EF">
        <w:rPr>
          <w:rFonts w:eastAsia="EC Square Sans Pro" w:cs="EC Square Sans Pro"/>
          <w:noProof/>
        </w:rPr>
        <w:t>the</w:t>
      </w:r>
      <w:r w:rsidR="00192605" w:rsidRPr="6A3CE5EF">
        <w:rPr>
          <w:rFonts w:eastAsia="EC Square Sans Pro" w:cs="EC Square Sans Pro"/>
          <w:noProof/>
        </w:rPr>
        <w:t xml:space="preserve"> rebound in headline </w:t>
      </w:r>
      <w:r w:rsidR="007546FD" w:rsidRPr="6A3CE5EF">
        <w:rPr>
          <w:rFonts w:eastAsia="EC Square Sans Pro" w:cs="EC Square Sans Pro"/>
          <w:noProof/>
        </w:rPr>
        <w:t xml:space="preserve">inflation. </w:t>
      </w:r>
      <w:r w:rsidR="002E2C4C" w:rsidRPr="6A3CE5EF">
        <w:rPr>
          <w:rFonts w:eastAsia="EC Square Sans Pro" w:cs="EC Square Sans Pro"/>
          <w:noProof/>
        </w:rPr>
        <w:t xml:space="preserve">The lagged impact </w:t>
      </w:r>
      <w:r w:rsidR="0012677E">
        <w:rPr>
          <w:rFonts w:eastAsia="EC Square Sans Pro" w:cs="EC Square Sans Pro"/>
          <w:noProof/>
        </w:rPr>
        <w:t>from</w:t>
      </w:r>
      <w:r w:rsidR="002E2C4C" w:rsidRPr="6A3CE5EF">
        <w:rPr>
          <w:rFonts w:eastAsia="EC Square Sans Pro" w:cs="EC Square Sans Pro"/>
          <w:noProof/>
        </w:rPr>
        <w:t xml:space="preserve"> the </w:t>
      </w:r>
      <w:r w:rsidR="0012677E">
        <w:rPr>
          <w:rFonts w:eastAsia="EC Square Sans Pro" w:cs="EC Square Sans Pro"/>
          <w:noProof/>
        </w:rPr>
        <w:t>stronger krona</w:t>
      </w:r>
      <w:r w:rsidR="002E2C4C" w:rsidRPr="6A3CE5EF">
        <w:rPr>
          <w:rFonts w:eastAsia="EC Square Sans Pro" w:cs="EC Square Sans Pro"/>
          <w:noProof/>
        </w:rPr>
        <w:t xml:space="preserve"> effective exchange rate </w:t>
      </w:r>
      <w:r w:rsidR="0012677E">
        <w:rPr>
          <w:rFonts w:eastAsia="EC Square Sans Pro" w:cs="EC Square Sans Pro"/>
          <w:noProof/>
        </w:rPr>
        <w:t xml:space="preserve">in </w:t>
      </w:r>
      <w:r w:rsidR="002E2C4C" w:rsidRPr="6A3CE5EF">
        <w:rPr>
          <w:rFonts w:eastAsia="EC Square Sans Pro" w:cs="EC Square Sans Pro"/>
          <w:noProof/>
        </w:rPr>
        <w:t xml:space="preserve">2024 helped dampen price increases for imported goods and services. </w:t>
      </w:r>
      <w:r w:rsidR="00FE5F40">
        <w:rPr>
          <w:rFonts w:eastAsia="EC Square Sans Pro" w:cs="EC Square Sans Pro"/>
          <w:noProof/>
        </w:rPr>
        <w:t>HICP infla</w:t>
      </w:r>
      <w:r w:rsidR="00922394">
        <w:rPr>
          <w:rFonts w:eastAsia="EC Square Sans Pro" w:cs="EC Square Sans Pro"/>
          <w:noProof/>
        </w:rPr>
        <w:t xml:space="preserve">tion decelerated in the first </w:t>
      </w:r>
      <w:r w:rsidR="004C507F">
        <w:rPr>
          <w:rFonts w:eastAsia="EC Square Sans Pro" w:cs="EC Square Sans Pro"/>
          <w:noProof/>
        </w:rPr>
        <w:t xml:space="preserve">few </w:t>
      </w:r>
      <w:r w:rsidR="00922394">
        <w:rPr>
          <w:rFonts w:eastAsia="EC Square Sans Pro" w:cs="EC Square Sans Pro"/>
          <w:noProof/>
        </w:rPr>
        <w:t>months of</w:t>
      </w:r>
      <w:r w:rsidR="009E63E1">
        <w:rPr>
          <w:rFonts w:eastAsia="EC Square Sans Pro" w:cs="EC Square Sans Pro"/>
          <w:noProof/>
        </w:rPr>
        <w:t xml:space="preserve"> 2026</w:t>
      </w:r>
      <w:r w:rsidR="00065625">
        <w:rPr>
          <w:rFonts w:eastAsia="EC Square Sans Pro" w:cs="EC Square Sans Pro"/>
          <w:noProof/>
        </w:rPr>
        <w:t xml:space="preserve">, as </w:t>
      </w:r>
      <w:r w:rsidR="003645FB">
        <w:rPr>
          <w:rFonts w:eastAsia="EC Square Sans Pro" w:cs="EC Square Sans Pro"/>
          <w:noProof/>
        </w:rPr>
        <w:t xml:space="preserve">the </w:t>
      </w:r>
      <w:r w:rsidR="00065625">
        <w:rPr>
          <w:rFonts w:eastAsia="EC Square Sans Pro" w:cs="EC Square Sans Pro"/>
          <w:noProof/>
        </w:rPr>
        <w:t xml:space="preserve">effects of the </w:t>
      </w:r>
      <w:r w:rsidR="00E2784A">
        <w:rPr>
          <w:rFonts w:eastAsia="EC Square Sans Pro" w:cs="EC Square Sans Pro"/>
          <w:noProof/>
        </w:rPr>
        <w:t xml:space="preserve">Middle East conflict </w:t>
      </w:r>
      <w:r w:rsidR="00065625">
        <w:rPr>
          <w:rFonts w:eastAsia="EC Square Sans Pro" w:cs="EC Square Sans Pro"/>
          <w:noProof/>
        </w:rPr>
        <w:t xml:space="preserve">were outweighed </w:t>
      </w:r>
      <w:r w:rsidR="004C507F">
        <w:rPr>
          <w:rFonts w:eastAsia="EC Square Sans Pro" w:cs="EC Square Sans Pro"/>
          <w:noProof/>
        </w:rPr>
        <w:t xml:space="preserve">as from April </w:t>
      </w:r>
      <w:r w:rsidR="00065625">
        <w:rPr>
          <w:rFonts w:eastAsia="EC Square Sans Pro" w:cs="EC Square Sans Pro"/>
          <w:noProof/>
        </w:rPr>
        <w:t xml:space="preserve">by </w:t>
      </w:r>
      <w:r w:rsidR="004F0224">
        <w:rPr>
          <w:rFonts w:eastAsia="EC Square Sans Pro" w:cs="EC Square Sans Pro"/>
          <w:noProof/>
        </w:rPr>
        <w:t xml:space="preserve">substantial decreases in </w:t>
      </w:r>
      <w:r w:rsidR="00681419">
        <w:rPr>
          <w:rFonts w:eastAsia="EC Square Sans Pro" w:cs="EC Square Sans Pro"/>
          <w:noProof/>
        </w:rPr>
        <w:t xml:space="preserve">indirect taxes </w:t>
      </w:r>
      <w:r w:rsidR="004C507F">
        <w:rPr>
          <w:rFonts w:eastAsia="EC Square Sans Pro" w:cs="EC Square Sans Pro"/>
          <w:noProof/>
        </w:rPr>
        <w:t>on</w:t>
      </w:r>
      <w:r w:rsidR="000F7A73">
        <w:rPr>
          <w:rFonts w:eastAsia="EC Square Sans Pro" w:cs="EC Square Sans Pro"/>
          <w:noProof/>
        </w:rPr>
        <w:t xml:space="preserve"> food </w:t>
      </w:r>
      <w:r w:rsidR="00F0384A">
        <w:rPr>
          <w:rFonts w:eastAsia="EC Square Sans Pro" w:cs="EC Square Sans Pro"/>
          <w:noProof/>
        </w:rPr>
        <w:t>and fuels</w:t>
      </w:r>
      <w:r w:rsidR="00B065CF">
        <w:rPr>
          <w:rFonts w:eastAsia="EC Square Sans Pro" w:cs="EC Square Sans Pro"/>
          <w:noProof/>
        </w:rPr>
        <w:t>, combined with weak underlying inflation.</w:t>
      </w:r>
    </w:p>
    <w:p w14:paraId="2E6FD91E" w14:textId="77777777" w:rsidR="006522B0" w:rsidRPr="00222EB8" w:rsidRDefault="006522B0" w:rsidP="00790336">
      <w:pPr>
        <w:spacing w:after="0"/>
        <w:ind w:left="555"/>
        <w:rPr>
          <w:rFonts w:eastAsia="EC Square Sans Pro" w:cs="EC Square Sans Pro"/>
          <w:noProof/>
          <w:szCs w:val="20"/>
        </w:rPr>
      </w:pPr>
    </w:p>
    <w:p w14:paraId="5A03842F" w14:textId="0B27A95A" w:rsidR="00B33FB6" w:rsidRDefault="007F0F03">
      <w:pPr>
        <w:spacing w:after="0"/>
        <w:ind w:left="555"/>
        <w:rPr>
          <w:rFonts w:eastAsia="EC Square Sans Pro" w:cs="EC Square Sans Pro"/>
          <w:noProof/>
        </w:rPr>
      </w:pPr>
      <w:r>
        <w:rPr>
          <w:rFonts w:eastAsia="EC Square Sans Pro" w:cs="EC Square Sans Pro"/>
          <w:noProof/>
        </w:rPr>
        <w:t>T</w:t>
      </w:r>
      <w:r w:rsidR="18C99602" w:rsidRPr="6A3CE5EF">
        <w:rPr>
          <w:rFonts w:eastAsia="EC Square Sans Pro" w:cs="EC Square Sans Pro"/>
          <w:noProof/>
        </w:rPr>
        <w:t>he Commission’s</w:t>
      </w:r>
      <w:r w:rsidR="18C99602" w:rsidRPr="6A3CE5EF">
        <w:rPr>
          <w:rFonts w:ascii="Calibri" w:eastAsia="Calibri" w:hAnsi="Calibri" w:cs="Calibri"/>
          <w:noProof/>
        </w:rPr>
        <w:t xml:space="preserve"> </w:t>
      </w:r>
      <w:r w:rsidR="18C99602" w:rsidRPr="6A3CE5EF">
        <w:rPr>
          <w:rFonts w:eastAsia="EC Square Sans Pro" w:cs="EC Square Sans Pro"/>
          <w:noProof/>
        </w:rPr>
        <w:t>Spring 2026</w:t>
      </w:r>
      <w:r w:rsidR="18C99602" w:rsidRPr="6A3CE5EF">
        <w:rPr>
          <w:rFonts w:ascii="Calibri" w:eastAsia="Calibri" w:hAnsi="Calibri" w:cs="Calibri"/>
          <w:noProof/>
        </w:rPr>
        <w:t xml:space="preserve"> </w:t>
      </w:r>
      <w:r w:rsidR="18C99602" w:rsidRPr="6A3CE5EF">
        <w:rPr>
          <w:rFonts w:eastAsia="EC Square Sans Pro" w:cs="EC Square Sans Pro"/>
          <w:noProof/>
        </w:rPr>
        <w:t>Economic</w:t>
      </w:r>
      <w:r w:rsidR="18C99602" w:rsidRPr="6A3CE5EF">
        <w:rPr>
          <w:rFonts w:ascii="Calibri" w:eastAsia="Calibri" w:hAnsi="Calibri" w:cs="Calibri"/>
          <w:noProof/>
        </w:rPr>
        <w:t xml:space="preserve"> </w:t>
      </w:r>
      <w:r w:rsidR="18C99602" w:rsidRPr="6A3CE5EF">
        <w:rPr>
          <w:rFonts w:eastAsia="EC Square Sans Pro" w:cs="EC Square Sans Pro"/>
          <w:noProof/>
        </w:rPr>
        <w:t>Forecast projects</w:t>
      </w:r>
      <w:r>
        <w:rPr>
          <w:rFonts w:eastAsia="EC Square Sans Pro" w:cs="EC Square Sans Pro"/>
          <w:noProof/>
        </w:rPr>
        <w:t xml:space="preserve"> that</w:t>
      </w:r>
      <w:r w:rsidR="00D154EA" w:rsidRPr="6A3CE5EF">
        <w:rPr>
          <w:rFonts w:eastAsia="EC Square Sans Pro" w:cs="EC Square Sans Pro"/>
          <w:noProof/>
        </w:rPr>
        <w:t xml:space="preserve"> average annual</w:t>
      </w:r>
      <w:r w:rsidR="18C99602" w:rsidRPr="6A3CE5EF">
        <w:rPr>
          <w:rFonts w:eastAsia="EC Square Sans Pro" w:cs="EC Square Sans Pro"/>
          <w:noProof/>
        </w:rPr>
        <w:t xml:space="preserve"> inflation </w:t>
      </w:r>
      <w:r>
        <w:rPr>
          <w:rFonts w:eastAsia="EC Square Sans Pro" w:cs="EC Square Sans Pro"/>
          <w:noProof/>
        </w:rPr>
        <w:t>will</w:t>
      </w:r>
      <w:r w:rsidR="18C99602" w:rsidRPr="6A3CE5EF">
        <w:rPr>
          <w:rFonts w:eastAsia="EC Square Sans Pro" w:cs="EC Square Sans Pro"/>
          <w:noProof/>
        </w:rPr>
        <w:t xml:space="preserve"> </w:t>
      </w:r>
      <w:r w:rsidR="18C99602" w:rsidRPr="0098405B">
        <w:rPr>
          <w:rFonts w:eastAsia="EC Square Sans Pro" w:cs="EC Square Sans Pro"/>
          <w:noProof/>
        </w:rPr>
        <w:t>decrease</w:t>
      </w:r>
      <w:r w:rsidR="18C99602" w:rsidRPr="6A3CE5EF">
        <w:rPr>
          <w:rFonts w:eastAsia="EC Square Sans Pro" w:cs="EC Square Sans Pro"/>
          <w:noProof/>
        </w:rPr>
        <w:t xml:space="preserve"> to around </w:t>
      </w:r>
      <w:r w:rsidR="002C78EB" w:rsidRPr="002640C1">
        <w:rPr>
          <w:rFonts w:eastAsia="EC Square Sans Pro" w:cs="EC Square Sans Pro"/>
          <w:noProof/>
        </w:rPr>
        <w:t>1.5</w:t>
      </w:r>
      <w:r w:rsidR="18C99602" w:rsidRPr="002640C1">
        <w:rPr>
          <w:rFonts w:eastAsia="EC Square Sans Pro" w:cs="EC Square Sans Pro"/>
          <w:noProof/>
        </w:rPr>
        <w:t>%</w:t>
      </w:r>
      <w:r w:rsidR="18C99602" w:rsidRPr="6A3CE5EF">
        <w:rPr>
          <w:rFonts w:eastAsia="EC Square Sans Pro" w:cs="EC Square Sans Pro"/>
          <w:noProof/>
        </w:rPr>
        <w:t xml:space="preserve"> in 2026 before</w:t>
      </w:r>
      <w:r w:rsidR="18C99602" w:rsidRPr="6A3CE5EF">
        <w:rPr>
          <w:rFonts w:ascii="Calibri" w:eastAsia="Calibri" w:hAnsi="Calibri" w:cs="Calibri"/>
          <w:noProof/>
        </w:rPr>
        <w:t xml:space="preserve"> </w:t>
      </w:r>
      <w:r w:rsidR="002C78EB" w:rsidRPr="0098405B">
        <w:rPr>
          <w:rFonts w:eastAsia="EC Square Sans Pro" w:cs="EC Square Sans Pro"/>
          <w:noProof/>
        </w:rPr>
        <w:t xml:space="preserve">increasing </w:t>
      </w:r>
      <w:r w:rsidR="005D766D" w:rsidRPr="0098405B">
        <w:rPr>
          <w:rFonts w:eastAsia="EC Square Sans Pro" w:cs="EC Square Sans Pro"/>
          <w:noProof/>
        </w:rPr>
        <w:t>slightly</w:t>
      </w:r>
      <w:r w:rsidR="18C99602" w:rsidRPr="0098405B">
        <w:rPr>
          <w:rFonts w:ascii="Calibri" w:eastAsia="Calibri" w:hAnsi="Calibri" w:cs="Calibri"/>
          <w:noProof/>
        </w:rPr>
        <w:t xml:space="preserve"> </w:t>
      </w:r>
      <w:r w:rsidR="18C99602" w:rsidRPr="0098405B">
        <w:rPr>
          <w:rFonts w:eastAsia="EC Square Sans Pro" w:cs="EC Square Sans Pro"/>
          <w:noProof/>
        </w:rPr>
        <w:t>to</w:t>
      </w:r>
      <w:r w:rsidR="18C99602" w:rsidRPr="0098405B">
        <w:rPr>
          <w:rFonts w:ascii="Calibri" w:eastAsia="Calibri" w:hAnsi="Calibri" w:cs="Calibri"/>
          <w:noProof/>
        </w:rPr>
        <w:t xml:space="preserve"> </w:t>
      </w:r>
      <w:r w:rsidR="18C99602" w:rsidRPr="0098405B">
        <w:rPr>
          <w:rFonts w:eastAsia="EC Square Sans Pro" w:cs="EC Square Sans Pro"/>
          <w:noProof/>
        </w:rPr>
        <w:t>1.</w:t>
      </w:r>
      <w:r w:rsidR="002C78EB" w:rsidRPr="0098405B">
        <w:rPr>
          <w:rFonts w:eastAsia="EC Square Sans Pro" w:cs="EC Square Sans Pro"/>
          <w:noProof/>
        </w:rPr>
        <w:t>8</w:t>
      </w:r>
      <w:r w:rsidR="18C99602" w:rsidRPr="6A3CE5EF">
        <w:rPr>
          <w:rFonts w:eastAsia="EC Square Sans Pro" w:cs="EC Square Sans Pro"/>
          <w:noProof/>
        </w:rPr>
        <w:t>% in 2027</w:t>
      </w:r>
      <w:r w:rsidR="0028143A">
        <w:rPr>
          <w:rFonts w:eastAsia="EC Square Sans Pro" w:cs="EC Square Sans Pro"/>
          <w:noProof/>
        </w:rPr>
        <w:t xml:space="preserve">. </w:t>
      </w:r>
      <w:r w:rsidR="00BC7BCD">
        <w:rPr>
          <w:rFonts w:eastAsia="EC Square Sans Pro" w:cs="EC Square Sans Pro"/>
          <w:noProof/>
        </w:rPr>
        <w:t xml:space="preserve">Inflation developments in 2026 </w:t>
      </w:r>
      <w:r w:rsidR="007F4369" w:rsidRPr="6A3CE5EF">
        <w:rPr>
          <w:rFonts w:eastAsia="EC Square Sans Pro" w:cs="EC Square Sans Pro"/>
          <w:noProof/>
        </w:rPr>
        <w:t xml:space="preserve">mirror </w:t>
      </w:r>
      <w:r w:rsidR="00BC7BCD">
        <w:rPr>
          <w:rFonts w:eastAsia="EC Square Sans Pro" w:cs="EC Square Sans Pro"/>
          <w:noProof/>
        </w:rPr>
        <w:t xml:space="preserve">the </w:t>
      </w:r>
      <w:r w:rsidR="00A73CC8">
        <w:rPr>
          <w:rFonts w:eastAsia="EC Square Sans Pro" w:cs="EC Square Sans Pro"/>
          <w:noProof/>
        </w:rPr>
        <w:t xml:space="preserve">impact of </w:t>
      </w:r>
      <w:r w:rsidR="003E3715">
        <w:rPr>
          <w:rFonts w:eastAsia="EC Square Sans Pro" w:cs="EC Square Sans Pro"/>
          <w:noProof/>
        </w:rPr>
        <w:t>higher import prices, particularly for oil pr</w:t>
      </w:r>
      <w:r w:rsidR="006D6BCC">
        <w:rPr>
          <w:rFonts w:eastAsia="EC Square Sans Pro" w:cs="EC Square Sans Pro"/>
          <w:noProof/>
        </w:rPr>
        <w:t>oducts</w:t>
      </w:r>
      <w:r>
        <w:rPr>
          <w:rFonts w:eastAsia="EC Square Sans Pro" w:cs="EC Square Sans Pro"/>
          <w:noProof/>
        </w:rPr>
        <w:t>,</w:t>
      </w:r>
      <w:r w:rsidR="00014D5E">
        <w:rPr>
          <w:rFonts w:eastAsia="EC Square Sans Pro" w:cs="EC Square Sans Pro"/>
          <w:noProof/>
        </w:rPr>
        <w:t xml:space="preserve"> partly </w:t>
      </w:r>
      <w:r>
        <w:rPr>
          <w:rFonts w:eastAsia="EC Square Sans Pro" w:cs="EC Square Sans Pro"/>
          <w:noProof/>
        </w:rPr>
        <w:t>offset</w:t>
      </w:r>
      <w:r w:rsidR="00014D5E">
        <w:rPr>
          <w:rFonts w:eastAsia="EC Square Sans Pro" w:cs="EC Square Sans Pro"/>
          <w:noProof/>
        </w:rPr>
        <w:t xml:space="preserve"> by </w:t>
      </w:r>
      <w:r w:rsidR="007F4369" w:rsidRPr="6A3CE5EF">
        <w:rPr>
          <w:rFonts w:eastAsia="EC Square Sans Pro" w:cs="EC Square Sans Pro"/>
          <w:noProof/>
        </w:rPr>
        <w:t xml:space="preserve">VAT </w:t>
      </w:r>
      <w:r w:rsidR="00512779">
        <w:rPr>
          <w:rFonts w:eastAsia="EC Square Sans Pro" w:cs="EC Square Sans Pro"/>
          <w:noProof/>
        </w:rPr>
        <w:t>and excise</w:t>
      </w:r>
      <w:r w:rsidR="007F4369" w:rsidRPr="6A3CE5EF">
        <w:rPr>
          <w:rFonts w:eastAsia="EC Square Sans Pro" w:cs="EC Square Sans Pro"/>
          <w:noProof/>
        </w:rPr>
        <w:t xml:space="preserve"> cuts</w:t>
      </w:r>
      <w:r w:rsidR="0070214C" w:rsidRPr="6A3CE5EF">
        <w:rPr>
          <w:rFonts w:eastAsia="EC Square Sans Pro" w:cs="EC Square Sans Pro"/>
          <w:noProof/>
        </w:rPr>
        <w:t>, moderate wa</w:t>
      </w:r>
      <w:r w:rsidR="005558E2" w:rsidRPr="6A3CE5EF">
        <w:rPr>
          <w:rFonts w:eastAsia="EC Square Sans Pro" w:cs="EC Square Sans Pro"/>
          <w:noProof/>
        </w:rPr>
        <w:t>g</w:t>
      </w:r>
      <w:r w:rsidR="0070214C" w:rsidRPr="6A3CE5EF">
        <w:rPr>
          <w:rFonts w:eastAsia="EC Square Sans Pro" w:cs="EC Square Sans Pro"/>
          <w:noProof/>
        </w:rPr>
        <w:t xml:space="preserve">e </w:t>
      </w:r>
      <w:r>
        <w:rPr>
          <w:rFonts w:eastAsia="EC Square Sans Pro" w:cs="EC Square Sans Pro"/>
          <w:noProof/>
        </w:rPr>
        <w:t>increases</w:t>
      </w:r>
      <w:r w:rsidR="0070214C" w:rsidRPr="6A3CE5EF">
        <w:rPr>
          <w:rFonts w:eastAsia="EC Square Sans Pro" w:cs="EC Square Sans Pro"/>
          <w:noProof/>
        </w:rPr>
        <w:t>, a</w:t>
      </w:r>
      <w:r w:rsidR="00146912" w:rsidRPr="6A3CE5EF">
        <w:rPr>
          <w:rFonts w:eastAsia="EC Square Sans Pro" w:cs="EC Square Sans Pro"/>
          <w:noProof/>
        </w:rPr>
        <w:t>n</w:t>
      </w:r>
      <w:r w:rsidR="0070214C" w:rsidRPr="6A3CE5EF">
        <w:rPr>
          <w:rFonts w:eastAsia="EC Square Sans Pro" w:cs="EC Square Sans Pro"/>
          <w:noProof/>
        </w:rPr>
        <w:t xml:space="preserve">d the lagged impact </w:t>
      </w:r>
      <w:r>
        <w:rPr>
          <w:rFonts w:eastAsia="EC Square Sans Pro" w:cs="EC Square Sans Pro"/>
          <w:noProof/>
        </w:rPr>
        <w:t>from</w:t>
      </w:r>
      <w:r w:rsidR="0070214C" w:rsidRPr="6A3CE5EF">
        <w:rPr>
          <w:rFonts w:eastAsia="EC Square Sans Pro" w:cs="EC Square Sans Pro"/>
          <w:noProof/>
        </w:rPr>
        <w:t xml:space="preserve"> </w:t>
      </w:r>
      <w:r>
        <w:rPr>
          <w:rFonts w:eastAsia="EC Square Sans Pro" w:cs="EC Square Sans Pro"/>
          <w:noProof/>
        </w:rPr>
        <w:t xml:space="preserve">the stronger </w:t>
      </w:r>
      <w:r w:rsidR="0070214C" w:rsidRPr="6A3CE5EF">
        <w:rPr>
          <w:rFonts w:eastAsia="EC Square Sans Pro" w:cs="EC Square Sans Pro"/>
          <w:noProof/>
        </w:rPr>
        <w:t>krona</w:t>
      </w:r>
      <w:r w:rsidR="00D7141C">
        <w:rPr>
          <w:rFonts w:eastAsia="EC Square Sans Pro" w:cs="EC Square Sans Pro"/>
          <w:noProof/>
        </w:rPr>
        <w:t xml:space="preserve">, with </w:t>
      </w:r>
      <w:r w:rsidR="008F6A45">
        <w:rPr>
          <w:rFonts w:eastAsia="EC Square Sans Pro" w:cs="EC Square Sans Pro"/>
          <w:noProof/>
        </w:rPr>
        <w:t xml:space="preserve">special </w:t>
      </w:r>
      <w:r w:rsidR="00D7141C">
        <w:rPr>
          <w:rFonts w:eastAsia="EC Square Sans Pro" w:cs="EC Square Sans Pro"/>
          <w:noProof/>
        </w:rPr>
        <w:t>factors set to</w:t>
      </w:r>
      <w:r w:rsidR="008F6A45">
        <w:rPr>
          <w:rFonts w:eastAsia="EC Square Sans Pro" w:cs="EC Square Sans Pro"/>
          <w:noProof/>
        </w:rPr>
        <w:t xml:space="preserve"> fade in 2027</w:t>
      </w:r>
      <w:r w:rsidR="005558E2" w:rsidRPr="6A3CE5EF">
        <w:rPr>
          <w:rFonts w:eastAsia="EC Square Sans Pro" w:cs="EC Square Sans Pro"/>
          <w:noProof/>
        </w:rPr>
        <w:t>.</w:t>
      </w:r>
      <w:r w:rsidR="18C99602" w:rsidRPr="6A3CE5EF">
        <w:rPr>
          <w:rFonts w:eastAsia="EC Square Sans Pro" w:cs="EC Square Sans Pro"/>
          <w:noProof/>
        </w:rPr>
        <w:t xml:space="preserve"> The price level in Sweden</w:t>
      </w:r>
      <w:r w:rsidR="18C99602" w:rsidRPr="6A3CE5EF">
        <w:rPr>
          <w:rFonts w:ascii="Calibri" w:eastAsia="Calibri" w:hAnsi="Calibri" w:cs="Calibri"/>
          <w:noProof/>
        </w:rPr>
        <w:t xml:space="preserve"> </w:t>
      </w:r>
      <w:r w:rsidR="18C99602" w:rsidRPr="6A3CE5EF">
        <w:rPr>
          <w:rFonts w:eastAsia="EC Square Sans Pro" w:cs="EC Square Sans Pro"/>
          <w:noProof/>
        </w:rPr>
        <w:t>is</w:t>
      </w:r>
      <w:r w:rsidR="18C99602" w:rsidRPr="6A3CE5EF">
        <w:rPr>
          <w:rFonts w:ascii="Calibri" w:eastAsia="Calibri" w:hAnsi="Calibri" w:cs="Calibri"/>
          <w:noProof/>
        </w:rPr>
        <w:t xml:space="preserve"> </w:t>
      </w:r>
      <w:r w:rsidR="18C99602" w:rsidRPr="6A3CE5EF">
        <w:rPr>
          <w:rFonts w:eastAsia="EC Square Sans Pro" w:cs="EC Square Sans Pro"/>
          <w:noProof/>
        </w:rPr>
        <w:t>relatively high</w:t>
      </w:r>
      <w:r w:rsidR="00146912" w:rsidRPr="6A3CE5EF">
        <w:rPr>
          <w:rFonts w:eastAsia="EC Square Sans Pro" w:cs="EC Square Sans Pro"/>
          <w:noProof/>
        </w:rPr>
        <w:t>,</w:t>
      </w:r>
      <w:r w:rsidR="18C99602" w:rsidRPr="009F0DD6">
        <w:rPr>
          <w:rFonts w:eastAsia="EC Square Sans Pro" w:cs="EC Square Sans Pro"/>
          <w:noProof/>
        </w:rPr>
        <w:t xml:space="preserve"> </w:t>
      </w:r>
      <w:r w:rsidR="00146912" w:rsidRPr="009F0DD6">
        <w:rPr>
          <w:rFonts w:eastAsia="EC Square Sans Pro" w:cs="EC Square Sans Pro"/>
          <w:noProof/>
        </w:rPr>
        <w:t xml:space="preserve">at </w:t>
      </w:r>
      <w:r w:rsidR="18C99602" w:rsidRPr="6A3CE5EF">
        <w:rPr>
          <w:rFonts w:eastAsia="EC Square Sans Pro" w:cs="EC Square Sans Pro"/>
          <w:noProof/>
        </w:rPr>
        <w:t>about 110% of the euro</w:t>
      </w:r>
      <w:r w:rsidR="18C99602" w:rsidRPr="6A3CE5EF">
        <w:rPr>
          <w:rFonts w:ascii="Calibri" w:eastAsia="Calibri" w:hAnsi="Calibri" w:cs="Calibri"/>
          <w:noProof/>
        </w:rPr>
        <w:t xml:space="preserve"> </w:t>
      </w:r>
      <w:r w:rsidR="18C99602" w:rsidRPr="6A3CE5EF">
        <w:rPr>
          <w:rFonts w:eastAsia="EC Square Sans Pro" w:cs="EC Square Sans Pro"/>
          <w:noProof/>
        </w:rPr>
        <w:t>area average in 2024</w:t>
      </w:r>
      <w:r w:rsidR="230D2676" w:rsidRPr="6A3CE5EF">
        <w:rPr>
          <w:rFonts w:eastAsia="EC Square Sans Pro" w:cs="EC Square Sans Pro"/>
          <w:noProof/>
        </w:rPr>
        <w:t>.</w:t>
      </w:r>
    </w:p>
    <w:p w14:paraId="1CFB0E52" w14:textId="77777777" w:rsidR="006522B0" w:rsidRPr="00222EB8" w:rsidRDefault="006522B0" w:rsidP="00790336">
      <w:pPr>
        <w:spacing w:after="0"/>
        <w:ind w:left="555"/>
        <w:rPr>
          <w:rFonts w:eastAsia="EC Square Sans Pro" w:cs="EC Square Sans Pro"/>
          <w:noProof/>
          <w:szCs w:val="20"/>
        </w:rPr>
      </w:pPr>
    </w:p>
    <w:p w14:paraId="6BFD1C1D" w14:textId="177234DF" w:rsidR="002F7DB2" w:rsidRDefault="18C99602" w:rsidP="0098405B">
      <w:pPr>
        <w:ind w:left="555"/>
        <w:rPr>
          <w:rFonts w:eastAsia="EC Square Sans Pro" w:cs="EC Square Sans Pro"/>
          <w:noProof/>
        </w:rPr>
      </w:pPr>
      <w:r w:rsidRPr="6A3CE5EF">
        <w:rPr>
          <w:rFonts w:eastAsia="EC Square Sans Pro" w:cs="EC Square Sans Pro"/>
          <w:b/>
          <w:noProof/>
        </w:rPr>
        <w:t>Sweden fulfils the criterion on public finances</w:t>
      </w:r>
      <w:r w:rsidRPr="6A3CE5EF">
        <w:rPr>
          <w:rFonts w:eastAsia="EC Square Sans Pro" w:cs="EC Square Sans Pro"/>
          <w:noProof/>
        </w:rPr>
        <w:t>.</w:t>
      </w:r>
      <w:r w:rsidRPr="6A3CE5EF">
        <w:rPr>
          <w:rFonts w:ascii="Calibri" w:eastAsia="Calibri" w:hAnsi="Calibri" w:cs="Calibri"/>
          <w:noProof/>
        </w:rPr>
        <w:t xml:space="preserve"> </w:t>
      </w:r>
      <w:bookmarkStart w:id="10" w:name="_Hlk225944620"/>
      <w:r w:rsidRPr="6A3CE5EF">
        <w:rPr>
          <w:rFonts w:eastAsia="EC Square Sans Pro" w:cs="EC Square Sans Pro"/>
          <w:noProof/>
        </w:rPr>
        <w:t xml:space="preserve">Sweden is not the subject of a Council Decision on the existence of an excessive deficit. </w:t>
      </w:r>
      <w:r w:rsidR="002F7DB2" w:rsidRPr="04F73512">
        <w:rPr>
          <w:rFonts w:eastAsia="EC Square Sans Pro" w:cs="EC Square Sans Pro"/>
          <w:noProof/>
        </w:rPr>
        <w:t xml:space="preserve">The general government </w:t>
      </w:r>
      <w:r w:rsidR="004850AF">
        <w:rPr>
          <w:rFonts w:eastAsia="EC Square Sans Pro" w:cs="EC Square Sans Pro"/>
          <w:noProof/>
        </w:rPr>
        <w:t xml:space="preserve">deficit </w:t>
      </w:r>
      <w:r w:rsidR="050ABB34" w:rsidRPr="3E5C056B">
        <w:rPr>
          <w:rFonts w:eastAsia="EC Square Sans Pro" w:cs="EC Square Sans Pro"/>
          <w:noProof/>
        </w:rPr>
        <w:t>improved</w:t>
      </w:r>
      <w:r w:rsidR="002F7DB2" w:rsidRPr="04F73512">
        <w:rPr>
          <w:rFonts w:eastAsia="EC Square Sans Pro" w:cs="EC Square Sans Pro"/>
          <w:noProof/>
        </w:rPr>
        <w:t xml:space="preserve"> slightly from 1.5% of GDP in 2024 to </w:t>
      </w:r>
      <w:r w:rsidR="002F7DB2" w:rsidRPr="0098405B">
        <w:rPr>
          <w:rFonts w:eastAsia="EC Square Sans Pro" w:cs="EC Square Sans Pro"/>
          <w:noProof/>
        </w:rPr>
        <w:t>1.3</w:t>
      </w:r>
      <w:r w:rsidR="002F7DB2" w:rsidRPr="04F73512">
        <w:rPr>
          <w:rFonts w:eastAsia="EC Square Sans Pro" w:cs="EC Square Sans Pro"/>
          <w:noProof/>
        </w:rPr>
        <w:t xml:space="preserve">% of GDP in 2025, reflecting </w:t>
      </w:r>
      <w:r w:rsidR="004850AF">
        <w:rPr>
          <w:rFonts w:eastAsia="EC Square Sans Pro" w:cs="EC Square Sans Pro"/>
          <w:noProof/>
        </w:rPr>
        <w:t>sluggish</w:t>
      </w:r>
      <w:r w:rsidR="002F7DB2" w:rsidRPr="04F73512">
        <w:rPr>
          <w:rFonts w:eastAsia="EC Square Sans Pro" w:cs="EC Square Sans Pro"/>
          <w:noProof/>
        </w:rPr>
        <w:t xml:space="preserve"> economic growth. According to the Commission’s</w:t>
      </w:r>
      <w:r w:rsidR="002F7DB2" w:rsidRPr="04F73512">
        <w:rPr>
          <w:rFonts w:ascii="Calibri" w:eastAsia="Calibri" w:hAnsi="Calibri" w:cs="Calibri"/>
          <w:noProof/>
        </w:rPr>
        <w:t xml:space="preserve"> </w:t>
      </w:r>
      <w:r w:rsidR="002F7DB2" w:rsidRPr="04F73512">
        <w:rPr>
          <w:rFonts w:eastAsia="EC Square Sans Pro" w:cs="EC Square Sans Pro"/>
          <w:noProof/>
        </w:rPr>
        <w:t>Spring 2026</w:t>
      </w:r>
      <w:r w:rsidR="002F7DB2" w:rsidRPr="04F73512">
        <w:rPr>
          <w:rFonts w:ascii="Calibri" w:eastAsia="Calibri" w:hAnsi="Calibri" w:cs="Calibri"/>
          <w:noProof/>
        </w:rPr>
        <w:t xml:space="preserve"> </w:t>
      </w:r>
      <w:r w:rsidR="002F7DB2" w:rsidRPr="04F73512">
        <w:rPr>
          <w:rFonts w:eastAsia="EC Square Sans Pro" w:cs="EC Square Sans Pro"/>
          <w:noProof/>
        </w:rPr>
        <w:t>Economic</w:t>
      </w:r>
      <w:r w:rsidR="002F7DB2" w:rsidRPr="04F73512">
        <w:rPr>
          <w:rFonts w:ascii="Calibri" w:eastAsia="Calibri" w:hAnsi="Calibri" w:cs="Calibri"/>
          <w:noProof/>
        </w:rPr>
        <w:t xml:space="preserve"> </w:t>
      </w:r>
      <w:r w:rsidR="002F7DB2" w:rsidRPr="04F73512">
        <w:rPr>
          <w:rFonts w:eastAsia="EC Square Sans Pro" w:cs="EC Square Sans Pro"/>
          <w:noProof/>
        </w:rPr>
        <w:t xml:space="preserve">Forecast, the general government </w:t>
      </w:r>
      <w:r w:rsidR="00FB2086">
        <w:rPr>
          <w:rFonts w:eastAsia="EC Square Sans Pro" w:cs="EC Square Sans Pro"/>
          <w:noProof/>
        </w:rPr>
        <w:t>deficit</w:t>
      </w:r>
      <w:r w:rsidR="002F7DB2" w:rsidRPr="04F73512">
        <w:rPr>
          <w:rFonts w:eastAsia="EC Square Sans Pro" w:cs="EC Square Sans Pro"/>
          <w:noProof/>
        </w:rPr>
        <w:t xml:space="preserve"> is expected to reach</w:t>
      </w:r>
      <w:r w:rsidR="002F7DB2" w:rsidRPr="04F73512">
        <w:rPr>
          <w:rFonts w:ascii="Calibri" w:eastAsia="Calibri" w:hAnsi="Calibri" w:cs="Calibri"/>
          <w:noProof/>
        </w:rPr>
        <w:t xml:space="preserve"> </w:t>
      </w:r>
      <w:r w:rsidR="002F7DB2" w:rsidRPr="00B37E8E">
        <w:rPr>
          <w:rFonts w:eastAsia="EC Square Sans Pro" w:cs="EC Square Sans Pro"/>
          <w:noProof/>
        </w:rPr>
        <w:t>2.8</w:t>
      </w:r>
      <w:r w:rsidR="002F7DB2" w:rsidRPr="04F73512">
        <w:rPr>
          <w:rFonts w:eastAsia="EC Square Sans Pro" w:cs="EC Square Sans Pro"/>
          <w:noProof/>
        </w:rPr>
        <w:t xml:space="preserve">% of GDP in 2026 </w:t>
      </w:r>
      <w:r w:rsidR="004850AF">
        <w:rPr>
          <w:rFonts w:eastAsia="EC Square Sans Pro" w:cs="EC Square Sans Pro"/>
          <w:noProof/>
        </w:rPr>
        <w:t>due to</w:t>
      </w:r>
      <w:r w:rsidR="002F7DB2" w:rsidRPr="04F73512">
        <w:rPr>
          <w:rFonts w:eastAsia="EC Square Sans Pro" w:cs="EC Square Sans Pro"/>
          <w:noProof/>
        </w:rPr>
        <w:t xml:space="preserve"> weakening total revenues. In 2027, the government deficit ratio is forecast </w:t>
      </w:r>
      <w:r w:rsidR="004850AF">
        <w:rPr>
          <w:rFonts w:eastAsia="EC Square Sans Pro" w:cs="EC Square Sans Pro"/>
          <w:noProof/>
        </w:rPr>
        <w:t>to be</w:t>
      </w:r>
      <w:r w:rsidR="002F7DB2" w:rsidRPr="04F73512">
        <w:rPr>
          <w:rFonts w:eastAsia="EC Square Sans Pro" w:cs="EC Square Sans Pro"/>
          <w:noProof/>
        </w:rPr>
        <w:t xml:space="preserve"> </w:t>
      </w:r>
      <w:r w:rsidR="002F7DB2" w:rsidRPr="00B37E8E">
        <w:rPr>
          <w:rFonts w:eastAsia="EC Square Sans Pro" w:cs="EC Square Sans Pro"/>
          <w:noProof/>
        </w:rPr>
        <w:t>2.5</w:t>
      </w:r>
      <w:r w:rsidR="002F7DB2" w:rsidRPr="04F73512">
        <w:rPr>
          <w:rFonts w:eastAsia="EC Square Sans Pro" w:cs="EC Square Sans Pro"/>
          <w:noProof/>
        </w:rPr>
        <w:t>%.</w:t>
      </w:r>
    </w:p>
    <w:p w14:paraId="22B1AFDD" w14:textId="13630C88" w:rsidR="0005765E" w:rsidRDefault="00E45E80" w:rsidP="00790336">
      <w:pPr>
        <w:spacing w:after="0"/>
        <w:ind w:left="555"/>
        <w:rPr>
          <w:rFonts w:eastAsia="EC Square Sans Pro" w:cs="EC Square Sans Pro"/>
          <w:noProof/>
        </w:rPr>
      </w:pPr>
      <w:r w:rsidRPr="6A3CE5EF">
        <w:rPr>
          <w:rFonts w:eastAsia="EC Square Sans Pro" w:cs="EC Square Sans Pro"/>
          <w:noProof/>
        </w:rPr>
        <w:t xml:space="preserve">On 21 January 2025, the Council adopted a recommendation endorsing Sweden’s </w:t>
      </w:r>
      <w:r w:rsidR="00D40C2A" w:rsidRPr="6A3CE5EF">
        <w:rPr>
          <w:rFonts w:eastAsia="EC Square Sans Pro" w:cs="EC Square Sans Pro"/>
          <w:noProof/>
        </w:rPr>
        <w:t xml:space="preserve">national </w:t>
      </w:r>
      <w:r w:rsidR="009D0D58" w:rsidRPr="6A3CE5EF">
        <w:rPr>
          <w:rFonts w:eastAsia="EC Square Sans Pro" w:cs="EC Square Sans Pro"/>
          <w:noProof/>
        </w:rPr>
        <w:t>medium-term fiscal</w:t>
      </w:r>
      <w:r w:rsidR="00110207" w:rsidRPr="6A3CE5EF">
        <w:rPr>
          <w:rFonts w:eastAsia="EC Square Sans Pro" w:cs="EC Square Sans Pro"/>
          <w:noProof/>
        </w:rPr>
        <w:t>-</w:t>
      </w:r>
      <w:r w:rsidR="009D0D58" w:rsidRPr="6A3CE5EF">
        <w:rPr>
          <w:rFonts w:eastAsia="EC Square Sans Pro" w:cs="EC Square Sans Pro"/>
          <w:noProof/>
        </w:rPr>
        <w:t xml:space="preserve">structural </w:t>
      </w:r>
      <w:r w:rsidRPr="6A3CE5EF">
        <w:rPr>
          <w:rFonts w:eastAsia="EC Square Sans Pro" w:cs="EC Square Sans Pro"/>
          <w:noProof/>
        </w:rPr>
        <w:t xml:space="preserve">plan. The plan covers the period 2025-2028 and </w:t>
      </w:r>
      <w:r w:rsidR="00A55485">
        <w:rPr>
          <w:rFonts w:eastAsia="EC Square Sans Pro" w:cs="EC Square Sans Pro"/>
          <w:noProof/>
        </w:rPr>
        <w:t>sets</w:t>
      </w:r>
      <w:r w:rsidRPr="6A3CE5EF">
        <w:rPr>
          <w:rFonts w:eastAsia="EC Square Sans Pro" w:cs="EC Square Sans Pro"/>
          <w:noProof/>
        </w:rPr>
        <w:t xml:space="preserve"> an upper limit for net expenditure growth over the four years</w:t>
      </w:r>
      <w:r w:rsidR="00636506" w:rsidRPr="6A3CE5EF">
        <w:rPr>
          <w:rFonts w:eastAsia="EC Square Sans Pro" w:cs="EC Square Sans Pro"/>
          <w:noProof/>
        </w:rPr>
        <w:t xml:space="preserve">, with </w:t>
      </w:r>
      <w:r w:rsidR="00163E01" w:rsidRPr="6A3CE5EF">
        <w:rPr>
          <w:rFonts w:eastAsia="EC Square Sans Pro" w:cs="EC Square Sans Pro"/>
          <w:noProof/>
        </w:rPr>
        <w:t xml:space="preserve">maximum growth rates of net expenditure </w:t>
      </w:r>
      <w:r w:rsidR="00636506" w:rsidRPr="6A3CE5EF">
        <w:rPr>
          <w:rFonts w:eastAsia="EC Square Sans Pro" w:cs="EC Square Sans Pro"/>
          <w:noProof/>
        </w:rPr>
        <w:t xml:space="preserve">of </w:t>
      </w:r>
      <w:r w:rsidR="00163E01" w:rsidRPr="6A3CE5EF">
        <w:rPr>
          <w:rFonts w:eastAsia="EC Square Sans Pro" w:cs="EC Square Sans Pro"/>
          <w:noProof/>
        </w:rPr>
        <w:t>4.0% in 2025, 4.4% in 2026, 4.4% in 2027, and 4.6% in 2028</w:t>
      </w:r>
      <w:r w:rsidR="00A65D6C" w:rsidRPr="6A3CE5EF">
        <w:rPr>
          <w:rFonts w:eastAsia="EC Square Sans Pro" w:cs="EC Square Sans Pro"/>
          <w:noProof/>
        </w:rPr>
        <w:t xml:space="preserve">. </w:t>
      </w:r>
      <w:r w:rsidR="00066F05" w:rsidRPr="6A3CE5EF">
        <w:rPr>
          <w:rFonts w:eastAsia="EC Square Sans Pro" w:cs="EC Square Sans Pro"/>
          <w:noProof/>
        </w:rPr>
        <w:t xml:space="preserve">On </w:t>
      </w:r>
      <w:r w:rsidR="00066F05" w:rsidRPr="0091229E">
        <w:rPr>
          <w:rFonts w:eastAsia="EC Square Sans Pro" w:cs="EC Square Sans Pro"/>
          <w:noProof/>
        </w:rPr>
        <w:t>3 June 2026, the</w:t>
      </w:r>
      <w:r w:rsidR="00066F05" w:rsidRPr="6A3CE5EF">
        <w:rPr>
          <w:rFonts w:eastAsia="EC Square Sans Pro" w:cs="EC Square Sans Pro"/>
          <w:noProof/>
        </w:rPr>
        <w:t xml:space="preserve"> Commission concluded that </w:t>
      </w:r>
      <w:r w:rsidR="2DEBDFA5" w:rsidRPr="0098405B">
        <w:rPr>
          <w:rFonts w:eastAsia="EC Square Sans Pro" w:cs="EC Square Sans Pro"/>
          <w:noProof/>
          <w:color w:val="auto"/>
        </w:rPr>
        <w:t>net expenditure is projected to grow by 6.5% in 2026, above the recommended growth of 4.4%. The deviation above the recommended maximum is equivalent to an annual deviation of 1.0% of GDP. However, when considering 2024, 2025 and 2026 together, the projected cumulative growth rate of net expenditure is below</w:t>
      </w:r>
      <w:r w:rsidR="6932C792" w:rsidRPr="0098405B">
        <w:rPr>
          <w:rFonts w:eastAsia="EC Square Sans Pro" w:cs="EC Square Sans Pro"/>
          <w:noProof/>
          <w:color w:val="auto"/>
        </w:rPr>
        <w:t xml:space="preserve"> </w:t>
      </w:r>
      <w:r w:rsidR="07F1313C" w:rsidRPr="0098405B">
        <w:rPr>
          <w:rFonts w:eastAsia="EC Square Sans Pro" w:cs="EC Square Sans Pro"/>
          <w:noProof/>
          <w:color w:val="auto"/>
          <w:szCs w:val="20"/>
        </w:rPr>
        <w:t>the recommended maximum growth rate.</w:t>
      </w:r>
      <w:r w:rsidR="00D24D56" w:rsidRPr="0098405B">
        <w:rPr>
          <w:rFonts w:eastAsia="EC Square Sans Pro" w:cs="EC Square Sans Pro"/>
          <w:noProof/>
          <w:color w:val="auto"/>
          <w:szCs w:val="20"/>
        </w:rPr>
        <w:t xml:space="preserve"> </w:t>
      </w:r>
      <w:r w:rsidR="00DE02D0" w:rsidRPr="0098405B">
        <w:rPr>
          <w:rFonts w:eastAsia="EC Square Sans Pro" w:cs="EC Square Sans Pro"/>
          <w:noProof/>
          <w:color w:val="auto"/>
        </w:rPr>
        <w:t xml:space="preserve">Net </w:t>
      </w:r>
      <w:r w:rsidR="00DE02D0" w:rsidRPr="04F73512">
        <w:rPr>
          <w:rFonts w:eastAsia="EC Square Sans Pro" w:cs="EC Square Sans Pro"/>
          <w:noProof/>
        </w:rPr>
        <w:t xml:space="preserve">expenditure in 2026 is projected to </w:t>
      </w:r>
      <w:r w:rsidR="0088794E" w:rsidRPr="04F73512">
        <w:rPr>
          <w:rFonts w:eastAsia="EC Square Sans Pro" w:cs="EC Square Sans Pro"/>
          <w:noProof/>
        </w:rPr>
        <w:t xml:space="preserve">increase </w:t>
      </w:r>
      <w:r w:rsidR="00DE02D0" w:rsidRPr="04F73512">
        <w:rPr>
          <w:rFonts w:eastAsia="EC Square Sans Pro" w:cs="EC Square Sans Pro"/>
          <w:noProof/>
        </w:rPr>
        <w:t xml:space="preserve">by </w:t>
      </w:r>
      <w:r w:rsidR="00747A57" w:rsidRPr="0098405B">
        <w:rPr>
          <w:rFonts w:eastAsia="EC Square Sans Pro" w:cs="EC Square Sans Pro"/>
          <w:noProof/>
        </w:rPr>
        <w:t>6.</w:t>
      </w:r>
      <w:r w:rsidR="7F940A9A" w:rsidRPr="0098405B">
        <w:rPr>
          <w:rFonts w:eastAsia="EC Square Sans Pro" w:cs="EC Square Sans Pro"/>
          <w:noProof/>
        </w:rPr>
        <w:t>5</w:t>
      </w:r>
      <w:r w:rsidR="00DE02D0" w:rsidRPr="04F73512">
        <w:rPr>
          <w:rFonts w:eastAsia="EC Square Sans Pro" w:cs="EC Square Sans Pro"/>
          <w:noProof/>
        </w:rPr>
        <w:t xml:space="preserve">%, which is </w:t>
      </w:r>
      <w:r w:rsidR="00E30B89" w:rsidRPr="0098405B">
        <w:rPr>
          <w:rFonts w:eastAsia="EC Square Sans Pro" w:cs="EC Square Sans Pro"/>
          <w:noProof/>
        </w:rPr>
        <w:t>above</w:t>
      </w:r>
      <w:r w:rsidR="00DE02D0" w:rsidRPr="04F73512">
        <w:rPr>
          <w:rFonts w:eastAsia="EC Square Sans Pro" w:cs="EC Square Sans Pro"/>
          <w:noProof/>
        </w:rPr>
        <w:t xml:space="preserve"> the ceiling recommended by the Council of </w:t>
      </w:r>
      <w:r w:rsidR="00E30B89" w:rsidRPr="04F73512">
        <w:rPr>
          <w:rFonts w:eastAsia="EC Square Sans Pro" w:cs="EC Square Sans Pro"/>
          <w:noProof/>
        </w:rPr>
        <w:t>4.4</w:t>
      </w:r>
      <w:r w:rsidR="00DE02D0" w:rsidRPr="04F73512">
        <w:rPr>
          <w:rFonts w:eastAsia="EC Square Sans Pro" w:cs="EC Square Sans Pro"/>
          <w:noProof/>
        </w:rPr>
        <w:t xml:space="preserve">% for 2026, and the cumulative net expenditure growth by 2026 is projected to </w:t>
      </w:r>
      <w:r w:rsidR="00DE02D0" w:rsidRPr="0098405B">
        <w:rPr>
          <w:rFonts w:eastAsia="EC Square Sans Pro" w:cs="EC Square Sans Pro"/>
          <w:noProof/>
        </w:rPr>
        <w:t>remain within</w:t>
      </w:r>
      <w:r w:rsidR="00DE02D0" w:rsidRPr="04F73512">
        <w:rPr>
          <w:rFonts w:eastAsia="EC Square Sans Pro" w:cs="EC Square Sans Pro"/>
          <w:noProof/>
        </w:rPr>
        <w:t xml:space="preserve"> the recommended cumulative ceiling of </w:t>
      </w:r>
      <w:r w:rsidR="005B7BB3" w:rsidRPr="04F73512">
        <w:rPr>
          <w:rFonts w:eastAsia="EC Square Sans Pro" w:cs="EC Square Sans Pro"/>
          <w:noProof/>
        </w:rPr>
        <w:t>15</w:t>
      </w:r>
      <w:r w:rsidR="00ED2572" w:rsidRPr="04F73512">
        <w:rPr>
          <w:rFonts w:eastAsia="EC Square Sans Pro" w:cs="EC Square Sans Pro"/>
          <w:noProof/>
        </w:rPr>
        <w:t>.</w:t>
      </w:r>
      <w:r w:rsidR="005B7BB3" w:rsidRPr="04F73512">
        <w:rPr>
          <w:rFonts w:eastAsia="EC Square Sans Pro" w:cs="EC Square Sans Pro"/>
          <w:noProof/>
        </w:rPr>
        <w:t>5</w:t>
      </w:r>
      <w:r w:rsidR="00DE02D0" w:rsidRPr="04F73512">
        <w:rPr>
          <w:rFonts w:eastAsia="EC Square Sans Pro" w:cs="EC Square Sans Pro"/>
          <w:noProof/>
        </w:rPr>
        <w:t xml:space="preserve">%. </w:t>
      </w:r>
      <w:bookmarkEnd w:id="10"/>
    </w:p>
    <w:p w14:paraId="77292B88" w14:textId="77777777" w:rsidR="00D24D56" w:rsidRDefault="00D24D56" w:rsidP="00790336">
      <w:pPr>
        <w:spacing w:after="0"/>
        <w:ind w:left="555"/>
        <w:rPr>
          <w:rFonts w:eastAsia="EC Square Sans Pro" w:cs="EC Square Sans Pro"/>
          <w:noProof/>
        </w:rPr>
      </w:pPr>
    </w:p>
    <w:p w14:paraId="0C33E84D" w14:textId="437F2594" w:rsidR="00B33FB6" w:rsidRDefault="0005765E" w:rsidP="00790336">
      <w:pPr>
        <w:spacing w:after="0"/>
        <w:ind w:left="555"/>
        <w:rPr>
          <w:rFonts w:eastAsia="EC Square Sans Pro" w:cs="EC Square Sans Pro"/>
          <w:noProof/>
        </w:rPr>
      </w:pPr>
      <w:r w:rsidRPr="04F73512">
        <w:rPr>
          <w:rFonts w:eastAsia="EC Square Sans Pro" w:cs="EC Square Sans Pro"/>
          <w:noProof/>
        </w:rPr>
        <w:t>The government debt-to-GDP ratio increased from</w:t>
      </w:r>
      <w:r w:rsidRPr="04F73512">
        <w:rPr>
          <w:rFonts w:ascii="Calibri" w:eastAsia="Calibri" w:hAnsi="Calibri" w:cs="Calibri"/>
          <w:noProof/>
        </w:rPr>
        <w:t xml:space="preserve"> </w:t>
      </w:r>
      <w:r w:rsidRPr="04F73512">
        <w:rPr>
          <w:rFonts w:eastAsia="EC Square Sans Pro" w:cs="EC Square Sans Pro"/>
          <w:noProof/>
        </w:rPr>
        <w:t>34.</w:t>
      </w:r>
      <w:r w:rsidR="4F3C91EF" w:rsidRPr="7450772E">
        <w:rPr>
          <w:rFonts w:eastAsia="EC Square Sans Pro" w:cs="EC Square Sans Pro"/>
          <w:noProof/>
        </w:rPr>
        <w:t>1</w:t>
      </w:r>
      <w:r w:rsidRPr="04F73512">
        <w:rPr>
          <w:rFonts w:eastAsia="EC Square Sans Pro" w:cs="EC Square Sans Pro"/>
          <w:noProof/>
        </w:rPr>
        <w:t>% in 2024</w:t>
      </w:r>
      <w:r w:rsidRPr="04F73512">
        <w:rPr>
          <w:rFonts w:ascii="Calibri" w:eastAsia="Calibri" w:hAnsi="Calibri" w:cs="Calibri"/>
          <w:noProof/>
        </w:rPr>
        <w:t xml:space="preserve"> </w:t>
      </w:r>
      <w:r w:rsidRPr="04F73512">
        <w:rPr>
          <w:rFonts w:eastAsia="EC Square Sans Pro" w:cs="EC Square Sans Pro"/>
          <w:noProof/>
        </w:rPr>
        <w:t xml:space="preserve">to </w:t>
      </w:r>
      <w:r w:rsidRPr="006E21D0">
        <w:rPr>
          <w:rFonts w:eastAsia="EC Square Sans Pro" w:cs="EC Square Sans Pro"/>
          <w:noProof/>
        </w:rPr>
        <w:t>35.1</w:t>
      </w:r>
      <w:r w:rsidRPr="04F73512">
        <w:rPr>
          <w:rFonts w:eastAsia="EC Square Sans Pro" w:cs="EC Square Sans Pro"/>
          <w:noProof/>
        </w:rPr>
        <w:t>% in 2025 and is expected to increase further to</w:t>
      </w:r>
      <w:r w:rsidRPr="04F73512">
        <w:rPr>
          <w:rFonts w:ascii="Calibri" w:eastAsia="Calibri" w:hAnsi="Calibri" w:cs="Calibri"/>
          <w:noProof/>
        </w:rPr>
        <w:t xml:space="preserve"> </w:t>
      </w:r>
      <w:r w:rsidRPr="006E21D0">
        <w:rPr>
          <w:rFonts w:eastAsia="EC Square Sans Pro" w:cs="EC Square Sans Pro"/>
          <w:noProof/>
        </w:rPr>
        <w:t>36.</w:t>
      </w:r>
      <w:r w:rsidR="246E4137" w:rsidRPr="492BCFD6">
        <w:rPr>
          <w:rFonts w:eastAsia="EC Square Sans Pro" w:cs="EC Square Sans Pro"/>
          <w:noProof/>
        </w:rPr>
        <w:t>5</w:t>
      </w:r>
      <w:r w:rsidRPr="04F73512">
        <w:rPr>
          <w:rFonts w:eastAsia="EC Square Sans Pro" w:cs="EC Square Sans Pro"/>
          <w:noProof/>
        </w:rPr>
        <w:t>% of GDP in 2026 and</w:t>
      </w:r>
      <w:r w:rsidRPr="04F73512">
        <w:rPr>
          <w:rFonts w:ascii="Calibri" w:eastAsia="Calibri" w:hAnsi="Calibri" w:cs="Calibri"/>
          <w:noProof/>
        </w:rPr>
        <w:t xml:space="preserve"> </w:t>
      </w:r>
      <w:r w:rsidR="00EA5C25">
        <w:rPr>
          <w:rFonts w:ascii="Calibri" w:eastAsia="Calibri" w:hAnsi="Calibri" w:cs="Calibri"/>
          <w:noProof/>
        </w:rPr>
        <w:t xml:space="preserve">then to </w:t>
      </w:r>
      <w:r w:rsidRPr="006E21D0">
        <w:rPr>
          <w:rFonts w:eastAsia="EC Square Sans Pro" w:cs="EC Square Sans Pro"/>
          <w:noProof/>
        </w:rPr>
        <w:t>37.</w:t>
      </w:r>
      <w:r w:rsidR="00337908">
        <w:rPr>
          <w:rFonts w:eastAsia="EC Square Sans Pro" w:cs="EC Square Sans Pro"/>
          <w:noProof/>
        </w:rPr>
        <w:t>7</w:t>
      </w:r>
      <w:r w:rsidRPr="04F73512">
        <w:rPr>
          <w:rFonts w:eastAsia="EC Square Sans Pro" w:cs="EC Square Sans Pro"/>
          <w:noProof/>
        </w:rPr>
        <w:t>%</w:t>
      </w:r>
      <w:r w:rsidRPr="04F73512">
        <w:rPr>
          <w:rFonts w:ascii="Calibri" w:eastAsia="Calibri" w:hAnsi="Calibri" w:cs="Calibri"/>
          <w:noProof/>
        </w:rPr>
        <w:t xml:space="preserve"> </w:t>
      </w:r>
      <w:r w:rsidRPr="04F73512">
        <w:rPr>
          <w:rFonts w:eastAsia="EC Square Sans Pro" w:cs="EC Square Sans Pro"/>
          <w:noProof/>
        </w:rPr>
        <w:t xml:space="preserve">of GDP in 2027, driven by </w:t>
      </w:r>
      <w:r w:rsidR="00240553">
        <w:rPr>
          <w:rFonts w:eastAsia="EC Square Sans Pro" w:cs="EC Square Sans Pro"/>
          <w:noProof/>
        </w:rPr>
        <w:t xml:space="preserve">a </w:t>
      </w:r>
      <w:r w:rsidRPr="04F73512">
        <w:rPr>
          <w:rFonts w:eastAsia="EC Square Sans Pro" w:cs="EC Square Sans Pro"/>
          <w:noProof/>
        </w:rPr>
        <w:t>higher primary deficit.</w:t>
      </w:r>
      <w:r w:rsidRPr="04F73512">
        <w:rPr>
          <w:rFonts w:ascii="Calibri" w:eastAsia="Calibri" w:hAnsi="Calibri" w:cs="Calibri"/>
          <w:noProof/>
        </w:rPr>
        <w:t xml:space="preserve"> </w:t>
      </w:r>
      <w:r w:rsidR="18C99602" w:rsidRPr="04F73512">
        <w:rPr>
          <w:rFonts w:eastAsia="EC Square Sans Pro" w:cs="EC Square Sans Pro"/>
          <w:noProof/>
        </w:rPr>
        <w:t>Sweden’s debt</w:t>
      </w:r>
      <w:r w:rsidR="18C99602" w:rsidRPr="04F73512">
        <w:rPr>
          <w:rFonts w:ascii="Calibri" w:eastAsia="Calibri" w:hAnsi="Calibri" w:cs="Calibri"/>
          <w:noProof/>
        </w:rPr>
        <w:t xml:space="preserve"> </w:t>
      </w:r>
      <w:r w:rsidR="18C99602" w:rsidRPr="04F73512">
        <w:rPr>
          <w:rFonts w:eastAsia="EC Square Sans Pro" w:cs="EC Square Sans Pro"/>
          <w:noProof/>
        </w:rPr>
        <w:t>sustainability risks appear low over the medium term, even</w:t>
      </w:r>
      <w:r w:rsidR="00092FFC" w:rsidRPr="04F73512">
        <w:rPr>
          <w:rFonts w:eastAsia="EC Square Sans Pro" w:cs="EC Square Sans Pro"/>
          <w:noProof/>
        </w:rPr>
        <w:t xml:space="preserve"> </w:t>
      </w:r>
      <w:r w:rsidR="18C99602" w:rsidRPr="04F73512">
        <w:rPr>
          <w:rFonts w:eastAsia="EC Square Sans Pro" w:cs="EC Square Sans Pro"/>
          <w:noProof/>
        </w:rPr>
        <w:t>though government debt is projected to increase to around</w:t>
      </w:r>
      <w:r w:rsidR="18C99602" w:rsidRPr="04F73512">
        <w:rPr>
          <w:rFonts w:ascii="Calibri" w:eastAsia="Calibri" w:hAnsi="Calibri" w:cs="Calibri"/>
          <w:noProof/>
        </w:rPr>
        <w:t xml:space="preserve"> </w:t>
      </w:r>
      <w:r w:rsidR="18C99602" w:rsidRPr="04F73512">
        <w:rPr>
          <w:rFonts w:eastAsia="EC Square Sans Pro" w:cs="EC Square Sans Pro"/>
          <w:noProof/>
        </w:rPr>
        <w:t xml:space="preserve">44% of GDP </w:t>
      </w:r>
      <w:r w:rsidR="00240553">
        <w:rPr>
          <w:rFonts w:eastAsia="EC Square Sans Pro" w:cs="EC Square Sans Pro"/>
          <w:noProof/>
        </w:rPr>
        <w:t>by</w:t>
      </w:r>
      <w:r w:rsidR="18C99602" w:rsidRPr="04F73512">
        <w:rPr>
          <w:rFonts w:eastAsia="EC Square Sans Pro" w:cs="EC Square Sans Pro"/>
          <w:noProof/>
        </w:rPr>
        <w:t xml:space="preserve"> 2036.</w:t>
      </w:r>
      <w:r w:rsidR="18C99602" w:rsidRPr="04F73512">
        <w:rPr>
          <w:rFonts w:ascii="Calibri" w:eastAsia="Calibri" w:hAnsi="Calibri" w:cs="Calibri"/>
          <w:noProof/>
        </w:rPr>
        <w:t xml:space="preserve"> </w:t>
      </w:r>
      <w:r w:rsidR="18C99602" w:rsidRPr="04F73512">
        <w:rPr>
          <w:rFonts w:eastAsia="EC Square Sans Pro" w:cs="EC Square Sans Pro"/>
          <w:noProof/>
        </w:rPr>
        <w:t xml:space="preserve">Sweden has a </w:t>
      </w:r>
      <w:r w:rsidR="00935AA2" w:rsidRPr="04F73512">
        <w:rPr>
          <w:rFonts w:eastAsia="EC Square Sans Pro" w:cs="EC Square Sans Pro"/>
          <w:noProof/>
        </w:rPr>
        <w:t xml:space="preserve">robust </w:t>
      </w:r>
      <w:r w:rsidR="18C99602" w:rsidRPr="04F73512">
        <w:rPr>
          <w:rFonts w:eastAsia="EC Square Sans Pro" w:cs="EC Square Sans Pro"/>
          <w:noProof/>
        </w:rPr>
        <w:t>fiscal framework</w:t>
      </w:r>
      <w:r w:rsidR="18C99602" w:rsidRPr="04F73512">
        <w:rPr>
          <w:rFonts w:ascii="Calibri" w:eastAsia="Calibri" w:hAnsi="Calibri" w:cs="Calibri"/>
          <w:noProof/>
        </w:rPr>
        <w:t xml:space="preserve"> </w:t>
      </w:r>
      <w:r w:rsidR="18C99602" w:rsidRPr="04F73512">
        <w:rPr>
          <w:rFonts w:eastAsia="EC Square Sans Pro" w:cs="EC Square Sans Pro"/>
          <w:noProof/>
        </w:rPr>
        <w:t xml:space="preserve">with clear rules </w:t>
      </w:r>
      <w:r w:rsidR="00240553">
        <w:rPr>
          <w:rFonts w:eastAsia="EC Square Sans Pro" w:cs="EC Square Sans Pro"/>
          <w:noProof/>
        </w:rPr>
        <w:t>and</w:t>
      </w:r>
      <w:r w:rsidR="18C99602" w:rsidRPr="04F73512">
        <w:rPr>
          <w:rFonts w:eastAsia="EC Square Sans Pro" w:cs="EC Square Sans Pro"/>
          <w:noProof/>
        </w:rPr>
        <w:t xml:space="preserve"> a medium-term focus</w:t>
      </w:r>
      <w:r w:rsidR="0055385C" w:rsidRPr="04F73512">
        <w:rPr>
          <w:rFonts w:eastAsia="EC Square Sans Pro" w:cs="EC Square Sans Pro"/>
          <w:noProof/>
        </w:rPr>
        <w:t xml:space="preserve">, </w:t>
      </w:r>
      <w:r w:rsidR="00EB1E18" w:rsidRPr="04F73512">
        <w:rPr>
          <w:rFonts w:eastAsia="EC Square Sans Pro" w:cs="EC Square Sans Pro"/>
          <w:noProof/>
        </w:rPr>
        <w:t xml:space="preserve">which </w:t>
      </w:r>
      <w:r w:rsidR="00240553">
        <w:rPr>
          <w:rFonts w:eastAsia="EC Square Sans Pro" w:cs="EC Square Sans Pro"/>
          <w:noProof/>
        </w:rPr>
        <w:t>maintains</w:t>
      </w:r>
      <w:r w:rsidR="00EB1E18" w:rsidRPr="04F73512">
        <w:rPr>
          <w:rFonts w:eastAsia="EC Square Sans Pro" w:cs="EC Square Sans Pro"/>
          <w:noProof/>
        </w:rPr>
        <w:t xml:space="preserve"> </w:t>
      </w:r>
      <w:r w:rsidR="006E6B52" w:rsidRPr="04F73512">
        <w:rPr>
          <w:rFonts w:eastAsia="EC Square Sans Pro" w:cs="EC Square Sans Pro"/>
          <w:noProof/>
        </w:rPr>
        <w:t>the</w:t>
      </w:r>
      <w:r w:rsidR="00EB1E18" w:rsidRPr="04F73512">
        <w:rPr>
          <w:rFonts w:eastAsia="EC Square Sans Pro" w:cs="EC Square Sans Pro"/>
          <w:noProof/>
        </w:rPr>
        <w:t xml:space="preserve"> </w:t>
      </w:r>
      <w:r w:rsidR="18C99602" w:rsidRPr="04F73512">
        <w:rPr>
          <w:rFonts w:eastAsia="EC Square Sans Pro" w:cs="EC Square Sans Pro"/>
          <w:noProof/>
        </w:rPr>
        <w:t>debt anchor at 35% of GDP.</w:t>
      </w:r>
    </w:p>
    <w:p w14:paraId="51D2F86D" w14:textId="77777777" w:rsidR="008839EE" w:rsidRPr="00222EB8" w:rsidRDefault="008839EE" w:rsidP="00790336">
      <w:pPr>
        <w:spacing w:after="0"/>
        <w:ind w:left="555"/>
        <w:rPr>
          <w:rFonts w:eastAsia="EC Square Sans Pro" w:cs="EC Square Sans Pro"/>
          <w:noProof/>
        </w:rPr>
      </w:pPr>
    </w:p>
    <w:p w14:paraId="09B0ADFC" w14:textId="51CFFE37" w:rsidR="00B33FB6" w:rsidRPr="00222EB8" w:rsidRDefault="008839EE" w:rsidP="00790336">
      <w:pPr>
        <w:spacing w:after="0"/>
        <w:ind w:left="555"/>
        <w:jc w:val="center"/>
        <w:rPr>
          <w:noProof/>
        </w:rPr>
      </w:pPr>
      <w:r>
        <w:rPr>
          <w:noProof/>
          <w:lang w:eastAsia="en-GB"/>
        </w:rPr>
        <w:drawing>
          <wp:inline distT="0" distB="0" distL="0" distR="0" wp14:anchorId="6C87DC8C" wp14:editId="3DC536B1">
            <wp:extent cx="3517900" cy="2237740"/>
            <wp:effectExtent l="0" t="0" r="6350" b="0"/>
            <wp:docPr id="3800604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17900" cy="2237740"/>
                    </a:xfrm>
                    <a:prstGeom prst="rect">
                      <a:avLst/>
                    </a:prstGeom>
                    <a:noFill/>
                  </pic:spPr>
                </pic:pic>
              </a:graphicData>
            </a:graphic>
          </wp:inline>
        </w:drawing>
      </w:r>
    </w:p>
    <w:p w14:paraId="48BDBF03" w14:textId="77777777" w:rsidR="00AB2F7D" w:rsidRDefault="00AB2F7D">
      <w:pPr>
        <w:spacing w:after="0"/>
        <w:ind w:left="555"/>
        <w:rPr>
          <w:rFonts w:eastAsia="EC Square Sans Pro" w:cs="EC Square Sans Pro"/>
          <w:b/>
          <w:bCs/>
          <w:noProof/>
          <w:szCs w:val="20"/>
        </w:rPr>
      </w:pPr>
    </w:p>
    <w:p w14:paraId="32B8C0A6" w14:textId="5C5A63C8" w:rsidR="00B33FB6" w:rsidRDefault="18C99602">
      <w:pPr>
        <w:spacing w:after="0"/>
        <w:ind w:left="555"/>
        <w:rPr>
          <w:rFonts w:ascii="Calibri" w:eastAsia="Calibri" w:hAnsi="Calibri" w:cs="Calibri"/>
          <w:noProof/>
          <w:color w:val="000000" w:themeColor="text1"/>
        </w:rPr>
      </w:pPr>
      <w:r w:rsidRPr="26D45137">
        <w:rPr>
          <w:rFonts w:eastAsia="EC Square Sans Pro" w:cs="EC Square Sans Pro"/>
          <w:b/>
          <w:bCs/>
          <w:noProof/>
        </w:rPr>
        <w:t>Sweden does not fulfil the exchange rate criterion</w:t>
      </w:r>
      <w:r w:rsidRPr="26D45137">
        <w:rPr>
          <w:rFonts w:eastAsia="EC Square Sans Pro" w:cs="EC Square Sans Pro"/>
          <w:noProof/>
        </w:rPr>
        <w:t>.</w:t>
      </w:r>
      <w:r w:rsidRPr="26D45137">
        <w:rPr>
          <w:rFonts w:ascii="Calibri" w:eastAsia="Calibri" w:hAnsi="Calibri" w:cs="Calibri"/>
          <w:noProof/>
        </w:rPr>
        <w:t xml:space="preserve"> </w:t>
      </w:r>
      <w:r w:rsidRPr="26D45137">
        <w:rPr>
          <w:rFonts w:eastAsia="EC Square Sans Pro" w:cs="EC Square Sans Pro"/>
          <w:noProof/>
        </w:rPr>
        <w:t xml:space="preserve">The Swedish krona </w:t>
      </w:r>
      <w:r w:rsidR="00A55485">
        <w:rPr>
          <w:rFonts w:eastAsia="EC Square Sans Pro" w:cs="EC Square Sans Pro"/>
          <w:noProof/>
        </w:rPr>
        <w:t xml:space="preserve">does </w:t>
      </w:r>
      <w:r w:rsidRPr="26D45137">
        <w:rPr>
          <w:rFonts w:eastAsia="EC Square Sans Pro" w:cs="EC Square Sans Pro"/>
          <w:noProof/>
        </w:rPr>
        <w:t>not</w:t>
      </w:r>
      <w:r w:rsidRPr="26D45137">
        <w:rPr>
          <w:rFonts w:ascii="Calibri" w:eastAsia="Calibri" w:hAnsi="Calibri" w:cs="Calibri"/>
          <w:noProof/>
        </w:rPr>
        <w:t xml:space="preserve"> </w:t>
      </w:r>
      <w:r w:rsidRPr="26D45137">
        <w:rPr>
          <w:rFonts w:eastAsia="EC Square Sans Pro" w:cs="EC Square Sans Pro"/>
          <w:noProof/>
        </w:rPr>
        <w:t>participat</w:t>
      </w:r>
      <w:r w:rsidR="00A55485">
        <w:rPr>
          <w:rFonts w:eastAsia="EC Square Sans Pro" w:cs="EC Square Sans Pro"/>
          <w:noProof/>
        </w:rPr>
        <w:t>e</w:t>
      </w:r>
      <w:r w:rsidRPr="26D45137">
        <w:rPr>
          <w:rFonts w:ascii="Calibri" w:eastAsia="Calibri" w:hAnsi="Calibri" w:cs="Calibri"/>
          <w:noProof/>
        </w:rPr>
        <w:t xml:space="preserve"> </w:t>
      </w:r>
      <w:r w:rsidRPr="26D45137">
        <w:rPr>
          <w:rFonts w:eastAsia="EC Square Sans Pro" w:cs="EC Square Sans Pro"/>
          <w:noProof/>
        </w:rPr>
        <w:t xml:space="preserve">in </w:t>
      </w:r>
      <w:r w:rsidR="00A55485">
        <w:rPr>
          <w:rFonts w:eastAsia="EC Square Sans Pro" w:cs="EC Square Sans Pro"/>
          <w:noProof/>
        </w:rPr>
        <w:t>the</w:t>
      </w:r>
      <w:r w:rsidR="002F5206">
        <w:rPr>
          <w:rFonts w:eastAsia="EC Square Sans Pro" w:cs="EC Square Sans Pro"/>
          <w:noProof/>
        </w:rPr>
        <w:t xml:space="preserve"> Exchange Rate Mechanism II</w:t>
      </w:r>
      <w:r w:rsidRPr="26D45137">
        <w:rPr>
          <w:rFonts w:eastAsia="EC Square Sans Pro" w:cs="EC Square Sans Pro"/>
          <w:noProof/>
        </w:rPr>
        <w:t>. Sweden</w:t>
      </w:r>
      <w:r w:rsidRPr="26D45137">
        <w:rPr>
          <w:rFonts w:ascii="Calibri" w:eastAsia="Calibri" w:hAnsi="Calibri" w:cs="Calibri"/>
          <w:noProof/>
        </w:rPr>
        <w:t xml:space="preserve"> </w:t>
      </w:r>
      <w:r w:rsidRPr="26D45137">
        <w:rPr>
          <w:rFonts w:eastAsia="EC Square Sans Pro" w:cs="EC Square Sans Pro"/>
          <w:noProof/>
        </w:rPr>
        <w:t>operates</w:t>
      </w:r>
      <w:r w:rsidRPr="26D45137">
        <w:rPr>
          <w:rFonts w:ascii="Calibri" w:eastAsia="Calibri" w:hAnsi="Calibri" w:cs="Calibri"/>
          <w:noProof/>
        </w:rPr>
        <w:t xml:space="preserve"> </w:t>
      </w:r>
      <w:r w:rsidRPr="26D45137">
        <w:rPr>
          <w:rFonts w:eastAsia="EC Square Sans Pro" w:cs="EC Square Sans Pro"/>
          <w:noProof/>
        </w:rPr>
        <w:t>a free-floating exchange rate regime,</w:t>
      </w:r>
      <w:r w:rsidRPr="26D45137">
        <w:rPr>
          <w:rFonts w:ascii="Calibri" w:eastAsia="Calibri" w:hAnsi="Calibri" w:cs="Calibri"/>
          <w:noProof/>
        </w:rPr>
        <w:t xml:space="preserve"> </w:t>
      </w:r>
      <w:r w:rsidRPr="26D45137">
        <w:rPr>
          <w:rFonts w:eastAsia="EC Square Sans Pro" w:cs="EC Square Sans Pro"/>
          <w:noProof/>
        </w:rPr>
        <w:t>that allows</w:t>
      </w:r>
      <w:r w:rsidRPr="26D45137">
        <w:rPr>
          <w:rFonts w:ascii="Calibri" w:eastAsia="Calibri" w:hAnsi="Calibri" w:cs="Calibri"/>
          <w:noProof/>
        </w:rPr>
        <w:t xml:space="preserve"> </w:t>
      </w:r>
      <w:r w:rsidRPr="26D45137">
        <w:rPr>
          <w:rFonts w:eastAsia="EC Square Sans Pro" w:cs="EC Square Sans Pro"/>
          <w:noProof/>
        </w:rPr>
        <w:t xml:space="preserve">foreign exchange market interventions by the central bank. After </w:t>
      </w:r>
      <w:r w:rsidR="00A55485">
        <w:rPr>
          <w:rFonts w:eastAsia="EC Square Sans Pro" w:cs="EC Square Sans Pro"/>
          <w:noProof/>
        </w:rPr>
        <w:t xml:space="preserve">the krona experienced </w:t>
      </w:r>
      <w:r w:rsidRPr="26D45137">
        <w:rPr>
          <w:rFonts w:eastAsia="EC Square Sans Pro" w:cs="EC Square Sans Pro"/>
          <w:noProof/>
        </w:rPr>
        <w:t xml:space="preserve">a long </w:t>
      </w:r>
      <w:r w:rsidR="00A55485">
        <w:rPr>
          <w:rFonts w:eastAsia="EC Square Sans Pro" w:cs="EC Square Sans Pro"/>
          <w:noProof/>
        </w:rPr>
        <w:t>period</w:t>
      </w:r>
      <w:r w:rsidRPr="26D45137">
        <w:rPr>
          <w:rFonts w:eastAsia="EC Square Sans Pro" w:cs="EC Square Sans Pro"/>
          <w:noProof/>
        </w:rPr>
        <w:t xml:space="preserve"> of depreciation</w:t>
      </w:r>
      <w:r w:rsidR="00A55485">
        <w:rPr>
          <w:rFonts w:eastAsia="EC Square Sans Pro" w:cs="EC Square Sans Pro"/>
          <w:noProof/>
        </w:rPr>
        <w:t xml:space="preserve"> against the euro, weakening</w:t>
      </w:r>
      <w:r w:rsidRPr="26D45137">
        <w:rPr>
          <w:rFonts w:eastAsia="EC Square Sans Pro" w:cs="EC Square Sans Pro"/>
          <w:noProof/>
        </w:rPr>
        <w:t xml:space="preserve"> from 8.3 SEK/EUR in August 2012 to 11.8 SEK/EUR in September 2023, </w:t>
      </w:r>
      <w:r w:rsidR="00A55485">
        <w:rPr>
          <w:rFonts w:eastAsia="EC Square Sans Pro" w:cs="EC Square Sans Pro"/>
          <w:noProof/>
        </w:rPr>
        <w:t>it</w:t>
      </w:r>
      <w:r w:rsidRPr="26D45137">
        <w:rPr>
          <w:rFonts w:eastAsia="EC Square Sans Pro" w:cs="EC Square Sans Pro"/>
          <w:noProof/>
        </w:rPr>
        <w:t xml:space="preserve"> recovered somewhat </w:t>
      </w:r>
      <w:r w:rsidR="00A55485">
        <w:rPr>
          <w:rFonts w:eastAsia="EC Square Sans Pro" w:cs="EC Square Sans Pro"/>
          <w:noProof/>
        </w:rPr>
        <w:t>in</w:t>
      </w:r>
      <w:r w:rsidRPr="26D45137">
        <w:rPr>
          <w:rFonts w:eastAsia="EC Square Sans Pro" w:cs="EC Square Sans Pro"/>
          <w:noProof/>
        </w:rPr>
        <w:t xml:space="preserve"> 2024 and 2025, </w:t>
      </w:r>
      <w:r w:rsidRPr="26D45137">
        <w:rPr>
          <w:rFonts w:eastAsia="EC Square Sans Pro" w:cs="EC Square Sans Pro"/>
          <w:noProof/>
          <w:color w:val="000000" w:themeColor="text1"/>
        </w:rPr>
        <w:t xml:space="preserve">reaching </w:t>
      </w:r>
      <w:r w:rsidRPr="00E55FB5">
        <w:rPr>
          <w:rFonts w:eastAsia="EC Square Sans Pro" w:cs="EC Square Sans Pro"/>
          <w:noProof/>
          <w:color w:val="000000" w:themeColor="text1"/>
        </w:rPr>
        <w:t>10.</w:t>
      </w:r>
      <w:r w:rsidR="4F724AF3" w:rsidRPr="26D45137">
        <w:rPr>
          <w:rFonts w:eastAsia="EC Square Sans Pro" w:cs="EC Square Sans Pro"/>
          <w:noProof/>
          <w:color w:val="000000" w:themeColor="text1"/>
        </w:rPr>
        <w:t>6</w:t>
      </w:r>
      <w:r w:rsidRPr="26D45137">
        <w:rPr>
          <w:rFonts w:eastAsia="EC Square Sans Pro" w:cs="EC Square Sans Pro"/>
          <w:noProof/>
          <w:color w:val="000000" w:themeColor="text1"/>
        </w:rPr>
        <w:t xml:space="preserve"> SEK</w:t>
      </w:r>
      <w:r w:rsidR="69BC27F6" w:rsidRPr="26D45137">
        <w:rPr>
          <w:rFonts w:eastAsia="EC Square Sans Pro" w:cs="EC Square Sans Pro"/>
          <w:noProof/>
          <w:color w:val="000000" w:themeColor="text1"/>
        </w:rPr>
        <w:t xml:space="preserve"> to </w:t>
      </w:r>
      <w:r w:rsidRPr="26D45137">
        <w:rPr>
          <w:rFonts w:eastAsia="EC Square Sans Pro" w:cs="EC Square Sans Pro"/>
          <w:noProof/>
          <w:color w:val="000000" w:themeColor="text1"/>
        </w:rPr>
        <w:t xml:space="preserve">EUR </w:t>
      </w:r>
      <w:r w:rsidRPr="26D45137">
        <w:rPr>
          <w:rFonts w:eastAsia="EC Square Sans Pro" w:cs="EC Square Sans Pro"/>
          <w:noProof/>
          <w:color w:val="auto"/>
        </w:rPr>
        <w:t xml:space="preserve">in </w:t>
      </w:r>
      <w:r w:rsidR="5EEBDA8E" w:rsidRPr="26D45137">
        <w:rPr>
          <w:rFonts w:eastAsia="EC Square Sans Pro" w:cs="EC Square Sans Pro"/>
          <w:noProof/>
          <w:color w:val="auto"/>
        </w:rPr>
        <w:t>February</w:t>
      </w:r>
      <w:r w:rsidRPr="26D45137">
        <w:rPr>
          <w:rFonts w:eastAsia="EC Square Sans Pro" w:cs="EC Square Sans Pro"/>
          <w:noProof/>
          <w:color w:val="auto"/>
        </w:rPr>
        <w:t xml:space="preserve"> 2026</w:t>
      </w:r>
      <w:r w:rsidR="00B661F7">
        <w:rPr>
          <w:rFonts w:eastAsia="EC Square Sans Pro" w:cs="EC Square Sans Pro"/>
          <w:noProof/>
          <w:color w:val="auto"/>
        </w:rPr>
        <w:t xml:space="preserve">, before </w:t>
      </w:r>
      <w:r w:rsidR="0029281D" w:rsidRPr="26D45137">
        <w:rPr>
          <w:rFonts w:eastAsia="EC Square Sans Pro" w:cs="EC Square Sans Pro"/>
          <w:noProof/>
        </w:rPr>
        <w:t>weak</w:t>
      </w:r>
      <w:r w:rsidR="00AB7991">
        <w:rPr>
          <w:rFonts w:eastAsia="EC Square Sans Pro" w:cs="EC Square Sans Pro"/>
          <w:noProof/>
        </w:rPr>
        <w:t>enin</w:t>
      </w:r>
      <w:r w:rsidR="00A55485">
        <w:rPr>
          <w:rFonts w:eastAsia="EC Square Sans Pro" w:cs="EC Square Sans Pro"/>
          <w:noProof/>
        </w:rPr>
        <w:t>g</w:t>
      </w:r>
      <w:r w:rsidR="0029281D" w:rsidRPr="26D45137">
        <w:rPr>
          <w:rFonts w:eastAsia="EC Square Sans Pro" w:cs="EC Square Sans Pro"/>
          <w:noProof/>
        </w:rPr>
        <w:t xml:space="preserve"> </w:t>
      </w:r>
      <w:r w:rsidR="00A55485">
        <w:rPr>
          <w:rFonts w:eastAsia="EC Square Sans Pro" w:cs="EC Square Sans Pro"/>
          <w:noProof/>
        </w:rPr>
        <w:t xml:space="preserve">again </w:t>
      </w:r>
      <w:r w:rsidR="00B93A98" w:rsidRPr="26D45137">
        <w:rPr>
          <w:rFonts w:eastAsia="EC Square Sans Pro" w:cs="EC Square Sans Pro"/>
          <w:noProof/>
        </w:rPr>
        <w:t>slightly</w:t>
      </w:r>
      <w:r w:rsidRPr="26D45137">
        <w:rPr>
          <w:rFonts w:eastAsia="EC Square Sans Pro" w:cs="EC Square Sans Pro"/>
          <w:noProof/>
        </w:rPr>
        <w:t>.</w:t>
      </w:r>
      <w:r w:rsidR="002D7C6C" w:rsidRPr="26D45137">
        <w:rPr>
          <w:rFonts w:eastAsia="EC Square Sans Pro" w:cs="EC Square Sans Pro"/>
          <w:noProof/>
        </w:rPr>
        <w:t xml:space="preserve"> </w:t>
      </w:r>
      <w:r w:rsidRPr="26D45137">
        <w:rPr>
          <w:rFonts w:eastAsia="EC Square Sans Pro" w:cs="EC Square Sans Pro"/>
          <w:noProof/>
        </w:rPr>
        <w:t xml:space="preserve">The </w:t>
      </w:r>
      <w:r w:rsidR="002418D3">
        <w:rPr>
          <w:rFonts w:eastAsia="EC Square Sans Pro" w:cs="EC Square Sans Pro"/>
          <w:noProof/>
        </w:rPr>
        <w:t>three</w:t>
      </w:r>
      <w:r w:rsidRPr="26D45137">
        <w:rPr>
          <w:rFonts w:eastAsia="EC Square Sans Pro" w:cs="EC Square Sans Pro"/>
          <w:noProof/>
        </w:rPr>
        <w:t>-month STIBOR-Euribor</w:t>
      </w:r>
      <w:r w:rsidRPr="26D45137">
        <w:rPr>
          <w:rFonts w:ascii="Calibri" w:eastAsia="Calibri" w:hAnsi="Calibri" w:cs="Calibri"/>
          <w:noProof/>
        </w:rPr>
        <w:t xml:space="preserve"> </w:t>
      </w:r>
      <w:r w:rsidRPr="26D45137">
        <w:rPr>
          <w:rFonts w:eastAsia="EC Square Sans Pro" w:cs="EC Square Sans Pro"/>
          <w:noProof/>
        </w:rPr>
        <w:t xml:space="preserve">spread has been volatile over the last </w:t>
      </w:r>
      <w:r w:rsidR="002418D3">
        <w:rPr>
          <w:rFonts w:eastAsia="EC Square Sans Pro" w:cs="EC Square Sans Pro"/>
          <w:noProof/>
        </w:rPr>
        <w:t xml:space="preserve">few </w:t>
      </w:r>
      <w:r w:rsidRPr="26D45137">
        <w:rPr>
          <w:rFonts w:eastAsia="EC Square Sans Pro" w:cs="EC Square Sans Pro"/>
          <w:noProof/>
        </w:rPr>
        <w:t xml:space="preserve">years. After a short but strong increase in 2022, it </w:t>
      </w:r>
      <w:r w:rsidR="0081442E">
        <w:rPr>
          <w:rFonts w:eastAsia="EC Square Sans Pro" w:cs="EC Square Sans Pro"/>
          <w:noProof/>
        </w:rPr>
        <w:t xml:space="preserve">subsequently </w:t>
      </w:r>
      <w:r w:rsidRPr="26D45137">
        <w:rPr>
          <w:rFonts w:eastAsia="EC Square Sans Pro" w:cs="EC Square Sans Pro"/>
          <w:noProof/>
        </w:rPr>
        <w:t>fell</w:t>
      </w:r>
      <w:r w:rsidR="0081442E">
        <w:rPr>
          <w:rFonts w:eastAsia="EC Square Sans Pro" w:cs="EC Square Sans Pro"/>
          <w:noProof/>
        </w:rPr>
        <w:t>,</w:t>
      </w:r>
      <w:r w:rsidRPr="26D45137">
        <w:rPr>
          <w:rFonts w:eastAsia="EC Square Sans Pro" w:cs="EC Square Sans Pro"/>
          <w:noProof/>
        </w:rPr>
        <w:t xml:space="preserve"> turn</w:t>
      </w:r>
      <w:r w:rsidR="0081442E">
        <w:rPr>
          <w:rFonts w:eastAsia="EC Square Sans Pro" w:cs="EC Square Sans Pro"/>
          <w:noProof/>
        </w:rPr>
        <w:t>ing</w:t>
      </w:r>
      <w:r w:rsidRPr="26D45137">
        <w:rPr>
          <w:rFonts w:eastAsia="EC Square Sans Pro" w:cs="EC Square Sans Pro"/>
          <w:noProof/>
        </w:rPr>
        <w:t xml:space="preserve"> negative in the second half of 2024. Since then</w:t>
      </w:r>
      <w:r w:rsidR="00B809EC" w:rsidRPr="26D45137">
        <w:rPr>
          <w:rFonts w:eastAsia="EC Square Sans Pro" w:cs="EC Square Sans Pro"/>
          <w:noProof/>
        </w:rPr>
        <w:t>,</w:t>
      </w:r>
      <w:r w:rsidRPr="26D45137">
        <w:rPr>
          <w:rFonts w:eastAsia="EC Square Sans Pro" w:cs="EC Square Sans Pro"/>
          <w:noProof/>
        </w:rPr>
        <w:t xml:space="preserve"> it </w:t>
      </w:r>
      <w:r w:rsidR="00B809EC" w:rsidRPr="26D45137">
        <w:rPr>
          <w:rFonts w:eastAsia="EC Square Sans Pro" w:cs="EC Square Sans Pro"/>
          <w:noProof/>
        </w:rPr>
        <w:t xml:space="preserve">has </w:t>
      </w:r>
      <w:r w:rsidRPr="26D45137">
        <w:rPr>
          <w:rFonts w:eastAsia="EC Square Sans Pro" w:cs="EC Square Sans Pro"/>
          <w:noProof/>
        </w:rPr>
        <w:t xml:space="preserve">fluctuated between -20 and 20 basis points, </w:t>
      </w:r>
      <w:r w:rsidR="0081442E">
        <w:rPr>
          <w:rFonts w:eastAsia="EC Square Sans Pro" w:cs="EC Square Sans Pro"/>
          <w:noProof/>
        </w:rPr>
        <w:t xml:space="preserve">i.e. </w:t>
      </w:r>
      <w:r w:rsidRPr="26D45137">
        <w:rPr>
          <w:rFonts w:eastAsia="EC Square Sans Pro" w:cs="EC Square Sans Pro"/>
          <w:noProof/>
        </w:rPr>
        <w:t xml:space="preserve">significantly </w:t>
      </w:r>
      <w:r w:rsidR="0081442E">
        <w:rPr>
          <w:rFonts w:eastAsia="EC Square Sans Pro" w:cs="EC Square Sans Pro"/>
          <w:noProof/>
        </w:rPr>
        <w:t>below</w:t>
      </w:r>
      <w:r w:rsidRPr="26D45137">
        <w:rPr>
          <w:rFonts w:eastAsia="EC Square Sans Pro" w:cs="EC Square Sans Pro"/>
          <w:noProof/>
        </w:rPr>
        <w:t xml:space="preserve"> the years before 2022 (around 50 basis points). In May 2026, the spread stood at</w:t>
      </w:r>
      <w:r w:rsidRPr="26D45137">
        <w:rPr>
          <w:rFonts w:ascii="Calibri" w:eastAsia="Calibri" w:hAnsi="Calibri" w:cs="Calibri"/>
          <w:noProof/>
        </w:rPr>
        <w:t xml:space="preserve"> </w:t>
      </w:r>
      <w:r w:rsidR="079EA065" w:rsidRPr="26D45137">
        <w:rPr>
          <w:rFonts w:ascii="Calibri" w:eastAsia="Calibri" w:hAnsi="Calibri" w:cs="Calibri"/>
          <w:noProof/>
        </w:rPr>
        <w:t xml:space="preserve">-21 </w:t>
      </w:r>
      <w:r w:rsidRPr="26D45137">
        <w:rPr>
          <w:rFonts w:eastAsia="EC Square Sans Pro" w:cs="EC Square Sans Pro"/>
          <w:noProof/>
        </w:rPr>
        <w:t>basis points and the exchange rate was</w:t>
      </w:r>
      <w:r w:rsidRPr="26D45137">
        <w:rPr>
          <w:rFonts w:ascii="Calibri" w:eastAsia="Calibri" w:hAnsi="Calibri" w:cs="Calibri"/>
          <w:noProof/>
        </w:rPr>
        <w:t xml:space="preserve"> </w:t>
      </w:r>
      <w:r w:rsidR="5EA2DD36" w:rsidRPr="26D45137">
        <w:rPr>
          <w:rFonts w:ascii="Calibri" w:eastAsia="Calibri" w:hAnsi="Calibri" w:cs="Calibri"/>
          <w:noProof/>
        </w:rPr>
        <w:t>10.9</w:t>
      </w:r>
      <w:r w:rsidRPr="26D45137">
        <w:rPr>
          <w:rFonts w:ascii="Calibri" w:eastAsia="Calibri" w:hAnsi="Calibri" w:cs="Calibri"/>
          <w:noProof/>
        </w:rPr>
        <w:t xml:space="preserve"> </w:t>
      </w:r>
      <w:r w:rsidRPr="26D45137">
        <w:rPr>
          <w:rFonts w:eastAsia="EC Square Sans Pro" w:cs="EC Square Sans Pro"/>
          <w:noProof/>
        </w:rPr>
        <w:t>SEK/EUR,</w:t>
      </w:r>
      <w:r w:rsidR="0081442E">
        <w:rPr>
          <w:rFonts w:eastAsia="EC Square Sans Pro" w:cs="EC Square Sans Pro"/>
          <w:noProof/>
        </w:rPr>
        <w:t xml:space="preserve"> i.e. </w:t>
      </w:r>
      <w:r w:rsidR="44F55F70" w:rsidRPr="26D45137">
        <w:rPr>
          <w:rFonts w:ascii="Calibri" w:eastAsia="Calibri" w:hAnsi="Calibri" w:cs="Calibri"/>
          <w:noProof/>
        </w:rPr>
        <w:t>7</w:t>
      </w:r>
      <w:r w:rsidRPr="26D45137">
        <w:rPr>
          <w:rFonts w:eastAsia="EC Square Sans Pro" w:cs="EC Square Sans Pro"/>
          <w:noProof/>
        </w:rPr>
        <w:t>%</w:t>
      </w:r>
      <w:r w:rsidRPr="26D45137">
        <w:rPr>
          <w:rFonts w:ascii="Calibri" w:eastAsia="Calibri" w:hAnsi="Calibri" w:cs="Calibri"/>
          <w:noProof/>
        </w:rPr>
        <w:t xml:space="preserve"> </w:t>
      </w:r>
      <w:r w:rsidRPr="00E55FB5">
        <w:rPr>
          <w:rFonts w:eastAsia="EC Square Sans Pro" w:cs="EC Square Sans Pro"/>
          <w:noProof/>
        </w:rPr>
        <w:t>stronger</w:t>
      </w:r>
      <w:r w:rsidRPr="26D45137">
        <w:rPr>
          <w:rFonts w:eastAsia="EC Square Sans Pro" w:cs="EC Square Sans Pro"/>
          <w:noProof/>
        </w:rPr>
        <w:t xml:space="preserve"> against the euro </w:t>
      </w:r>
      <w:r w:rsidR="0081442E">
        <w:rPr>
          <w:rFonts w:eastAsia="EC Square Sans Pro" w:cs="EC Square Sans Pro"/>
          <w:noProof/>
        </w:rPr>
        <w:t xml:space="preserve">compared with </w:t>
      </w:r>
      <w:r w:rsidR="00167C6F">
        <w:rPr>
          <w:rFonts w:eastAsia="EC Square Sans Pro" w:cs="EC Square Sans Pro"/>
          <w:noProof/>
        </w:rPr>
        <w:t>two</w:t>
      </w:r>
      <w:r w:rsidRPr="26D45137">
        <w:rPr>
          <w:rFonts w:ascii="Calibri" w:eastAsia="Calibri" w:hAnsi="Calibri" w:cs="Calibri"/>
          <w:noProof/>
        </w:rPr>
        <w:t xml:space="preserve"> </w:t>
      </w:r>
      <w:r w:rsidRPr="26D45137">
        <w:rPr>
          <w:rFonts w:eastAsia="EC Square Sans Pro" w:cs="EC Square Sans Pro"/>
          <w:noProof/>
        </w:rPr>
        <w:t>years earlier.</w:t>
      </w:r>
      <w:r w:rsidRPr="26D45137">
        <w:rPr>
          <w:rFonts w:ascii="Calibri" w:eastAsia="Calibri" w:hAnsi="Calibri" w:cs="Calibri"/>
          <w:noProof/>
          <w:color w:val="000000" w:themeColor="text1"/>
        </w:rPr>
        <w:t xml:space="preserve"> </w:t>
      </w:r>
    </w:p>
    <w:p w14:paraId="494D72C5" w14:textId="77777777" w:rsidR="006522B0" w:rsidRPr="00222EB8" w:rsidRDefault="006522B0" w:rsidP="00790336">
      <w:pPr>
        <w:spacing w:after="0"/>
        <w:ind w:left="555"/>
        <w:rPr>
          <w:rFonts w:ascii="Calibri" w:eastAsia="Calibri" w:hAnsi="Calibri" w:cs="Calibri"/>
          <w:noProof/>
          <w:color w:val="000000" w:themeColor="text1"/>
          <w:szCs w:val="20"/>
        </w:rPr>
      </w:pPr>
    </w:p>
    <w:p w14:paraId="025F6052" w14:textId="4ED408E8" w:rsidR="00B33FB6" w:rsidRPr="001C1C9C" w:rsidRDefault="18C99602">
      <w:pPr>
        <w:spacing w:after="0"/>
        <w:ind w:left="555"/>
        <w:rPr>
          <w:rFonts w:eastAsia="EC Square Sans Pro" w:cs="EC Square Sans Pro"/>
          <w:noProof/>
        </w:rPr>
      </w:pPr>
      <w:r w:rsidRPr="0B8F95E4">
        <w:rPr>
          <w:rFonts w:eastAsia="EC Square Sans Pro" w:cs="EC Square Sans Pro"/>
          <w:b/>
          <w:noProof/>
        </w:rPr>
        <w:t>Sweden fulfils the criterion on the convergence of long-term interest rates</w:t>
      </w:r>
      <w:r w:rsidRPr="0B8F95E4">
        <w:rPr>
          <w:rFonts w:eastAsia="EC Square Sans Pro" w:cs="EC Square Sans Pro"/>
          <w:noProof/>
        </w:rPr>
        <w:t>.</w:t>
      </w:r>
      <w:r w:rsidRPr="0B8F95E4">
        <w:rPr>
          <w:rFonts w:ascii="Calibri" w:eastAsia="Calibri" w:hAnsi="Calibri" w:cs="Calibri"/>
          <w:noProof/>
        </w:rPr>
        <w:t xml:space="preserve"> </w:t>
      </w:r>
      <w:r w:rsidRPr="0B8F95E4">
        <w:rPr>
          <w:rFonts w:eastAsia="EC Square Sans Pro" w:cs="EC Square Sans Pro"/>
          <w:noProof/>
        </w:rPr>
        <w:t>The average long-term interest rate in Sweden in the</w:t>
      </w:r>
      <w:r w:rsidRPr="0B8F95E4">
        <w:rPr>
          <w:rFonts w:eastAsia="Calibri" w:cs="Calibri"/>
          <w:noProof/>
        </w:rPr>
        <w:t xml:space="preserve"> </w:t>
      </w:r>
      <w:r w:rsidRPr="0B8F95E4">
        <w:rPr>
          <w:rFonts w:eastAsia="EC Square Sans Pro" w:cs="EC Square Sans Pro"/>
          <w:noProof/>
        </w:rPr>
        <w:t>12 months</w:t>
      </w:r>
      <w:r w:rsidRPr="0B8F95E4">
        <w:rPr>
          <w:rFonts w:eastAsia="Calibri" w:cs="Calibri"/>
          <w:noProof/>
        </w:rPr>
        <w:t xml:space="preserve"> </w:t>
      </w:r>
      <w:r w:rsidRPr="0B8F95E4">
        <w:rPr>
          <w:rFonts w:eastAsia="EC Square Sans Pro" w:cs="EC Square Sans Pro"/>
          <w:noProof/>
        </w:rPr>
        <w:t>to May 2026</w:t>
      </w:r>
      <w:r w:rsidRPr="0B8F95E4">
        <w:rPr>
          <w:rFonts w:eastAsia="Calibri" w:cs="Calibri"/>
          <w:noProof/>
        </w:rPr>
        <w:t xml:space="preserve"> </w:t>
      </w:r>
      <w:r w:rsidRPr="0B8F95E4">
        <w:rPr>
          <w:rFonts w:eastAsia="EC Square Sans Pro" w:cs="EC Square Sans Pro"/>
          <w:noProof/>
        </w:rPr>
        <w:t>was</w:t>
      </w:r>
      <w:r w:rsidRPr="0B8F95E4">
        <w:rPr>
          <w:rFonts w:eastAsia="Calibri" w:cs="Calibri"/>
          <w:noProof/>
        </w:rPr>
        <w:t xml:space="preserve"> </w:t>
      </w:r>
      <w:r w:rsidR="005372BA">
        <w:rPr>
          <w:rFonts w:eastAsia="Calibri" w:cs="Calibri"/>
          <w:noProof/>
        </w:rPr>
        <w:t>2.6</w:t>
      </w:r>
      <w:r w:rsidRPr="0B8F95E4">
        <w:rPr>
          <w:rFonts w:eastAsia="EC Square Sans Pro" w:cs="EC Square Sans Pro"/>
          <w:noProof/>
        </w:rPr>
        <w:t>%,</w:t>
      </w:r>
      <w:r w:rsidRPr="0B8F95E4">
        <w:rPr>
          <w:rFonts w:eastAsia="Calibri" w:cs="Calibri"/>
          <w:noProof/>
        </w:rPr>
        <w:t xml:space="preserve"> </w:t>
      </w:r>
      <w:r w:rsidRPr="0B8F95E4">
        <w:rPr>
          <w:rFonts w:eastAsia="EC Square Sans Pro" w:cs="EC Square Sans Pro"/>
          <w:noProof/>
        </w:rPr>
        <w:t>well below the reference value of</w:t>
      </w:r>
      <w:r w:rsidRPr="0B8F95E4">
        <w:rPr>
          <w:rFonts w:eastAsia="Calibri" w:cs="Calibri"/>
          <w:noProof/>
        </w:rPr>
        <w:t xml:space="preserve"> </w:t>
      </w:r>
      <w:r>
        <w:rPr>
          <w:rFonts w:eastAsia="Calibri" w:cs="Calibri"/>
          <w:noProof/>
        </w:rPr>
        <w:t>5.1</w:t>
      </w:r>
      <w:r w:rsidRPr="0B8F95E4">
        <w:rPr>
          <w:rFonts w:eastAsia="EC Square Sans Pro" w:cs="EC Square Sans Pro"/>
          <w:noProof/>
        </w:rPr>
        <w:t>%.</w:t>
      </w:r>
      <w:r w:rsidRPr="0B8F95E4">
        <w:rPr>
          <w:rFonts w:eastAsia="Calibri" w:cs="Calibri"/>
          <w:noProof/>
        </w:rPr>
        <w:t xml:space="preserve"> </w:t>
      </w:r>
      <w:r w:rsidRPr="0B8F95E4">
        <w:rPr>
          <w:rFonts w:eastAsia="EC Square Sans Pro" w:cs="EC Square Sans Pro"/>
          <w:noProof/>
        </w:rPr>
        <w:t xml:space="preserve">After increasing </w:t>
      </w:r>
      <w:r w:rsidR="006F7B1E">
        <w:rPr>
          <w:rFonts w:eastAsia="EC Square Sans Pro" w:cs="EC Square Sans Pro"/>
          <w:noProof/>
        </w:rPr>
        <w:t>considerably</w:t>
      </w:r>
      <w:r w:rsidR="006F7B1E" w:rsidRPr="0B8F95E4">
        <w:rPr>
          <w:rFonts w:eastAsia="EC Square Sans Pro" w:cs="EC Square Sans Pro"/>
          <w:noProof/>
        </w:rPr>
        <w:t xml:space="preserve"> </w:t>
      </w:r>
      <w:r w:rsidRPr="0B8F95E4">
        <w:rPr>
          <w:rFonts w:eastAsia="EC Square Sans Pro" w:cs="EC Square Sans Pro"/>
          <w:noProof/>
        </w:rPr>
        <w:t xml:space="preserve">in 2022 and 2023, </w:t>
      </w:r>
      <w:r w:rsidR="006F7B1E">
        <w:rPr>
          <w:rFonts w:eastAsia="EC Square Sans Pro" w:cs="EC Square Sans Pro"/>
          <w:noProof/>
        </w:rPr>
        <w:t>Sweden’s</w:t>
      </w:r>
      <w:r w:rsidRPr="0B8F95E4">
        <w:rPr>
          <w:rFonts w:eastAsia="EC Square Sans Pro" w:cs="EC Square Sans Pro"/>
          <w:noProof/>
        </w:rPr>
        <w:t xml:space="preserve"> long-term interest rates decreased in 2024</w:t>
      </w:r>
      <w:r w:rsidR="006F7B1E">
        <w:rPr>
          <w:rFonts w:eastAsia="EC Square Sans Pro" w:cs="EC Square Sans Pro"/>
          <w:noProof/>
        </w:rPr>
        <w:t xml:space="preserve"> before returning </w:t>
      </w:r>
      <w:r w:rsidRPr="0B8F95E4">
        <w:rPr>
          <w:rFonts w:eastAsia="EC Square Sans Pro" w:cs="EC Square Sans Pro"/>
          <w:noProof/>
        </w:rPr>
        <w:t xml:space="preserve"> to 2023 levels in 2025. Since the beginning of 2024, the long-term interest rate </w:t>
      </w:r>
      <w:r w:rsidR="006F7B1E">
        <w:rPr>
          <w:rFonts w:eastAsia="EC Square Sans Pro" w:cs="EC Square Sans Pro"/>
          <w:noProof/>
        </w:rPr>
        <w:t xml:space="preserve">has been fluctuating </w:t>
      </w:r>
      <w:r w:rsidRPr="0B8F95E4">
        <w:rPr>
          <w:rFonts w:eastAsia="EC Square Sans Pro" w:cs="EC Square Sans Pro"/>
          <w:noProof/>
        </w:rPr>
        <w:t xml:space="preserve">between </w:t>
      </w:r>
      <w:r w:rsidR="00100932">
        <w:rPr>
          <w:rFonts w:eastAsia="EC Square Sans Pro" w:cs="EC Square Sans Pro"/>
          <w:noProof/>
        </w:rPr>
        <w:t>2.2</w:t>
      </w:r>
      <w:r w:rsidRPr="4CE42029">
        <w:rPr>
          <w:rFonts w:eastAsia="EC Square Sans Pro" w:cs="EC Square Sans Pro"/>
          <w:noProof/>
        </w:rPr>
        <w:t xml:space="preserve">% and </w:t>
      </w:r>
      <w:r w:rsidR="00100932">
        <w:rPr>
          <w:rFonts w:eastAsia="EC Square Sans Pro" w:cs="EC Square Sans Pro"/>
          <w:noProof/>
        </w:rPr>
        <w:t>2.8</w:t>
      </w:r>
      <w:r w:rsidRPr="0B8F95E4">
        <w:rPr>
          <w:rFonts w:eastAsia="EC Square Sans Pro" w:cs="EC Square Sans Pro"/>
          <w:noProof/>
        </w:rPr>
        <w:t xml:space="preserve">%. The spread </w:t>
      </w:r>
      <w:r w:rsidR="00EA39EE">
        <w:rPr>
          <w:rFonts w:eastAsia="EC Square Sans Pro" w:cs="EC Square Sans Pro"/>
          <w:noProof/>
        </w:rPr>
        <w:t>versus</w:t>
      </w:r>
      <w:r w:rsidRPr="0B8F95E4">
        <w:rPr>
          <w:rFonts w:eastAsia="EC Square Sans Pro" w:cs="EC Square Sans Pro"/>
          <w:noProof/>
        </w:rPr>
        <w:t xml:space="preserve"> the German benchmark bond</w:t>
      </w:r>
      <w:r w:rsidRPr="0B8F95E4">
        <w:rPr>
          <w:rFonts w:eastAsia="Calibri" w:cs="Calibri"/>
          <w:noProof/>
        </w:rPr>
        <w:t xml:space="preserve"> </w:t>
      </w:r>
      <w:r w:rsidRPr="0B8F95E4">
        <w:rPr>
          <w:rFonts w:eastAsia="EC Square Sans Pro" w:cs="EC Square Sans Pro"/>
          <w:noProof/>
        </w:rPr>
        <w:t xml:space="preserve">remained relatively small with some volatility in 2024 and 2025. In general, the spread </w:t>
      </w:r>
      <w:r w:rsidR="00EA39EE">
        <w:rPr>
          <w:rFonts w:eastAsia="EC Square Sans Pro" w:cs="EC Square Sans Pro"/>
          <w:noProof/>
        </w:rPr>
        <w:t xml:space="preserve">has </w:t>
      </w:r>
      <w:r w:rsidRPr="0B8F95E4">
        <w:rPr>
          <w:rFonts w:eastAsia="EC Square Sans Pro" w:cs="EC Square Sans Pro"/>
          <w:noProof/>
        </w:rPr>
        <w:t xml:space="preserve">decreased </w:t>
      </w:r>
      <w:r w:rsidR="00EA39EE">
        <w:rPr>
          <w:rFonts w:eastAsia="EC Square Sans Pro" w:cs="EC Square Sans Pro"/>
          <w:noProof/>
        </w:rPr>
        <w:t>in recent</w:t>
      </w:r>
      <w:r w:rsidRPr="0B8F95E4">
        <w:rPr>
          <w:rFonts w:eastAsia="EC Square Sans Pro" w:cs="EC Square Sans Pro"/>
          <w:noProof/>
        </w:rPr>
        <w:t xml:space="preserve"> years and turned slightly negative in 2024, reaching -34 basis points in July 2024. It </w:t>
      </w:r>
      <w:r w:rsidR="009D41FA">
        <w:rPr>
          <w:rFonts w:eastAsia="EC Square Sans Pro" w:cs="EC Square Sans Pro"/>
          <w:noProof/>
        </w:rPr>
        <w:t xml:space="preserve">then </w:t>
      </w:r>
      <w:r w:rsidR="00B809EC" w:rsidRPr="0B8F95E4">
        <w:rPr>
          <w:rFonts w:eastAsia="EC Square Sans Pro" w:cs="EC Square Sans Pro"/>
          <w:noProof/>
        </w:rPr>
        <w:t xml:space="preserve"> increased slightly </w:t>
      </w:r>
      <w:r w:rsidR="00AC5F73">
        <w:rPr>
          <w:rFonts w:eastAsia="EC Square Sans Pro" w:cs="EC Square Sans Pro"/>
          <w:noProof/>
        </w:rPr>
        <w:t>until January 2026</w:t>
      </w:r>
      <w:r w:rsidRPr="0B8F95E4">
        <w:rPr>
          <w:rFonts w:eastAsia="EC Square Sans Pro" w:cs="EC Square Sans Pro"/>
          <w:noProof/>
        </w:rPr>
        <w:t xml:space="preserve">, </w:t>
      </w:r>
      <w:r w:rsidR="00AC5F73">
        <w:rPr>
          <w:rFonts w:eastAsia="EC Square Sans Pro" w:cs="EC Square Sans Pro"/>
          <w:noProof/>
        </w:rPr>
        <w:t>before decreasing gradually to -31</w:t>
      </w:r>
      <w:r w:rsidRPr="0B8F95E4">
        <w:rPr>
          <w:rFonts w:eastAsia="EC Square Sans Pro" w:cs="EC Square Sans Pro"/>
          <w:noProof/>
        </w:rPr>
        <w:t xml:space="preserve"> basis points in May 2026.</w:t>
      </w:r>
    </w:p>
    <w:p w14:paraId="51606EF8" w14:textId="77777777" w:rsidR="006522B0" w:rsidRPr="00222EB8" w:rsidRDefault="006522B0" w:rsidP="00790336">
      <w:pPr>
        <w:spacing w:after="0"/>
        <w:ind w:left="555"/>
        <w:rPr>
          <w:rFonts w:eastAsia="EC Square Sans Pro" w:cs="EC Square Sans Pro"/>
          <w:noProof/>
          <w:szCs w:val="20"/>
        </w:rPr>
      </w:pPr>
    </w:p>
    <w:p w14:paraId="39087171" w14:textId="645DDDBD" w:rsidR="006522B0" w:rsidRPr="00222EB8" w:rsidRDefault="18C99602" w:rsidP="002D7C6C">
      <w:pPr>
        <w:ind w:left="567"/>
        <w:rPr>
          <w:rFonts w:eastAsia="EC Square Sans Pro" w:cs="EC Square Sans Pro"/>
          <w:noProof/>
          <w:szCs w:val="20"/>
        </w:rPr>
      </w:pPr>
      <w:r w:rsidRPr="6A3CE5EF">
        <w:rPr>
          <w:rFonts w:eastAsia="EC Square Sans Pro" w:cs="EC Square Sans Pro"/>
          <w:noProof/>
        </w:rPr>
        <w:t>The Commission has also examined</w:t>
      </w:r>
      <w:r w:rsidRPr="6A3CE5EF">
        <w:rPr>
          <w:rFonts w:ascii="Calibri" w:eastAsia="Calibri" w:hAnsi="Calibri" w:cs="Calibri"/>
          <w:b/>
          <w:noProof/>
        </w:rPr>
        <w:t xml:space="preserve"> </w:t>
      </w:r>
      <w:r w:rsidRPr="6A3CE5EF">
        <w:rPr>
          <w:rFonts w:eastAsia="EC Square Sans Pro" w:cs="EC Square Sans Pro"/>
          <w:b/>
          <w:noProof/>
        </w:rPr>
        <w:t>additional</w:t>
      </w:r>
      <w:r w:rsidRPr="6A3CE5EF">
        <w:rPr>
          <w:rFonts w:ascii="Calibri" w:eastAsia="Calibri" w:hAnsi="Calibri" w:cs="Calibri"/>
          <w:b/>
          <w:noProof/>
        </w:rPr>
        <w:t xml:space="preserve"> </w:t>
      </w:r>
      <w:r w:rsidRPr="6A3CE5EF">
        <w:rPr>
          <w:rFonts w:eastAsia="EC Square Sans Pro" w:cs="EC Square Sans Pro"/>
          <w:b/>
          <w:noProof/>
        </w:rPr>
        <w:t>factors</w:t>
      </w:r>
      <w:r w:rsidRPr="6A3CE5EF">
        <w:rPr>
          <w:rFonts w:eastAsia="EC Square Sans Pro" w:cs="EC Square Sans Pro"/>
          <w:noProof/>
        </w:rPr>
        <w:t>,</w:t>
      </w:r>
      <w:r w:rsidRPr="6A3CE5EF">
        <w:rPr>
          <w:rFonts w:ascii="Calibri" w:eastAsia="Calibri" w:hAnsi="Calibri" w:cs="Calibri"/>
          <w:b/>
          <w:noProof/>
        </w:rPr>
        <w:t xml:space="preserve"> </w:t>
      </w:r>
      <w:r w:rsidRPr="6A3CE5EF">
        <w:rPr>
          <w:rFonts w:eastAsia="EC Square Sans Pro" w:cs="EC Square Sans Pro"/>
          <w:noProof/>
        </w:rPr>
        <w:t>including balance of payments developments,</w:t>
      </w:r>
      <w:r w:rsidRPr="6A3CE5EF">
        <w:rPr>
          <w:rFonts w:ascii="Calibri" w:eastAsia="Calibri" w:hAnsi="Calibri" w:cs="Calibri"/>
          <w:noProof/>
        </w:rPr>
        <w:t xml:space="preserve"> </w:t>
      </w:r>
      <w:r w:rsidRPr="6A3CE5EF">
        <w:rPr>
          <w:rFonts w:eastAsia="EC Square Sans Pro" w:cs="EC Square Sans Pro"/>
          <w:noProof/>
        </w:rPr>
        <w:t>the integration of</w:t>
      </w:r>
      <w:r w:rsidRPr="6A3CE5EF">
        <w:rPr>
          <w:rFonts w:ascii="Calibri" w:eastAsia="Calibri" w:hAnsi="Calibri" w:cs="Calibri"/>
          <w:noProof/>
        </w:rPr>
        <w:t xml:space="preserve"> </w:t>
      </w:r>
      <w:r w:rsidRPr="6A3CE5EF">
        <w:rPr>
          <w:rFonts w:eastAsia="EC Square Sans Pro" w:cs="EC Square Sans Pro"/>
          <w:noProof/>
        </w:rPr>
        <w:t>markets</w:t>
      </w:r>
      <w:r w:rsidRPr="6A3CE5EF">
        <w:rPr>
          <w:rFonts w:ascii="Calibri" w:eastAsia="Calibri" w:hAnsi="Calibri" w:cs="Calibri"/>
          <w:noProof/>
        </w:rPr>
        <w:t xml:space="preserve"> </w:t>
      </w:r>
      <w:r w:rsidRPr="6A3CE5EF">
        <w:rPr>
          <w:rFonts w:eastAsia="EC Square Sans Pro" w:cs="EC Square Sans Pro"/>
          <w:noProof/>
        </w:rPr>
        <w:t>and the institutional environment. Sweden’s external balance</w:t>
      </w:r>
      <w:r w:rsidRPr="6A3CE5EF">
        <w:rPr>
          <w:rFonts w:ascii="Calibri" w:eastAsia="Calibri" w:hAnsi="Calibri" w:cs="Calibri"/>
          <w:noProof/>
        </w:rPr>
        <w:t xml:space="preserve"> </w:t>
      </w:r>
      <w:r w:rsidRPr="6A3CE5EF">
        <w:rPr>
          <w:rFonts w:eastAsia="EC Square Sans Pro" w:cs="EC Square Sans Pro"/>
          <w:noProof/>
        </w:rPr>
        <w:t>(</w:t>
      </w:r>
      <w:r w:rsidR="00FD77AF">
        <w:rPr>
          <w:rFonts w:eastAsia="EC Square Sans Pro" w:cs="EC Square Sans Pro"/>
          <w:noProof/>
        </w:rPr>
        <w:t xml:space="preserve">i.e. </w:t>
      </w:r>
      <w:r w:rsidRPr="6A3CE5EF">
        <w:rPr>
          <w:rFonts w:eastAsia="EC Square Sans Pro" w:cs="EC Square Sans Pro"/>
          <w:noProof/>
        </w:rPr>
        <w:t>the combined current and capital account)</w:t>
      </w:r>
      <w:r w:rsidRPr="6A3CE5EF">
        <w:rPr>
          <w:rFonts w:ascii="Calibri" w:eastAsia="Calibri" w:hAnsi="Calibri" w:cs="Calibri"/>
          <w:noProof/>
        </w:rPr>
        <w:t xml:space="preserve"> </w:t>
      </w:r>
      <w:r w:rsidRPr="6A3CE5EF">
        <w:rPr>
          <w:rFonts w:eastAsia="EC Square Sans Pro" w:cs="EC Square Sans Pro"/>
          <w:noProof/>
        </w:rPr>
        <w:t xml:space="preserve">remained in surplus, at </w:t>
      </w:r>
      <w:r w:rsidR="005B7BB3">
        <w:rPr>
          <w:rFonts w:eastAsia="EC Square Sans Pro" w:cs="EC Square Sans Pro"/>
          <w:noProof/>
        </w:rPr>
        <w:t>7.0</w:t>
      </w:r>
      <w:r w:rsidRPr="6A3CE5EF">
        <w:rPr>
          <w:rFonts w:eastAsia="EC Square Sans Pro" w:cs="EC Square Sans Pro"/>
          <w:noProof/>
        </w:rPr>
        <w:t xml:space="preserve">% of GDP in 2024 </w:t>
      </w:r>
      <w:r w:rsidRPr="005B7BB3">
        <w:rPr>
          <w:rFonts w:eastAsia="EC Square Sans Pro" w:cs="EC Square Sans Pro"/>
          <w:noProof/>
        </w:rPr>
        <w:t>and</w:t>
      </w:r>
      <w:r w:rsidRPr="005B7BB3">
        <w:rPr>
          <w:rFonts w:ascii="Calibri" w:eastAsia="Calibri" w:hAnsi="Calibri" w:cs="Calibri"/>
          <w:noProof/>
        </w:rPr>
        <w:t xml:space="preserve"> </w:t>
      </w:r>
      <w:r w:rsidR="62099AF3" w:rsidRPr="005B7BB3">
        <w:rPr>
          <w:rFonts w:eastAsia="EC Square Sans Pro" w:cs="EC Square Sans Pro"/>
          <w:noProof/>
        </w:rPr>
        <w:t>6</w:t>
      </w:r>
      <w:r w:rsidR="230D2676" w:rsidRPr="005B7BB3">
        <w:rPr>
          <w:rFonts w:eastAsia="EC Square Sans Pro" w:cs="EC Square Sans Pro"/>
          <w:noProof/>
        </w:rPr>
        <w:t>.</w:t>
      </w:r>
      <w:r w:rsidR="62099AF3" w:rsidRPr="005B7BB3">
        <w:rPr>
          <w:rFonts w:eastAsia="EC Square Sans Pro" w:cs="EC Square Sans Pro"/>
          <w:noProof/>
        </w:rPr>
        <w:t>2</w:t>
      </w:r>
      <w:r w:rsidRPr="005B7BB3">
        <w:rPr>
          <w:rFonts w:eastAsia="EC Square Sans Pro" w:cs="EC Square Sans Pro"/>
          <w:noProof/>
        </w:rPr>
        <w:t>% in 2025</w:t>
      </w:r>
      <w:r w:rsidRPr="6A3CE5EF">
        <w:rPr>
          <w:rFonts w:eastAsia="EC Square Sans Pro" w:cs="EC Square Sans Pro"/>
          <w:noProof/>
        </w:rPr>
        <w:t>. Sweden’s economy is well-integrated with the euro area through trade and investment linkages.</w:t>
      </w:r>
      <w:r w:rsidRPr="6A3CE5EF">
        <w:rPr>
          <w:rFonts w:ascii="Calibri" w:eastAsia="Calibri" w:hAnsi="Calibri" w:cs="Calibri"/>
          <w:noProof/>
        </w:rPr>
        <w:t xml:space="preserve"> </w:t>
      </w:r>
      <w:r w:rsidRPr="6A3CE5EF">
        <w:rPr>
          <w:rFonts w:eastAsia="EC Square Sans Pro" w:cs="EC Square Sans Pro"/>
          <w:noProof/>
        </w:rPr>
        <w:t>Selected indicators relating to the</w:t>
      </w:r>
      <w:r w:rsidRPr="6A3CE5EF">
        <w:rPr>
          <w:rFonts w:ascii="Calibri" w:eastAsia="Calibri" w:hAnsi="Calibri" w:cs="Calibri"/>
          <w:noProof/>
        </w:rPr>
        <w:t xml:space="preserve"> </w:t>
      </w:r>
      <w:r w:rsidRPr="6A3CE5EF">
        <w:rPr>
          <w:rFonts w:eastAsia="EC Square Sans Pro" w:cs="EC Square Sans Pro"/>
          <w:noProof/>
        </w:rPr>
        <w:t>institutional</w:t>
      </w:r>
      <w:r w:rsidRPr="6A3CE5EF">
        <w:rPr>
          <w:rFonts w:ascii="Calibri" w:eastAsia="Calibri" w:hAnsi="Calibri" w:cs="Calibri"/>
          <w:noProof/>
        </w:rPr>
        <w:t xml:space="preserve"> </w:t>
      </w:r>
      <w:r w:rsidRPr="6A3CE5EF">
        <w:rPr>
          <w:rFonts w:eastAsia="EC Square Sans Pro" w:cs="EC Square Sans Pro"/>
          <w:noProof/>
        </w:rPr>
        <w:t>environment</w:t>
      </w:r>
      <w:r w:rsidRPr="6A3CE5EF">
        <w:rPr>
          <w:rFonts w:ascii="Calibri" w:eastAsia="Calibri" w:hAnsi="Calibri" w:cs="Calibri"/>
          <w:noProof/>
        </w:rPr>
        <w:t xml:space="preserve"> </w:t>
      </w:r>
      <w:r w:rsidRPr="6A3CE5EF">
        <w:rPr>
          <w:rFonts w:eastAsia="EC Square Sans Pro" w:cs="EC Square Sans Pro"/>
          <w:noProof/>
        </w:rPr>
        <w:t>show that</w:t>
      </w:r>
      <w:r w:rsidRPr="6A3CE5EF">
        <w:rPr>
          <w:rFonts w:ascii="Calibri" w:eastAsia="Calibri" w:hAnsi="Calibri" w:cs="Calibri"/>
          <w:noProof/>
        </w:rPr>
        <w:t xml:space="preserve"> </w:t>
      </w:r>
      <w:r w:rsidRPr="6A3CE5EF">
        <w:rPr>
          <w:rFonts w:eastAsia="EC Square Sans Pro" w:cs="EC Square Sans Pro"/>
          <w:noProof/>
        </w:rPr>
        <w:t>Sweden performs better than most euro area Member States</w:t>
      </w:r>
      <w:r w:rsidR="00C04D52">
        <w:rPr>
          <w:rFonts w:eastAsia="EC Square Sans Pro" w:cs="EC Square Sans Pro"/>
          <w:noProof/>
        </w:rPr>
        <w:t xml:space="preserve"> in this regard</w:t>
      </w:r>
      <w:r w:rsidRPr="6A3CE5EF">
        <w:rPr>
          <w:rFonts w:eastAsia="EC Square Sans Pro" w:cs="EC Square Sans Pro"/>
          <w:noProof/>
        </w:rPr>
        <w:t>. The financial sector in Sweden is highly developed and well-integrated into the</w:t>
      </w:r>
      <w:r w:rsidRPr="6A3CE5EF">
        <w:rPr>
          <w:rFonts w:ascii="Calibri" w:eastAsia="Calibri" w:hAnsi="Calibri" w:cs="Calibri"/>
          <w:noProof/>
        </w:rPr>
        <w:t xml:space="preserve"> </w:t>
      </w:r>
      <w:r w:rsidRPr="6A3CE5EF">
        <w:rPr>
          <w:rFonts w:eastAsia="EC Square Sans Pro" w:cs="EC Square Sans Pro"/>
          <w:noProof/>
        </w:rPr>
        <w:t>euro area’s</w:t>
      </w:r>
      <w:r w:rsidRPr="6A3CE5EF">
        <w:rPr>
          <w:rFonts w:ascii="Calibri" w:eastAsia="Calibri" w:hAnsi="Calibri" w:cs="Calibri"/>
          <w:noProof/>
        </w:rPr>
        <w:t xml:space="preserve"> </w:t>
      </w:r>
      <w:r w:rsidRPr="6A3CE5EF">
        <w:rPr>
          <w:rFonts w:eastAsia="EC Square Sans Pro" w:cs="EC Square Sans Pro"/>
          <w:noProof/>
        </w:rPr>
        <w:t>financial</w:t>
      </w:r>
      <w:r w:rsidRPr="6A3CE5EF">
        <w:rPr>
          <w:rFonts w:ascii="Calibri" w:eastAsia="Calibri" w:hAnsi="Calibri" w:cs="Calibri"/>
          <w:noProof/>
        </w:rPr>
        <w:t xml:space="preserve"> </w:t>
      </w:r>
      <w:r w:rsidRPr="6A3CE5EF">
        <w:rPr>
          <w:rFonts w:eastAsia="EC Square Sans Pro" w:cs="EC Square Sans Pro"/>
          <w:noProof/>
        </w:rPr>
        <w:t xml:space="preserve">system. Banking dominates the financial sector, </w:t>
      </w:r>
      <w:r w:rsidR="00974984">
        <w:rPr>
          <w:rFonts w:eastAsia="EC Square Sans Pro" w:cs="EC Square Sans Pro"/>
          <w:noProof/>
        </w:rPr>
        <w:t>although</w:t>
      </w:r>
      <w:r w:rsidRPr="6A3CE5EF">
        <w:rPr>
          <w:rFonts w:eastAsia="EC Square Sans Pro" w:cs="EC Square Sans Pro"/>
          <w:noProof/>
        </w:rPr>
        <w:t xml:space="preserve"> the insurance and pension </w:t>
      </w:r>
      <w:r w:rsidRPr="0091229E">
        <w:rPr>
          <w:rFonts w:eastAsia="EC Square Sans Pro" w:cs="EC Square Sans Pro"/>
          <w:noProof/>
        </w:rPr>
        <w:t xml:space="preserve">funds </w:t>
      </w:r>
      <w:r w:rsidR="00F41DFD" w:rsidRPr="0098405B">
        <w:rPr>
          <w:rFonts w:eastAsia="EC Square Sans Pro" w:cs="EC Square Sans Pro"/>
          <w:noProof/>
        </w:rPr>
        <w:t>also account for a sizeable part of</w:t>
      </w:r>
      <w:r w:rsidR="00B809EC" w:rsidRPr="0091229E">
        <w:rPr>
          <w:rFonts w:eastAsia="EC Square Sans Pro" w:cs="EC Square Sans Pro"/>
          <w:noProof/>
        </w:rPr>
        <w:t xml:space="preserve"> it</w:t>
      </w:r>
      <w:r w:rsidRPr="0091229E">
        <w:rPr>
          <w:rFonts w:eastAsia="EC Square Sans Pro" w:cs="EC Square Sans Pro"/>
          <w:noProof/>
        </w:rPr>
        <w:t>. Moreover</w:t>
      </w:r>
      <w:r w:rsidRPr="6A3CE5EF">
        <w:rPr>
          <w:rFonts w:eastAsia="EC Square Sans Pro" w:cs="EC Square Sans Pro"/>
          <w:noProof/>
        </w:rPr>
        <w:t xml:space="preserve">, Sweden has </w:t>
      </w:r>
      <w:r w:rsidR="00974984">
        <w:rPr>
          <w:rFonts w:eastAsia="EC Square Sans Pro" w:cs="EC Square Sans Pro"/>
          <w:noProof/>
        </w:rPr>
        <w:t xml:space="preserve">one of the most advanced </w:t>
      </w:r>
      <w:r w:rsidRPr="6A3CE5EF">
        <w:rPr>
          <w:rFonts w:eastAsia="EC Square Sans Pro" w:cs="EC Square Sans Pro"/>
          <w:noProof/>
        </w:rPr>
        <w:t>credit and equity markets in the EU,</w:t>
      </w:r>
      <w:r w:rsidRPr="6A3CE5EF">
        <w:rPr>
          <w:rFonts w:ascii="Calibri" w:eastAsia="Calibri" w:hAnsi="Calibri" w:cs="Calibri"/>
          <w:noProof/>
        </w:rPr>
        <w:t xml:space="preserve"> </w:t>
      </w:r>
      <w:r w:rsidRPr="6A3CE5EF">
        <w:rPr>
          <w:rFonts w:eastAsia="EC Square Sans Pro" w:cs="EC Square Sans Pro"/>
          <w:noProof/>
        </w:rPr>
        <w:t>and the level of</w:t>
      </w:r>
      <w:r w:rsidRPr="6A3CE5EF">
        <w:rPr>
          <w:rFonts w:ascii="Calibri" w:eastAsia="Calibri" w:hAnsi="Calibri" w:cs="Calibri"/>
          <w:noProof/>
        </w:rPr>
        <w:t xml:space="preserve"> </w:t>
      </w:r>
      <w:r w:rsidRPr="6A3CE5EF">
        <w:rPr>
          <w:rFonts w:eastAsia="EC Square Sans Pro" w:cs="EC Square Sans Pro"/>
          <w:noProof/>
        </w:rPr>
        <w:t xml:space="preserve">market financing is among the highest </w:t>
      </w:r>
      <w:r w:rsidR="00974984">
        <w:rPr>
          <w:rFonts w:eastAsia="EC Square Sans Pro" w:cs="EC Square Sans Pro"/>
          <w:noProof/>
        </w:rPr>
        <w:t>in the EU</w:t>
      </w:r>
      <w:r w:rsidRPr="6A3CE5EF">
        <w:rPr>
          <w:rFonts w:eastAsia="EC Square Sans Pro" w:cs="EC Square Sans Pro"/>
          <w:noProof/>
        </w:rPr>
        <w:t>. In the context of the Macroeconomic Imbalance Procedure, the Commission</w:t>
      </w:r>
      <w:r w:rsidRPr="6A3CE5EF">
        <w:rPr>
          <w:rFonts w:ascii="Calibri" w:eastAsia="Calibri" w:hAnsi="Calibri" w:cs="Calibri"/>
          <w:noProof/>
        </w:rPr>
        <w:t xml:space="preserve"> </w:t>
      </w:r>
      <w:r w:rsidRPr="6A3CE5EF">
        <w:rPr>
          <w:rFonts w:eastAsia="EC Square Sans Pro" w:cs="EC Square Sans Pro"/>
          <w:noProof/>
        </w:rPr>
        <w:t>concluded in its Alert Mechanism Report</w:t>
      </w:r>
      <w:r w:rsidRPr="6A3CE5EF">
        <w:rPr>
          <w:rFonts w:ascii="Calibri" w:eastAsia="Calibri" w:hAnsi="Calibri" w:cs="Calibri"/>
          <w:noProof/>
        </w:rPr>
        <w:t xml:space="preserve"> </w:t>
      </w:r>
      <w:r w:rsidRPr="6A3CE5EF">
        <w:rPr>
          <w:rFonts w:eastAsia="EC Square Sans Pro" w:cs="EC Square Sans Pro"/>
          <w:noProof/>
        </w:rPr>
        <w:t>for</w:t>
      </w:r>
      <w:r w:rsidRPr="6A3CE5EF">
        <w:rPr>
          <w:rFonts w:ascii="Calibri" w:eastAsia="Calibri" w:hAnsi="Calibri" w:cs="Calibri"/>
          <w:noProof/>
        </w:rPr>
        <w:t xml:space="preserve"> </w:t>
      </w:r>
      <w:r w:rsidRPr="6A3CE5EF">
        <w:rPr>
          <w:rFonts w:eastAsia="EC Square Sans Pro" w:cs="EC Square Sans Pro"/>
          <w:noProof/>
        </w:rPr>
        <w:t>2026</w:t>
      </w:r>
      <w:r w:rsidRPr="6A3CE5EF">
        <w:rPr>
          <w:rFonts w:ascii="Calibri" w:eastAsia="Calibri" w:hAnsi="Calibri" w:cs="Calibri"/>
          <w:noProof/>
        </w:rPr>
        <w:t xml:space="preserve"> </w:t>
      </w:r>
      <w:r w:rsidRPr="6A3CE5EF">
        <w:rPr>
          <w:rFonts w:eastAsia="EC Square Sans Pro" w:cs="EC Square Sans Pro"/>
          <w:noProof/>
        </w:rPr>
        <w:t>that</w:t>
      </w:r>
      <w:r w:rsidRPr="6A3CE5EF">
        <w:rPr>
          <w:rFonts w:ascii="Calibri" w:eastAsia="Calibri" w:hAnsi="Calibri" w:cs="Calibri"/>
          <w:noProof/>
        </w:rPr>
        <w:t xml:space="preserve"> </w:t>
      </w:r>
      <w:r w:rsidRPr="6A3CE5EF">
        <w:rPr>
          <w:rFonts w:eastAsia="EC Square Sans Pro" w:cs="EC Square Sans Pro"/>
          <w:noProof/>
        </w:rPr>
        <w:t>an In-Depth Review</w:t>
      </w:r>
      <w:r w:rsidRPr="6A3CE5EF">
        <w:rPr>
          <w:rFonts w:ascii="Calibri" w:eastAsia="Calibri" w:hAnsi="Calibri" w:cs="Calibri"/>
          <w:noProof/>
        </w:rPr>
        <w:t xml:space="preserve"> </w:t>
      </w:r>
      <w:r w:rsidRPr="6A3CE5EF">
        <w:rPr>
          <w:rFonts w:eastAsia="EC Square Sans Pro" w:cs="EC Square Sans Pro"/>
          <w:noProof/>
        </w:rPr>
        <w:t>was</w:t>
      </w:r>
      <w:r w:rsidRPr="6A3CE5EF">
        <w:rPr>
          <w:rFonts w:ascii="Calibri" w:eastAsia="Calibri" w:hAnsi="Calibri" w:cs="Calibri"/>
          <w:noProof/>
        </w:rPr>
        <w:t xml:space="preserve"> </w:t>
      </w:r>
      <w:r w:rsidRPr="6A3CE5EF">
        <w:rPr>
          <w:rFonts w:eastAsia="EC Square Sans Pro" w:cs="EC Square Sans Pro"/>
          <w:noProof/>
        </w:rPr>
        <w:t>warranted</w:t>
      </w:r>
      <w:r w:rsidRPr="6A3CE5EF">
        <w:rPr>
          <w:rFonts w:ascii="Calibri" w:eastAsia="Calibri" w:hAnsi="Calibri" w:cs="Calibri"/>
          <w:noProof/>
        </w:rPr>
        <w:t xml:space="preserve"> </w:t>
      </w:r>
      <w:r w:rsidRPr="6A3CE5EF">
        <w:rPr>
          <w:rFonts w:eastAsia="EC Square Sans Pro" w:cs="EC Square Sans Pro"/>
          <w:noProof/>
        </w:rPr>
        <w:t>for</w:t>
      </w:r>
      <w:r w:rsidRPr="6A3CE5EF">
        <w:rPr>
          <w:rFonts w:ascii="Calibri" w:eastAsia="Calibri" w:hAnsi="Calibri" w:cs="Calibri"/>
          <w:noProof/>
        </w:rPr>
        <w:t xml:space="preserve"> </w:t>
      </w:r>
      <w:r w:rsidRPr="6A3CE5EF">
        <w:rPr>
          <w:rFonts w:eastAsia="EC Square Sans Pro" w:cs="EC Square Sans Pro"/>
          <w:noProof/>
        </w:rPr>
        <w:t>Sweden.</w:t>
      </w:r>
      <w:r w:rsidRPr="6A3CE5EF">
        <w:rPr>
          <w:rFonts w:ascii="Calibri" w:eastAsia="Calibri" w:hAnsi="Calibri" w:cs="Calibri"/>
          <w:noProof/>
        </w:rPr>
        <w:t xml:space="preserve"> </w:t>
      </w:r>
      <w:r w:rsidRPr="6A3CE5EF">
        <w:rPr>
          <w:rFonts w:eastAsia="EC Square Sans Pro" w:cs="EC Square Sans Pro"/>
          <w:noProof/>
        </w:rPr>
        <w:t xml:space="preserve">The </w:t>
      </w:r>
      <w:r w:rsidR="00974984">
        <w:rPr>
          <w:rFonts w:eastAsia="EC Square Sans Pro" w:cs="EC Square Sans Pro"/>
          <w:noProof/>
        </w:rPr>
        <w:t>IDR</w:t>
      </w:r>
      <w:r w:rsidRPr="6A3CE5EF">
        <w:rPr>
          <w:rFonts w:ascii="Calibri" w:eastAsia="Calibri" w:hAnsi="Calibri" w:cs="Calibri"/>
          <w:noProof/>
        </w:rPr>
        <w:t xml:space="preserve"> </w:t>
      </w:r>
      <w:r w:rsidRPr="6A3CE5EF">
        <w:rPr>
          <w:rFonts w:eastAsia="EC Square Sans Pro" w:cs="EC Square Sans Pro"/>
          <w:noProof/>
        </w:rPr>
        <w:t xml:space="preserve">concluded that Sweden </w:t>
      </w:r>
      <w:r w:rsidR="00D76569">
        <w:rPr>
          <w:rFonts w:eastAsia="EC Square Sans Pro" w:cs="EC Square Sans Pro"/>
          <w:noProof/>
        </w:rPr>
        <w:t xml:space="preserve">faces </w:t>
      </w:r>
      <w:r w:rsidRPr="6A3CE5EF">
        <w:rPr>
          <w:rFonts w:eastAsia="EC Square Sans Pro" w:cs="EC Square Sans Pro"/>
          <w:noProof/>
        </w:rPr>
        <w:t xml:space="preserve">vulnerabilities that relate to </w:t>
      </w:r>
      <w:r w:rsidRPr="006D70BD">
        <w:rPr>
          <w:rFonts w:eastAsia="EC Square Sans Pro" w:cs="EC Square Sans Pro"/>
          <w:noProof/>
        </w:rPr>
        <w:t xml:space="preserve">its real estate market and high private debt. While house prices </w:t>
      </w:r>
      <w:r w:rsidR="00B809EC" w:rsidRPr="006D70BD">
        <w:rPr>
          <w:rFonts w:eastAsia="EC Square Sans Pro" w:cs="EC Square Sans Pro"/>
          <w:noProof/>
        </w:rPr>
        <w:t xml:space="preserve">have </w:t>
      </w:r>
      <w:r w:rsidRPr="006D70BD">
        <w:rPr>
          <w:rFonts w:eastAsia="EC Square Sans Pro" w:cs="EC Square Sans Pro"/>
          <w:noProof/>
        </w:rPr>
        <w:t>moderate</w:t>
      </w:r>
      <w:r w:rsidR="00B809EC" w:rsidRPr="006D70BD">
        <w:rPr>
          <w:rFonts w:eastAsia="EC Square Sans Pro" w:cs="EC Square Sans Pro"/>
          <w:noProof/>
        </w:rPr>
        <w:t>d</w:t>
      </w:r>
      <w:r w:rsidRPr="006D70BD">
        <w:rPr>
          <w:rFonts w:eastAsia="EC Square Sans Pro" w:cs="EC Square Sans Pro"/>
          <w:noProof/>
        </w:rPr>
        <w:t xml:space="preserve"> somewhat</w:t>
      </w:r>
      <w:r w:rsidR="00B809EC" w:rsidRPr="006D70BD">
        <w:rPr>
          <w:rFonts w:eastAsia="EC Square Sans Pro" w:cs="EC Square Sans Pro"/>
          <w:noProof/>
        </w:rPr>
        <w:t xml:space="preserve"> </w:t>
      </w:r>
      <w:r w:rsidR="5EC41FD3" w:rsidRPr="006D70BD">
        <w:rPr>
          <w:rFonts w:eastAsia="EC Square Sans Pro" w:cs="EC Square Sans Pro"/>
          <w:noProof/>
        </w:rPr>
        <w:t>from their 2022 and 2023 levels</w:t>
      </w:r>
      <w:r w:rsidR="36CDB7DB" w:rsidRPr="006D70BD">
        <w:rPr>
          <w:rFonts w:eastAsia="EC Square Sans Pro" w:cs="EC Square Sans Pro"/>
          <w:noProof/>
        </w:rPr>
        <w:t>,</w:t>
      </w:r>
      <w:r w:rsidRPr="006D70BD">
        <w:rPr>
          <w:rFonts w:eastAsia="EC Square Sans Pro" w:cs="EC Square Sans Pro"/>
          <w:noProof/>
        </w:rPr>
        <w:t xml:space="preserve"> household leverage remains high and is expected to increase further. While the financial sector is highly exposed to real estate, it is profitable with sizeable capital buffers against adverse developments. Rigidities in housing supply remain, the rental market has seen limited reform, leading to long wait</w:t>
      </w:r>
      <w:r w:rsidR="00214559" w:rsidRPr="006D70BD">
        <w:rPr>
          <w:rFonts w:eastAsia="EC Square Sans Pro" w:cs="EC Square Sans Pro"/>
          <w:noProof/>
        </w:rPr>
        <w:t>i</w:t>
      </w:r>
      <w:r w:rsidRPr="006D70BD">
        <w:rPr>
          <w:rFonts w:eastAsia="EC Square Sans Pro" w:cs="EC Square Sans Pro"/>
          <w:noProof/>
        </w:rPr>
        <w:t>ng lists and a low vacancy rate compared to other EU countries.</w:t>
      </w:r>
      <w:r w:rsidR="00375C2C">
        <w:rPr>
          <w:rFonts w:eastAsia="EC Square Sans Pro" w:cs="EC Square Sans Pro"/>
          <w:noProof/>
        </w:rPr>
        <w:t xml:space="preserve"> </w:t>
      </w:r>
      <w:r w:rsidR="00D76569" w:rsidRPr="00706ECB">
        <w:rPr>
          <w:noProof/>
        </w:rPr>
        <w:t>Taking into account th</w:t>
      </w:r>
      <w:r w:rsidR="00D76569">
        <w:rPr>
          <w:noProof/>
        </w:rPr>
        <w:t>is</w:t>
      </w:r>
      <w:r w:rsidR="00D76569" w:rsidRPr="00706ECB">
        <w:rPr>
          <w:noProof/>
        </w:rPr>
        <w:t xml:space="preserve"> assessment in the </w:t>
      </w:r>
      <w:r w:rsidR="00D76569">
        <w:rPr>
          <w:noProof/>
        </w:rPr>
        <w:t>IDR</w:t>
      </w:r>
      <w:r w:rsidR="00D76569" w:rsidRPr="00706ECB">
        <w:rPr>
          <w:noProof/>
        </w:rPr>
        <w:t xml:space="preserve">, the </w:t>
      </w:r>
      <w:r w:rsidR="00D76569" w:rsidRPr="001E4966">
        <w:rPr>
          <w:noProof/>
        </w:rPr>
        <w:t xml:space="preserve">Commission, in its Communication </w:t>
      </w:r>
      <w:r w:rsidR="00D76569" w:rsidRPr="001738D0">
        <w:rPr>
          <w:noProof/>
        </w:rPr>
        <w:t>on the</w:t>
      </w:r>
      <w:r w:rsidR="00EE0D1A">
        <w:rPr>
          <w:noProof/>
        </w:rPr>
        <w:t xml:space="preserve"> 2026</w:t>
      </w:r>
      <w:r w:rsidR="00D76569" w:rsidRPr="001738D0">
        <w:rPr>
          <w:noProof/>
        </w:rPr>
        <w:t xml:space="preserve"> </w:t>
      </w:r>
      <w:r w:rsidR="00D76569" w:rsidRPr="001E4966">
        <w:rPr>
          <w:noProof/>
        </w:rPr>
        <w:t>European Semester Spring Packag</w:t>
      </w:r>
      <w:r w:rsidR="00D76569" w:rsidRPr="00D76569">
        <w:rPr>
          <w:noProof/>
        </w:rPr>
        <w:t>e</w:t>
      </w:r>
      <w:r w:rsidR="00D76569" w:rsidRPr="0098405B">
        <w:rPr>
          <w:noProof/>
        </w:rPr>
        <w:t xml:space="preserve">, </w:t>
      </w:r>
      <w:r w:rsidR="00D76569" w:rsidRPr="00D76569">
        <w:rPr>
          <w:noProof/>
        </w:rPr>
        <w:t>considers</w:t>
      </w:r>
      <w:r w:rsidR="00D76569" w:rsidRPr="001E4966">
        <w:rPr>
          <w:noProof/>
        </w:rPr>
        <w:t xml:space="preserve"> that </w:t>
      </w:r>
      <w:r w:rsidR="00D76569">
        <w:rPr>
          <w:noProof/>
        </w:rPr>
        <w:t>Sweden</w:t>
      </w:r>
      <w:r w:rsidR="00BD758F">
        <w:rPr>
          <w:noProof/>
        </w:rPr>
        <w:t xml:space="preserve"> no </w:t>
      </w:r>
      <w:r w:rsidR="00BD758F" w:rsidRPr="00BD758F">
        <w:rPr>
          <w:noProof/>
        </w:rPr>
        <w:t xml:space="preserve">longer </w:t>
      </w:r>
      <w:r w:rsidR="00D76569" w:rsidRPr="00E55FB5">
        <w:rPr>
          <w:noProof/>
        </w:rPr>
        <w:t>experienc</w:t>
      </w:r>
      <w:r w:rsidR="00BD758F" w:rsidRPr="00E55FB5">
        <w:rPr>
          <w:noProof/>
        </w:rPr>
        <w:t>es</w:t>
      </w:r>
      <w:r w:rsidR="00D76569" w:rsidRPr="00E55FB5">
        <w:rPr>
          <w:noProof/>
        </w:rPr>
        <w:t xml:space="preserve"> macroeconomic imbalances.</w:t>
      </w:r>
    </w:p>
    <w:p w14:paraId="18BB4049" w14:textId="7D429902" w:rsidR="00B33FB6" w:rsidRPr="009F0DD6" w:rsidRDefault="18C99602" w:rsidP="009F0DD6">
      <w:pPr>
        <w:spacing w:after="0"/>
        <w:ind w:left="555"/>
        <w:rPr>
          <w:rFonts w:eastAsia="EC Square Sans Pro" w:cs="EC Square Sans Pro"/>
          <w:noProof/>
        </w:rPr>
      </w:pPr>
      <w:r w:rsidRPr="28AFDA0A">
        <w:rPr>
          <w:rFonts w:eastAsia="EC Square Sans Pro" w:cs="EC Square Sans Pro"/>
          <w:noProof/>
        </w:rPr>
        <w:t>Sweden’s recovery and resilience plan (RRP) includes measures to address a series of structural challenges, in synergy with other EU funds, including cohesion poli</w:t>
      </w:r>
      <w:r w:rsidR="00B809EC" w:rsidRPr="28AFDA0A">
        <w:rPr>
          <w:rFonts w:eastAsia="EC Square Sans Pro" w:cs="EC Square Sans Pro"/>
          <w:noProof/>
        </w:rPr>
        <w:t>c</w:t>
      </w:r>
      <w:r w:rsidRPr="28AFDA0A">
        <w:rPr>
          <w:rFonts w:eastAsia="EC Square Sans Pro" w:cs="EC Square Sans Pro"/>
          <w:noProof/>
        </w:rPr>
        <w:t xml:space="preserve">y funds, aimed at reducing the country’s territorial and social disparities. The RRF funding provides Sweden with EUR 3.4 billion over the 2021-2026 period. </w:t>
      </w:r>
      <w:r w:rsidR="00995884">
        <w:rPr>
          <w:rFonts w:eastAsia="EC Square Sans Pro" w:cs="EC Square Sans Pro"/>
          <w:noProof/>
        </w:rPr>
        <w:t>Sweden submitted its</w:t>
      </w:r>
      <w:r w:rsidRPr="28AFDA0A">
        <w:rPr>
          <w:rFonts w:eastAsia="EC Square Sans Pro" w:cs="EC Square Sans Pro"/>
          <w:noProof/>
        </w:rPr>
        <w:t xml:space="preserve"> second payment request in January 2026.</w:t>
      </w:r>
      <w:r w:rsidR="00652C82" w:rsidRPr="00652C82">
        <w:rPr>
          <w:noProof/>
        </w:rPr>
        <w:t xml:space="preserve"> </w:t>
      </w:r>
      <w:r w:rsidR="00652C82" w:rsidRPr="07741764">
        <w:rPr>
          <w:rFonts w:eastAsia="EC Square Sans Pro" w:cs="EC Square Sans Pro"/>
          <w:noProof/>
        </w:rPr>
        <w:t xml:space="preserve">Key </w:t>
      </w:r>
      <w:r w:rsidR="0818AD8E" w:rsidRPr="07741764">
        <w:rPr>
          <w:rFonts w:eastAsia="EC Square Sans Pro" w:cs="EC Square Sans Pro"/>
          <w:noProof/>
        </w:rPr>
        <w:t>investments and</w:t>
      </w:r>
      <w:r w:rsidR="00652C82" w:rsidRPr="28AFDA0A">
        <w:rPr>
          <w:rFonts w:eastAsia="EC Square Sans Pro" w:cs="EC Square Sans Pro"/>
          <w:noProof/>
        </w:rPr>
        <w:t xml:space="preserve"> reforms in Sweden’s RRP include those in the areas </w:t>
      </w:r>
      <w:r w:rsidR="001B2636" w:rsidRPr="28AFDA0A">
        <w:rPr>
          <w:rFonts w:eastAsia="EC Square Sans Pro" w:cs="EC Square Sans Pro"/>
          <w:noProof/>
        </w:rPr>
        <w:t xml:space="preserve">of financing of </w:t>
      </w:r>
      <w:r w:rsidR="00CB0E3E" w:rsidRPr="28AFDA0A">
        <w:rPr>
          <w:rFonts w:eastAsia="EC Square Sans Pro" w:cs="EC Square Sans Pro"/>
          <w:noProof/>
        </w:rPr>
        <w:t xml:space="preserve">greenhouse gas </w:t>
      </w:r>
      <w:r w:rsidR="001018C5" w:rsidRPr="28AFDA0A">
        <w:rPr>
          <w:rFonts w:eastAsia="EC Square Sans Pro" w:cs="EC Square Sans Pro"/>
          <w:noProof/>
        </w:rPr>
        <w:t>emission</w:t>
      </w:r>
      <w:r w:rsidR="00FD77AF">
        <w:rPr>
          <w:rFonts w:eastAsia="EC Square Sans Pro" w:cs="EC Square Sans Pro"/>
          <w:noProof/>
        </w:rPr>
        <w:t>s-</w:t>
      </w:r>
      <w:r w:rsidR="001018C5" w:rsidRPr="28AFDA0A">
        <w:rPr>
          <w:rFonts w:eastAsia="EC Square Sans Pro" w:cs="EC Square Sans Pro"/>
          <w:noProof/>
        </w:rPr>
        <w:t xml:space="preserve">saving technologies and </w:t>
      </w:r>
      <w:r w:rsidR="00CB0E3E" w:rsidRPr="28AFDA0A">
        <w:rPr>
          <w:rFonts w:eastAsia="EC Square Sans Pro" w:cs="EC Square Sans Pro"/>
          <w:noProof/>
        </w:rPr>
        <w:t xml:space="preserve">infrastructure, </w:t>
      </w:r>
      <w:r w:rsidR="004759A5">
        <w:rPr>
          <w:rFonts w:eastAsia="EC Square Sans Pro" w:cs="EC Square Sans Pro"/>
          <w:noProof/>
        </w:rPr>
        <w:t>insulation</w:t>
      </w:r>
      <w:r w:rsidR="00CB0E3E" w:rsidRPr="28AFDA0A">
        <w:rPr>
          <w:rFonts w:eastAsia="EC Square Sans Pro" w:cs="EC Square Sans Pro"/>
          <w:noProof/>
        </w:rPr>
        <w:t xml:space="preserve"> of housing, </w:t>
      </w:r>
      <w:r w:rsidR="00F87FC2" w:rsidRPr="28AFDA0A">
        <w:rPr>
          <w:rFonts w:eastAsia="EC Square Sans Pro" w:cs="EC Square Sans Pro"/>
          <w:noProof/>
        </w:rPr>
        <w:t>training for elderly care</w:t>
      </w:r>
      <w:r w:rsidR="009D0428" w:rsidRPr="28AFDA0A">
        <w:rPr>
          <w:rFonts w:eastAsia="EC Square Sans Pro" w:cs="EC Square Sans Pro"/>
          <w:noProof/>
        </w:rPr>
        <w:t xml:space="preserve"> and broadband </w:t>
      </w:r>
      <w:r w:rsidR="009D41FA">
        <w:rPr>
          <w:rFonts w:eastAsia="EC Square Sans Pro" w:cs="EC Square Sans Pro"/>
          <w:noProof/>
        </w:rPr>
        <w:t>roll-out</w:t>
      </w:r>
      <w:r w:rsidR="009D0428" w:rsidRPr="28AFDA0A">
        <w:rPr>
          <w:rFonts w:eastAsia="EC Square Sans Pro" w:cs="EC Square Sans Pro"/>
          <w:noProof/>
        </w:rPr>
        <w:t xml:space="preserve"> in sparsely populated areas.</w:t>
      </w:r>
      <w:r w:rsidR="00CE0713" w:rsidRPr="28AFDA0A">
        <w:rPr>
          <w:rFonts w:eastAsia="EC Square Sans Pro" w:cs="EC Square Sans Pro"/>
          <w:noProof/>
        </w:rPr>
        <w:t xml:space="preserve"> </w:t>
      </w:r>
      <w:r w:rsidR="000A7FA2" w:rsidRPr="28AFDA0A">
        <w:rPr>
          <w:rFonts w:eastAsia="EC Square Sans Pro" w:cs="EC Square Sans Pro"/>
          <w:noProof/>
        </w:rPr>
        <w:t xml:space="preserve">A first </w:t>
      </w:r>
      <w:r w:rsidR="00671879" w:rsidRPr="28AFDA0A">
        <w:rPr>
          <w:rFonts w:eastAsia="EC Square Sans Pro" w:cs="EC Square Sans Pro"/>
          <w:noProof/>
        </w:rPr>
        <w:t xml:space="preserve">RRF reimbursement took place in </w:t>
      </w:r>
      <w:r w:rsidR="00C21E2B">
        <w:rPr>
          <w:rFonts w:eastAsia="EC Square Sans Pro" w:cs="EC Square Sans Pro"/>
          <w:noProof/>
        </w:rPr>
        <w:t>July</w:t>
      </w:r>
      <w:r w:rsidR="00671879" w:rsidRPr="28AFDA0A">
        <w:rPr>
          <w:rFonts w:eastAsia="EC Square Sans Pro" w:cs="EC Square Sans Pro"/>
          <w:noProof/>
        </w:rPr>
        <w:t xml:space="preserve"> 202</w:t>
      </w:r>
      <w:r w:rsidR="008A355C" w:rsidRPr="28AFDA0A">
        <w:rPr>
          <w:rFonts w:eastAsia="EC Square Sans Pro" w:cs="EC Square Sans Pro"/>
          <w:noProof/>
        </w:rPr>
        <w:t>5</w:t>
      </w:r>
      <w:r w:rsidR="00671879" w:rsidRPr="28AFDA0A">
        <w:rPr>
          <w:rFonts w:eastAsia="EC Square Sans Pro" w:cs="EC Square Sans Pro"/>
          <w:noProof/>
        </w:rPr>
        <w:t>, with the remain</w:t>
      </w:r>
      <w:r w:rsidR="00B0757D" w:rsidRPr="28AFDA0A">
        <w:rPr>
          <w:rFonts w:eastAsia="EC Square Sans Pro" w:cs="EC Square Sans Pro"/>
          <w:noProof/>
        </w:rPr>
        <w:t>ing payments under assessment for 2026.</w:t>
      </w:r>
      <w:r w:rsidR="009F0DD6">
        <w:rPr>
          <w:rFonts w:eastAsia="EC Square Sans Pro" w:cs="EC Square Sans Pro"/>
          <w:noProof/>
        </w:rPr>
        <w:t xml:space="preserve"> </w:t>
      </w:r>
      <w:r w:rsidRPr="07741764">
        <w:rPr>
          <w:rFonts w:eastAsia="EC Square Sans Pro" w:cs="EC Square Sans Pro"/>
          <w:noProof/>
        </w:rPr>
        <w:t>In addition, cohesion policy provides Sweden with EUR</w:t>
      </w:r>
      <w:r w:rsidRPr="00E55FB5">
        <w:rPr>
          <w:rFonts w:ascii="Calibri" w:eastAsia="EC Square Sans Pro" w:hAnsi="Calibri" w:cs="Calibri"/>
          <w:noProof/>
        </w:rPr>
        <w:t> </w:t>
      </w:r>
      <w:r w:rsidR="00FD09E6" w:rsidRPr="00E55FB5">
        <w:rPr>
          <w:rFonts w:eastAsia="EC Square Sans Pro" w:cs="EC Square Sans Pro"/>
          <w:noProof/>
        </w:rPr>
        <w:t>2.4</w:t>
      </w:r>
      <w:r w:rsidRPr="07741764">
        <w:rPr>
          <w:rFonts w:eastAsia="EC Square Sans Pro" w:cs="EC Square Sans Pro"/>
          <w:noProof/>
        </w:rPr>
        <w:t xml:space="preserve"> billion</w:t>
      </w:r>
      <w:r w:rsidRPr="00E55FB5">
        <w:rPr>
          <w:rFonts w:ascii="Calibri" w:eastAsia="EC Square Sans Pro" w:hAnsi="Calibri" w:cs="Calibri"/>
          <w:noProof/>
        </w:rPr>
        <w:t> </w:t>
      </w:r>
      <w:r w:rsidRPr="07741764">
        <w:rPr>
          <w:rFonts w:eastAsia="EC Square Sans Pro" w:cs="EC Square Sans Pro"/>
          <w:noProof/>
        </w:rPr>
        <w:t xml:space="preserve">for the 2021-2027 period. Cohesion policy financing aims particularly to further improve </w:t>
      </w:r>
      <w:r w:rsidR="00FE1700" w:rsidRPr="07741764">
        <w:rPr>
          <w:rFonts w:eastAsia="EC Square Sans Pro" w:cs="EC Square Sans Pro"/>
          <w:noProof/>
        </w:rPr>
        <w:t xml:space="preserve">the </w:t>
      </w:r>
      <w:r w:rsidRPr="07741764">
        <w:rPr>
          <w:rFonts w:eastAsia="EC Square Sans Pro" w:cs="EC Square Sans Pro"/>
          <w:noProof/>
        </w:rPr>
        <w:t>conditions for research and innovation, create opportunities for entrepreneurship and industrial transformation, and support digitalisation,</w:t>
      </w:r>
      <w:r w:rsidRPr="07741764">
        <w:rPr>
          <w:rFonts w:ascii="Calibri" w:eastAsia="Calibri" w:hAnsi="Calibri" w:cs="Calibri"/>
          <w:noProof/>
        </w:rPr>
        <w:t xml:space="preserve"> </w:t>
      </w:r>
      <w:r w:rsidRPr="07741764">
        <w:rPr>
          <w:rFonts w:eastAsia="EC Square Sans Pro" w:cs="EC Square Sans Pro"/>
          <w:noProof/>
        </w:rPr>
        <w:t>internationalisation</w:t>
      </w:r>
      <w:r w:rsidRPr="07741764">
        <w:rPr>
          <w:rFonts w:ascii="Calibri" w:eastAsia="Calibri" w:hAnsi="Calibri" w:cs="Calibri"/>
          <w:noProof/>
        </w:rPr>
        <w:t xml:space="preserve"> </w:t>
      </w:r>
      <w:r w:rsidRPr="07741764">
        <w:rPr>
          <w:rFonts w:eastAsia="EC Square Sans Pro" w:cs="EC Square Sans Pro"/>
          <w:noProof/>
        </w:rPr>
        <w:t xml:space="preserve">and competitiveness. </w:t>
      </w:r>
      <w:r w:rsidR="00995884" w:rsidRPr="07741764">
        <w:rPr>
          <w:rFonts w:eastAsia="EC Square Sans Pro" w:cs="EC Square Sans Pro"/>
          <w:noProof/>
        </w:rPr>
        <w:t xml:space="preserve">While </w:t>
      </w:r>
      <w:r w:rsidRPr="07741764">
        <w:rPr>
          <w:rFonts w:eastAsia="EC Square Sans Pro" w:cs="EC Square Sans Pro"/>
          <w:noProof/>
        </w:rPr>
        <w:t>Sweden has made progress in implementing cohesion</w:t>
      </w:r>
      <w:r w:rsidRPr="07741764">
        <w:rPr>
          <w:rFonts w:ascii="Calibri" w:eastAsia="Calibri" w:hAnsi="Calibri" w:cs="Calibri"/>
          <w:noProof/>
        </w:rPr>
        <w:t xml:space="preserve"> </w:t>
      </w:r>
      <w:r w:rsidRPr="07741764">
        <w:rPr>
          <w:rFonts w:eastAsia="EC Square Sans Pro" w:cs="EC Square Sans Pro"/>
          <w:noProof/>
        </w:rPr>
        <w:t>policy</w:t>
      </w:r>
      <w:r w:rsidR="00305C75" w:rsidRPr="07741764">
        <w:rPr>
          <w:rFonts w:eastAsia="EC Square Sans Pro" w:cs="EC Square Sans Pro"/>
          <w:noProof/>
        </w:rPr>
        <w:t>,</w:t>
      </w:r>
      <w:r w:rsidRPr="07741764">
        <w:rPr>
          <w:rFonts w:ascii="Calibri" w:eastAsia="Calibri" w:hAnsi="Calibri" w:cs="Calibri"/>
          <w:noProof/>
        </w:rPr>
        <w:t xml:space="preserve"> </w:t>
      </w:r>
      <w:r w:rsidRPr="07741764">
        <w:rPr>
          <w:rFonts w:eastAsia="EC Square Sans Pro" w:cs="EC Square Sans Pro"/>
          <w:noProof/>
        </w:rPr>
        <w:t>challenges remain</w:t>
      </w:r>
      <w:r w:rsidR="00995884" w:rsidRPr="07741764">
        <w:rPr>
          <w:rFonts w:eastAsia="EC Square Sans Pro" w:cs="EC Square Sans Pro"/>
          <w:noProof/>
        </w:rPr>
        <w:t>, with persistent</w:t>
      </w:r>
      <w:r w:rsidR="00BA0796" w:rsidRPr="07741764">
        <w:rPr>
          <w:rFonts w:eastAsia="EC Square Sans Pro" w:cs="EC Square Sans Pro"/>
          <w:noProof/>
        </w:rPr>
        <w:t xml:space="preserve"> </w:t>
      </w:r>
      <w:r w:rsidRPr="07741764">
        <w:rPr>
          <w:rFonts w:eastAsia="EC Square Sans Pro" w:cs="EC Square Sans Pro"/>
          <w:noProof/>
        </w:rPr>
        <w:t>disparities between the capital region and the rest of the country.</w:t>
      </w:r>
      <w:r w:rsidRPr="07741764">
        <w:rPr>
          <w:b/>
          <w:bCs/>
          <w:noProof/>
        </w:rPr>
        <w:t xml:space="preserve"> </w:t>
      </w:r>
    </w:p>
    <w:p w14:paraId="3DDA5709" w14:textId="77777777" w:rsidR="00E408C4" w:rsidRPr="00E408C4" w:rsidRDefault="00E408C4" w:rsidP="00E408C4">
      <w:pPr>
        <w:pStyle w:val="Text1"/>
        <w:ind w:left="567"/>
        <w:rPr>
          <w:rFonts w:ascii="EC Square Sans Pro" w:hAnsi="EC Square Sans Pro"/>
          <w:b/>
          <w:bCs/>
          <w:noProof/>
          <w:color w:val="000000"/>
          <w:sz w:val="20"/>
          <w:szCs w:val="24"/>
          <w:lang w:eastAsia="en-US"/>
        </w:rPr>
      </w:pPr>
    </w:p>
    <w:p w14:paraId="54903814" w14:textId="77777777" w:rsidR="009331D7" w:rsidRDefault="009331D7" w:rsidP="00D85738">
      <w:pPr>
        <w:rPr>
          <w:noProof/>
        </w:rPr>
      </w:pPr>
    </w:p>
    <w:p w14:paraId="71B37DEF" w14:textId="77777777" w:rsidR="009331D7" w:rsidRDefault="009331D7" w:rsidP="00D85738">
      <w:pPr>
        <w:rPr>
          <w:noProof/>
        </w:rPr>
      </w:pPr>
    </w:p>
    <w:bookmarkEnd w:id="1"/>
    <w:p w14:paraId="448AACF2" w14:textId="77777777" w:rsidR="009331D7" w:rsidRPr="00F64EC0" w:rsidRDefault="009331D7" w:rsidP="00D85738">
      <w:pPr>
        <w:rPr>
          <w:noProof/>
        </w:rPr>
      </w:pPr>
    </w:p>
    <w:sectPr w:rsidR="009331D7" w:rsidRPr="00F64EC0" w:rsidSect="00E46E5E">
      <w:headerReference w:type="even" r:id="rId25"/>
      <w:headerReference w:type="default" r:id="rId26"/>
      <w:footerReference w:type="even" r:id="rId27"/>
      <w:footerReference w:type="default" r:id="rId28"/>
      <w:headerReference w:type="first" r:id="rId29"/>
      <w:footerReference w:type="first" r:id="rId30"/>
      <w:footnotePr>
        <w:pos w:val="beneathText"/>
      </w:footnotePr>
      <w:pgSz w:w="11907" w:h="16839"/>
      <w:pgMar w:top="1417" w:right="1417" w:bottom="1417"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F8817" w14:textId="77777777" w:rsidR="007F4182" w:rsidRDefault="007F4182" w:rsidP="00F64EC0">
      <w:pPr>
        <w:spacing w:after="0" w:line="240" w:lineRule="auto"/>
      </w:pPr>
      <w:r>
        <w:separator/>
      </w:r>
    </w:p>
  </w:endnote>
  <w:endnote w:type="continuationSeparator" w:id="0">
    <w:p w14:paraId="4089FC6E" w14:textId="77777777" w:rsidR="007F4182" w:rsidRDefault="007F4182" w:rsidP="00F64EC0">
      <w:pPr>
        <w:spacing w:after="0" w:line="240" w:lineRule="auto"/>
      </w:pPr>
      <w:r>
        <w:continuationSeparator/>
      </w:r>
    </w:p>
  </w:endnote>
  <w:endnote w:type="continuationNotice" w:id="1">
    <w:p w14:paraId="5C368547" w14:textId="77777777" w:rsidR="007F4182" w:rsidRDefault="007F4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C Square Sans Pro">
    <w:altName w:val="Segoe UI"/>
    <w:panose1 w:val="020B0506040000020004"/>
    <w:charset w:val="00"/>
    <w:family w:val="swiss"/>
    <w:pitch w:val="variable"/>
    <w:sig w:usb0="20000287" w:usb1="00000001" w:usb2="00000000" w:usb3="00000000" w:csb0="0000019F" w:csb1="00000000"/>
  </w:font>
  <w:font w:name="EC Square Sans Pro Thin">
    <w:panose1 w:val="020B0506040000020004"/>
    <w:charset w:val="00"/>
    <w:family w:val="swiss"/>
    <w:pitch w:val="variable"/>
    <w:sig w:usb0="2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EC Square Sans Pro Medium">
    <w:panose1 w:val="020B0500000000020004"/>
    <w:charset w:val="00"/>
    <w:family w:val="swiss"/>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B7AC" w14:textId="42C0EBAB" w:rsidR="00405E4C" w:rsidRPr="00405E4C" w:rsidRDefault="00405E4C" w:rsidP="00405E4C">
    <w:pPr>
      <w:pStyle w:val="FooterCoverPage"/>
      <w:rPr>
        <w:rFonts w:ascii="Arial" w:hAnsi="Arial" w:cs="Arial"/>
        <w:b/>
        <w:sz w:val="48"/>
      </w:rPr>
    </w:pPr>
    <w:r w:rsidRPr="00405E4C">
      <w:rPr>
        <w:rFonts w:ascii="Arial" w:hAnsi="Arial" w:cs="Arial"/>
        <w:b/>
        <w:sz w:val="48"/>
      </w:rPr>
      <w:t>EN</w:t>
    </w:r>
    <w:r w:rsidRPr="00405E4C">
      <w:rPr>
        <w:rFonts w:ascii="Arial" w:hAnsi="Arial" w:cs="Arial"/>
        <w:b/>
        <w:sz w:val="48"/>
      </w:rPr>
      <w:tab/>
    </w:r>
    <w:r w:rsidRPr="00405E4C">
      <w:rPr>
        <w:rFonts w:ascii="Arial" w:hAnsi="Arial" w:cs="Arial"/>
        <w:b/>
        <w:sz w:val="48"/>
      </w:rPr>
      <w:tab/>
    </w:r>
    <w:r w:rsidRPr="00405E4C">
      <w:tab/>
    </w:r>
    <w:r w:rsidRPr="00405E4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C1F7" w14:textId="5538D778" w:rsidR="00405E4C" w:rsidRPr="00405E4C" w:rsidRDefault="00405E4C" w:rsidP="00405E4C">
    <w:pPr>
      <w:pStyle w:val="FooterCoverPage"/>
      <w:rPr>
        <w:rFonts w:ascii="Arial" w:hAnsi="Arial" w:cs="Arial"/>
        <w:b/>
        <w:sz w:val="48"/>
      </w:rPr>
    </w:pPr>
    <w:r w:rsidRPr="00405E4C">
      <w:rPr>
        <w:rFonts w:ascii="Arial" w:hAnsi="Arial" w:cs="Arial"/>
        <w:b/>
        <w:sz w:val="48"/>
      </w:rPr>
      <w:t>EN</w:t>
    </w:r>
    <w:r w:rsidRPr="00405E4C">
      <w:rPr>
        <w:rFonts w:ascii="Arial" w:hAnsi="Arial" w:cs="Arial"/>
        <w:b/>
        <w:sz w:val="48"/>
      </w:rPr>
      <w:tab/>
    </w:r>
    <w:r w:rsidRPr="00405E4C">
      <w:rPr>
        <w:rFonts w:ascii="Arial" w:hAnsi="Arial" w:cs="Arial"/>
        <w:b/>
        <w:sz w:val="48"/>
      </w:rPr>
      <w:tab/>
    </w:r>
    <w:r w:rsidRPr="00405E4C">
      <w:tab/>
    </w:r>
    <w:r w:rsidRPr="00405E4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A1D3" w14:textId="77777777" w:rsidR="00167C6F" w:rsidRDefault="00167C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8BD96" w14:textId="3A63D08F" w:rsidR="00E46E5E" w:rsidRDefault="00E46E5E" w:rsidP="00F64EC0">
    <w:pPr>
      <w:pStyle w:val="FooterPageNumber30"/>
      <w:framePr w:wrap="around"/>
    </w:pPr>
    <w:r>
      <w:fldChar w:fldCharType="begin"/>
    </w:r>
    <w:r>
      <w:instrText xml:space="preserve"> PAGE </w:instrText>
    </w:r>
    <w:r>
      <w:fldChar w:fldCharType="separate"/>
    </w:r>
    <w:r w:rsidR="00526D70">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2E5D" w14:textId="4B40B049" w:rsidR="00E46E5E" w:rsidRDefault="00E46E5E" w:rsidP="00F64EC0">
    <w:pPr>
      <w:pStyle w:val="FooterPageNumber30"/>
      <w:framePr w:wrap="around"/>
    </w:pPr>
    <w:r>
      <w:fldChar w:fldCharType="begin"/>
    </w:r>
    <w:r>
      <w:instrText xml:space="preserve"> PAGE </w:instrText>
    </w:r>
    <w:r>
      <w:fldChar w:fldCharType="separate"/>
    </w:r>
    <w:r w:rsidR="00405E4C">
      <w:rPr>
        <w:noProof/>
      </w:rPr>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792F2" w14:textId="7C82D397" w:rsidR="00E46E5E" w:rsidRDefault="00E46E5E" w:rsidP="00F64EC0">
    <w:pPr>
      <w:pStyle w:val="FooterPageNumber30"/>
      <w:framePr w:wrap="around"/>
    </w:pPr>
    <w:r>
      <w:fldChar w:fldCharType="begin"/>
    </w:r>
    <w:r>
      <w:instrText xml:space="preserve"> PAGE </w:instrText>
    </w:r>
    <w:r>
      <w:fldChar w:fldCharType="separate"/>
    </w:r>
    <w:r w:rsidR="00405E4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7ED3C" w14:textId="77777777" w:rsidR="007F4182" w:rsidRDefault="007F4182" w:rsidP="00F64EC0">
      <w:pPr>
        <w:spacing w:after="0" w:line="240" w:lineRule="auto"/>
      </w:pPr>
      <w:r>
        <w:separator/>
      </w:r>
    </w:p>
  </w:footnote>
  <w:footnote w:type="continuationSeparator" w:id="0">
    <w:p w14:paraId="02CFAC0C" w14:textId="77777777" w:rsidR="007F4182" w:rsidRDefault="007F4182" w:rsidP="00F64EC0">
      <w:pPr>
        <w:spacing w:after="0" w:line="240" w:lineRule="auto"/>
      </w:pPr>
      <w:r>
        <w:continuationSeparator/>
      </w:r>
    </w:p>
  </w:footnote>
  <w:footnote w:type="continuationNotice" w:id="1">
    <w:p w14:paraId="6F2D2B3F" w14:textId="77777777" w:rsidR="007F4182" w:rsidRDefault="007F4182" w:rsidP="00F64EC0">
      <w:pPr>
        <w:spacing w:after="0" w:line="240" w:lineRule="auto"/>
      </w:pPr>
    </w:p>
  </w:footnote>
  <w:footnote w:id="2">
    <w:p w14:paraId="48B7E7CC" w14:textId="7EF4E17A" w:rsidR="00F410AB" w:rsidRDefault="00F410AB" w:rsidP="00F410AB">
      <w:pPr>
        <w:pStyle w:val="FootnoteText"/>
      </w:pPr>
      <w:r>
        <w:rPr>
          <w:rStyle w:val="FootnoteReference"/>
        </w:rPr>
        <w:footnoteRef/>
      </w:r>
      <w:r>
        <w:t xml:space="preserve"> </w:t>
      </w:r>
      <w:r>
        <w:tab/>
      </w:r>
      <w:r w:rsidRPr="00362F14">
        <w:t xml:space="preserve">The Member States that have not yet fulfilled the necessary conditions for the adoption of the euro are referred to as </w:t>
      </w:r>
      <w:r w:rsidR="00A22024">
        <w:t>’</w:t>
      </w:r>
      <w:r w:rsidRPr="00362F14">
        <w:t>Member States with a derogation’. Denmark negotiated an opt-out before the adoption of the Maastricht Treaty and does not participate in the third stage of economic and monetary union.</w:t>
      </w:r>
    </w:p>
  </w:footnote>
  <w:footnote w:id="3">
    <w:p w14:paraId="32B998E1" w14:textId="17357BBA" w:rsidR="00052DDE" w:rsidRDefault="00052DDE">
      <w:pPr>
        <w:pStyle w:val="FootnoteText"/>
      </w:pPr>
      <w:r>
        <w:rPr>
          <w:rStyle w:val="FootnoteReference"/>
        </w:rPr>
        <w:footnoteRef/>
      </w:r>
      <w:r>
        <w:t xml:space="preserve"> </w:t>
      </w:r>
      <w:r>
        <w:tab/>
      </w:r>
      <w:r w:rsidRPr="00052DDE">
        <w:t>Council Decision (EU) 2025/1407 of 8 July 2025 on the adoption by Bulgaria of the euro on 1 January 2026 (OJ L 1407, 14.7.2025, pp. 1-4).</w:t>
      </w:r>
    </w:p>
  </w:footnote>
  <w:footnote w:id="4">
    <w:p w14:paraId="524469D4" w14:textId="6FD50B57" w:rsidR="00F410AB" w:rsidRDefault="00F410AB" w:rsidP="00F410AB">
      <w:pPr>
        <w:pStyle w:val="FootnoteText"/>
      </w:pPr>
      <w:r>
        <w:rPr>
          <w:rStyle w:val="FootnoteReference"/>
        </w:rPr>
        <w:footnoteRef/>
      </w:r>
      <w:r>
        <w:t xml:space="preserve"> </w:t>
      </w:r>
      <w:r>
        <w:tab/>
      </w:r>
      <w:r w:rsidR="00AE3AA5" w:rsidRPr="00AE3AA5">
        <w:t xml:space="preserve">By virtue of Protocol No 16 to the Treaties on certain provisions relating to Denmark, Denmark has an exception as regards the single currency and the procedure referred to in Article 140 TFEU can only be initiated at its request. </w:t>
      </w:r>
      <w:r w:rsidRPr="002E41A8">
        <w:t xml:space="preserve">Denmark has not </w:t>
      </w:r>
      <w:r w:rsidR="00AE3AA5">
        <w:t>made that request</w:t>
      </w:r>
      <w:r w:rsidRPr="002E41A8">
        <w:t xml:space="preserve"> and is therefore not covered </w:t>
      </w:r>
      <w:r w:rsidR="00A22024">
        <w:t>by</w:t>
      </w:r>
      <w:r w:rsidRPr="002E41A8">
        <w:t xml:space="preserve"> the assessment.</w:t>
      </w:r>
    </w:p>
  </w:footnote>
  <w:footnote w:id="5">
    <w:p w14:paraId="259CD95C" w14:textId="1BB531E2" w:rsidR="00F410AB" w:rsidRDefault="00F410AB" w:rsidP="00F410AB">
      <w:pPr>
        <w:pStyle w:val="FootnoteText"/>
      </w:pPr>
      <w:r>
        <w:rPr>
          <w:rStyle w:val="FootnoteReference"/>
        </w:rPr>
        <w:footnoteRef/>
      </w:r>
      <w:r>
        <w:t xml:space="preserve"> </w:t>
      </w:r>
      <w:r>
        <w:tab/>
      </w:r>
      <w:r w:rsidRPr="002E41A8">
        <w:t>The cut-off date for the data used in this report is 1</w:t>
      </w:r>
      <w:r w:rsidR="0064427D">
        <w:t>7</w:t>
      </w:r>
      <w:r w:rsidRPr="002E41A8">
        <w:t xml:space="preserve"> </w:t>
      </w:r>
      <w:r>
        <w:t>June</w:t>
      </w:r>
      <w:r w:rsidRPr="002E41A8">
        <w:t xml:space="preserve"> 202</w:t>
      </w:r>
      <w:r w:rsidR="00FE3FAC">
        <w:t>6</w:t>
      </w:r>
      <w:r w:rsidRPr="002E41A8">
        <w:t xml:space="preserve">. The convergence assessment is based on a range of monthly convergence indicators calculated up to </w:t>
      </w:r>
      <w:r>
        <w:t xml:space="preserve">May </w:t>
      </w:r>
      <w:r w:rsidRPr="002E41A8">
        <w:t>202</w:t>
      </w:r>
      <w:r w:rsidR="00FE3FAC">
        <w:t>6</w:t>
      </w:r>
      <w:r w:rsidRPr="002E41A8">
        <w:t>.</w:t>
      </w:r>
    </w:p>
  </w:footnote>
  <w:footnote w:id="6">
    <w:p w14:paraId="6F4B9465" w14:textId="32221A00" w:rsidR="00300C8F" w:rsidRDefault="00300C8F">
      <w:pPr>
        <w:pStyle w:val="FootnoteText"/>
      </w:pPr>
      <w:r>
        <w:rPr>
          <w:rStyle w:val="FootnoteReference"/>
        </w:rPr>
        <w:footnoteRef/>
      </w:r>
      <w:r>
        <w:t xml:space="preserve"> </w:t>
      </w:r>
      <w:r>
        <w:tab/>
      </w:r>
      <w:r w:rsidRPr="00300C8F">
        <w:t xml:space="preserve">The </w:t>
      </w:r>
      <w:r>
        <w:t xml:space="preserve">examination of the </w:t>
      </w:r>
      <w:r w:rsidRPr="00300C8F">
        <w:t xml:space="preserve">compatibility of national legislation is </w:t>
      </w:r>
      <w:r w:rsidR="00A66591">
        <w:t xml:space="preserve">based on </w:t>
      </w:r>
      <w:r w:rsidRPr="00300C8F">
        <w:t>the legislation in force by the end of April 2026.</w:t>
      </w:r>
    </w:p>
  </w:footnote>
  <w:footnote w:id="7">
    <w:p w14:paraId="221F0102" w14:textId="77777777" w:rsidR="001B33BE" w:rsidRDefault="001B33BE" w:rsidP="001B33BE">
      <w:pPr>
        <w:pStyle w:val="FootnoteText"/>
      </w:pPr>
      <w:r>
        <w:rPr>
          <w:rStyle w:val="FootnoteReference"/>
        </w:rPr>
        <w:footnoteRef/>
      </w:r>
      <w:r>
        <w:t xml:space="preserve"> </w:t>
      </w:r>
      <w:r>
        <w:tab/>
      </w:r>
      <w:r w:rsidRPr="00671A82">
        <w:t xml:space="preserve">For the purpose of the </w:t>
      </w:r>
      <w:r>
        <w:t xml:space="preserve">price stability </w:t>
      </w:r>
      <w:r w:rsidRPr="00671A82">
        <w:t>criterion, inflation is measured by the Harmonised Index of Consumer Prices (HICP) defined in Regulation (EU) 2016/792.</w:t>
      </w:r>
    </w:p>
  </w:footnote>
  <w:footnote w:id="8">
    <w:p w14:paraId="1A766CF1" w14:textId="3D04EB74" w:rsidR="001B33BE" w:rsidRPr="009D128C" w:rsidRDefault="001B33BE" w:rsidP="001B33BE">
      <w:pPr>
        <w:pStyle w:val="FootnoteText"/>
      </w:pPr>
      <w:r>
        <w:rPr>
          <w:rStyle w:val="FootnoteReference"/>
        </w:rPr>
        <w:footnoteRef/>
      </w:r>
      <w:r>
        <w:t xml:space="preserve"> </w:t>
      </w:r>
      <w:r>
        <w:tab/>
      </w:r>
      <w:r w:rsidRPr="007865B7">
        <w:t>All forecasts for inflation and other variables in th</w:t>
      </w:r>
      <w:r>
        <w:t>is</w:t>
      </w:r>
      <w:r w:rsidRPr="007865B7">
        <w:t xml:space="preserve"> report are from the Commission’s Spring 202</w:t>
      </w:r>
      <w:r w:rsidR="003D46B1">
        <w:t>6</w:t>
      </w:r>
      <w:r w:rsidRPr="007865B7">
        <w:t xml:space="preserve"> Economic Forecast. The forecasts are based on a set of common assumptions for external variables and on a ‘no policy change’ assumption</w:t>
      </w:r>
      <w:r>
        <w:t>, but</w:t>
      </w:r>
      <w:r w:rsidRPr="007865B7">
        <w:t xml:space="preserve"> </w:t>
      </w:r>
      <w:r>
        <w:t>also take</w:t>
      </w:r>
      <w:r w:rsidRPr="007865B7">
        <w:t xml:space="preserve"> into consideration measures that are known in </w:t>
      </w:r>
      <w:r w:rsidRPr="009D128C">
        <w:t>sufficient detail.</w:t>
      </w:r>
    </w:p>
  </w:footnote>
  <w:footnote w:id="9">
    <w:p w14:paraId="4C3E0A67" w14:textId="17B7C902" w:rsidR="001B33BE" w:rsidRDefault="001B33BE" w:rsidP="001B33BE">
      <w:pPr>
        <w:pStyle w:val="FootnoteText"/>
      </w:pPr>
      <w:r w:rsidRPr="009D128C">
        <w:rPr>
          <w:rStyle w:val="FootnoteReference"/>
        </w:rPr>
        <w:footnoteRef/>
      </w:r>
      <w:r w:rsidRPr="009D128C">
        <w:t xml:space="preserve"> </w:t>
      </w:r>
      <w:r w:rsidRPr="009D128C">
        <w:tab/>
        <w:t xml:space="preserve">The respective 12-month average inflation rates </w:t>
      </w:r>
      <w:r w:rsidRPr="00043CBE">
        <w:t xml:space="preserve">were </w:t>
      </w:r>
      <w:r w:rsidR="000F6C97">
        <w:t>0.9</w:t>
      </w:r>
      <w:r w:rsidRPr="00043CBE">
        <w:t xml:space="preserve">%, </w:t>
      </w:r>
      <w:r w:rsidR="000F6C97">
        <w:t>1.2</w:t>
      </w:r>
      <w:r w:rsidRPr="00043CBE">
        <w:t xml:space="preserve">% and </w:t>
      </w:r>
      <w:r w:rsidR="000F6C97">
        <w:t>1</w:t>
      </w:r>
      <w:r w:rsidR="00F10BB1">
        <w:t>.6</w:t>
      </w:r>
      <w:r w:rsidRPr="00043CBE">
        <w:t>%.</w:t>
      </w:r>
    </w:p>
  </w:footnote>
  <w:footnote w:id="10">
    <w:p w14:paraId="0321FBBF" w14:textId="77777777" w:rsidR="001B33BE" w:rsidRPr="00EA4A22" w:rsidRDefault="001B33BE" w:rsidP="001B33BE">
      <w:pPr>
        <w:pStyle w:val="FootnoteText"/>
      </w:pPr>
      <w:r>
        <w:rPr>
          <w:rStyle w:val="FootnoteReference"/>
        </w:rPr>
        <w:footnoteRef/>
      </w:r>
      <w:r>
        <w:t xml:space="preserve"> </w:t>
      </w:r>
      <w:r>
        <w:tab/>
      </w:r>
      <w:r w:rsidRPr="0000283E">
        <w:t>In assessing compliance with the exchange rate criterion, the Commission examines whether the exchange rate has remained close to the ERM II central rate</w:t>
      </w:r>
      <w:r>
        <w:t>. R</w:t>
      </w:r>
      <w:r w:rsidRPr="0000283E">
        <w:t xml:space="preserve">easons for an appreciation may be taken into account, in accordance with the Common Statement on </w:t>
      </w:r>
      <w:r w:rsidRPr="00EA4A22">
        <w:t>Acceding Countries and ERM2 by the Informal ECOFIN Council held in Athens on 5 April 2003.</w:t>
      </w:r>
    </w:p>
  </w:footnote>
  <w:footnote w:id="11">
    <w:p w14:paraId="49C37832" w14:textId="364D673B" w:rsidR="001B33BE" w:rsidRDefault="001B33BE" w:rsidP="001B33BE">
      <w:pPr>
        <w:pStyle w:val="FootnoteText"/>
      </w:pPr>
      <w:r w:rsidRPr="00EA4A22">
        <w:rPr>
          <w:rStyle w:val="FootnoteReference"/>
        </w:rPr>
        <w:footnoteRef/>
      </w:r>
      <w:r w:rsidRPr="00EA4A22">
        <w:t xml:space="preserve"> </w:t>
      </w:r>
      <w:r w:rsidRPr="00EA4A22">
        <w:tab/>
        <w:t xml:space="preserve">The reference value for </w:t>
      </w:r>
      <w:r w:rsidR="00D4014A">
        <w:t>May</w:t>
      </w:r>
      <w:r>
        <w:t xml:space="preserve"> 202</w:t>
      </w:r>
      <w:r w:rsidR="00D4014A">
        <w:t>6</w:t>
      </w:r>
      <w:r w:rsidRPr="00EA4A22">
        <w:t xml:space="preserve"> was calculated as the simple average of the 12-month average of long-term interest rates of </w:t>
      </w:r>
      <w:r w:rsidR="00D4014A" w:rsidRPr="00BE0276">
        <w:t>Cyprus</w:t>
      </w:r>
      <w:r w:rsidRPr="00BE0276">
        <w:t xml:space="preserve"> (</w:t>
      </w:r>
      <w:r w:rsidR="00E757ED" w:rsidRPr="00BE0276">
        <w:t>3.1</w:t>
      </w:r>
      <w:r w:rsidRPr="00BE0276">
        <w:t xml:space="preserve">%), </w:t>
      </w:r>
      <w:r w:rsidR="00D4014A" w:rsidRPr="00BE0276">
        <w:t>France</w:t>
      </w:r>
      <w:r w:rsidRPr="00BE0276">
        <w:t xml:space="preserve"> (</w:t>
      </w:r>
      <w:r w:rsidR="00E757ED" w:rsidRPr="00BE0276">
        <w:t>3.5</w:t>
      </w:r>
      <w:r w:rsidRPr="00BE0276">
        <w:t xml:space="preserve">%) and </w:t>
      </w:r>
      <w:r w:rsidR="00D4014A" w:rsidRPr="00BE0276">
        <w:t>Denmark</w:t>
      </w:r>
      <w:r w:rsidRPr="00BE0276">
        <w:t xml:space="preserve"> (</w:t>
      </w:r>
      <w:r w:rsidR="0064003F" w:rsidRPr="00BE0276">
        <w:t>2.</w:t>
      </w:r>
      <w:r w:rsidR="00E757ED" w:rsidRPr="00BE0276">
        <w:t>6</w:t>
      </w:r>
      <w:r w:rsidRPr="00BE0276">
        <w:t>%)</w:t>
      </w:r>
      <w:r w:rsidRPr="00E757ED">
        <w:t>, plus two percentage</w:t>
      </w:r>
      <w:r w:rsidRPr="00EA4A22">
        <w:t xml:space="preserve"> points.</w:t>
      </w:r>
    </w:p>
  </w:footnote>
  <w:footnote w:id="12">
    <w:p w14:paraId="66852607" w14:textId="43D5BDD5" w:rsidR="00761BDF" w:rsidRDefault="00761BDF">
      <w:pPr>
        <w:pStyle w:val="FootnoteText"/>
      </w:pPr>
      <w:r>
        <w:rPr>
          <w:rStyle w:val="FootnoteReference"/>
        </w:rPr>
        <w:footnoteRef/>
      </w:r>
      <w:r>
        <w:t xml:space="preserve"> </w:t>
      </w:r>
      <w:r w:rsidR="00F42FDC">
        <w:tab/>
      </w:r>
      <w:r w:rsidR="00F42FDC" w:rsidRPr="00F42FDC">
        <w:t xml:space="preserve">COM(2026) </w:t>
      </w:r>
      <w:r w:rsidR="00235F1A">
        <w:t>200</w:t>
      </w:r>
      <w:r w:rsidR="00F42FDC" w:rsidRPr="00F42FDC">
        <w:t xml:space="preserve"> final,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FD60" w14:textId="77777777" w:rsidR="00167C6F" w:rsidRDefault="00167C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EF4C" w14:textId="77777777" w:rsidR="00167C6F" w:rsidRDefault="00167C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8B9A" w14:textId="77777777" w:rsidR="00167C6F" w:rsidRDefault="00167C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81595" w14:textId="77777777" w:rsidR="00E46E5E" w:rsidRDefault="00E46E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516C4" w14:textId="77777777" w:rsidR="00E46E5E" w:rsidRDefault="00E46E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8C73" w14:textId="77777777" w:rsidR="00E46E5E" w:rsidRDefault="00E46E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8D18DD"/>
    <w:multiLevelType w:val="hybridMultilevel"/>
    <w:tmpl w:val="C5DE80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7158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pos w:val="beneathText"/>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docVars>
    <w:docVar w:name="Copylist_Path" w:val="\\at100\user\wovo\Project\CEC\ECFIN\EPKIT\Copylist\Templates"/>
    <w:docVar w:name="CrossReferenceInformation" w:val="&lt;?xml version=&quot;1.0&quot; encoding=&quot;utf-16&quot;?&gt;&lt;CrossReferenceInformation xmlns:xsd=&quot;http://www.w3.org/2001/XMLSchema&quot; xmlns:xsi=&quot;http://www.w3.org/2001/XMLSchema-instance&quot; Version=&quot;Version 1&quot;&gt;  &lt;Date&gt;2026-06-17T18:00:02.0090526+02:00&lt;/Date&gt;  &lt;CrossReferenceTargets /&gt;&lt;/CrossReferenceInformation&gt;"/>
    <w:docVar w:name="CrossReferenceInformation_V2" w:val="&lt;?xml version=&quot;1.0&quot; encoding=&quot;utf-16&quot;?&gt;&lt;CrossReferenceInformation xmlns:xsd=&quot;http://www.w3.org/2001/XMLSchema&quot; xmlns:xsi=&quot;http://www.w3.org/2001/XMLSchema-instance&quot; Version=&quot;Version 2&quot;&gt;  &lt;Date&gt;2026-06-17T18:00:02.018052+02:00&lt;/Date&gt;  &lt;CrossReferenceTargets /&gt;&lt;/CrossReferenceInformation&gt;"/>
    <w:docVar w:name="DocStatus" w:val="Green"/>
    <w:docVar w:name="DocumentGUID" w:val="{0C83FB94-D4D5-468D-AEDF-020B9CAAF142}"/>
    <w:docVar w:name="EPKit_DocumentHasBeenSaved" w:val="true"/>
    <w:docVar w:name="LW_CORRIGENDUM" w:val="&lt;UNUSED&gt;"/>
    <w:docVar w:name="LW_COVERPAGE_EXISTS" w:val="True"/>
    <w:docVar w:name="LW_COVERPAGE_GUID" w:val="FDAD6655-CF3B-4245-8140-B45FAF26B51B"/>
    <w:docVar w:name="LW_COVERPAGE_TYPE" w:val="1"/>
    <w:docVar w:name="LW_CROSSREFERENCE" w:val="{SWD(2026) 585 final}"/>
    <w:docVar w:name="LW_DocType" w:val="EPEXTERNAL"/>
    <w:docVar w:name="LW_EMISSION" w:val="24.6.2026"/>
    <w:docVar w:name="LW_EMISSION_ISODATE" w:val="2026-06-2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VERGENCE REPORT 2026_x000d__x000d__x000b__x000d__x000d__x000b__x000d__x000d__x000b_(prepared in accordance with Article 140(1) of the Treaty on the Functioning of the European Union)"/>
    <w:docVar w:name="LW_TYPE.DOC.CP" w:val="REPORT FROM THE COMMISSION TO THE EUROPEAN PARLIAMENT AND THE COUNCIL"/>
    <w:docVar w:name="LwApiVersions" w:val="LW4CoDe 1.24.5.0; LW 9.2, Build 20251112"/>
    <w:docVar w:name="PublicationXML" w:val="&lt;?xml version=&quot;1.0&quot;?&gt;&lt;ConvergenceReportPublication xmlns:xsi=&quot;http://www.w3.org/2001/XMLSchema-instance&quot; xsi:noNamespaceSchemaLocation=&quot;ConvergenceReport.xsd&quot;&gt;&lt;Meta&gt;&lt;Design&gt;&lt;GUID&gt;{53931CD1-282B-49CA-B62F-2E50B5C3BA1E}&lt;/GUID&gt;&lt;DisplayName&gt;2024&lt;/DisplayName&gt;&lt;/Design&gt;&lt;Create&gt;&lt;Creatable&gt;true&lt;/Creatable&gt;&lt;Template&gt;EPPublication.dot&lt;/Template&gt;&lt;/Create&gt;&lt;Version&gt;4.6.7&lt;/Version&gt;&lt;/Meta&gt;&lt;StyleDefinitions&gt;&lt;StyleDefinition&gt;&lt;Name&gt;Normal&lt;/Name&gt;&lt;Font&gt;&lt;Name&gt;EC Square Sans Pro&lt;/Name&gt;&lt;Size&gt;10&lt;/Size&gt;&lt;/Font&gt;&lt;ParagraphFormat&gt;&lt;Alignment&gt;3&lt;/Alignment&gt;&lt;SpaceAfter&gt;6&lt;/SpaceAfter&gt;&lt;/ParagraphFormat&gt;&lt;/StyleDefinition&gt;&lt;StyleDefinition&gt;&lt;Name&gt;SN Text&lt;/Name&gt;&lt;ParagraphFormat&gt;&lt;SpaceAfter&gt;6&lt;/SpaceAfter&gt;&lt;/ParagraphFormat&gt;&lt;/StyleDefinition&gt;&lt;StyleDefinition&gt;&lt;Name&gt;Side Note&lt;/Name&gt;&lt;Font&gt;&lt;Name&gt;EC Square Sans Pro&lt;/Name&gt;&lt;/Font&gt;&lt;/StyleDefinition&gt;&lt;StyleDefinition&gt;&lt;Name&gt;Section Title (Single Base)&lt;/Name&gt;&lt;Font&gt;&lt;Name&gt;EC Square Sans Pro&lt;/Name&gt;&lt;/Font&gt;&lt;/StyleDefinition&gt;&lt;StyleDefinition&gt;&lt;Name&gt;Institution&lt;/Name&gt;&lt;Font&gt;&lt;Name&gt;EC Square Sans Pro&lt;/Name&gt;&lt;/Font&gt;&lt;/StyleDefinition&gt;&lt;StyleDefinition&gt;&lt;Name&gt;Institution Subtitle&lt;/Name&gt;&lt;Font&gt;&lt;Name&gt;EC Square Sans Pro&lt;/Name&gt;&lt;/Font&gt;&lt;/StyleDefinition&gt;&lt;StyleDefinition&gt;&lt;Name&gt;Series&lt;/Name&gt;&lt;Font&gt;&lt;Name&gt;EC Square Sans Pro&lt;/Name&gt;&lt;/Font&gt;&lt;/StyleDefinition&gt;&lt;StyleDefinition&gt;&lt;Name&gt;HEADING TOC&lt;/Name&gt;&lt;Font&gt;&lt;Name&gt;EC Square Sans Pro&lt;/Name&gt;&lt;/Font&gt;&lt;/StyleDefinition&gt;&lt;StyleDefinition&gt;&lt;Name&gt;Footer PageNumber&lt;/Name&gt;&lt;Font&gt;&lt;Name&gt;EC Square Sans Pro&lt;/Name&gt;&lt;/Font&gt;&lt;/StyleDefinition&gt;&lt;StyleDefinition&gt;&lt;Name&gt;Footer PageNumber (15)&lt;/Name&gt;&lt;Font&gt;&lt;Name&gt;EC Square Sans Pro&lt;/Name&gt;&lt;/Font&gt;&lt;/StyleDefinition&gt;&lt;StyleDefinition&gt;&lt;Name&gt;Footer PageNumber (30)&lt;/Name&gt;&lt;Font&gt;&lt;Name&gt;EC Square Sans Pro&lt;/Name&gt;&lt;/Font&gt;&lt;/StyleDefinition&gt;&lt;StyleDefinition&gt;&lt;Name&gt;Footer PageNumber (45)&lt;/Name&gt;&lt;Font&gt;&lt;Name&gt;EC Square Sans Pro&lt;/Name&gt;&lt;/Font&gt;&lt;/StyleDefinition&gt;&lt;StyleDefinition&gt;&lt;Name&gt;Heading&lt;/Name&gt;&lt;Font&gt;&lt;Name&gt;EC Square Sans Pro Medium&lt;/Name&gt;&lt;Bold&gt;false&lt;/Bold&gt;&lt;Size&gt;10&lt;/Size&gt;&lt;/Font&gt;&lt;/StyleDefinition&gt;&lt;StyleDefinition&gt;&lt;Name&gt;SN Numbered Heading 1&lt;/Name&gt;&lt;Font&gt;&lt;Name&gt;EC Square Sans Pro&lt;/Name&gt;&lt;Bold&gt;false&lt;/Bold&gt;&lt;/Font&gt;&lt;/StyleDefinition&gt;&lt;StyleDefinition&gt;&lt;Name&gt;SN Numbered Heading 2&lt;/Name&gt;&lt;Font&gt;&lt;Name&gt;EC Square Sans Pro&lt;/Name&gt;&lt;Bold&gt;false&lt;/Bold&gt;&lt;/Font&gt;&lt;/StyleDefinition&gt;&lt;StyleDefinition&gt;&lt;Name&gt;Numbered Heading 1&lt;/Name&gt;&lt;Font&gt;&lt;Name&gt;EC Square Sans Pro Medium&lt;/Name&gt;&lt;Bold&gt;false&lt;/Bold&gt;&lt;Size&gt;10&lt;/Size&gt;&lt;/Font&gt;&lt;ParagraphFormat&gt;&lt;Alignment&gt;0&lt;/Alignment&gt;&lt;/ParagraphFormat&gt;&lt;/StyleDefinition&gt;&lt;StyleDefinition&gt;&lt;Name&gt;Numbered Heading 2&lt;/Name&gt;&lt;Font&gt;&lt;Name&gt;EC Square Sans Pro&lt;/Name&gt;&lt;Bold&gt;false&lt;/Bold&gt;&lt;Size&gt;10&lt;/Size&gt;&lt;/Font&gt;&lt;ParagraphFormat&gt;&lt;Alignment&gt;0&lt;/Alignment&gt;&lt;/ParagraphFormat&gt;&lt;/StyleDefinition&gt;&lt;StyleDefinition&gt;&lt;Name&gt;Numbered Heading 3&lt;/Name&gt;&lt;Font&gt;&lt;Name&gt;EC Square Sans Pro&lt;/Name&gt;&lt;Bold&gt;false&lt;/Bold&gt;&lt;Size&gt;9&lt;/Size&gt;&lt;/Font&gt;&lt;ParagraphFormat&gt;&lt;Alignment&gt;0&lt;/Alignment&gt;&lt;/ParagraphFormat&gt;&lt;/StyleDefinition&gt;&lt;StyleDefinition&gt;&lt;Name&gt;Part Title&lt;/Name&gt;&lt;Font&gt;&lt;Name&gt;EC Square Sans Pro&lt;/Name&gt;&lt;/Font&gt;&lt;/StyleDefinition&gt;&lt;StyleDefinition&gt;&lt;Name&gt;Part Subtitle&lt;/Name&gt;&lt;Font&gt;&lt;Name&gt;EC Square Sans Pro&lt;/Name&gt;&lt;/Font&gt;&lt;/StyleDefinition&gt;&lt;StyleDefinition&gt;&lt;Name&gt;Chapter Name&lt;/Name&gt;&lt;Font&gt;&lt;Name&gt;EC Square Sans Pro&lt;/Name&gt;&lt;/Font&gt;&lt;/StyleDefinition&gt;&lt;StyleDefinition&gt;&lt;Name&gt;Chapter Title&lt;/Name&gt;&lt;Font&gt;&lt;Name&gt;EC Square Sans Pro&lt;/Name&gt;&lt;/Font&gt;&lt;/StyleDefinition&gt;&lt;StyleDefinition&gt;&lt;Name&gt;Chapter Subtitle&lt;/Name&gt;&lt;BaseStyle&gt;Section Subtitle&lt;/BaseStyle&gt;&lt;ParagraphFormat&gt;&lt;LeftIndent&gt;0&lt;/LeftIndent&gt;&lt;FirstLineIndent&gt;0&lt;/FirstLineIndent&gt;&lt;/ParagraphFormat&gt;&lt;/StyleDefinition&gt;&lt;StyleDefinition&gt;&lt;Name&gt;Section Title (overview)&lt;/Name&gt;&lt;BaseStyle&gt;Section Title (two lines) (large)&lt;/BaseStyle&gt;&lt;ParagraphFormat&gt;&lt;LeftIndent&gt;4.0&lt;/LeftIndent&gt;&lt;FirstLineIndent&gt;-4.0&lt;/FirstLineIndent&gt;&lt;/ParagraphFormat&gt;&lt;/StyleDefinition&gt;&lt;StyleDefinition&gt;&lt;Name&gt;Section Subtitle (overview)&lt;/Name&gt;&lt;BaseStyle&gt;Section Subtitle&lt;/BaseStyle&gt;&lt;ParagraphFormat&gt;&lt;LeftIndent&gt;4.0&lt;/LeftIndent&gt;&lt;FirstLineIndent&gt;0&lt;/FirstLineIndent&gt;&lt;/ParagraphFormat&gt;&lt;/StyleDefinition&gt;&lt;StyleDefinition&gt;&lt;Name&gt;Section Number&lt;/Name&gt;&lt;Font&gt;&lt;Name&gt;EC Square Sans Pro&lt;/Name&gt;&lt;/Font&gt;&lt;/StyleDefinition&gt;&lt;StyleDefinition&gt;&lt;Name&gt;Subsection Title&lt;/Name&gt;&lt;Font&gt;&lt;Name&gt;EC Square Sans Pro&lt;/Name&gt;&lt;/Font&gt;&lt;/StyleDefinition&gt;&lt;StyleDefinition&gt;&lt;Name&gt;SN SideNote&lt;/Name&gt;&lt;Font&gt;&lt;Name&gt;EC Square Sans Pro&lt;/Name&gt;&lt;/Font&gt;&lt;ParagraphFormat&gt;&lt;SpaceAfter&gt;6&lt;/SpaceAfter&gt;&lt;/ParagraphFormat&gt;&lt;/StyleDefinition&gt;&lt;StyleDefinition&gt;&lt;Name&gt;SN Numbered Heading 1&lt;/Name&gt;&lt;Font&gt;&lt;Name&gt;EC Square Sans Pro&lt;/Name&gt;&lt;/Font&gt;&lt;/StyleDefinition&gt;&lt;StyleDefinition&gt;&lt;Name&gt;SN Numbered Heading 2&lt;/Name&gt;&lt;Font&gt;&lt;Name&gt;EC Square Sans Pro&lt;/Name&gt;&lt;/Font&gt;&lt;/StyleDefinition&gt;&lt;StyleDefinition&gt;&lt;Name&gt;Abstract&lt;/Name&gt;&lt;ParagraphFormat&gt;&lt;LeftIndent&gt;0.1&lt;/LeftIndent&gt;&lt;RightIndent&gt;0.1&lt;/RightIndent&gt;&lt;/ParagraphFormat&gt;&lt;Frame&gt;&lt;TextWrap&gt;true&lt;/TextWrap&gt;&lt;WidthRule&gt;0&lt;/WidthRule&gt;&lt;Width&gt;408.19&lt;/Width&gt;&lt;HeightRule&gt;0&lt;/HeightRule&gt;&lt;RelativeHorizontalPosition&gt;2&lt;/RelativeHorizontalPosition&gt;&lt;HorizontalPosition&gt;-999998&lt;/HorizontalPosition&gt;&lt;HorizontalDistanceFromText&gt;0&lt;/HorizontalDistanceFromText&gt;&lt;RelativeVerticalPosition&gt;2&lt;/RelativeVerticalPosition&gt;&lt;VerticalPosition&gt;0&lt;/VerticalPosition&gt;&lt;VerticalDistanceFromText&gt;0&lt;/VerticalDistanceFromText&gt;&lt;LockAnchor&gt;false&lt;/LockAnchor&gt;&lt;/Frame&gt;&lt;/StyleDefinition&gt;&lt;StyleDefinition&gt;&lt;Name&gt;Publication Supertitle&lt;/Name&gt;&lt;Font&gt;&lt;Name&gt;EC Square Sans Pro&lt;/Name&gt;&lt;/Font&gt;&lt;ParagraphFormat&gt;&lt;Alignment&gt;1&lt;/Alignment&gt;&lt;SpaceBefore&gt;132&lt;/SpaceBefore&gt;&lt;SpaceAfter&gt;12&lt;/SpaceAfter&gt;&lt;/ParagraphFormat&gt;&lt;/StyleDefinition&gt;&lt;StyleDefinition&gt;&lt;Name&gt;Publication Title&lt;/Name&gt;&lt;Font&gt;&lt;Name&gt;EC Square Sans Pro&lt;/Name&gt;&lt;/Font&gt;&lt;ParagraphFormat&gt;&lt;Alignment&gt;1&lt;/Alignment&gt;&lt;SpaceBefore&gt;0&lt;/SpaceBefore&gt;&lt;SpaceAfter&gt;12&lt;/SpaceAfter&gt;&lt;/ParagraphFormat&gt;&lt;/StyleDefinition&gt;&lt;StyleDefinition&gt;&lt;Name&gt;Publication Subtitle&lt;/Name&gt;&lt;Font&gt;&lt;Name&gt;EC Square Sans Pro&lt;/Name&gt;&lt;/Font&gt;&lt;ParagraphFormat&gt;&lt;Alignment&gt;1&lt;/Alignment&gt;&lt;SpaceBefore&gt;0&lt;/SpaceBefore&gt;&lt;SpaceAfter&gt;12&lt;/SpaceAfter&gt;&lt;/ParagraphFormat&gt;&lt;/StyleDefinition&gt;&lt;StyleDefinition&gt;&lt;Name&gt;Section Title (no number)&lt;/Name&gt;&lt;Font&gt;&lt;Name&gt;EC Square Sans Pro&lt;/Name&gt;&lt;Size&gt;16&lt;/Size&gt;&lt;Color&gt;10040115&lt;/Color&gt;&lt;AllCaps&gt;true&lt;/AllCaps&gt;&lt;/Font&gt;&lt;ParagraphFormat&gt;&lt;Alignment&gt;0&lt;/Alignment&gt;&lt;SpaceBefore&gt;54&lt;/SpaceBefore&gt;&lt;SpaceAfter&gt;2&lt;/SpaceAfter&gt;&lt;LineSpacingRule&gt;0&lt;/LineSpacingRule&gt;&lt;KeepWithNext&gt;true&lt;/KeepWithNext&gt;&lt;/ParagraphFormat&gt;&lt;/StyleDefinition&gt;&lt;StyleDefinition&gt;&lt;Name&gt;Box Continue Top&lt;/Name&gt;&lt;Font&gt;&lt;Name&gt;EC Square Sans Pro Thin&lt;/Name&gt;&lt;/Font&gt;&lt;/StyleDefinition&gt;&lt;StyleDefinition&gt;&lt;Name&gt;Box Continue Bottom&lt;/Name&gt;&lt;Font&gt;&lt;Name&gt;EC Square Sans Pro Thin&lt;/Name&gt;&lt;/Font&gt;&lt;/StyleDefinition&gt;&lt;StyleDefinition&gt;&lt;Name&gt;Table Continue Top&lt;/Name&gt;&lt;Font&gt;&lt;Name&gt;EC Square Sans Pro Thin&lt;/Name&gt;&lt;/Font&gt;&lt;/StyleDefinition&gt;&lt;StyleDefinition&gt;&lt;Name&gt;Table Continue Bottom&lt;/Name&gt;&lt;Font&gt;&lt;Name&gt;EC Square Sans Pro Thin&lt;/Name&gt;&lt;/Font&gt;&lt;/StyleDefinition&gt;&lt;StyleDefinition&gt;&lt;Name&gt;Toc 1&lt;/Name&gt;&lt;Font&gt;&lt;Name&gt;EC Square Sans Pro&lt;/Name&gt;&lt;/Font&gt;&lt;ParagraphFormat&gt;&lt;LeftIndent&gt;1.25&lt;/LeftIndent&gt;&lt;/ParagraphFormat&gt;&lt;TabStops&gt;&lt;TabStop&gt;&lt;Position&gt;1.25&lt;/Position&gt;&lt;/TabStop&gt;&lt;TabStop&gt;&lt;Position&gt;15&lt;/Position&gt;&lt;Alignment&gt;2&lt;/Alignment&gt;&lt;/TabStop&gt;&lt;/TabStops&gt;&lt;/StyleDefinition&gt;&lt;StyleDefinition&gt;&lt;Name&gt;Toc 2&lt;/Name&gt;&lt;Font&gt;&lt;Name&gt;EC Square Sans Pro&lt;/Name&gt;&lt;/Font&gt;&lt;ParagraphFormat&gt;&lt;LeftIndent&gt;3.15&lt;/LeftIndent&gt;&lt;FirstLineIndent&gt;-0.75&lt;/FirstLineIndent&gt;&lt;/ParagraphFormat&gt;&lt;TabStops&gt;&lt;TabStop&gt;&lt;Position&gt;3.15&lt;/Position&gt;&lt;/TabStop&gt;&lt;TabStop&gt;&lt;Position&gt;15&lt;/Position&gt;&lt;Alignment&gt;2&lt;/Alignment&gt;&lt;/TabStop&gt;&lt;/TabStops&gt;&lt;/StyleDefinition&gt;&lt;StyleDefinition&gt;&lt;Name&gt;Toc 3&lt;/Name&gt;&lt;Font&gt;&lt;Name&gt;EC Square Sans Pro&lt;/Name&gt;&lt;Size&gt;10&lt;/Size&gt;&lt;Color&gt;10040115&lt;/Color&gt;&lt;AllCaps&gt;true&lt;/AllCaps&gt;&lt;/Font&gt;&lt;ParagraphFormat&gt;&lt;LeftIndent&gt;2.4&lt;/LeftIndent&gt;&lt;FirstLineIndent&gt;-1.15&lt;/FirstLineIndent&gt;&lt;SpaceBefore&gt;2&lt;/SpaceBefore&gt;&lt;SpaceAfter&gt;2&lt;/SpaceAfter&gt;&lt;/ParagraphFormat&gt;&lt;TabStops&gt;&lt;TabStop&gt;&lt;Position&gt;2.4&lt;/Position&gt;&lt;/TabStop&gt;&lt;TabStop&gt;&lt;Position&gt;15&lt;/Position&gt;&lt;Alignment&gt;2&lt;/Alignment&gt;&lt;/TabStop&gt;&lt;/TabStops&gt;&lt;/StyleDefinition&gt;&lt;StyleDefinition&gt;&lt;Name&gt;Toc 4&lt;/Name&gt;&lt;Font&gt;&lt;Name&gt;EC Square Sans Pro&lt;/Name&gt;&lt;Size&gt;10&lt;/Size&gt;&lt;Color&gt;10040115&lt;/Color&gt;&lt;/Font&gt;&lt;ParagraphFormat&gt;&lt;LeftIndent&gt;3.9&lt;/LeftIndent&gt;&lt;FirstLineIndent&gt;-1.5&lt;/FirstLineIndent&gt;&lt;/ParagraphFormat&gt;&lt;TabStops&gt;&lt;TabStop&gt;&lt;Position&gt;3.9&lt;/Position&gt;&lt;/TabStop&gt;&lt;TabStop&gt;&lt;Position&gt;15&lt;/Position&gt;&lt;Alignment&gt;2&lt;/Alignment&gt;&lt;/TabStop&gt;&lt;/TabStops&gt;&lt;/StyleDefinition&gt;&lt;StyleDefinition&gt;&lt;Name&gt;Toc 5&lt;/Name&gt;&lt;Font&gt;&lt;Name&gt;EC Square Sans Pro&lt;/Name&gt;&lt;/Font&gt;&lt;TabStops&gt;&lt;TabStop&gt;&lt;Position&gt;3.9&lt;/Position&gt;&lt;/TabStop&gt;&lt;TabStop&gt;&lt;Position&gt;15&lt;/Position&gt;&lt;Alignment&gt;2&lt;/Alignment&gt;&lt;/TabStop&gt;&lt;/TabStops&gt;&lt;/StyleDefinition&gt;&lt;StyleDefinition&gt;&lt;Name&gt;Toc 6&lt;/Name&gt;&lt;Font&gt;&lt;Name&gt;EC Square Sans Pro&lt;/Name&gt;&lt;Size&gt;11&lt;/Size&gt;&lt;/Font&gt;&lt;ParagraphFormat&gt;&lt;SpaceBefore&gt;6&lt;/SpaceBefore&gt;&lt;SpaceAfter&gt;3&lt;/SpaceAfter&gt;&lt;KeepWithNext&gt;true&lt;/KeepWithNext&gt;&lt;/ParagraphFormat&gt;&lt;TabStops&gt;&lt;TabStop&gt;&lt;Position&gt;15&lt;/Position&gt;&lt;Alignment&gt;2&lt;/Alignment&gt;&lt;/TabStop&gt;&lt;/TabStops&gt;&lt;/StyleDefinition&gt;&lt;StyleDefinition&gt;&lt;Name&gt;Toc 7&lt;/Name&gt;&lt;Font&gt;&lt;Name&gt;EC Square Sans Pro&lt;/Name&gt;&lt;/Font&gt;&lt;TabStops&gt;&lt;TabStop&gt;&lt;Position&gt;15&lt;/Position&gt;&lt;Alignment&gt;2&lt;/Alignment&gt;&lt;/TabStop&gt;&lt;/TabStops&gt;&lt;/StyleDefinition&gt;&lt;StyleDefinition&gt;&lt;Name&gt;Header Title Left&lt;/Name&gt;&lt;Font&gt;&lt;Name&gt;EC Square Sans Pro Thin&lt;/Name&gt;&lt;/Font&gt;&lt;/StyleDefinition&gt;&lt;StyleDefinition&gt;&lt;Name&gt;Header Title Left (30)&lt;/Name&gt;&lt;Font&gt;&lt;Name&gt;EC Square Sans Pro Thin&lt;/Name&gt;&lt;/Font&gt;&lt;/StyleDefinition&gt;&lt;StyleDefinition&gt;&lt;Name&gt;Header Title Left (45)&lt;/Name&gt;&lt;Font&gt;&lt;Name&gt;EC Square Sans Pro Thin&lt;/Name&gt;&lt;/Font&gt;&lt;/StyleDefinition&gt;&lt;StyleDefinition&gt;&lt;Name&gt;Header Subtitle Left&lt;/Name&gt;&lt;Font&gt;&lt;Name&gt;EC Square Sans Pro Thin&lt;/Name&gt;&lt;/Font&gt;&lt;/StyleDefinition&gt;&lt;StyleDefinition&gt;&lt;Name&gt;Header Subtitle Left (15)&lt;/Name&gt;&lt;Font&gt;&lt;Name&gt;EC Square Sans Pro Thin&lt;/Name&gt;&lt;/Font&gt;&lt;/StyleDefinition&gt;&lt;StyleDefinition&gt;&lt;Name&gt;Header Subtitle Left (30)&lt;/Name&gt;&lt;Font&gt;&lt;Name&gt;EC Square Sans Pro Thin&lt;/Name&gt;&lt;/Font&gt;&lt;/StyleDefinition&gt;&lt;StyleDefinition&gt;&lt;Name&gt;Header Subtitle Left (45)&lt;/Name&gt;&lt;Font&gt;&lt;Name&gt;EC Square Sans Pro Thin&lt;/Name&gt;&lt;/Font&gt;&lt;/StyleDefinition&gt;&lt;StyleDefinition&gt;&lt;Name&gt;Header Title Left (15)&lt;/Name&gt;&lt;Font&gt;&lt;Name&gt;EC Square Sans Pro Thin&lt;/Name&gt;&lt;Size&gt;7&lt;/Size&gt;&lt;Color&gt;10040115&lt;/Color&gt;&lt;/Font&gt;&lt;ParagraphFormat&gt;&lt;SpaceBefore&gt;5&lt;/SpaceBefore&gt;&lt;SpaceAfter&gt;2&lt;/SpaceAfter&gt;&lt;/ParagraphFormat&gt;&lt;TabStops&gt;&lt;TabStop&gt;&lt;Position&gt;17.5&lt;/Position&gt;&lt;Alignment&gt;2&lt;/Alignment&gt;&lt;/TabStop&gt;&lt;/TabStops&gt;&lt;/StyleDefinition&gt;&lt;StyleDefinition&gt;&lt;Name&gt;Header Subitle Left (15)&lt;/Name&gt;&lt;Font&gt;&lt;Name&gt;EC Square Sans Pro Thin&lt;/Name&gt;&lt;Size&gt;7&lt;/Size&gt;&lt;Color&gt;10040115&lt;/Color&gt;&lt;/Font&gt;&lt;TabStops&gt;&lt;TabStop&gt;&lt;Position&gt;17.5&lt;/Position&gt;&lt;Alignment&gt;2&lt;/Alignment&gt;&lt;/TabStop&gt;&lt;/TabStops&gt;&lt;/StyleDefinition&gt;&lt;StyleDefinition&gt;&lt;Name&gt;Header Title Right&lt;/Name&gt;&lt;Font&gt;&lt;Name&gt;EC Square Sans Pro Thin&lt;/Name&gt;&lt;/Font&gt;&lt;/StyleDefinition&gt;&lt;StyleDefinition&gt;&lt;Name&gt;Header Title Right (30)&lt;/Name&gt;&lt;Font&gt;&lt;Name&gt;EC Square Sans Pro Thin&lt;/Name&gt;&lt;/Font&gt;&lt;/StyleDefinition&gt;&lt;StyleDefinition&gt;&lt;Name&gt;Header Title Right (45)&lt;/Name&gt;&lt;Font&gt;&lt;Name&gt;EC Square Sans Pro Thin&lt;/Name&gt;&lt;/Font&gt;&lt;/StyleDefinition&gt;&lt;StyleDefinition&gt;&lt;Name&gt;Header Subtitle Right&lt;/Name&gt;&lt;Font&gt;&lt;Name&gt;EC Square Sans Pro Thin&lt;/Name&gt;&lt;/Font&gt;&lt;/StyleDefinition&gt;&lt;StyleDefinition&gt;&lt;Name&gt;Header Subtitle Right (15)&lt;/Name&gt;&lt;Font&gt;&lt;Name&gt;EC Square Sans Pro Thin&lt;/Name&gt;&lt;/Font&gt;&lt;/StyleDefinition&gt;&lt;StyleDefinition&gt;&lt;Name&gt;Header Subtitle Right (30)&lt;/Name&gt;&lt;Font&gt;&lt;Name&gt;EC Square Sans Pro Thin&lt;/Name&gt;&lt;/Font&gt;&lt;/StyleDefinition&gt;&lt;StyleDefinition&gt;&lt;Name&gt;Header Subtitle Right (45)&lt;/Name&gt;&lt;Font&gt;&lt;Name&gt;EC Square Sans Pro Thin&lt;/Name&gt;&lt;/Font&gt;&lt;/StyleDefinition&gt;&lt;StyleDefinition&gt;&lt;Name&gt;Header Title Right (15)&lt;/Name&gt;&lt;Font&gt;&lt;Name&gt;EC Square Sans Pro Thin&lt;/Name&gt;&lt;Size&gt;7&lt;/Size&gt;&lt;Color&gt;10040115&lt;/Color&gt;&lt;/Font&gt;&lt;ParagraphFormat&gt;&lt;Alignment&gt;2&lt;/Alignment&gt;&lt;SpaceBefore&gt;5&lt;/SpaceBefore&gt;&lt;SpaceAfter&gt;2&lt;/SpaceAfter&gt;&lt;/ParagraphFormat&gt;&lt;/StyleDefinition&gt;&lt;StyleDefinition&gt;&lt;Name&gt;Header Subitle Right (15)&lt;/Name&gt;&lt;Font&gt;&lt;Name&gt;EC Square Sans Pro Thin&lt;/Name&gt;&lt;Size&gt;7&lt;/Size&gt;&lt;Color&gt;10040115&lt;/Color&gt;&lt;/Font&gt;&lt;ParagraphFormat&gt;&lt;Alignment&gt;2&lt;/Alignment&gt;&lt;/ParagraphFormat&gt;&lt;/StyleDefinition&gt;&lt;StyleDefinition&gt;&lt;Name&gt;Section Title&lt;/Name&gt;&lt;Font&gt;&lt;Name&gt;EC Square Sans Pro&lt;/Name&gt;&lt;/Font&gt;&lt;ParagraphFormat&gt;&lt;LeftIndent&gt;1&lt;/LeftIndent&gt;&lt;FirstLineIndent&gt;-1&lt;/FirstLineIndent&gt;&lt;/ParagraphFormat&gt;&lt;/StyleDefinition&gt;&lt;StyleDefinition&gt;&lt;Name&gt;Section Title (two lines)&lt;/Name&gt;&lt;Font&gt;&lt;Name&gt;EC Square Sans Pro&lt;/Name&gt;&lt;/Font&gt;&lt;ParagraphFormat&gt;&lt;LeftIndent&gt;1&lt;/LeftIndent&gt;&lt;FirstLineIndent&gt;-1&lt;/FirstLineIndent&gt;&lt;/ParagraphFormat&gt;&lt;/StyleDefinition&gt;&lt;StyleDefinition&gt;&lt;Name&gt;Section Title (large)&lt;/Name&gt;&lt;Font&gt;&lt;Name&gt;EC Square Sans Pro&lt;/Name&gt;&lt;/Font&gt;&lt;ParagraphFormat&gt;&lt;LeftIndent&gt;1&lt;/LeftIndent&gt;&lt;FirstLineIndent&gt;-1&lt;/FirstLineIndent&gt;&lt;/ParagraphFormat&gt;&lt;/StyleDefinition&gt;&lt;StyleDefinition&gt;&lt;Name&gt;Section Title (top)&lt;/Name&gt;&lt;BaseStyle&gt;Section Title (large)&lt;/BaseStyle&gt;&lt;Font&gt;&lt;Name&gt;EC Square Sans Pro&lt;/Name&gt;&lt;/Font&gt;&lt;ParagraphFormat&gt;&lt;SpaceBefore&gt;30&lt;/SpaceBefore&gt;&lt;SpaceAfter&gt;6&lt;/SpaceAfter&gt;&lt;/ParagraphFormat&gt;&lt;/StyleDefinition&gt;&lt;StyleDefinition&gt;&lt;Name&gt;Section Title (two lines) (large)&lt;/Name&gt;&lt;Font&gt;&lt;Name&gt;EC Square Sans Pro&lt;/Name&gt;&lt;/Font&gt;&lt;ParagraphFormat&gt;&lt;LeftIndent&gt;1&lt;/LeftIndent&gt;&lt;FirstLineIndent&gt;-1&lt;/FirstLineIndent&gt;&lt;/ParagraphFormat&gt;&lt;/StyleDefinition&gt;&lt;StyleDefinition&gt;&lt;Name&gt;Section Title (three lines) (large)&lt;/Name&gt;&lt;Font&gt;&lt;Name&gt;EC Square Sans Pro&lt;/Name&gt;&lt;/Font&gt;&lt;ParagraphFormat&gt;&lt;LeftIndent&gt;1&lt;/LeftIndent&gt;&lt;FirstLineIndent&gt;-1&lt;/FirstLineIndent&gt;&lt;/ParagraphFormat&gt;&lt;/StyleDefinition&gt;&lt;StyleDefinition&gt;&lt;Name&gt;Section Subtitle&lt;/Name&gt;&lt;Font&gt;&lt;Name&gt;EC Square Sans Pro&lt;/Name&gt;&lt;/Font&gt;&lt;ParagraphFormat&gt;&lt;LeftIndent&gt;1&lt;/LeftIndent&gt;&lt;/ParagraphFormat&gt;&lt;/StyleDefinition&gt;&lt;StyleDefinition&gt;&lt;Name&gt;Graph Title&lt;/Name&gt;&lt;ParagraphFormat&gt;&lt;SpaceAfter&gt;0&lt;/SpaceAfter&gt;&lt;/ParagraphFormat&gt;&lt;/StyleDefinition&gt;&lt;StyleDefinition&gt;&lt;Name&gt;Graph Title&lt;/Name&gt;&lt;ParagraphFormat&gt;&lt;SpaceAfter&gt;0&lt;/SpaceAfter&gt;&lt;/ParagraphFormat&gt;&lt;/StyleDefinition&gt;&lt;StyleDefinition&gt;&lt;Name&gt;Table Title&lt;/Name&gt;&lt;ParagraphFormat&gt;&lt;SpaceAfter&gt;0&lt;/SpaceAfter&gt;&lt;/ParagraphFormat&gt;&lt;/StyleDefinition&gt;&lt;StyleDefinition&gt;&lt;Name&gt;Map Title&lt;/Name&gt;&lt;ParagraphFormat&gt;&lt;SpaceAfter&gt;0&lt;/SpaceAfter&gt;&lt;/ParagraphFormat&gt;&lt;/StyleDefinition&gt;&lt;/StyleDefinitions&gt;&lt;TocDefinitions&gt;&lt;TableOfContents&gt;TOC \f \h \z \o&quot;3-4&quot; \t&quot;Subsection Title;3&quot;&lt;/TableOfContents&gt;&lt;/TocDefinitions&gt;&lt;Format&gt;&lt;PageSettings&gt;&lt;PageHeight&gt;841.95&lt;/PageHeight&gt;&lt;PageWidth&gt;595.35&lt;/PageWidth&gt;&lt;TopMargin&gt;99.21&lt;/TopMargin&gt;&lt;BottomMargin&gt;70.85&lt;/BottomMargin&gt;&lt;LeftMargin&gt;93.54&lt;/LeftMargin&gt;&lt;RightMargin&gt;93.54&lt;/RightMargin&gt;&lt;Gutter&gt;0&lt;/Gutter&gt;&lt;HeaderDistance&gt;35.45&lt;/HeaderDistance&gt;&lt;FooterDistance&gt;35.45&lt;/FooterDistance&gt;&lt;DifferentFirstPageHeaderFooter&gt;1&lt;/DifferentFirstPageHeaderFooter&gt;&lt;OddAndEvenPagesHeaderFooter&gt;1&lt;/OddAndEvenPagesHeaderFooter&gt;&lt;SectionStart&gt;2&lt;/SectionStart&gt;&lt;MirrorMargins&gt;true&lt;/MirrorMargins&gt;&lt;Orientation&gt;0&lt;/Orientation&gt;&lt;/PageSettings&gt;&lt;ColumnSettings&gt;&lt;SetCount&gt;1&lt;/SetCount&gt;&lt;Spacing&gt;14.2&lt;/Spacing&gt;&lt;EvenlySpaced&gt;true&lt;/EvenlySpaced&gt;&lt;LineBetween&gt;false&lt;/LineBetween&gt;&lt;/ColumnSettings&gt;&lt;CharacterFormats&gt;&lt;FontName&gt;false&lt;/FontName&gt;&lt;AllowedSpecialFonts&gt;;Wingdings;Symbol;&lt;/AllowedSpecialFonts&gt;&lt;FontColor&gt;false&lt;/FontColor&gt;&lt;FontSize&gt;false&lt;/FontSize&gt;&lt;Bold&gt;true&lt;/Bold&gt;&lt;Italic&gt;true&lt;/Italic&gt;&lt;Subscript&gt;false&lt;/Subscript&gt;&lt;Superscript&gt;true&lt;/Superscript&gt;&lt;Underline&gt;false&lt;/Underline&gt;&lt;AllCaps&gt;false&lt;/AllCaps&gt;&lt;SmallCaps&gt;false&lt;/SmallCaps&gt;&lt;StrikeThrough&gt;false&lt;/StrikeThrough&gt;&lt;DoubleStrikeThrough&gt;false&lt;/DoubleStrikeThrough&gt;&lt;Emboss&gt;false&lt;/Emboss&gt;&lt;Engrave&gt;false&lt;/Engrave&gt;&lt;Hidden&gt;false&lt;/Hidden&gt;&lt;Outline&gt;false&lt;/Outline&gt;&lt;Shadow&gt;false&lt;/Shadow&gt;&lt;/CharacterFormats&gt;&lt;Header&gt;&lt;Primary&gt;&lt;Active&gt;true&lt;/Active&gt;&lt;LinkToPrevious&gt;false&lt;/LinkToPrevious&gt;&lt;FirstLine&gt;&lt;Style&gt;Header Title Right (30)&lt;/Style&gt;&lt;Text&gt;%ChapterTitle% - %ChapterSubtitle%&lt;/Text&gt;&lt;/FirstLine&gt;&lt;SecondLine&gt;&lt;Style&gt;Header Subtitle Right (30)&lt;/Style&gt;&lt;Text&gt;%NameLevelTwo% %SectionNumber% - %SectionTitle%&lt;/Text&gt;&lt;/SecondLine&gt;&lt;/Primary&gt;&lt;FirstPage&gt;&lt;Active&gt;true&lt;/Active&gt;&lt;LinkToPrevious&gt;false&lt;/LinkToPrevious&gt;&lt;FirstLine&gt;&lt;Style&gt;Section Title (large)&lt;/Style&gt;&lt;TextWithCharacterStyle&gt;&lt;CharacterStyle&gt;&lt;/CharacterStyle&gt;&lt;TextPart&gt;%SectionNumber%.&lt;/TextPart&gt;&lt;/TextWithCharacterStyle&gt;&lt;TextWithCharacterStyle&gt;&lt;CharacterStyle&gt;&lt;/CharacterStyle&gt;&lt;TextPart&gt;_x0009_%SectionTitle%&lt;/TextPart&gt;&lt;/TextWithCharacterStyle&gt;&lt;/FirstLine&gt;&lt;/FirstPage&gt;&lt;EvenPages&gt;&lt;Active&gt;true&lt;/Active&gt;&lt;LinkToPrevious&gt;false&lt;/LinkToPrevious&gt;&lt;FirstLine&gt;&lt;Style&gt;Header Title Left (30)&lt;/Style&gt;&lt;Text&gt;European Commission&lt;/Text&gt;&lt;/FirstLine&gt;&lt;SecondLine&gt;&lt;Style&gt;Header Subtitle Left (30)&lt;/Style&gt;&lt;Text&gt;%PublicationTitle% %PublicationSubtitle%&lt;/Text&gt;&lt;/SecondLine&gt;&lt;/EvenPages&gt;&lt;/Header&gt;&lt;PageNumbers&gt;&lt;RestartNumberingAtSection&gt;false&lt;/RestartNumberingAtSection&gt;&lt;StartingNumber&gt;1&lt;/StartingNumber&gt;&lt;NumberStyle&gt;0&lt;/NumberStyle&gt;&lt;/PageNumbers&gt;&lt;Notes&gt;&lt;UsedNotesType&gt;Footnotes&lt;/UsedNotesType&gt;&lt;FootnotesNumberingRule&gt;0&lt;/FootnotesNumberingRule&gt;&lt;FootnotesNumberStyle&gt;0&lt;/FootnotesNumberStyle&gt;&lt;FootnotesLocation&gt;1&lt;/FootnotesLocation&gt;&lt;EndnotesNumberingRule&gt;1&lt;/EndnotesNumberingRule&gt;&lt;EndnotesNumberStyle&gt;0&lt;/EndnotesNumberStyle&gt;&lt;EndnotesLocation&gt;0&lt;/EndnotesLocation&gt;&lt;/Notes&gt;&lt;Footer&gt;&lt;Primary&gt;&lt;Active&gt;true&lt;/Active&gt;&lt;LinkToPrevious&gt;false&lt;/LinkToPrevious&gt;&lt;FirstLine&gt;&lt;Style&gt;Footer PageNumber (30)&lt;/Style&gt;&lt;Text&gt;%PageNumber%&lt;/Text&gt;&lt;/FirstLine&gt;&lt;/Primary&gt;&lt;FirstPage&gt;&lt;Active&gt;true&lt;/Active&gt;&lt;LinkToPrevious&gt;false&lt;/LinkToPrevious&gt;&lt;FirstLine&gt;&lt;Style&gt;Footer PageNumber (30)&lt;/Style&gt;&lt;Text&gt;%PageNumber%&lt;/Text&gt;&lt;/FirstLine&gt;&lt;/FirstPage&gt;&lt;EvenPages&gt;&lt;Active&gt;true&lt;/Active&gt;&lt;LinkToPrevious&gt;false&lt;/LinkToPrevious&gt;&lt;FirstLine&gt;&lt;Style&gt;Footer PageNumber (30)&lt;/Style&gt;&lt;Text&gt;%PageNumber%&lt;/Text&gt;&lt;/FirstLine&gt;&lt;/EvenPages&gt;&lt;/Footer&gt;&lt;AutoNumbering&gt;&lt;LevelOne&gt;&lt;Style&gt;Numbered Heading 1&lt;/Style&gt;&lt;Prefix&gt;%SectionNumber%.&lt;/Prefix&gt;&lt;/LevelOne&gt;&lt;LevelTwo&gt;&lt;Style&gt;Numbered Heading 2&lt;/Style&gt;&lt;Prefix&gt;%SectionNumber%.&lt;/Prefix&gt;&lt;/LevelTwo&gt;&lt;LevelThree&gt;&lt;Style&gt;Numbered Heading 3&lt;/Style&gt;&lt;Prefix&gt;%SectionNumber%.&lt;/Prefix&gt;&lt;/LevelThree&gt;&lt;/AutoNumbering&gt;&lt;SpecialNumbering&gt;&lt;Box&gt;%SectionNumber%.&lt;/Box&gt;&lt;Graph&gt;%SectionNumber%.&lt;/Graph&gt;&lt;Table&gt;%SectionNumber%.&lt;/Table&gt;&lt;Formula&gt;%SectionNumber%.&lt;/Formula&gt;&lt;/SpecialNumbering&gt;&lt;ToCFields&gt;&lt;Box&gt;&lt;Text&gt;%SectionNumber%.%EPShapeNumber%._x0009_%EPShapeTitle%&lt;/Text&gt;&lt;Name&gt;box&lt;/Name&gt;&lt;Level&gt;5&lt;/Level&gt;&lt;/Box&gt;&lt;Graph&gt;&lt;Text&gt;%SectionNumber%.%EPShapeNumber%._x0009_%EPShapeTitle%&lt;/Text&gt;&lt;Name&gt;graph&lt;/Name&gt;&lt;Level&gt;5&lt;/Level&gt;&lt;/Graph&gt;&lt;Table&gt;&lt;Text&gt;%SectionNumber%.%EPShapeNumber%._x0009_%EPShapeTitle%&lt;/Text&gt;&lt;Name&gt;table&lt;/Name&gt;&lt;Level&gt;5&lt;/Level&gt;&lt;/Table&gt;&lt;Map&gt;&lt;Text&gt;%SectionNumber%.%EPShapeNumber%._x0009_%EPShapeTitle%&lt;/Text&gt;&lt;Name&gt;map&lt;/Name&gt;&lt;Level&gt;5&lt;/Level&gt;&lt;/Map&gt;&lt;/ToCFields&gt;&lt;ShapeSettings&gt;&lt;NumberingInWord&gt;false&lt;/NumberingInWord&gt;&lt;ShapeInformation&gt;&lt;ShapeType&gt;BOX&lt;/ShapeType&gt;&lt;ShapePosition&gt;TOP&lt;/ShapePosition&gt;&lt;/ShapeInformation&gt;&lt;ShapeInformation&gt;&lt;ShapeType&gt;BOX&lt;/ShapeType&gt;&lt;ShapePosition&gt;BOTTOM_MAINTEXT&lt;/ShapePosition&gt;&lt;/ShapeInformation&gt;&lt;ShapeInformation&gt;&lt;ShapeType&gt;CLUSTEROFGRAPHS&lt;/ShapeType&gt;&lt;ShapePosition&gt;TOP&lt;/ShapePosition&gt;&lt;/ShapeInformation&gt;&lt;ShapeInformation&gt;&lt;ShapeType&gt;CLUSTEROFGRAPHS&lt;/ShapeType&gt;&lt;ShapePosition&gt;INLINE&lt;/ShapePosition&gt;&lt;/ShapeInformation&gt;&lt;ShapeInformation&gt;&lt;ShapeType&gt;CLUSTEROFGRAPHS&lt;/ShapeType&gt;&lt;ShapePosition&gt;INLINE_LEFT_TEXTWRAPPING&lt;/ShapePosition&gt;&lt;/ShapeInformation&gt;&lt;ShapeInformation&gt;&lt;ShapeType&gt;CLUSTEROFGRAPHS&lt;/ShapeType&gt;&lt;ShapePosition&gt;INLINE_RIGHT_TEXTWRAPPING&lt;/ShapePosition&gt;&lt;/ShapeInformation&gt;&lt;ShapeInformation&gt;&lt;ShapeType&gt;CLUSTEROFGRAPHS&lt;/ShapeType&gt;&lt;ShapePosition&gt;BOTTOM_MAINTEXT&lt;/ShapePosition&gt;&lt;/ShapeInformation&gt;&lt;ShapeInformation&gt;&lt;ShapeType&gt;GRAPH&lt;/ShapeType&gt;&lt;ShapePosition&gt;TOP&lt;/ShapePosition&gt;&lt;/ShapeInformation&gt;&lt;ShapeInformation&gt;&lt;ShapeType&gt;GRAPH&lt;/ShapeType&gt;&lt;ShapePosition&gt;INLINE&lt;/ShapePosition&gt;&lt;/ShapeInformation&gt;&lt;ShapeInformation&gt;&lt;ShapeType&gt;GRAPH&lt;/ShapeType&gt;&lt;ShapePosition&gt;INLINE_LEFT_TEXTWRAPPING&lt;/ShapePosition&gt;&lt;/ShapeInformation&gt;&lt;ShapeInformation&gt;&lt;ShapeType&gt;GRAPH&lt;/ShapeType&gt;&lt;ShapePosition&gt;INLINE_RIGHT_TEXTWRAPPING&lt;/ShapePosition&gt;&lt;/ShapeInformation&gt;&lt;ShapeInformation&gt;&lt;ShapeType&gt;GRAPH&lt;/ShapeType&gt;&lt;ShapePosition&gt;BOTTOM_MAINTEXT&lt;/ShapePosition&gt;&lt;/ShapeInformation&gt;&lt;ShapeInformation&gt;&lt;ShapeType&gt;MAP&lt;/ShapeType&gt;&lt;ShapePosition&gt;TOP&lt;/ShapePosition&gt;&lt;/ShapeInformation&gt;&lt;ShapeInformation&gt;&lt;ShapeType&gt;MAP&lt;/ShapeType&gt;&lt;ShapePosition&gt;INLINE&lt;/ShapePosition&gt;&lt;/ShapeInformation&gt;&lt;ShapeInformation&gt;&lt;ShapeType&gt;MAP&lt;/ShapeType&gt;&lt;ShapePosition&gt;INLINE_LEFT_TEXTWRAPPING&lt;/ShapePosition&gt;&lt;/ShapeInformation&gt;&lt;ShapeInformation&gt;&lt;ShapeType&gt;MAP&lt;/ShapeType&gt;&lt;ShapePosition&gt;INLINE_RIGHT_TEXTWRAPPING&lt;/ShapePosition&gt;&lt;/ShapeInformation&gt;&lt;ShapeInformation&gt;&lt;ShapeType&gt;MAP&lt;/ShapeType&gt;&lt;ShapePosition&gt;BOTTOM_MAINTEXT&lt;/ShapePosition&gt;&lt;/ShapeInformation&gt;&lt;ShapeInformation&gt;&lt;ShapeType&gt;TABLE&lt;/ShapeType&gt;&lt;ShapePosition&gt;TOP&lt;/ShapePosition&gt;&lt;/ShapeInformation&gt;&lt;ShapeInformation&gt;&lt;ShapeType&gt;TABLE&lt;/ShapeType&gt;&lt;ShapePosition&gt;INLINE&lt;/ShapePosition&gt;&lt;/ShapeInformation&gt;&lt;ShapeInformation&gt;&lt;ShapeType&gt;TABLE&lt;/ShapeType&gt;&lt;ShapePosition&gt;INLINE_LEFT_TEXTWRAPPING&lt;/ShapePosition&gt;&lt;/ShapeInformation&gt;&lt;ShapeInformation&gt;&lt;ShapeType&gt;TABLE&lt;/ShapeType&gt;&lt;ShapePosition&gt;INLINE_RIGHT_TEXTWRAPPING&lt;/ShapePosition&gt;&lt;/ShapeInformation&gt;&lt;ShapeInformation&gt;&lt;ShapeType&gt;TABLE&lt;/ShapeType&gt;&lt;ShapePosition&gt;MULTIPAGES_TOP&lt;/ShapePosition&gt;&lt;/ShapeInformation&gt;&lt;ShapeInformation&gt;&lt;ShapeType&gt;TABLE&lt;/ShapeType&gt;&lt;ShapePosition&gt;LANDSCAPE&lt;/ShapePosition&gt;&lt;/ShapeInformation&gt;&lt;ShapeInformation&gt;&lt;ShapeType&gt;TABLE&lt;/ShapeType&gt;&lt;ShapePosition&gt;BOTTOM_MAINTEXT&lt;/ShapePosition&gt;&lt;/ShapeInformation&gt;&lt;/ShapeSettings&gt;&lt;CleanupValidStyles&gt;;Normal;Normal Compact;Normal Left;Normal Right;Normal Centered;Normal Numbered;Normal Framed;Abstract;List Bullet;Heading;Numbered Heading 1;Numbered Heading 2;Numbered Heading 3;Side Note;Footnote Reference;Footnote Text;Endnote Reference;Endnote Text;List Bullet;Subsection Title;Section Title (Continuous);Footer;Footer PageNumber;Publication Supertitle;Publication Title;Publication Subtitle;Institution;Institution Subtitle;Series;Box Shape;Box Continue Top;Box Continue Bottom;Table Continue Top;Table Continue Bottom;Default Table;Bottom Table;Bottom Center Table;Bottom Table Restricted Shape;Graph Title;Graph Source;Graph Footnote;Graph Shape;Table Title;Table Source;Table Footnote;Table Shape;Slim Cell;TOC 1;TOC 2;TOC 3;TOC 4;TOC 5;TOC 6;TOC 7;TOC 8;TOC 9;TOC Heading;StatAnnex Table;SN Text;SN SideNote;SN Numbered Heading 1;SN Numbered Heading 2;Abbreviation;Numbered List;List Dash;&lt;/CleanupValidStyles&gt;&lt;/Format&gt;&lt;Content&gt;&lt;PublicationTitle Edit=&quot;true&quot; DisplayName=&quot;Publication Title&quot;&gt;Convergence Report&lt;/PublicationTitle&gt;&lt;PublicationSubtitle Edit=&quot;true&quot; DisplayName=&quot;Publication Subtitle&quot;&gt;2024&lt;/PublicationSubtitle&gt;&lt;NameLevelOne DisplayName=&quot;Name Level 1&quot;&gt;Part&lt;/NameLevelOne&gt;&lt;NameLevelTwo DisplayName=&quot;Name Level 2&quot;&gt;Chapter&lt;/NameLevelTwo&gt;&lt;SeriesNumber DisplayName=&quot;Series Number&quot;&gt;Institutional Paper XXX&lt;/SeriesNumber&gt;&lt;/Content&gt;&lt;Structure&gt;&lt;DocumentCoverPage&gt;&lt;Meta&gt;&lt;Design&gt;&lt;GUID&gt;{074BA9E9-F305-4AB9-9998-EC10B752C425}&lt;/GUID&gt;&lt;DisplayName&gt;Cover Page&lt;/DisplayName&gt;&lt;/Design&gt;&lt;Create&gt;&lt;Creatable&gt;false&lt;/Creatable&gt;&lt;Template&gt;EPPublicationCoverpage.dot&lt;/Template&gt;&lt;/Create&gt;&lt;/Meta&gt;&lt;Format&gt;&lt;PageSettings&gt;&lt;SectionStart&gt;4&lt;/SectionStart&gt;&lt;/PageSettings&gt;&lt;ColumnSettings&gt;&lt;SetCount&gt;1&lt;/SetCount&gt;&lt;/ColumnSettings&gt;&lt;Header&gt;&lt;Primary&gt;&lt;Active&gt;false&lt;/Active&gt;&lt;/Primary&gt;&lt;FirstPage&gt;&lt;Active&gt;false&lt;/Active&gt;&lt;/FirstPage&gt;&lt;EvenPages&gt;&lt;Active&gt;false&lt;/Active&gt;&lt;/EvenPages&gt;&lt;/Header&gt;&lt;PageNumbers&gt;&lt;RestartNumberingAtSection&gt;true&lt;/RestartNumberingAtSection&gt;&lt;StartingNumber&gt;1&lt;/StartingNumber&gt;&lt;NumberStyle&gt;2&lt;/NumberStyle&gt;&lt;/PageNumbers&gt;&lt;Footer&gt;&lt;Primary&gt;&lt;Active&gt;false&lt;/Active&gt;&lt;/Primary&gt;&lt;FirstPage&gt;&lt;Active&gt;false&lt;/Active&gt;&lt;/FirstPage&gt;&lt;EvenPages&gt;&lt;Active&gt;false&lt;/Active&gt;&lt;LinkToPrevious&gt;false&lt;/LinkToPrevious&gt;&lt;/EvenPages&gt;&lt;/Footer&gt;&lt;Variables&gt;&lt;Variable&gt;&lt;Name&gt;Institution&lt;/Name&gt;&lt;Value&gt;European Commission&lt;/Value&gt;&lt;Type&gt;BOOKMARK&lt;/Type&gt;&lt;/Variable&gt;&lt;Variable&gt;&lt;Name&gt;InstitutionSubtitle&lt;/Name&gt;&lt;Value&gt;Directorate-General for Economic and Financial Affairs&lt;/Value&gt;&lt;Type&gt;BOOKMARK&lt;/Type&gt;&lt;/Variable&gt;&lt;Variable&gt;&lt;Name&gt;PublicationTitle&lt;/Name&gt;&lt;Value&gt;%PublicationTitle%&lt;/Value&gt;&lt;Type&gt;BOOKMARK&lt;/Type&gt;&lt;/Variable&gt;&lt;Variable&gt;&lt;Name&gt;PublicationSubtitle&lt;/Name&gt;&lt;Value&gt;%PublicationSubtitle%&lt;/Value&gt;&lt;Type&gt;BOOKMARK&lt;/Type&gt;&lt;/Variable&gt;&lt;Variable&gt;&lt;Name&gt;SeriesName&lt;/Name&gt;&lt;Value&gt;EUROPEAN ECONOMY&lt;/Value&gt;&lt;Type&gt;BOOKMARK&lt;/Type&gt;&lt;/Variable&gt;&lt;Variable&gt;&lt;Name&gt;SeriesNumber&lt;/Name&gt;&lt;Value&gt;%SeriesNumber%&lt;/Value&gt;&lt;Type&gt;BOOKMARK&lt;/Type&gt;&lt;/Variable&gt;&lt;/Variables&gt;&lt;/Format&gt;&lt;Content&gt;&lt;Subtitle&gt;&lt;/Subtitle&gt;&lt;/Content&gt;&lt;/DocumentCoverPage&gt;&lt;Abbreviations characteristic=&quot;Abbreviations&quot;&gt;&lt;Meta&gt;&lt;Design&gt;&lt;GUID&gt;{7D9E54D2-BFF9-43CD-BDA4-4C0EE17470C6}&lt;/GUID&gt;&lt;DisplayName&gt;Abbreviations&lt;/DisplayName&gt;&lt;/Design&gt;&lt;Create&gt;&lt;Creatable&gt;true&lt;/Creatable&gt;&lt;Template&gt;EPSimpleSection.dot&lt;/Template&gt;&lt;/Create&gt;&lt;Manage&gt;&lt;Path&gt;U:\Convergence Report\2024\EP Kit\Abbreviations.docx&lt;/Path&gt;&lt;LastMerge&gt;2024-06-19T00:38:26&lt;/LastMerge&gt;&lt;ExternalSources&gt;*&lt;/ExternalSources&gt;&lt;/Manage&gt;&lt;/Meta&gt;&lt;Format&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SpecialNumbering&gt;&lt;Box /&gt;&lt;Graph /&gt;&lt;Table /&gt;&lt;Formula /&gt;&lt;/SpecialNumbering&gt;&lt;HasCommands&gt;&lt;HasCommand&gt;&lt;Name&gt;epkitCommandInsertMap&lt;/Name&gt;&lt;Availability&gt;false&lt;/Availability&gt;&lt;/HasCommand&gt;&lt;/HasCommands&gt;&lt;PageSettings&gt;&lt;SectionStart&gt;4&lt;/SectionStart&gt;&lt;/PageSettings&gt;&lt;/Format&gt;&lt;Content&gt;&lt;Title&gt;Abbreviations&lt;/Title&gt;&lt;/Content&gt;&lt;/Abbreviations&gt;&lt;Acknowledgements&gt;&lt;Meta&gt;&lt;Design&gt;&lt;GUID&gt;{7A23AB19-138A-4415-86AE-292CA0282044}&lt;/GUID&gt;&lt;DisplayName&gt;Acknowledgements&lt;/DisplayName&gt;&lt;/Design&gt;&lt;Create&gt;&lt;Creatable&gt;true&lt;/Creatable&gt;&lt;Template&gt;EPSimpleSection.dot&lt;/Template&gt;&lt;/Create&gt;&lt;Manage&gt;&lt;Path&gt;U:\Convergence Report\2024\EP Kit\Acknowledgements.docx&lt;/Path&gt;&lt;LastMerge&gt;2024-06-19T00:38:30&lt;/LastMerge&gt;&lt;ExternalSources&gt;*&lt;/ExternalSources&gt;&lt;/Manage&gt;&lt;/Meta&gt;&lt;Format&gt;&lt;PageSettings&gt;&lt;SectionStart&gt;4&lt;/SectionStart&gt;&lt;/PageSettings&gt;&lt;ColumnSettings&gt;&lt;SetCount&gt;1&lt;/SetCount&gt;&lt;/ColumnSettings&gt;&lt;Header&gt;&lt;Primary&gt;&lt;Active&gt;false&lt;/Active&gt;&lt;LinkToPrevious&gt;false&lt;/LinkToPrevious&gt;&lt;/Primary&gt;&lt;FirstPage&gt;&lt;Active&gt;true&lt;/Active&gt;&lt;LinkToPrevious&gt;false&lt;/LinkToPrevious&gt;&lt;FirstLine&gt;&lt;Style&gt;Section Title&lt;/Style&gt;&lt;Text&gt;%Title%&lt;/Text&gt;&lt;/FirstLine&gt;&lt;/FirstPage&gt;&lt;EvenPages&gt;&lt;Active&gt;false&lt;/Active&gt;&lt;LinkToPrevious&gt;false&lt;/LinkToPrevious&gt;&lt;/EvenPages&gt;&lt;/Header&gt;&lt;PageNumbers&gt;&lt;NumberStyle&gt;2&lt;/NumberStyle&gt;&lt;/PageNumbers&gt;&lt;/Format&gt;&lt;Content&gt;&lt;Title&gt;Acknowledgements&lt;/Title&gt;&lt;/Content&gt;&lt;/Acknowledgements&gt;&lt;ToC&gt;&lt;Meta&gt;&lt;Design&gt;&lt;GUID&gt;{99FEBFFC-9617-4F6C-98D5-BB6A34B8B743}&lt;/GUID&gt;&lt;DisplayName&gt;Contents&lt;/DisplayName&gt;&lt;/Design&gt;&lt;Create&gt;&lt;Creatable&gt;false&lt;/Creatable&gt;&lt;Template&gt;EPContents.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Section Title&lt;/Style&gt;&lt;Text&gt;Contents&lt;/Text&gt;&lt;/FirstLine&gt;&lt;/FirstPage&gt;&lt;EvenPages&gt;&lt;Active&gt;false&lt;/Active&gt;&lt;/EvenPages&gt;&lt;/Header&gt;&lt;PageNumbers&gt;&lt;NumberStyle&gt;2&lt;/NumberStyle&gt;&lt;/PageNumbers&gt;&lt;/Format&gt;&lt;/ToC&gt;&lt;ConvergenceReport&gt;&lt;Meta&gt;&lt;Design&gt;&lt;GUID&gt;{352E6A9A-1CE3-4AA9-A609-439DB21A5EC3}&lt;/GUID&gt;&lt;DisplayName&gt;Report from the Commission&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1&lt;/ChapterNumber&gt;&lt;ChapterTitle DisplayName=&quot;Level 1 Title&quot;&gt;Convergence Report 2024&lt;/ChapterTitle&gt;&lt;ChapterSubtitle DisplayName=&quot;Level 1 Subtitle&quot;&gt;(prepared in accordance with Article 140(1) of the Treaty)&lt;/ChapterSubtitle&gt;&lt;/Content&gt;&lt;Structure&gt;&lt;LevelOneCoverPage&gt;&lt;Meta&gt;&lt;Design&gt;&lt;GUID&gt;{C28C8D72-17AF-41E7-A11C-B9C646BD279F}&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PageNumbers&gt;&lt;RestartNumberingAtSection&gt;true&lt;/RestartNumberingAtSection&gt;&lt;StartingNumber&gt;1&lt;/StartingNumber&gt;&lt;/PageNumbers&gt;&lt;Footer&gt;&lt;Primary&gt;&lt;Active&gt;false&lt;/Active&gt;&lt;/Primary&gt;&lt;FirstPage&gt;&lt;Active&gt;false&lt;/Active&gt;&lt;/FirstPage&gt;&lt;EvenPages&gt;&lt;Active&gt;false&lt;/Active&gt;&lt;LinkToPrevious&gt;false&lt;/LinkToPrevious&gt;&lt;/EvenPages&gt;&lt;/Footer&gt;&lt;ToCFields&gt;&lt;Start&gt;&lt;Text&gt;%ChapterTitle%&lt;/Text&gt;&lt;Name /&gt;&lt;Level&gt;1&lt;/Level&gt;&lt;/Start&gt;&lt;/ToCFields&gt;&lt;/Format&gt;&lt;Content /&gt;&lt;/LevelOneCoverPage&gt;&lt;Report&gt;&lt;Meta&gt;&lt;Design&gt;&lt;GUID&gt;{0C83FB94-D4D5-468D-AEDF-020B9CAAF142}&lt;/GUID&gt;&lt;DisplayName&gt;Report&lt;/DisplayName&gt;&lt;/Design&gt;&lt;Create&gt;&lt;Creatable&gt;true&lt;/Creatable&gt;&lt;Template&gt;EPExternal.dot&lt;/Template&gt;&lt;/Create&gt;&lt;Manage&gt;&lt;Path&gt;&lt;/Path&gt;&lt;LastMerge&gt;0001-01-01T00:00:00&lt;/LastMerge&gt;&lt;ExternalSources&gt;*&lt;/ExternalSources&gt;&lt;/Manage&gt;&lt;/Meta&gt;&lt;Format&gt;&lt;PageSettings&gt;&lt;TopMargin&gt;70.87&lt;/TopMargin&gt;&lt;BottomMargin&gt;70.87&lt;/BottomMargin&gt;&lt;LeftMargin&gt;70.87&lt;/LeftMargin&gt;&lt;RightMargin&gt;70.87&lt;/RightMargin&gt;&lt;/PageSettings&gt;&lt;ColumnSettings&gt;&lt;SetCount&gt;1&lt;/SetCount&gt;&lt;/ColumnSettings&gt;&lt;Header&gt;&lt;Primary&gt;&lt;Active&gt;false&lt;/Active&gt;&lt;/Primary&gt;&lt;FirstPage&gt;&lt;Active&gt;false&lt;/Active&gt;&lt;/FirstPage&gt;&lt;EvenPages&gt;&lt;Active&gt;false&lt;/Active&gt;&lt;/EvenPages&gt;&lt;/Header&gt;&lt;ToCFields&gt;&lt;Start&gt;&lt;Text /&gt;&lt;Name /&gt;&lt;Level /&gt;&lt;/Start&gt;&lt;/ToCFields&gt;&lt;Cleanup&gt;ONLYPAGESETTINGS&lt;/Cleanup&gt;&lt;/Format&gt;&lt;Content /&gt;&lt;/Report&gt;&lt;/Structure&gt;&lt;/ConvergenceReport&gt;&lt;ConvergenceReportTechnicalAnnex&gt;&lt;Meta&gt;&lt;Design&gt;&lt;GUID&gt;{99F2FDAE-A4DC-4665-9232-7836DC1393EB}&lt;/GUID&gt;&lt;DisplayName&gt;Technical annex&lt;/DisplayName&gt;&lt;/Design&gt;&lt;Create&gt;&lt;Creatable&gt;false&lt;/Creatable&gt;&lt;/Create&gt;&lt;/Meta&gt;&lt;Format&gt;&lt;ToCFields&gt;&lt;Start&gt;&lt;Text&gt;%SectionNumber%._x0009_%SectionTitle%&lt;/Text&gt;&lt;Name /&gt;&lt;Level&gt;1&lt;/Level&gt;&lt;/Start&gt;&lt;/ToCFields&gt;&lt;/Format&gt;&lt;Content&gt;&lt;ChapterNumber DisplayName=&quot;Level 1 Number&quot;&gt;2&lt;/ChapterNumber&gt;&lt;ChapterTitle DisplayName=&quot;Level 1 Title&quot;&gt;Convergence Report 2024&lt;/ChapterTitle&gt;&lt;ChapterSubtitle DisplayName=&quot;Level 1 Subtitle&quot;&gt;Technical annex&lt;/ChapterSubtitle&gt;&lt;/Content&gt;&lt;Structure&gt;&lt;LevelOneCoverPage&gt;&lt;Meta&gt;&lt;Design&gt;&lt;GUID&gt;{461966DE-166E-49A6-9BC8-B5EE3A28F9A7}&lt;/GUID&gt;&lt;DisplayName&gt;Coverpage&lt;/DisplayName&gt;&lt;/Design&gt;&lt;Create&gt;&lt;Creatable&gt;false&lt;/Creatable&gt;&lt;Template&gt;EPGeneralSection.dot&lt;/Template&gt;&lt;/Create&gt;&lt;/Meta&gt;&lt;Format&gt;&lt;PageSettings&gt;&lt;SectionStart&gt;4&lt;/SectionStart&gt;&lt;/PageSettings&gt;&lt;ColumnSettings&gt;&lt;SetCount&gt;1&lt;/SetCount&gt;&lt;/ColumnSettings&gt;&lt;Header&gt;&lt;Primary&gt;&lt;Active&gt;false&lt;/Active&gt;&lt;/Primary&gt;&lt;FirstPage&gt;&lt;Active&gt;true&lt;/Active&gt;&lt;LinkToPrevious&gt;false&lt;/LinkToPrevious&gt;&lt;FirstLine&gt;&lt;Style&gt;Part Title&lt;/Style&gt;&lt;Text&gt;%ChapterTitle%&lt;/Text&gt;&lt;/FirstLine&gt;&lt;SecondLine&gt;&lt;Style&gt;Part Subtitle&lt;/Style&gt;&lt;Text&gt;%ChapterSubtitle%&lt;/Text&gt;&lt;/SecondLine&gt;&lt;/FirstPage&gt;&lt;EvenPages&gt;&lt;Active&gt;false&lt;/Active&gt;&lt;/EvenPages&gt;&lt;/Header&gt;&lt;Footer&gt;&lt;Primary&gt;&lt;Active&gt;false&lt;/Active&gt;&lt;/Primary&gt;&lt;FirstPage&gt;&lt;Active&gt;false&lt;/Active&gt;&lt;/FirstPage&gt;&lt;EvenPages&gt;&lt;Active&gt;false&lt;/Active&gt;&lt;LinkToPrevious&gt;false&lt;/LinkToPrevious&gt;&lt;/EvenPages&gt;&lt;/Footer&gt;&lt;ToCFields&gt;&lt;Start&gt;&lt;Text&gt;%ChapterTitle% - %ChapterSubtitle%&lt;/Text&gt;&lt;Name /&gt;&lt;Level&gt;1&lt;/Level&gt;&lt;/Start&gt;&lt;/ToCFields&gt;&lt;/Format&gt;&lt;Content /&gt;&lt;/LevelOneCoverPage&gt;&lt;ConvergenceReportCountrySection characteristic=&quot;Chapter&quot;&gt;&lt;Meta&gt;&lt;Design&gt;&lt;GUID&gt;{1D37FB13-94C8-4688-9E58-496AF182DF8D}&lt;/GUID&gt;&lt;DisplayName&gt;1. Introduction&lt;/DisplayName&gt;&lt;/Design&gt;&lt;Create&gt;&lt;Creatable&gt;true&lt;/Creatable&gt;&lt;Template&gt;EPGeneralSection.dot&lt;/Template&gt;&lt;/Create&gt;&lt;Manage&gt;&lt;Path&gt;U:\Convergence Report\2024\EP Kit\Technical annex\1 Introduction.docx&lt;/Path&gt;&lt;LastMerge&gt;2024-06-24T20:19:25&lt;/LastMerge&gt;&lt;ExternalSources&gt;*U:\Convergence Report\2024\EP Kit\Technical annex\Boxes\Box 1.1.docx*U:\Convergence Report\2024\EP Kit\Technical annex\Boxes\Box 1.2.docx*U:\Convergence Report\2024\EP Kit\Technical annex\Boxes\Box 1.3.docx*U:\Convergence Report\2024\EP Kit\Technical annex\Boxes\Box 1.4.docx*U:\Convergence Report\2024\EP Kit\Technical annex\Boxes\Box 1.5 ERM II.docx*U:\Convergence Report\2024\EP Kit\Technical annex\Boxes\Box 1.6.docx*U:\Convergence Report\2024\EP Kit\Technical annex\Boxes\Box 1.7.docx*&lt;/ExternalSources&gt;&lt;/Manage&gt;&lt;/Meta&gt;&lt;Format&gt;&lt;PageSettings&gt;&lt;SectionStart&gt;4&lt;/SectionStart&gt;&lt;/PageSettings&gt;&lt;/Format&gt;&lt;Content&gt;&lt;SectionNumber DisplayName=&quot;Level 2 Number&quot; Automatic=&quot;true&quot;&gt;1&lt;/SectionNumber&gt;&lt;SectionTitle DisplayName=&quot;Level 2 Title&quot;&gt;Introduction&lt;/SectionTitle&gt;&lt;/Content&gt;&lt;/ConvergenceReportCountrySection&gt;&lt;ConvergenceReportCountrySection characteristic=&quot;Chapter&quot;&gt;&lt;Meta&gt;&lt;Design&gt;&lt;GUID&gt;{5E0FB844-5798-4C98-9C41-0457963978E4}&lt;/GUID&gt;&lt;DisplayName&gt;2. Bulgaria&lt;/DisplayName&gt;&lt;/Design&gt;&lt;Create&gt;&lt;Creatable&gt;true&lt;/Creatable&gt;&lt;Template&gt;EPGeneralSection.dot&lt;/Template&gt;&lt;/Create&gt;&lt;Manage&gt;&lt;Path&gt;U:\Convergence Report\2024\EP Kit\Technical annex\2 Bulgaria.docx&lt;/Path&gt;&lt;LastMerge&gt;2024-06-24T20:19:48&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7) LT intr crit.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2&lt;/SectionNumber&gt;&lt;SectionTitle DisplayName=&quot;Level 2 Title&quot;&gt;Bulgaria&lt;/SectionTitle&gt;&lt;/Content&gt;&lt;/ConvergenceReportCountrySection&gt;&lt;ConvergenceReportCountrySection characteristic=&quot;Chapter&quot;&gt;&lt;Meta&gt;&lt;Design&gt;&lt;GUID&gt;{7905FB90-EE6C-4E60-815B-C88832A8E960}&lt;/GUID&gt;&lt;DisplayName&gt;3. Czechia&lt;/DisplayName&gt;&lt;/Design&gt;&lt;Create&gt;&lt;Creatable&gt;true&lt;/Creatable&gt;&lt;Template&gt;EPGeneralSection.dot&lt;/Template&gt;&lt;/Create&gt;&lt;Manage&gt;&lt;Path&gt;U:\Convergence Report\2024\EP Kit\Technical annex\3 Czechia.docx&lt;/Path&gt;&lt;LastMerge&gt;2024-06-24T20:20:14&lt;/LastMerge&gt;&lt;ExternalSources&gt;*U:\Convergence Report\2024\EP Kit\Technical annex\Charts and Tables\2024 - coupled chart.xlsx*U:\Convergence Report\2024\EP Kit\Technical annex\Charts and Tables\2024 - (CH 1) infl cri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3&lt;/SectionNumber&gt;&lt;SectionTitle DisplayName=&quot;Level 2 Title&quot;&gt;Czechia&lt;/SectionTitle&gt;&lt;/Content&gt;&lt;/ConvergenceReportCountrySection&gt;&lt;ConvergenceReportCountrySection characteristic=&quot;Chapter&quot;&gt;&lt;Meta&gt;&lt;Design&gt;&lt;GUID&gt;{D018BC17-C946-4239-AEE4-3F0BED0D77FE}&lt;/GUID&gt;&lt;DisplayName&gt;4. Hungary&lt;/DisplayName&gt;&lt;/Design&gt;&lt;Create&gt;&lt;Creatable&gt;true&lt;/Creatable&gt;&lt;Template&gt;EPGeneralSection.dot&lt;/Template&gt;&lt;/Create&gt;&lt;Manage&gt;&lt;Path&gt;U:\Convergence Report\2024\EP Kit\Technical annex\4 Hungary.docx&lt;/Path&gt;&lt;LastMerge&gt;2024-06-24T20:20:35&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4&lt;/SectionNumber&gt;&lt;SectionTitle DisplayName=&quot;Level 2 Title&quot;&gt;Hungary&lt;/SectionTitle&gt;&lt;/Content&gt;&lt;/ConvergenceReportCountrySection&gt;&lt;ConvergenceReportCountrySection characteristic=&quot;Chapter&quot;&gt;&lt;Meta&gt;&lt;Design&gt;&lt;GUID&gt;{BEB653BE-A832-4F3E-AE33-7D9CFAF9EB95}&lt;/GUID&gt;&lt;DisplayName&gt;5. Poland&lt;/DisplayName&gt;&lt;/Design&gt;&lt;Create&gt;&lt;Creatable&gt;true&lt;/Creatable&gt;&lt;Template&gt;EPGeneralSection.dot&lt;/Template&gt;&lt;/Create&gt;&lt;Manage&gt;&lt;Path&gt;U:\Convergence Report\2024\EP Kit\Technical annex\5 Poland.docx&lt;/Path&gt;&lt;LastMerge&gt;2024-06-24T20:20:57&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5&lt;/SectionNumber&gt;&lt;SectionTitle DisplayName=&quot;Level 2 Title&quot;&gt;Poland&lt;/SectionTitle&gt;&lt;/Content&gt;&lt;/ConvergenceReportCountrySection&gt;&lt;ConvergenceReportCountrySection characteristic=&quot;Chapter&quot;&gt;&lt;Meta&gt;&lt;Design&gt;&lt;GUID&gt;{0BB0CB04-8DA3-49C1-9795-381BE293C432}&lt;/GUID&gt;&lt;DisplayName&gt;6. Romania&lt;/DisplayName&gt;&lt;/Design&gt;&lt;Create&gt;&lt;Creatable&gt;true&lt;/Creatable&gt;&lt;Template&gt;EPGeneralSection.dot&lt;/Template&gt;&lt;/Create&gt;&lt;Manage&gt;&lt;Path&gt;U:\Convergence Report\2024\EP Kit\Technical annex\6 Romania.docx&lt;/Path&gt;&lt;LastMerge&gt;2024-06-24T20:21:2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6&lt;/SectionNumber&gt;&lt;SectionTitle DisplayName=&quot;Level 2 Title&quot;&gt;Romania&lt;/SectionTitle&gt;&lt;/Content&gt;&lt;/ConvergenceReportCountrySection&gt;&lt;ConvergenceReportCountrySection characteristic=&quot;Chapter&quot;&gt;&lt;Meta&gt;&lt;Design&gt;&lt;GUID&gt;{81CA136B-AD42-4DF9-BAC0-346AF132FD6E}&lt;/GUID&gt;&lt;DisplayName&gt;7. Sweden&lt;/DisplayName&gt;&lt;/Design&gt;&lt;Create&gt;&lt;Creatable&gt;true&lt;/Creatable&gt;&lt;Template&gt;EPGeneralSection.dot&lt;/Template&gt;&lt;/Create&gt;&lt;Manage&gt;&lt;Path&gt;U:\Convergence Report\2024\EP Kit\Technical annex\7 Sweden.docx&lt;/Path&gt;&lt;LastMerge&gt;2024-06-24T20:21:40&lt;/LastMerge&gt;&lt;ExternalSources&gt;*U:\Convergence Report\2024\EP Kit\Technical annex\Charts and Tables\2024 - (CH 1) infl crit.xlsx*U:\Convergence Report\2024\EP Kit\Technical annex\Charts and Tables\2024 - coupled chart.xlsx*U:\Convergence Report\2024\EP Kit\Technical annex\Charts and Tables\2024 - (CH 3) infl prod wage+ (TAB 2) other infl cost indic.xlsx*U:\Convergence Report\2024\EP Kit\Technical annex\Charts and Tables\2024 - (TAB 3) public finance + (CH 4) fiscal stance.xlsx*U:\Convergence Report\2024\EP Kit\Technical annex\Charts and Tables\2024 - (CH 9) NEER &amp;amp; REER.xlsx*U:\Convergence Report\2024\EP Kit\Technical annex\Charts and Tables\2024 - (CH 10) WB Governance indicators.xlsx*U:\Convergence Report\2024\EP Kit\Technical annex\Charts and Tables\2024 - (CH 11) Foreign ownership and concentration in the banking sector.xlsx*U:\Convergence Report\2024\EP Kit\Technical annex\Charts and Tables\2024 - (TAB 1) inflation components.xlsx*U:\Convergence Report\2024\EP Kit\Technical annex\Charts and Tables\2024 - (TAB 4) BOP.xlsx*U:\Convergence Report\2024\EP Kit\Technical annex\Charts and Tables\2024 - (TAB 5) Market integration.xlsx*U:\Convergence Report\2024\EP Kit\Technical annex\Charts and Tables\2024 - (TAB 6) Market structure - Assets of the financial sector.xlsx*U:\Convergence Report\2024\EP Kit\Technical annex\Charts and Tables\2024 - (TAB 7) Market structure - Liabilities of the financial sector.xlsx*&lt;/ExternalSources&gt;&lt;/Manage&gt;&lt;/Meta&gt;&lt;Format&gt;&lt;PageSettings&gt;&lt;SectionStart&gt;4&lt;/SectionStart&gt;&lt;/PageSettings&gt;&lt;/Format&gt;&lt;Content&gt;&lt;SectionNumber DisplayName=&quot;Level 2 Number&quot; Automatic=&quot;true&quot;&gt;7&lt;/SectionNumber&gt;&lt;SectionTitle DisplayName=&quot;Level 2 Title&quot;&gt;Sweden&lt;/SectionTitle&gt;&lt;/Content&gt;&lt;/ConvergenceReportCountrySection&gt;&lt;/Structure&gt;&lt;/ConvergenceReportTechnicalAnnex&gt;&lt;/Structure&gt;&lt;/ConvergenceReportPublication&gt;"/>
    <w:docVar w:name="PublicationXMLFileName" w:val="\\net1.cec.eu.int\ECFIN\C\3\Convergence Report\2024\EP Kit\ConvergenceReport_2024.xml"/>
    <w:docVar w:name="VSSDB_IniPath" w:val="$/EPKIT/SRC/EPExternal"/>
    <w:docVar w:name="VSSDB_ProjectPath" w:val="$/EPKIT/SRC/EPExternal"/>
  </w:docVars>
  <w:rsids>
    <w:rsidRoot w:val="00F64EC0"/>
    <w:rsid w:val="000000D5"/>
    <w:rsid w:val="000001EC"/>
    <w:rsid w:val="00000206"/>
    <w:rsid w:val="000002D5"/>
    <w:rsid w:val="00000522"/>
    <w:rsid w:val="000006B4"/>
    <w:rsid w:val="000006D2"/>
    <w:rsid w:val="000007BE"/>
    <w:rsid w:val="00000979"/>
    <w:rsid w:val="000009CD"/>
    <w:rsid w:val="00000A19"/>
    <w:rsid w:val="00000B59"/>
    <w:rsid w:val="00000D8B"/>
    <w:rsid w:val="00000E64"/>
    <w:rsid w:val="00000EA1"/>
    <w:rsid w:val="00000F4F"/>
    <w:rsid w:val="0000107E"/>
    <w:rsid w:val="000013BD"/>
    <w:rsid w:val="000013C7"/>
    <w:rsid w:val="00001447"/>
    <w:rsid w:val="0000162B"/>
    <w:rsid w:val="00001690"/>
    <w:rsid w:val="00001A7B"/>
    <w:rsid w:val="00001BEA"/>
    <w:rsid w:val="00001BFF"/>
    <w:rsid w:val="00001F86"/>
    <w:rsid w:val="00002321"/>
    <w:rsid w:val="0000232A"/>
    <w:rsid w:val="000024C8"/>
    <w:rsid w:val="000027B0"/>
    <w:rsid w:val="0000283E"/>
    <w:rsid w:val="00002A87"/>
    <w:rsid w:val="00002B34"/>
    <w:rsid w:val="00002C48"/>
    <w:rsid w:val="00003233"/>
    <w:rsid w:val="000032C1"/>
    <w:rsid w:val="000032ED"/>
    <w:rsid w:val="00003317"/>
    <w:rsid w:val="000033E0"/>
    <w:rsid w:val="0000375A"/>
    <w:rsid w:val="0000379A"/>
    <w:rsid w:val="000038AA"/>
    <w:rsid w:val="00004494"/>
    <w:rsid w:val="000049B6"/>
    <w:rsid w:val="000049E1"/>
    <w:rsid w:val="00004D01"/>
    <w:rsid w:val="00005059"/>
    <w:rsid w:val="00005109"/>
    <w:rsid w:val="00005151"/>
    <w:rsid w:val="00005164"/>
    <w:rsid w:val="000051CD"/>
    <w:rsid w:val="000052FB"/>
    <w:rsid w:val="00005368"/>
    <w:rsid w:val="000054BC"/>
    <w:rsid w:val="000055DE"/>
    <w:rsid w:val="0000567F"/>
    <w:rsid w:val="000058BC"/>
    <w:rsid w:val="00005A2C"/>
    <w:rsid w:val="00005A8B"/>
    <w:rsid w:val="00005AC3"/>
    <w:rsid w:val="00005AE1"/>
    <w:rsid w:val="00005BE3"/>
    <w:rsid w:val="00005E15"/>
    <w:rsid w:val="0000605F"/>
    <w:rsid w:val="0000627B"/>
    <w:rsid w:val="00006397"/>
    <w:rsid w:val="00006470"/>
    <w:rsid w:val="000064BF"/>
    <w:rsid w:val="0000671A"/>
    <w:rsid w:val="00006889"/>
    <w:rsid w:val="000068D4"/>
    <w:rsid w:val="000068F6"/>
    <w:rsid w:val="00006AF8"/>
    <w:rsid w:val="00006AFA"/>
    <w:rsid w:val="00006B52"/>
    <w:rsid w:val="00006DD6"/>
    <w:rsid w:val="00006FEC"/>
    <w:rsid w:val="0000701D"/>
    <w:rsid w:val="000070AA"/>
    <w:rsid w:val="0000737F"/>
    <w:rsid w:val="00007387"/>
    <w:rsid w:val="00007577"/>
    <w:rsid w:val="00007739"/>
    <w:rsid w:val="000077FE"/>
    <w:rsid w:val="0000780B"/>
    <w:rsid w:val="0000789E"/>
    <w:rsid w:val="000078C5"/>
    <w:rsid w:val="000079EF"/>
    <w:rsid w:val="00007AA1"/>
    <w:rsid w:val="00007FF5"/>
    <w:rsid w:val="00010232"/>
    <w:rsid w:val="00010243"/>
    <w:rsid w:val="00010342"/>
    <w:rsid w:val="00010354"/>
    <w:rsid w:val="000105ED"/>
    <w:rsid w:val="00010629"/>
    <w:rsid w:val="00010647"/>
    <w:rsid w:val="00010761"/>
    <w:rsid w:val="000107F6"/>
    <w:rsid w:val="000109E2"/>
    <w:rsid w:val="00010B46"/>
    <w:rsid w:val="00010B89"/>
    <w:rsid w:val="00010BF4"/>
    <w:rsid w:val="00010CD5"/>
    <w:rsid w:val="000110F5"/>
    <w:rsid w:val="000113B3"/>
    <w:rsid w:val="00011475"/>
    <w:rsid w:val="000118E8"/>
    <w:rsid w:val="000119C8"/>
    <w:rsid w:val="00011A1F"/>
    <w:rsid w:val="00011AC6"/>
    <w:rsid w:val="00011B57"/>
    <w:rsid w:val="00011BB6"/>
    <w:rsid w:val="00011C03"/>
    <w:rsid w:val="00011CBD"/>
    <w:rsid w:val="00011DF5"/>
    <w:rsid w:val="00011E8E"/>
    <w:rsid w:val="000120F7"/>
    <w:rsid w:val="000123B1"/>
    <w:rsid w:val="000124EB"/>
    <w:rsid w:val="000126BE"/>
    <w:rsid w:val="00012990"/>
    <w:rsid w:val="00012B20"/>
    <w:rsid w:val="00012C1B"/>
    <w:rsid w:val="00012D44"/>
    <w:rsid w:val="00013100"/>
    <w:rsid w:val="000131C9"/>
    <w:rsid w:val="00013414"/>
    <w:rsid w:val="00013459"/>
    <w:rsid w:val="0001347A"/>
    <w:rsid w:val="00013756"/>
    <w:rsid w:val="0001381E"/>
    <w:rsid w:val="00013C05"/>
    <w:rsid w:val="00013D3D"/>
    <w:rsid w:val="00013EF9"/>
    <w:rsid w:val="00013FD1"/>
    <w:rsid w:val="00014017"/>
    <w:rsid w:val="000143E7"/>
    <w:rsid w:val="0001442D"/>
    <w:rsid w:val="00014522"/>
    <w:rsid w:val="000145E1"/>
    <w:rsid w:val="0001463F"/>
    <w:rsid w:val="00014760"/>
    <w:rsid w:val="00014775"/>
    <w:rsid w:val="00014A47"/>
    <w:rsid w:val="00014AE5"/>
    <w:rsid w:val="00014AFB"/>
    <w:rsid w:val="00014B7D"/>
    <w:rsid w:val="00014C6B"/>
    <w:rsid w:val="00014D43"/>
    <w:rsid w:val="00014D53"/>
    <w:rsid w:val="00014D5E"/>
    <w:rsid w:val="00014DAA"/>
    <w:rsid w:val="00014E90"/>
    <w:rsid w:val="000150BE"/>
    <w:rsid w:val="000151D6"/>
    <w:rsid w:val="00015703"/>
    <w:rsid w:val="00015759"/>
    <w:rsid w:val="00015A21"/>
    <w:rsid w:val="00015A82"/>
    <w:rsid w:val="00015B1A"/>
    <w:rsid w:val="00015BCE"/>
    <w:rsid w:val="00015D79"/>
    <w:rsid w:val="00015E33"/>
    <w:rsid w:val="00015E4B"/>
    <w:rsid w:val="00015F61"/>
    <w:rsid w:val="00015F70"/>
    <w:rsid w:val="00016075"/>
    <w:rsid w:val="000160B5"/>
    <w:rsid w:val="00016539"/>
    <w:rsid w:val="0001668A"/>
    <w:rsid w:val="00016795"/>
    <w:rsid w:val="00016916"/>
    <w:rsid w:val="00016B83"/>
    <w:rsid w:val="00016C23"/>
    <w:rsid w:val="00016D30"/>
    <w:rsid w:val="00016DA7"/>
    <w:rsid w:val="00016FA4"/>
    <w:rsid w:val="000173B4"/>
    <w:rsid w:val="00017482"/>
    <w:rsid w:val="000176C0"/>
    <w:rsid w:val="000179BB"/>
    <w:rsid w:val="00017C88"/>
    <w:rsid w:val="00017E26"/>
    <w:rsid w:val="00017E5C"/>
    <w:rsid w:val="0002002E"/>
    <w:rsid w:val="000201AA"/>
    <w:rsid w:val="00020201"/>
    <w:rsid w:val="00020205"/>
    <w:rsid w:val="0002022F"/>
    <w:rsid w:val="0002037B"/>
    <w:rsid w:val="00020473"/>
    <w:rsid w:val="00020639"/>
    <w:rsid w:val="000206F5"/>
    <w:rsid w:val="00020A57"/>
    <w:rsid w:val="00020D05"/>
    <w:rsid w:val="00020F2D"/>
    <w:rsid w:val="00020FF5"/>
    <w:rsid w:val="0002107E"/>
    <w:rsid w:val="000210E0"/>
    <w:rsid w:val="000210F6"/>
    <w:rsid w:val="0002110E"/>
    <w:rsid w:val="00021272"/>
    <w:rsid w:val="000214B4"/>
    <w:rsid w:val="000214C1"/>
    <w:rsid w:val="000215FB"/>
    <w:rsid w:val="0002187D"/>
    <w:rsid w:val="000219E6"/>
    <w:rsid w:val="00021A66"/>
    <w:rsid w:val="00021B28"/>
    <w:rsid w:val="00021CDC"/>
    <w:rsid w:val="00021CEF"/>
    <w:rsid w:val="00021EEB"/>
    <w:rsid w:val="00021F28"/>
    <w:rsid w:val="00021FB6"/>
    <w:rsid w:val="00022090"/>
    <w:rsid w:val="000222E7"/>
    <w:rsid w:val="00022342"/>
    <w:rsid w:val="0002240D"/>
    <w:rsid w:val="00022548"/>
    <w:rsid w:val="000225D7"/>
    <w:rsid w:val="0002260B"/>
    <w:rsid w:val="0002263A"/>
    <w:rsid w:val="00022812"/>
    <w:rsid w:val="00022D5E"/>
    <w:rsid w:val="00022D9F"/>
    <w:rsid w:val="00022DB6"/>
    <w:rsid w:val="00022DCA"/>
    <w:rsid w:val="000230E8"/>
    <w:rsid w:val="000234FE"/>
    <w:rsid w:val="00023987"/>
    <w:rsid w:val="000239EC"/>
    <w:rsid w:val="00023A88"/>
    <w:rsid w:val="00023C90"/>
    <w:rsid w:val="00023DC0"/>
    <w:rsid w:val="00023DE2"/>
    <w:rsid w:val="00023F0F"/>
    <w:rsid w:val="00024025"/>
    <w:rsid w:val="0002412F"/>
    <w:rsid w:val="000241E2"/>
    <w:rsid w:val="00024313"/>
    <w:rsid w:val="00024390"/>
    <w:rsid w:val="000243AC"/>
    <w:rsid w:val="0002447A"/>
    <w:rsid w:val="000244D5"/>
    <w:rsid w:val="0002451B"/>
    <w:rsid w:val="000246EE"/>
    <w:rsid w:val="000248FD"/>
    <w:rsid w:val="00024985"/>
    <w:rsid w:val="00024A05"/>
    <w:rsid w:val="00024C64"/>
    <w:rsid w:val="00024DD6"/>
    <w:rsid w:val="00024E85"/>
    <w:rsid w:val="00024EF6"/>
    <w:rsid w:val="00025094"/>
    <w:rsid w:val="000252DC"/>
    <w:rsid w:val="0002530F"/>
    <w:rsid w:val="00025314"/>
    <w:rsid w:val="000253C8"/>
    <w:rsid w:val="0002564D"/>
    <w:rsid w:val="000258EC"/>
    <w:rsid w:val="00025AFC"/>
    <w:rsid w:val="00025B4F"/>
    <w:rsid w:val="00025C28"/>
    <w:rsid w:val="00025DA8"/>
    <w:rsid w:val="00025E51"/>
    <w:rsid w:val="00025FD5"/>
    <w:rsid w:val="0002633F"/>
    <w:rsid w:val="00026342"/>
    <w:rsid w:val="0002645A"/>
    <w:rsid w:val="000268EA"/>
    <w:rsid w:val="0002697B"/>
    <w:rsid w:val="00026BCA"/>
    <w:rsid w:val="00026DDD"/>
    <w:rsid w:val="00026FA6"/>
    <w:rsid w:val="00026FD0"/>
    <w:rsid w:val="00027077"/>
    <w:rsid w:val="000270CE"/>
    <w:rsid w:val="0002714E"/>
    <w:rsid w:val="00027287"/>
    <w:rsid w:val="000272EA"/>
    <w:rsid w:val="000273FF"/>
    <w:rsid w:val="000275A1"/>
    <w:rsid w:val="0002761C"/>
    <w:rsid w:val="000278CF"/>
    <w:rsid w:val="00027B24"/>
    <w:rsid w:val="00027FA9"/>
    <w:rsid w:val="00027FD7"/>
    <w:rsid w:val="0003007E"/>
    <w:rsid w:val="00030191"/>
    <w:rsid w:val="000303A6"/>
    <w:rsid w:val="00030648"/>
    <w:rsid w:val="0003079C"/>
    <w:rsid w:val="000308F2"/>
    <w:rsid w:val="0003094C"/>
    <w:rsid w:val="00030BF0"/>
    <w:rsid w:val="00030E4C"/>
    <w:rsid w:val="00030EBA"/>
    <w:rsid w:val="0003111A"/>
    <w:rsid w:val="0003111C"/>
    <w:rsid w:val="00031429"/>
    <w:rsid w:val="0003158B"/>
    <w:rsid w:val="000315BC"/>
    <w:rsid w:val="0003175A"/>
    <w:rsid w:val="0003178A"/>
    <w:rsid w:val="000318D2"/>
    <w:rsid w:val="000319D6"/>
    <w:rsid w:val="00031AA3"/>
    <w:rsid w:val="00031B5B"/>
    <w:rsid w:val="00031FD7"/>
    <w:rsid w:val="000320DC"/>
    <w:rsid w:val="0003244E"/>
    <w:rsid w:val="00032457"/>
    <w:rsid w:val="00032500"/>
    <w:rsid w:val="0003272C"/>
    <w:rsid w:val="00032734"/>
    <w:rsid w:val="000327A1"/>
    <w:rsid w:val="00032968"/>
    <w:rsid w:val="00032B20"/>
    <w:rsid w:val="00032D2D"/>
    <w:rsid w:val="00032EA6"/>
    <w:rsid w:val="00032F33"/>
    <w:rsid w:val="000330D5"/>
    <w:rsid w:val="000331F4"/>
    <w:rsid w:val="00033290"/>
    <w:rsid w:val="0003357A"/>
    <w:rsid w:val="0003363A"/>
    <w:rsid w:val="0003378B"/>
    <w:rsid w:val="000338E0"/>
    <w:rsid w:val="000338E1"/>
    <w:rsid w:val="00033C0A"/>
    <w:rsid w:val="00033CE1"/>
    <w:rsid w:val="00033D06"/>
    <w:rsid w:val="00033DAF"/>
    <w:rsid w:val="00033E24"/>
    <w:rsid w:val="00033F2A"/>
    <w:rsid w:val="00033F8D"/>
    <w:rsid w:val="00033F9A"/>
    <w:rsid w:val="000343D4"/>
    <w:rsid w:val="000343DD"/>
    <w:rsid w:val="000343E9"/>
    <w:rsid w:val="0003445A"/>
    <w:rsid w:val="0003491F"/>
    <w:rsid w:val="00034935"/>
    <w:rsid w:val="0003496B"/>
    <w:rsid w:val="00034C70"/>
    <w:rsid w:val="00034CAB"/>
    <w:rsid w:val="00034EAF"/>
    <w:rsid w:val="00034FA9"/>
    <w:rsid w:val="0003523A"/>
    <w:rsid w:val="000354B4"/>
    <w:rsid w:val="000354C8"/>
    <w:rsid w:val="0003559C"/>
    <w:rsid w:val="00035700"/>
    <w:rsid w:val="00035780"/>
    <w:rsid w:val="000357C1"/>
    <w:rsid w:val="000358D5"/>
    <w:rsid w:val="000358F7"/>
    <w:rsid w:val="0003597E"/>
    <w:rsid w:val="00035B60"/>
    <w:rsid w:val="00035DFC"/>
    <w:rsid w:val="00035F76"/>
    <w:rsid w:val="00036087"/>
    <w:rsid w:val="000360F5"/>
    <w:rsid w:val="00036124"/>
    <w:rsid w:val="000362B6"/>
    <w:rsid w:val="00036303"/>
    <w:rsid w:val="000363E5"/>
    <w:rsid w:val="0003643B"/>
    <w:rsid w:val="00036795"/>
    <w:rsid w:val="000367F3"/>
    <w:rsid w:val="00036988"/>
    <w:rsid w:val="000369D4"/>
    <w:rsid w:val="00036B02"/>
    <w:rsid w:val="00036B87"/>
    <w:rsid w:val="00036BD9"/>
    <w:rsid w:val="00036C3B"/>
    <w:rsid w:val="00036CE2"/>
    <w:rsid w:val="00036E1A"/>
    <w:rsid w:val="00036F60"/>
    <w:rsid w:val="000370D4"/>
    <w:rsid w:val="00037106"/>
    <w:rsid w:val="00037107"/>
    <w:rsid w:val="0003718B"/>
    <w:rsid w:val="0003724F"/>
    <w:rsid w:val="000374BA"/>
    <w:rsid w:val="000375DF"/>
    <w:rsid w:val="00037658"/>
    <w:rsid w:val="000379BB"/>
    <w:rsid w:val="00037AB6"/>
    <w:rsid w:val="00037E33"/>
    <w:rsid w:val="00037ED9"/>
    <w:rsid w:val="00037F43"/>
    <w:rsid w:val="00040007"/>
    <w:rsid w:val="000400D8"/>
    <w:rsid w:val="000401A2"/>
    <w:rsid w:val="00040213"/>
    <w:rsid w:val="0004031C"/>
    <w:rsid w:val="00040320"/>
    <w:rsid w:val="00040451"/>
    <w:rsid w:val="00040726"/>
    <w:rsid w:val="00040746"/>
    <w:rsid w:val="00040800"/>
    <w:rsid w:val="00040836"/>
    <w:rsid w:val="00040849"/>
    <w:rsid w:val="0004088B"/>
    <w:rsid w:val="00040900"/>
    <w:rsid w:val="000409F8"/>
    <w:rsid w:val="00040CB6"/>
    <w:rsid w:val="00040E32"/>
    <w:rsid w:val="00040E35"/>
    <w:rsid w:val="00040E38"/>
    <w:rsid w:val="000411B8"/>
    <w:rsid w:val="000414AC"/>
    <w:rsid w:val="0004150A"/>
    <w:rsid w:val="00041878"/>
    <w:rsid w:val="00041891"/>
    <w:rsid w:val="000419BB"/>
    <w:rsid w:val="00041A9D"/>
    <w:rsid w:val="00041B77"/>
    <w:rsid w:val="00041B8D"/>
    <w:rsid w:val="00041D6A"/>
    <w:rsid w:val="00041EFE"/>
    <w:rsid w:val="00042048"/>
    <w:rsid w:val="0004215E"/>
    <w:rsid w:val="000423A4"/>
    <w:rsid w:val="000423F3"/>
    <w:rsid w:val="0004248F"/>
    <w:rsid w:val="00042749"/>
    <w:rsid w:val="00042815"/>
    <w:rsid w:val="00042862"/>
    <w:rsid w:val="0004289E"/>
    <w:rsid w:val="000429FD"/>
    <w:rsid w:val="00042B3F"/>
    <w:rsid w:val="00042C5A"/>
    <w:rsid w:val="00042CA6"/>
    <w:rsid w:val="0004309F"/>
    <w:rsid w:val="00043367"/>
    <w:rsid w:val="0004360E"/>
    <w:rsid w:val="000439FF"/>
    <w:rsid w:val="00043A0E"/>
    <w:rsid w:val="00043BA8"/>
    <w:rsid w:val="00044111"/>
    <w:rsid w:val="00044180"/>
    <w:rsid w:val="000442D9"/>
    <w:rsid w:val="000443B7"/>
    <w:rsid w:val="00044455"/>
    <w:rsid w:val="00044739"/>
    <w:rsid w:val="000447A1"/>
    <w:rsid w:val="000447A8"/>
    <w:rsid w:val="000447AE"/>
    <w:rsid w:val="00044861"/>
    <w:rsid w:val="00044864"/>
    <w:rsid w:val="000448E5"/>
    <w:rsid w:val="00044965"/>
    <w:rsid w:val="00044981"/>
    <w:rsid w:val="00044C01"/>
    <w:rsid w:val="00044CA8"/>
    <w:rsid w:val="00044E23"/>
    <w:rsid w:val="00044E63"/>
    <w:rsid w:val="00044EA6"/>
    <w:rsid w:val="00044F03"/>
    <w:rsid w:val="0004588F"/>
    <w:rsid w:val="00045CF8"/>
    <w:rsid w:val="00045ECC"/>
    <w:rsid w:val="00045F22"/>
    <w:rsid w:val="00045F75"/>
    <w:rsid w:val="00045F9A"/>
    <w:rsid w:val="00046059"/>
    <w:rsid w:val="0004611D"/>
    <w:rsid w:val="0004611E"/>
    <w:rsid w:val="0004652F"/>
    <w:rsid w:val="00046569"/>
    <w:rsid w:val="00046636"/>
    <w:rsid w:val="000466DC"/>
    <w:rsid w:val="000466FF"/>
    <w:rsid w:val="00046721"/>
    <w:rsid w:val="0004678A"/>
    <w:rsid w:val="000468B4"/>
    <w:rsid w:val="00046BCB"/>
    <w:rsid w:val="00046CC5"/>
    <w:rsid w:val="00046EC3"/>
    <w:rsid w:val="00046F1F"/>
    <w:rsid w:val="00046F57"/>
    <w:rsid w:val="00046F9A"/>
    <w:rsid w:val="00047048"/>
    <w:rsid w:val="0004704B"/>
    <w:rsid w:val="000470B7"/>
    <w:rsid w:val="00047126"/>
    <w:rsid w:val="000471A7"/>
    <w:rsid w:val="00047397"/>
    <w:rsid w:val="000475AB"/>
    <w:rsid w:val="000475D2"/>
    <w:rsid w:val="00047602"/>
    <w:rsid w:val="00047749"/>
    <w:rsid w:val="000479C5"/>
    <w:rsid w:val="00047AF1"/>
    <w:rsid w:val="00047B5A"/>
    <w:rsid w:val="00047D5C"/>
    <w:rsid w:val="00047D87"/>
    <w:rsid w:val="00047E17"/>
    <w:rsid w:val="00047EAA"/>
    <w:rsid w:val="00047EAE"/>
    <w:rsid w:val="00047F1F"/>
    <w:rsid w:val="000500BD"/>
    <w:rsid w:val="000501BC"/>
    <w:rsid w:val="00050283"/>
    <w:rsid w:val="000502D8"/>
    <w:rsid w:val="000502DD"/>
    <w:rsid w:val="0005038E"/>
    <w:rsid w:val="000504BD"/>
    <w:rsid w:val="0005080B"/>
    <w:rsid w:val="00050A63"/>
    <w:rsid w:val="00050AAA"/>
    <w:rsid w:val="00050D35"/>
    <w:rsid w:val="00050E69"/>
    <w:rsid w:val="00050EAB"/>
    <w:rsid w:val="00050FCD"/>
    <w:rsid w:val="000510F1"/>
    <w:rsid w:val="0005147B"/>
    <w:rsid w:val="0005162E"/>
    <w:rsid w:val="00051641"/>
    <w:rsid w:val="00051799"/>
    <w:rsid w:val="0005183C"/>
    <w:rsid w:val="0005183F"/>
    <w:rsid w:val="000518F3"/>
    <w:rsid w:val="00051B09"/>
    <w:rsid w:val="00051BBC"/>
    <w:rsid w:val="00051C7A"/>
    <w:rsid w:val="00051CB0"/>
    <w:rsid w:val="00051E73"/>
    <w:rsid w:val="00051FE1"/>
    <w:rsid w:val="00052014"/>
    <w:rsid w:val="000520F4"/>
    <w:rsid w:val="00052175"/>
    <w:rsid w:val="0005221C"/>
    <w:rsid w:val="000522D1"/>
    <w:rsid w:val="0005245E"/>
    <w:rsid w:val="00052461"/>
    <w:rsid w:val="0005253B"/>
    <w:rsid w:val="00052673"/>
    <w:rsid w:val="0005298B"/>
    <w:rsid w:val="000529CF"/>
    <w:rsid w:val="00052A66"/>
    <w:rsid w:val="00052BC2"/>
    <w:rsid w:val="00052BC8"/>
    <w:rsid w:val="00052D62"/>
    <w:rsid w:val="00052D6A"/>
    <w:rsid w:val="00052DDE"/>
    <w:rsid w:val="00052F59"/>
    <w:rsid w:val="00052FB7"/>
    <w:rsid w:val="00052FBB"/>
    <w:rsid w:val="000532A7"/>
    <w:rsid w:val="000533AF"/>
    <w:rsid w:val="0005362E"/>
    <w:rsid w:val="00053911"/>
    <w:rsid w:val="000539F5"/>
    <w:rsid w:val="00053B26"/>
    <w:rsid w:val="00053B56"/>
    <w:rsid w:val="00053C24"/>
    <w:rsid w:val="00053C52"/>
    <w:rsid w:val="00053C5B"/>
    <w:rsid w:val="00053C9D"/>
    <w:rsid w:val="00053D2D"/>
    <w:rsid w:val="00053FEE"/>
    <w:rsid w:val="00054068"/>
    <w:rsid w:val="0005423E"/>
    <w:rsid w:val="000543F8"/>
    <w:rsid w:val="000544C0"/>
    <w:rsid w:val="00054722"/>
    <w:rsid w:val="000547EA"/>
    <w:rsid w:val="000549B5"/>
    <w:rsid w:val="00054A5A"/>
    <w:rsid w:val="00054F60"/>
    <w:rsid w:val="0005502A"/>
    <w:rsid w:val="000550B0"/>
    <w:rsid w:val="00055283"/>
    <w:rsid w:val="000552ED"/>
    <w:rsid w:val="0005537B"/>
    <w:rsid w:val="00055436"/>
    <w:rsid w:val="000554D5"/>
    <w:rsid w:val="000554FA"/>
    <w:rsid w:val="0005550F"/>
    <w:rsid w:val="00055618"/>
    <w:rsid w:val="000558A8"/>
    <w:rsid w:val="00055A61"/>
    <w:rsid w:val="00055C36"/>
    <w:rsid w:val="00055D32"/>
    <w:rsid w:val="00055D56"/>
    <w:rsid w:val="00055D7E"/>
    <w:rsid w:val="00056105"/>
    <w:rsid w:val="0005614D"/>
    <w:rsid w:val="00056157"/>
    <w:rsid w:val="00056218"/>
    <w:rsid w:val="00056378"/>
    <w:rsid w:val="00056446"/>
    <w:rsid w:val="00056645"/>
    <w:rsid w:val="000566D0"/>
    <w:rsid w:val="00056792"/>
    <w:rsid w:val="00056D1A"/>
    <w:rsid w:val="00056DCD"/>
    <w:rsid w:val="00056DE5"/>
    <w:rsid w:val="0005702B"/>
    <w:rsid w:val="00057032"/>
    <w:rsid w:val="00057181"/>
    <w:rsid w:val="00057190"/>
    <w:rsid w:val="000572A6"/>
    <w:rsid w:val="000572CE"/>
    <w:rsid w:val="00057509"/>
    <w:rsid w:val="0005765E"/>
    <w:rsid w:val="00057665"/>
    <w:rsid w:val="000576AD"/>
    <w:rsid w:val="00057AD4"/>
    <w:rsid w:val="00057AE9"/>
    <w:rsid w:val="00057B8B"/>
    <w:rsid w:val="00057BAF"/>
    <w:rsid w:val="00057C6B"/>
    <w:rsid w:val="00057C6F"/>
    <w:rsid w:val="00057CC1"/>
    <w:rsid w:val="00057CFF"/>
    <w:rsid w:val="00057E35"/>
    <w:rsid w:val="00057ED7"/>
    <w:rsid w:val="0006028D"/>
    <w:rsid w:val="000602FD"/>
    <w:rsid w:val="00060377"/>
    <w:rsid w:val="0006082F"/>
    <w:rsid w:val="000608D5"/>
    <w:rsid w:val="000608ED"/>
    <w:rsid w:val="000609E2"/>
    <w:rsid w:val="00060BC0"/>
    <w:rsid w:val="00060DB9"/>
    <w:rsid w:val="00060E01"/>
    <w:rsid w:val="000610C6"/>
    <w:rsid w:val="00061171"/>
    <w:rsid w:val="000611A9"/>
    <w:rsid w:val="000613A0"/>
    <w:rsid w:val="00061750"/>
    <w:rsid w:val="0006188D"/>
    <w:rsid w:val="00061CEE"/>
    <w:rsid w:val="00061E87"/>
    <w:rsid w:val="00061F40"/>
    <w:rsid w:val="00062180"/>
    <w:rsid w:val="000623CA"/>
    <w:rsid w:val="00062401"/>
    <w:rsid w:val="00062633"/>
    <w:rsid w:val="0006286B"/>
    <w:rsid w:val="00062895"/>
    <w:rsid w:val="000628FE"/>
    <w:rsid w:val="0006294E"/>
    <w:rsid w:val="00062B18"/>
    <w:rsid w:val="00062B71"/>
    <w:rsid w:val="00062B85"/>
    <w:rsid w:val="00062C27"/>
    <w:rsid w:val="00062CE6"/>
    <w:rsid w:val="00062E5F"/>
    <w:rsid w:val="00062FEC"/>
    <w:rsid w:val="00063072"/>
    <w:rsid w:val="00063221"/>
    <w:rsid w:val="0006353D"/>
    <w:rsid w:val="0006357D"/>
    <w:rsid w:val="0006366D"/>
    <w:rsid w:val="000636E7"/>
    <w:rsid w:val="0006376C"/>
    <w:rsid w:val="00063876"/>
    <w:rsid w:val="000638C5"/>
    <w:rsid w:val="00063A8D"/>
    <w:rsid w:val="00063AAA"/>
    <w:rsid w:val="00063D22"/>
    <w:rsid w:val="00063FE0"/>
    <w:rsid w:val="000641CA"/>
    <w:rsid w:val="00064329"/>
    <w:rsid w:val="0006451A"/>
    <w:rsid w:val="00064599"/>
    <w:rsid w:val="000645D1"/>
    <w:rsid w:val="00064688"/>
    <w:rsid w:val="00064777"/>
    <w:rsid w:val="00064B3A"/>
    <w:rsid w:val="00064B5E"/>
    <w:rsid w:val="00064F63"/>
    <w:rsid w:val="00064FBC"/>
    <w:rsid w:val="0006504B"/>
    <w:rsid w:val="00065110"/>
    <w:rsid w:val="000651A7"/>
    <w:rsid w:val="0006539D"/>
    <w:rsid w:val="00065416"/>
    <w:rsid w:val="00065441"/>
    <w:rsid w:val="000654DE"/>
    <w:rsid w:val="000654F4"/>
    <w:rsid w:val="00065625"/>
    <w:rsid w:val="0006572C"/>
    <w:rsid w:val="000659A5"/>
    <w:rsid w:val="00065AFC"/>
    <w:rsid w:val="00065E28"/>
    <w:rsid w:val="00065E75"/>
    <w:rsid w:val="00065F3C"/>
    <w:rsid w:val="00066040"/>
    <w:rsid w:val="00066079"/>
    <w:rsid w:val="0006612A"/>
    <w:rsid w:val="0006612C"/>
    <w:rsid w:val="00066495"/>
    <w:rsid w:val="000665CA"/>
    <w:rsid w:val="0006686D"/>
    <w:rsid w:val="000668B7"/>
    <w:rsid w:val="000668DF"/>
    <w:rsid w:val="00066974"/>
    <w:rsid w:val="00066A4E"/>
    <w:rsid w:val="00066CD5"/>
    <w:rsid w:val="00066F05"/>
    <w:rsid w:val="00066FAC"/>
    <w:rsid w:val="00066FBA"/>
    <w:rsid w:val="00067081"/>
    <w:rsid w:val="000670B3"/>
    <w:rsid w:val="000673B1"/>
    <w:rsid w:val="0006756B"/>
    <w:rsid w:val="000676AA"/>
    <w:rsid w:val="00067782"/>
    <w:rsid w:val="000678F2"/>
    <w:rsid w:val="0006791F"/>
    <w:rsid w:val="0006794D"/>
    <w:rsid w:val="00067A72"/>
    <w:rsid w:val="00067A89"/>
    <w:rsid w:val="00067D04"/>
    <w:rsid w:val="00070131"/>
    <w:rsid w:val="000702EF"/>
    <w:rsid w:val="000705EA"/>
    <w:rsid w:val="0007066B"/>
    <w:rsid w:val="000706A7"/>
    <w:rsid w:val="000706FA"/>
    <w:rsid w:val="0007081F"/>
    <w:rsid w:val="00070ABD"/>
    <w:rsid w:val="00070B53"/>
    <w:rsid w:val="00070C30"/>
    <w:rsid w:val="00070E58"/>
    <w:rsid w:val="00070E77"/>
    <w:rsid w:val="00070F46"/>
    <w:rsid w:val="00071181"/>
    <w:rsid w:val="000711F7"/>
    <w:rsid w:val="000712E6"/>
    <w:rsid w:val="000713A4"/>
    <w:rsid w:val="00071510"/>
    <w:rsid w:val="0007157A"/>
    <w:rsid w:val="000715E3"/>
    <w:rsid w:val="00071857"/>
    <w:rsid w:val="00071A6F"/>
    <w:rsid w:val="00071C35"/>
    <w:rsid w:val="00071CCA"/>
    <w:rsid w:val="00071FC8"/>
    <w:rsid w:val="00071FD9"/>
    <w:rsid w:val="00072114"/>
    <w:rsid w:val="00072170"/>
    <w:rsid w:val="0007230A"/>
    <w:rsid w:val="000724E0"/>
    <w:rsid w:val="000725A4"/>
    <w:rsid w:val="000725DA"/>
    <w:rsid w:val="00072651"/>
    <w:rsid w:val="000726EB"/>
    <w:rsid w:val="00072716"/>
    <w:rsid w:val="00072982"/>
    <w:rsid w:val="00072BA9"/>
    <w:rsid w:val="00072C42"/>
    <w:rsid w:val="00072CEB"/>
    <w:rsid w:val="00072E99"/>
    <w:rsid w:val="00072F4C"/>
    <w:rsid w:val="0007301D"/>
    <w:rsid w:val="0007314F"/>
    <w:rsid w:val="000731F3"/>
    <w:rsid w:val="000732A2"/>
    <w:rsid w:val="000733FA"/>
    <w:rsid w:val="000735D2"/>
    <w:rsid w:val="0007366E"/>
    <w:rsid w:val="00073692"/>
    <w:rsid w:val="000736C0"/>
    <w:rsid w:val="000738AB"/>
    <w:rsid w:val="00073948"/>
    <w:rsid w:val="00073975"/>
    <w:rsid w:val="000739BE"/>
    <w:rsid w:val="00073A80"/>
    <w:rsid w:val="00073B26"/>
    <w:rsid w:val="00073C1B"/>
    <w:rsid w:val="00073D5D"/>
    <w:rsid w:val="00073E99"/>
    <w:rsid w:val="00074228"/>
    <w:rsid w:val="0007430B"/>
    <w:rsid w:val="00074322"/>
    <w:rsid w:val="00074602"/>
    <w:rsid w:val="0007476F"/>
    <w:rsid w:val="000748E0"/>
    <w:rsid w:val="00074B3B"/>
    <w:rsid w:val="00074BC3"/>
    <w:rsid w:val="00074C37"/>
    <w:rsid w:val="0007532B"/>
    <w:rsid w:val="0007544B"/>
    <w:rsid w:val="00075737"/>
    <w:rsid w:val="00075890"/>
    <w:rsid w:val="00075C74"/>
    <w:rsid w:val="00075E3A"/>
    <w:rsid w:val="000760B5"/>
    <w:rsid w:val="000764FA"/>
    <w:rsid w:val="000766B7"/>
    <w:rsid w:val="00076756"/>
    <w:rsid w:val="000767A7"/>
    <w:rsid w:val="000767FB"/>
    <w:rsid w:val="000768E1"/>
    <w:rsid w:val="00076939"/>
    <w:rsid w:val="0007694E"/>
    <w:rsid w:val="00076A49"/>
    <w:rsid w:val="00076A4B"/>
    <w:rsid w:val="00076B71"/>
    <w:rsid w:val="00076FD0"/>
    <w:rsid w:val="0007705C"/>
    <w:rsid w:val="000771C2"/>
    <w:rsid w:val="00077265"/>
    <w:rsid w:val="00077392"/>
    <w:rsid w:val="0007749F"/>
    <w:rsid w:val="000774B3"/>
    <w:rsid w:val="0007755D"/>
    <w:rsid w:val="0007774D"/>
    <w:rsid w:val="00077978"/>
    <w:rsid w:val="000779E6"/>
    <w:rsid w:val="00077A31"/>
    <w:rsid w:val="00077A74"/>
    <w:rsid w:val="00077AB1"/>
    <w:rsid w:val="00077B50"/>
    <w:rsid w:val="00077D65"/>
    <w:rsid w:val="00080307"/>
    <w:rsid w:val="0008037F"/>
    <w:rsid w:val="000804F7"/>
    <w:rsid w:val="00080553"/>
    <w:rsid w:val="0008076E"/>
    <w:rsid w:val="000809CA"/>
    <w:rsid w:val="00080AB4"/>
    <w:rsid w:val="00080B17"/>
    <w:rsid w:val="00080C7B"/>
    <w:rsid w:val="00080CF0"/>
    <w:rsid w:val="00080D91"/>
    <w:rsid w:val="00080E0A"/>
    <w:rsid w:val="00080E36"/>
    <w:rsid w:val="00080FB8"/>
    <w:rsid w:val="00081007"/>
    <w:rsid w:val="0008106E"/>
    <w:rsid w:val="000811EE"/>
    <w:rsid w:val="00081FBB"/>
    <w:rsid w:val="00082179"/>
    <w:rsid w:val="0008227F"/>
    <w:rsid w:val="00082352"/>
    <w:rsid w:val="00082614"/>
    <w:rsid w:val="0008265C"/>
    <w:rsid w:val="000826EE"/>
    <w:rsid w:val="00082CF3"/>
    <w:rsid w:val="00082DC3"/>
    <w:rsid w:val="00082DF4"/>
    <w:rsid w:val="00082F16"/>
    <w:rsid w:val="00082FA4"/>
    <w:rsid w:val="00083042"/>
    <w:rsid w:val="0008309B"/>
    <w:rsid w:val="00083113"/>
    <w:rsid w:val="0008343E"/>
    <w:rsid w:val="000835AA"/>
    <w:rsid w:val="0008365A"/>
    <w:rsid w:val="0008378E"/>
    <w:rsid w:val="00083794"/>
    <w:rsid w:val="00083BB1"/>
    <w:rsid w:val="00083C6A"/>
    <w:rsid w:val="000840B5"/>
    <w:rsid w:val="000840E8"/>
    <w:rsid w:val="00084164"/>
    <w:rsid w:val="00084299"/>
    <w:rsid w:val="0008441D"/>
    <w:rsid w:val="0008445A"/>
    <w:rsid w:val="000844FA"/>
    <w:rsid w:val="00084508"/>
    <w:rsid w:val="00084569"/>
    <w:rsid w:val="000845DA"/>
    <w:rsid w:val="00084643"/>
    <w:rsid w:val="000846F1"/>
    <w:rsid w:val="000848B3"/>
    <w:rsid w:val="00084ADB"/>
    <w:rsid w:val="00084AED"/>
    <w:rsid w:val="00084B10"/>
    <w:rsid w:val="00084B5A"/>
    <w:rsid w:val="00084BDC"/>
    <w:rsid w:val="00084E48"/>
    <w:rsid w:val="00084E53"/>
    <w:rsid w:val="00084E94"/>
    <w:rsid w:val="000854DA"/>
    <w:rsid w:val="0008553E"/>
    <w:rsid w:val="00085631"/>
    <w:rsid w:val="00085B60"/>
    <w:rsid w:val="00085BE8"/>
    <w:rsid w:val="00085D69"/>
    <w:rsid w:val="00085E54"/>
    <w:rsid w:val="00085F1B"/>
    <w:rsid w:val="00085F1F"/>
    <w:rsid w:val="00085F21"/>
    <w:rsid w:val="00086262"/>
    <w:rsid w:val="000863D8"/>
    <w:rsid w:val="000864B1"/>
    <w:rsid w:val="00086544"/>
    <w:rsid w:val="00086586"/>
    <w:rsid w:val="000866D6"/>
    <w:rsid w:val="00086787"/>
    <w:rsid w:val="000868BE"/>
    <w:rsid w:val="00086A5E"/>
    <w:rsid w:val="00086AC7"/>
    <w:rsid w:val="00086B27"/>
    <w:rsid w:val="00086B66"/>
    <w:rsid w:val="00086DD8"/>
    <w:rsid w:val="00086E78"/>
    <w:rsid w:val="00086EDA"/>
    <w:rsid w:val="00087207"/>
    <w:rsid w:val="000873B5"/>
    <w:rsid w:val="0008783D"/>
    <w:rsid w:val="0008796B"/>
    <w:rsid w:val="00087B2D"/>
    <w:rsid w:val="00087BB6"/>
    <w:rsid w:val="00087F45"/>
    <w:rsid w:val="00090206"/>
    <w:rsid w:val="0009032A"/>
    <w:rsid w:val="0009043F"/>
    <w:rsid w:val="000904C3"/>
    <w:rsid w:val="00090647"/>
    <w:rsid w:val="000907A6"/>
    <w:rsid w:val="000907BA"/>
    <w:rsid w:val="00090975"/>
    <w:rsid w:val="00090B01"/>
    <w:rsid w:val="00090DDA"/>
    <w:rsid w:val="00090E24"/>
    <w:rsid w:val="00090EB3"/>
    <w:rsid w:val="00090EF0"/>
    <w:rsid w:val="00090F1A"/>
    <w:rsid w:val="00091031"/>
    <w:rsid w:val="0009112E"/>
    <w:rsid w:val="0009113F"/>
    <w:rsid w:val="000913E5"/>
    <w:rsid w:val="0009147B"/>
    <w:rsid w:val="0009158B"/>
    <w:rsid w:val="000916AC"/>
    <w:rsid w:val="00091751"/>
    <w:rsid w:val="00091771"/>
    <w:rsid w:val="0009185F"/>
    <w:rsid w:val="000918E7"/>
    <w:rsid w:val="00091A2A"/>
    <w:rsid w:val="00091C2E"/>
    <w:rsid w:val="00091E0F"/>
    <w:rsid w:val="00092375"/>
    <w:rsid w:val="0009244A"/>
    <w:rsid w:val="000925B7"/>
    <w:rsid w:val="00092807"/>
    <w:rsid w:val="0009289A"/>
    <w:rsid w:val="00092BDD"/>
    <w:rsid w:val="00092C06"/>
    <w:rsid w:val="00092C1A"/>
    <w:rsid w:val="00092CF2"/>
    <w:rsid w:val="00092D5E"/>
    <w:rsid w:val="00092EE3"/>
    <w:rsid w:val="00092F31"/>
    <w:rsid w:val="00092FDD"/>
    <w:rsid w:val="00092FFC"/>
    <w:rsid w:val="0009305D"/>
    <w:rsid w:val="00093125"/>
    <w:rsid w:val="000932E5"/>
    <w:rsid w:val="000933D9"/>
    <w:rsid w:val="00093435"/>
    <w:rsid w:val="000938AC"/>
    <w:rsid w:val="000938C2"/>
    <w:rsid w:val="000939EB"/>
    <w:rsid w:val="00093B8D"/>
    <w:rsid w:val="00093C42"/>
    <w:rsid w:val="00093D0A"/>
    <w:rsid w:val="00093E3E"/>
    <w:rsid w:val="00093EF4"/>
    <w:rsid w:val="00093F69"/>
    <w:rsid w:val="000941E0"/>
    <w:rsid w:val="000943D1"/>
    <w:rsid w:val="00094451"/>
    <w:rsid w:val="000945AF"/>
    <w:rsid w:val="000946D3"/>
    <w:rsid w:val="000947AE"/>
    <w:rsid w:val="0009484F"/>
    <w:rsid w:val="000948AA"/>
    <w:rsid w:val="0009492D"/>
    <w:rsid w:val="00094D5A"/>
    <w:rsid w:val="00094D79"/>
    <w:rsid w:val="00094DB0"/>
    <w:rsid w:val="00094F59"/>
    <w:rsid w:val="0009513B"/>
    <w:rsid w:val="0009514E"/>
    <w:rsid w:val="000951ED"/>
    <w:rsid w:val="0009540F"/>
    <w:rsid w:val="00095510"/>
    <w:rsid w:val="0009551D"/>
    <w:rsid w:val="0009591E"/>
    <w:rsid w:val="00095A1F"/>
    <w:rsid w:val="00095B49"/>
    <w:rsid w:val="00095E17"/>
    <w:rsid w:val="00095E69"/>
    <w:rsid w:val="00095F29"/>
    <w:rsid w:val="0009609C"/>
    <w:rsid w:val="00096121"/>
    <w:rsid w:val="00096616"/>
    <w:rsid w:val="0009667B"/>
    <w:rsid w:val="000968D5"/>
    <w:rsid w:val="00096914"/>
    <w:rsid w:val="0009696C"/>
    <w:rsid w:val="00096B09"/>
    <w:rsid w:val="00096BD9"/>
    <w:rsid w:val="00096D5C"/>
    <w:rsid w:val="00096ED2"/>
    <w:rsid w:val="000970B0"/>
    <w:rsid w:val="000971E3"/>
    <w:rsid w:val="00097347"/>
    <w:rsid w:val="0009745B"/>
    <w:rsid w:val="0009757E"/>
    <w:rsid w:val="000975C1"/>
    <w:rsid w:val="0009764C"/>
    <w:rsid w:val="00097693"/>
    <w:rsid w:val="0009774E"/>
    <w:rsid w:val="00097810"/>
    <w:rsid w:val="00097A9F"/>
    <w:rsid w:val="00097EB7"/>
    <w:rsid w:val="00097FAF"/>
    <w:rsid w:val="00097FD9"/>
    <w:rsid w:val="000A0036"/>
    <w:rsid w:val="000A0054"/>
    <w:rsid w:val="000A024B"/>
    <w:rsid w:val="000A0382"/>
    <w:rsid w:val="000A051F"/>
    <w:rsid w:val="000A053D"/>
    <w:rsid w:val="000A09B2"/>
    <w:rsid w:val="000A0AD2"/>
    <w:rsid w:val="000A0ADE"/>
    <w:rsid w:val="000A0B3F"/>
    <w:rsid w:val="000A0B65"/>
    <w:rsid w:val="000A0BED"/>
    <w:rsid w:val="000A0D03"/>
    <w:rsid w:val="000A0D9A"/>
    <w:rsid w:val="000A0DFE"/>
    <w:rsid w:val="000A0FD9"/>
    <w:rsid w:val="000A1073"/>
    <w:rsid w:val="000A135E"/>
    <w:rsid w:val="000A13C8"/>
    <w:rsid w:val="000A1435"/>
    <w:rsid w:val="000A1C6B"/>
    <w:rsid w:val="000A1CBD"/>
    <w:rsid w:val="000A1DB7"/>
    <w:rsid w:val="000A1F81"/>
    <w:rsid w:val="000A2021"/>
    <w:rsid w:val="000A206D"/>
    <w:rsid w:val="000A2092"/>
    <w:rsid w:val="000A2096"/>
    <w:rsid w:val="000A21E0"/>
    <w:rsid w:val="000A22F9"/>
    <w:rsid w:val="000A2434"/>
    <w:rsid w:val="000A2691"/>
    <w:rsid w:val="000A2732"/>
    <w:rsid w:val="000A2942"/>
    <w:rsid w:val="000A2AFD"/>
    <w:rsid w:val="000A2B48"/>
    <w:rsid w:val="000A2C2E"/>
    <w:rsid w:val="000A2C7D"/>
    <w:rsid w:val="000A2DA0"/>
    <w:rsid w:val="000A2E66"/>
    <w:rsid w:val="000A2F7C"/>
    <w:rsid w:val="000A2F9B"/>
    <w:rsid w:val="000A30CA"/>
    <w:rsid w:val="000A3118"/>
    <w:rsid w:val="000A3847"/>
    <w:rsid w:val="000A3937"/>
    <w:rsid w:val="000A3A2B"/>
    <w:rsid w:val="000A3ABD"/>
    <w:rsid w:val="000A3B19"/>
    <w:rsid w:val="000A3C92"/>
    <w:rsid w:val="000A3CA0"/>
    <w:rsid w:val="000A400D"/>
    <w:rsid w:val="000A406E"/>
    <w:rsid w:val="000A425F"/>
    <w:rsid w:val="000A453C"/>
    <w:rsid w:val="000A475E"/>
    <w:rsid w:val="000A4767"/>
    <w:rsid w:val="000A48F3"/>
    <w:rsid w:val="000A49AB"/>
    <w:rsid w:val="000A4A9B"/>
    <w:rsid w:val="000A4B6A"/>
    <w:rsid w:val="000A4C82"/>
    <w:rsid w:val="000A4D47"/>
    <w:rsid w:val="000A4DBE"/>
    <w:rsid w:val="000A4E05"/>
    <w:rsid w:val="000A4E57"/>
    <w:rsid w:val="000A51CB"/>
    <w:rsid w:val="000A5304"/>
    <w:rsid w:val="000A553B"/>
    <w:rsid w:val="000A56CB"/>
    <w:rsid w:val="000A570A"/>
    <w:rsid w:val="000A5809"/>
    <w:rsid w:val="000A5986"/>
    <w:rsid w:val="000A5C4F"/>
    <w:rsid w:val="000A5C54"/>
    <w:rsid w:val="000A602D"/>
    <w:rsid w:val="000A60FA"/>
    <w:rsid w:val="000A67B8"/>
    <w:rsid w:val="000A67EA"/>
    <w:rsid w:val="000A6851"/>
    <w:rsid w:val="000A6B3F"/>
    <w:rsid w:val="000A6C23"/>
    <w:rsid w:val="000A6D87"/>
    <w:rsid w:val="000A6FDD"/>
    <w:rsid w:val="000A70FA"/>
    <w:rsid w:val="000A7316"/>
    <w:rsid w:val="000A745C"/>
    <w:rsid w:val="000A74B4"/>
    <w:rsid w:val="000A753A"/>
    <w:rsid w:val="000A762B"/>
    <w:rsid w:val="000A76CB"/>
    <w:rsid w:val="000A774A"/>
    <w:rsid w:val="000A781D"/>
    <w:rsid w:val="000A7A7E"/>
    <w:rsid w:val="000A7A81"/>
    <w:rsid w:val="000A7C85"/>
    <w:rsid w:val="000A7C8F"/>
    <w:rsid w:val="000A7D8A"/>
    <w:rsid w:val="000A7DFD"/>
    <w:rsid w:val="000A7DFE"/>
    <w:rsid w:val="000A7F73"/>
    <w:rsid w:val="000A7FA2"/>
    <w:rsid w:val="000A7FFC"/>
    <w:rsid w:val="000B015D"/>
    <w:rsid w:val="000B01D9"/>
    <w:rsid w:val="000B0376"/>
    <w:rsid w:val="000B0405"/>
    <w:rsid w:val="000B058C"/>
    <w:rsid w:val="000B06F3"/>
    <w:rsid w:val="000B07AE"/>
    <w:rsid w:val="000B0808"/>
    <w:rsid w:val="000B0920"/>
    <w:rsid w:val="000B0A00"/>
    <w:rsid w:val="000B0C3A"/>
    <w:rsid w:val="000B0C43"/>
    <w:rsid w:val="000B0D11"/>
    <w:rsid w:val="000B110B"/>
    <w:rsid w:val="000B111D"/>
    <w:rsid w:val="000B12BB"/>
    <w:rsid w:val="000B1351"/>
    <w:rsid w:val="000B13D4"/>
    <w:rsid w:val="000B148A"/>
    <w:rsid w:val="000B150A"/>
    <w:rsid w:val="000B150F"/>
    <w:rsid w:val="000B1680"/>
    <w:rsid w:val="000B18D7"/>
    <w:rsid w:val="000B1A66"/>
    <w:rsid w:val="000B1AAA"/>
    <w:rsid w:val="000B1B35"/>
    <w:rsid w:val="000B1CB5"/>
    <w:rsid w:val="000B1D4E"/>
    <w:rsid w:val="000B1DD7"/>
    <w:rsid w:val="000B1F8A"/>
    <w:rsid w:val="000B20B1"/>
    <w:rsid w:val="000B21D7"/>
    <w:rsid w:val="000B223D"/>
    <w:rsid w:val="000B22A2"/>
    <w:rsid w:val="000B2318"/>
    <w:rsid w:val="000B26CA"/>
    <w:rsid w:val="000B2729"/>
    <w:rsid w:val="000B2786"/>
    <w:rsid w:val="000B293C"/>
    <w:rsid w:val="000B2B08"/>
    <w:rsid w:val="000B2BF7"/>
    <w:rsid w:val="000B2C12"/>
    <w:rsid w:val="000B2C36"/>
    <w:rsid w:val="000B2EB3"/>
    <w:rsid w:val="000B2F69"/>
    <w:rsid w:val="000B2F9A"/>
    <w:rsid w:val="000B2FF1"/>
    <w:rsid w:val="000B306A"/>
    <w:rsid w:val="000B3099"/>
    <w:rsid w:val="000B3104"/>
    <w:rsid w:val="000B32F9"/>
    <w:rsid w:val="000B33E8"/>
    <w:rsid w:val="000B35BA"/>
    <w:rsid w:val="000B398E"/>
    <w:rsid w:val="000B399E"/>
    <w:rsid w:val="000B3A9D"/>
    <w:rsid w:val="000B3A9F"/>
    <w:rsid w:val="000B3DD8"/>
    <w:rsid w:val="000B3E11"/>
    <w:rsid w:val="000B3E26"/>
    <w:rsid w:val="000B3EB6"/>
    <w:rsid w:val="000B4011"/>
    <w:rsid w:val="000B42ED"/>
    <w:rsid w:val="000B4337"/>
    <w:rsid w:val="000B4461"/>
    <w:rsid w:val="000B45B0"/>
    <w:rsid w:val="000B4960"/>
    <w:rsid w:val="000B49A9"/>
    <w:rsid w:val="000B4B6A"/>
    <w:rsid w:val="000B4C28"/>
    <w:rsid w:val="000B4C8A"/>
    <w:rsid w:val="000B4D3D"/>
    <w:rsid w:val="000B4FE8"/>
    <w:rsid w:val="000B50AA"/>
    <w:rsid w:val="000B51E9"/>
    <w:rsid w:val="000B526F"/>
    <w:rsid w:val="000B5648"/>
    <w:rsid w:val="000B5651"/>
    <w:rsid w:val="000B570B"/>
    <w:rsid w:val="000B5752"/>
    <w:rsid w:val="000B5809"/>
    <w:rsid w:val="000B5950"/>
    <w:rsid w:val="000B5C4A"/>
    <w:rsid w:val="000B5CF7"/>
    <w:rsid w:val="000B5D1A"/>
    <w:rsid w:val="000B5DA7"/>
    <w:rsid w:val="000B5DD7"/>
    <w:rsid w:val="000B5E69"/>
    <w:rsid w:val="000B611F"/>
    <w:rsid w:val="000B62F5"/>
    <w:rsid w:val="000B638B"/>
    <w:rsid w:val="000B667B"/>
    <w:rsid w:val="000B6867"/>
    <w:rsid w:val="000B6977"/>
    <w:rsid w:val="000B7007"/>
    <w:rsid w:val="000B7037"/>
    <w:rsid w:val="000B734E"/>
    <w:rsid w:val="000B7490"/>
    <w:rsid w:val="000B7560"/>
    <w:rsid w:val="000B7603"/>
    <w:rsid w:val="000B7896"/>
    <w:rsid w:val="000B7BB9"/>
    <w:rsid w:val="000B7D14"/>
    <w:rsid w:val="000B7D44"/>
    <w:rsid w:val="000B7E59"/>
    <w:rsid w:val="000B7F06"/>
    <w:rsid w:val="000B7FE3"/>
    <w:rsid w:val="000C000F"/>
    <w:rsid w:val="000C0249"/>
    <w:rsid w:val="000C05EC"/>
    <w:rsid w:val="000C0607"/>
    <w:rsid w:val="000C06AA"/>
    <w:rsid w:val="000C090B"/>
    <w:rsid w:val="000C0950"/>
    <w:rsid w:val="000C0DAA"/>
    <w:rsid w:val="000C0DC1"/>
    <w:rsid w:val="000C0ED0"/>
    <w:rsid w:val="000C0F7F"/>
    <w:rsid w:val="000C15D3"/>
    <w:rsid w:val="000C1623"/>
    <w:rsid w:val="000C1682"/>
    <w:rsid w:val="000C1883"/>
    <w:rsid w:val="000C1C5C"/>
    <w:rsid w:val="000C1C6F"/>
    <w:rsid w:val="000C1CAF"/>
    <w:rsid w:val="000C1D33"/>
    <w:rsid w:val="000C20A5"/>
    <w:rsid w:val="000C20C9"/>
    <w:rsid w:val="000C2515"/>
    <w:rsid w:val="000C2783"/>
    <w:rsid w:val="000C2813"/>
    <w:rsid w:val="000C2891"/>
    <w:rsid w:val="000C29C9"/>
    <w:rsid w:val="000C2A48"/>
    <w:rsid w:val="000C2CAE"/>
    <w:rsid w:val="000C2CC0"/>
    <w:rsid w:val="000C2D7C"/>
    <w:rsid w:val="000C2EE6"/>
    <w:rsid w:val="000C30A7"/>
    <w:rsid w:val="000C30FA"/>
    <w:rsid w:val="000C312C"/>
    <w:rsid w:val="000C32B3"/>
    <w:rsid w:val="000C3471"/>
    <w:rsid w:val="000C34E3"/>
    <w:rsid w:val="000C35F6"/>
    <w:rsid w:val="000C375E"/>
    <w:rsid w:val="000C37DA"/>
    <w:rsid w:val="000C3834"/>
    <w:rsid w:val="000C397A"/>
    <w:rsid w:val="000C3A98"/>
    <w:rsid w:val="000C3C51"/>
    <w:rsid w:val="000C3D29"/>
    <w:rsid w:val="000C3DEF"/>
    <w:rsid w:val="000C3F1A"/>
    <w:rsid w:val="000C40E1"/>
    <w:rsid w:val="000C44C9"/>
    <w:rsid w:val="000C45D9"/>
    <w:rsid w:val="000C469C"/>
    <w:rsid w:val="000C476D"/>
    <w:rsid w:val="000C4797"/>
    <w:rsid w:val="000C4A25"/>
    <w:rsid w:val="000C4B4E"/>
    <w:rsid w:val="000C4C1B"/>
    <w:rsid w:val="000C4CFF"/>
    <w:rsid w:val="000C5348"/>
    <w:rsid w:val="000C535D"/>
    <w:rsid w:val="000C5569"/>
    <w:rsid w:val="000C55DC"/>
    <w:rsid w:val="000C57A0"/>
    <w:rsid w:val="000C57D4"/>
    <w:rsid w:val="000C5903"/>
    <w:rsid w:val="000C5BEC"/>
    <w:rsid w:val="000C5D0F"/>
    <w:rsid w:val="000C5E71"/>
    <w:rsid w:val="000C5EEA"/>
    <w:rsid w:val="000C600E"/>
    <w:rsid w:val="000C610C"/>
    <w:rsid w:val="000C61E1"/>
    <w:rsid w:val="000C642B"/>
    <w:rsid w:val="000C6590"/>
    <w:rsid w:val="000C6659"/>
    <w:rsid w:val="000C666F"/>
    <w:rsid w:val="000C67EE"/>
    <w:rsid w:val="000C6A71"/>
    <w:rsid w:val="000C6BFD"/>
    <w:rsid w:val="000C6CBF"/>
    <w:rsid w:val="000C6E09"/>
    <w:rsid w:val="000C7033"/>
    <w:rsid w:val="000C7119"/>
    <w:rsid w:val="000C732E"/>
    <w:rsid w:val="000C739C"/>
    <w:rsid w:val="000C73FF"/>
    <w:rsid w:val="000C77CA"/>
    <w:rsid w:val="000C77DA"/>
    <w:rsid w:val="000C7918"/>
    <w:rsid w:val="000C79B1"/>
    <w:rsid w:val="000C79E0"/>
    <w:rsid w:val="000C7CBC"/>
    <w:rsid w:val="000C7D7C"/>
    <w:rsid w:val="000C7F49"/>
    <w:rsid w:val="000D001F"/>
    <w:rsid w:val="000D0043"/>
    <w:rsid w:val="000D00B8"/>
    <w:rsid w:val="000D01B9"/>
    <w:rsid w:val="000D0238"/>
    <w:rsid w:val="000D0694"/>
    <w:rsid w:val="000D0698"/>
    <w:rsid w:val="000D069E"/>
    <w:rsid w:val="000D06AF"/>
    <w:rsid w:val="000D072C"/>
    <w:rsid w:val="000D0772"/>
    <w:rsid w:val="000D0921"/>
    <w:rsid w:val="000D0A5F"/>
    <w:rsid w:val="000D0C86"/>
    <w:rsid w:val="000D0D01"/>
    <w:rsid w:val="000D0D2F"/>
    <w:rsid w:val="000D0E40"/>
    <w:rsid w:val="000D1090"/>
    <w:rsid w:val="000D1239"/>
    <w:rsid w:val="000D14FA"/>
    <w:rsid w:val="000D1A4F"/>
    <w:rsid w:val="000D1B19"/>
    <w:rsid w:val="000D1B6C"/>
    <w:rsid w:val="000D1BB3"/>
    <w:rsid w:val="000D1BC2"/>
    <w:rsid w:val="000D1CDE"/>
    <w:rsid w:val="000D1CF5"/>
    <w:rsid w:val="000D1F73"/>
    <w:rsid w:val="000D216B"/>
    <w:rsid w:val="000D230A"/>
    <w:rsid w:val="000D2424"/>
    <w:rsid w:val="000D279D"/>
    <w:rsid w:val="000D280C"/>
    <w:rsid w:val="000D290E"/>
    <w:rsid w:val="000D2C5D"/>
    <w:rsid w:val="000D2E5B"/>
    <w:rsid w:val="000D2F8B"/>
    <w:rsid w:val="000D2FBA"/>
    <w:rsid w:val="000D2FD2"/>
    <w:rsid w:val="000D3115"/>
    <w:rsid w:val="000D3127"/>
    <w:rsid w:val="000D340A"/>
    <w:rsid w:val="000D35A7"/>
    <w:rsid w:val="000D35CE"/>
    <w:rsid w:val="000D3631"/>
    <w:rsid w:val="000D36CE"/>
    <w:rsid w:val="000D3737"/>
    <w:rsid w:val="000D37C6"/>
    <w:rsid w:val="000D383C"/>
    <w:rsid w:val="000D383F"/>
    <w:rsid w:val="000D38F4"/>
    <w:rsid w:val="000D39FC"/>
    <w:rsid w:val="000D3BB4"/>
    <w:rsid w:val="000D3E31"/>
    <w:rsid w:val="000D3E64"/>
    <w:rsid w:val="000D3EB7"/>
    <w:rsid w:val="000D41FF"/>
    <w:rsid w:val="000D427C"/>
    <w:rsid w:val="000D4450"/>
    <w:rsid w:val="000D44B1"/>
    <w:rsid w:val="000D4573"/>
    <w:rsid w:val="000D46DB"/>
    <w:rsid w:val="000D472B"/>
    <w:rsid w:val="000D4783"/>
    <w:rsid w:val="000D47A9"/>
    <w:rsid w:val="000D4AFA"/>
    <w:rsid w:val="000D4DBD"/>
    <w:rsid w:val="000D4EE0"/>
    <w:rsid w:val="000D5116"/>
    <w:rsid w:val="000D52A4"/>
    <w:rsid w:val="000D533F"/>
    <w:rsid w:val="000D5625"/>
    <w:rsid w:val="000D569B"/>
    <w:rsid w:val="000D5812"/>
    <w:rsid w:val="000D59B5"/>
    <w:rsid w:val="000D59E4"/>
    <w:rsid w:val="000D5ABA"/>
    <w:rsid w:val="000D5B0C"/>
    <w:rsid w:val="000D5B7C"/>
    <w:rsid w:val="000D5B89"/>
    <w:rsid w:val="000D5C4F"/>
    <w:rsid w:val="000D5D19"/>
    <w:rsid w:val="000D5F16"/>
    <w:rsid w:val="000D6008"/>
    <w:rsid w:val="000D608C"/>
    <w:rsid w:val="000D60ED"/>
    <w:rsid w:val="000D6358"/>
    <w:rsid w:val="000D647C"/>
    <w:rsid w:val="000D64CC"/>
    <w:rsid w:val="000D64ED"/>
    <w:rsid w:val="000D6612"/>
    <w:rsid w:val="000D68E2"/>
    <w:rsid w:val="000D6903"/>
    <w:rsid w:val="000D6A98"/>
    <w:rsid w:val="000D6C42"/>
    <w:rsid w:val="000D6C5A"/>
    <w:rsid w:val="000D6DA4"/>
    <w:rsid w:val="000D6E0A"/>
    <w:rsid w:val="000D6E37"/>
    <w:rsid w:val="000D6F26"/>
    <w:rsid w:val="000D6F85"/>
    <w:rsid w:val="000D707F"/>
    <w:rsid w:val="000D709D"/>
    <w:rsid w:val="000D70BD"/>
    <w:rsid w:val="000D7190"/>
    <w:rsid w:val="000D72EE"/>
    <w:rsid w:val="000D7480"/>
    <w:rsid w:val="000D7639"/>
    <w:rsid w:val="000D7CC1"/>
    <w:rsid w:val="000D7F13"/>
    <w:rsid w:val="000D7F33"/>
    <w:rsid w:val="000E0077"/>
    <w:rsid w:val="000E01C6"/>
    <w:rsid w:val="000E03C4"/>
    <w:rsid w:val="000E040E"/>
    <w:rsid w:val="000E04CF"/>
    <w:rsid w:val="000E0608"/>
    <w:rsid w:val="000E0651"/>
    <w:rsid w:val="000E082E"/>
    <w:rsid w:val="000E08A9"/>
    <w:rsid w:val="000E09F2"/>
    <w:rsid w:val="000E0A51"/>
    <w:rsid w:val="000E0AA2"/>
    <w:rsid w:val="000E0B67"/>
    <w:rsid w:val="000E0CBF"/>
    <w:rsid w:val="000E0DCE"/>
    <w:rsid w:val="000E0FD7"/>
    <w:rsid w:val="000E108A"/>
    <w:rsid w:val="000E1203"/>
    <w:rsid w:val="000E135F"/>
    <w:rsid w:val="000E13B2"/>
    <w:rsid w:val="000E1421"/>
    <w:rsid w:val="000E1587"/>
    <w:rsid w:val="000E15BD"/>
    <w:rsid w:val="000E167F"/>
    <w:rsid w:val="000E1682"/>
    <w:rsid w:val="000E185A"/>
    <w:rsid w:val="000E19B1"/>
    <w:rsid w:val="000E19B2"/>
    <w:rsid w:val="000E1CF6"/>
    <w:rsid w:val="000E1DD8"/>
    <w:rsid w:val="000E2187"/>
    <w:rsid w:val="000E2264"/>
    <w:rsid w:val="000E241F"/>
    <w:rsid w:val="000E2477"/>
    <w:rsid w:val="000E248C"/>
    <w:rsid w:val="000E24B1"/>
    <w:rsid w:val="000E25EE"/>
    <w:rsid w:val="000E264C"/>
    <w:rsid w:val="000E269F"/>
    <w:rsid w:val="000E293D"/>
    <w:rsid w:val="000E297D"/>
    <w:rsid w:val="000E2A59"/>
    <w:rsid w:val="000E2E9E"/>
    <w:rsid w:val="000E2F55"/>
    <w:rsid w:val="000E30E7"/>
    <w:rsid w:val="000E338D"/>
    <w:rsid w:val="000E33AD"/>
    <w:rsid w:val="000E380E"/>
    <w:rsid w:val="000E38D6"/>
    <w:rsid w:val="000E38E7"/>
    <w:rsid w:val="000E393F"/>
    <w:rsid w:val="000E3F26"/>
    <w:rsid w:val="000E3F59"/>
    <w:rsid w:val="000E400C"/>
    <w:rsid w:val="000E418E"/>
    <w:rsid w:val="000E41B9"/>
    <w:rsid w:val="000E47DE"/>
    <w:rsid w:val="000E4889"/>
    <w:rsid w:val="000E488E"/>
    <w:rsid w:val="000E4AA1"/>
    <w:rsid w:val="000E4D00"/>
    <w:rsid w:val="000E4DB5"/>
    <w:rsid w:val="000E4EFF"/>
    <w:rsid w:val="000E503C"/>
    <w:rsid w:val="000E50AD"/>
    <w:rsid w:val="000E5161"/>
    <w:rsid w:val="000E531D"/>
    <w:rsid w:val="000E536F"/>
    <w:rsid w:val="000E53C9"/>
    <w:rsid w:val="000E54FA"/>
    <w:rsid w:val="000E56BE"/>
    <w:rsid w:val="000E56D2"/>
    <w:rsid w:val="000E56F5"/>
    <w:rsid w:val="000E5748"/>
    <w:rsid w:val="000E5A5D"/>
    <w:rsid w:val="000E5CFA"/>
    <w:rsid w:val="000E5E05"/>
    <w:rsid w:val="000E602F"/>
    <w:rsid w:val="000E6251"/>
    <w:rsid w:val="000E62BF"/>
    <w:rsid w:val="000E63E7"/>
    <w:rsid w:val="000E641F"/>
    <w:rsid w:val="000E6599"/>
    <w:rsid w:val="000E6705"/>
    <w:rsid w:val="000E6862"/>
    <w:rsid w:val="000E6CFE"/>
    <w:rsid w:val="000E6CFF"/>
    <w:rsid w:val="000E6D9E"/>
    <w:rsid w:val="000E6DFA"/>
    <w:rsid w:val="000E6FA0"/>
    <w:rsid w:val="000E7209"/>
    <w:rsid w:val="000E7253"/>
    <w:rsid w:val="000E777D"/>
    <w:rsid w:val="000E77CA"/>
    <w:rsid w:val="000E791F"/>
    <w:rsid w:val="000E7A47"/>
    <w:rsid w:val="000E7B34"/>
    <w:rsid w:val="000E7C7B"/>
    <w:rsid w:val="000E7DC2"/>
    <w:rsid w:val="000E7EB5"/>
    <w:rsid w:val="000E7F2A"/>
    <w:rsid w:val="000F00A0"/>
    <w:rsid w:val="000F0288"/>
    <w:rsid w:val="000F029E"/>
    <w:rsid w:val="000F03A3"/>
    <w:rsid w:val="000F03AE"/>
    <w:rsid w:val="000F05B1"/>
    <w:rsid w:val="000F0726"/>
    <w:rsid w:val="000F07F5"/>
    <w:rsid w:val="000F0930"/>
    <w:rsid w:val="000F0A88"/>
    <w:rsid w:val="000F0C56"/>
    <w:rsid w:val="000F0E0D"/>
    <w:rsid w:val="000F0FF6"/>
    <w:rsid w:val="000F1179"/>
    <w:rsid w:val="000F117C"/>
    <w:rsid w:val="000F1296"/>
    <w:rsid w:val="000F12AC"/>
    <w:rsid w:val="000F13CB"/>
    <w:rsid w:val="000F1413"/>
    <w:rsid w:val="000F1460"/>
    <w:rsid w:val="000F16F3"/>
    <w:rsid w:val="000F1816"/>
    <w:rsid w:val="000F1863"/>
    <w:rsid w:val="000F18C6"/>
    <w:rsid w:val="000F195F"/>
    <w:rsid w:val="000F1A5A"/>
    <w:rsid w:val="000F1AEA"/>
    <w:rsid w:val="000F1B23"/>
    <w:rsid w:val="000F1D75"/>
    <w:rsid w:val="000F233F"/>
    <w:rsid w:val="000F2612"/>
    <w:rsid w:val="000F2668"/>
    <w:rsid w:val="000F2933"/>
    <w:rsid w:val="000F29EC"/>
    <w:rsid w:val="000F2B38"/>
    <w:rsid w:val="000F2C58"/>
    <w:rsid w:val="000F2F38"/>
    <w:rsid w:val="000F30E1"/>
    <w:rsid w:val="000F30FA"/>
    <w:rsid w:val="000F310F"/>
    <w:rsid w:val="000F315C"/>
    <w:rsid w:val="000F31D6"/>
    <w:rsid w:val="000F32AF"/>
    <w:rsid w:val="000F34D0"/>
    <w:rsid w:val="000F3609"/>
    <w:rsid w:val="000F372E"/>
    <w:rsid w:val="000F399C"/>
    <w:rsid w:val="000F3A11"/>
    <w:rsid w:val="000F3A75"/>
    <w:rsid w:val="000F3D2A"/>
    <w:rsid w:val="000F3DB8"/>
    <w:rsid w:val="000F3E8F"/>
    <w:rsid w:val="000F3FC1"/>
    <w:rsid w:val="000F4165"/>
    <w:rsid w:val="000F42CC"/>
    <w:rsid w:val="000F434D"/>
    <w:rsid w:val="000F4484"/>
    <w:rsid w:val="000F44B8"/>
    <w:rsid w:val="000F4666"/>
    <w:rsid w:val="000F4A36"/>
    <w:rsid w:val="000F4A9B"/>
    <w:rsid w:val="000F4E1A"/>
    <w:rsid w:val="000F4E97"/>
    <w:rsid w:val="000F4F65"/>
    <w:rsid w:val="000F5180"/>
    <w:rsid w:val="000F5366"/>
    <w:rsid w:val="000F537D"/>
    <w:rsid w:val="000F53DE"/>
    <w:rsid w:val="000F53E3"/>
    <w:rsid w:val="000F54C2"/>
    <w:rsid w:val="000F5698"/>
    <w:rsid w:val="000F58CA"/>
    <w:rsid w:val="000F5A07"/>
    <w:rsid w:val="000F5B8F"/>
    <w:rsid w:val="000F5B96"/>
    <w:rsid w:val="000F5C54"/>
    <w:rsid w:val="000F5C64"/>
    <w:rsid w:val="000F5C79"/>
    <w:rsid w:val="000F5CE1"/>
    <w:rsid w:val="000F5D92"/>
    <w:rsid w:val="000F5E5B"/>
    <w:rsid w:val="000F5EDD"/>
    <w:rsid w:val="000F5EEF"/>
    <w:rsid w:val="000F5F26"/>
    <w:rsid w:val="000F61C9"/>
    <w:rsid w:val="000F633B"/>
    <w:rsid w:val="000F6364"/>
    <w:rsid w:val="000F63C6"/>
    <w:rsid w:val="000F6484"/>
    <w:rsid w:val="000F6732"/>
    <w:rsid w:val="000F6974"/>
    <w:rsid w:val="000F6B31"/>
    <w:rsid w:val="000F6BB3"/>
    <w:rsid w:val="000F6C76"/>
    <w:rsid w:val="000F6C97"/>
    <w:rsid w:val="000F6CA8"/>
    <w:rsid w:val="000F6D74"/>
    <w:rsid w:val="000F6E5A"/>
    <w:rsid w:val="000F6F5E"/>
    <w:rsid w:val="000F7100"/>
    <w:rsid w:val="000F7649"/>
    <w:rsid w:val="000F7772"/>
    <w:rsid w:val="000F7946"/>
    <w:rsid w:val="000F7A73"/>
    <w:rsid w:val="000F7AF4"/>
    <w:rsid w:val="000F7BFC"/>
    <w:rsid w:val="000F7C50"/>
    <w:rsid w:val="000F7D55"/>
    <w:rsid w:val="000F7DEC"/>
    <w:rsid w:val="001000FE"/>
    <w:rsid w:val="001004B3"/>
    <w:rsid w:val="00100754"/>
    <w:rsid w:val="00100840"/>
    <w:rsid w:val="00100932"/>
    <w:rsid w:val="00100C6F"/>
    <w:rsid w:val="00100E3B"/>
    <w:rsid w:val="00100EDF"/>
    <w:rsid w:val="001010D1"/>
    <w:rsid w:val="00101637"/>
    <w:rsid w:val="001016D7"/>
    <w:rsid w:val="0010170C"/>
    <w:rsid w:val="0010184C"/>
    <w:rsid w:val="00101860"/>
    <w:rsid w:val="001018C5"/>
    <w:rsid w:val="001019CE"/>
    <w:rsid w:val="00101D97"/>
    <w:rsid w:val="00101E63"/>
    <w:rsid w:val="001020DC"/>
    <w:rsid w:val="00102110"/>
    <w:rsid w:val="001022B5"/>
    <w:rsid w:val="00102CDD"/>
    <w:rsid w:val="00102E91"/>
    <w:rsid w:val="001030E8"/>
    <w:rsid w:val="001038EC"/>
    <w:rsid w:val="001038FA"/>
    <w:rsid w:val="00103AC4"/>
    <w:rsid w:val="00103D31"/>
    <w:rsid w:val="00103E84"/>
    <w:rsid w:val="00103F7A"/>
    <w:rsid w:val="00103FCB"/>
    <w:rsid w:val="00104027"/>
    <w:rsid w:val="001041DA"/>
    <w:rsid w:val="001041F7"/>
    <w:rsid w:val="001042B1"/>
    <w:rsid w:val="00104451"/>
    <w:rsid w:val="00104C05"/>
    <w:rsid w:val="00104CC7"/>
    <w:rsid w:val="00104DA0"/>
    <w:rsid w:val="00104E3D"/>
    <w:rsid w:val="00104FAA"/>
    <w:rsid w:val="001052FD"/>
    <w:rsid w:val="00105362"/>
    <w:rsid w:val="00105422"/>
    <w:rsid w:val="00105438"/>
    <w:rsid w:val="001055FC"/>
    <w:rsid w:val="00105749"/>
    <w:rsid w:val="00105A8A"/>
    <w:rsid w:val="00105DBD"/>
    <w:rsid w:val="00105DCF"/>
    <w:rsid w:val="00106075"/>
    <w:rsid w:val="0010607C"/>
    <w:rsid w:val="0010612B"/>
    <w:rsid w:val="00106253"/>
    <w:rsid w:val="001063AA"/>
    <w:rsid w:val="0010686A"/>
    <w:rsid w:val="00106913"/>
    <w:rsid w:val="00106915"/>
    <w:rsid w:val="00106947"/>
    <w:rsid w:val="00106C2F"/>
    <w:rsid w:val="00106C37"/>
    <w:rsid w:val="00106E71"/>
    <w:rsid w:val="00107055"/>
    <w:rsid w:val="0010713A"/>
    <w:rsid w:val="001072CE"/>
    <w:rsid w:val="0010768B"/>
    <w:rsid w:val="00107800"/>
    <w:rsid w:val="00107895"/>
    <w:rsid w:val="001078B0"/>
    <w:rsid w:val="00107B6A"/>
    <w:rsid w:val="00107C4E"/>
    <w:rsid w:val="00107D52"/>
    <w:rsid w:val="00107E6C"/>
    <w:rsid w:val="00107EC8"/>
    <w:rsid w:val="00107FC0"/>
    <w:rsid w:val="0011002B"/>
    <w:rsid w:val="0011014B"/>
    <w:rsid w:val="00110207"/>
    <w:rsid w:val="00110289"/>
    <w:rsid w:val="0011034B"/>
    <w:rsid w:val="00110394"/>
    <w:rsid w:val="001103A1"/>
    <w:rsid w:val="001105DD"/>
    <w:rsid w:val="00110862"/>
    <w:rsid w:val="0011092C"/>
    <w:rsid w:val="001109F8"/>
    <w:rsid w:val="00110AB3"/>
    <w:rsid w:val="00110AFC"/>
    <w:rsid w:val="00110D64"/>
    <w:rsid w:val="00111017"/>
    <w:rsid w:val="001110A9"/>
    <w:rsid w:val="001110D5"/>
    <w:rsid w:val="0011111D"/>
    <w:rsid w:val="00111264"/>
    <w:rsid w:val="00111346"/>
    <w:rsid w:val="00111481"/>
    <w:rsid w:val="0011157E"/>
    <w:rsid w:val="00111646"/>
    <w:rsid w:val="001116B4"/>
    <w:rsid w:val="00111845"/>
    <w:rsid w:val="00111916"/>
    <w:rsid w:val="00111947"/>
    <w:rsid w:val="001119FB"/>
    <w:rsid w:val="00111E04"/>
    <w:rsid w:val="00111EE5"/>
    <w:rsid w:val="0011205D"/>
    <w:rsid w:val="00112255"/>
    <w:rsid w:val="001122C6"/>
    <w:rsid w:val="001124CE"/>
    <w:rsid w:val="001124EA"/>
    <w:rsid w:val="0011252E"/>
    <w:rsid w:val="001126B1"/>
    <w:rsid w:val="00112707"/>
    <w:rsid w:val="0011277C"/>
    <w:rsid w:val="001127BD"/>
    <w:rsid w:val="001128FE"/>
    <w:rsid w:val="00113119"/>
    <w:rsid w:val="00113224"/>
    <w:rsid w:val="00113344"/>
    <w:rsid w:val="00113377"/>
    <w:rsid w:val="001133B8"/>
    <w:rsid w:val="001134A1"/>
    <w:rsid w:val="00113666"/>
    <w:rsid w:val="00113823"/>
    <w:rsid w:val="00113A15"/>
    <w:rsid w:val="00113B5C"/>
    <w:rsid w:val="00113CA7"/>
    <w:rsid w:val="00113EC8"/>
    <w:rsid w:val="00113EDD"/>
    <w:rsid w:val="00113F7C"/>
    <w:rsid w:val="001140E1"/>
    <w:rsid w:val="0011447B"/>
    <w:rsid w:val="00114A13"/>
    <w:rsid w:val="00114A4E"/>
    <w:rsid w:val="00114AC6"/>
    <w:rsid w:val="00114D32"/>
    <w:rsid w:val="00115327"/>
    <w:rsid w:val="001156FF"/>
    <w:rsid w:val="001157C3"/>
    <w:rsid w:val="001157D0"/>
    <w:rsid w:val="001159B7"/>
    <w:rsid w:val="001159D2"/>
    <w:rsid w:val="00115A8E"/>
    <w:rsid w:val="00115AD8"/>
    <w:rsid w:val="00115B21"/>
    <w:rsid w:val="00115C12"/>
    <w:rsid w:val="00115DC8"/>
    <w:rsid w:val="00115F55"/>
    <w:rsid w:val="001164F3"/>
    <w:rsid w:val="00116954"/>
    <w:rsid w:val="00116A56"/>
    <w:rsid w:val="00116A9B"/>
    <w:rsid w:val="00116BF2"/>
    <w:rsid w:val="00116D51"/>
    <w:rsid w:val="00116E1E"/>
    <w:rsid w:val="00116E3C"/>
    <w:rsid w:val="00117106"/>
    <w:rsid w:val="00117270"/>
    <w:rsid w:val="0011734F"/>
    <w:rsid w:val="001175D0"/>
    <w:rsid w:val="00117675"/>
    <w:rsid w:val="00117997"/>
    <w:rsid w:val="00117AD4"/>
    <w:rsid w:val="00117AE5"/>
    <w:rsid w:val="00117B31"/>
    <w:rsid w:val="00117CBA"/>
    <w:rsid w:val="00117D24"/>
    <w:rsid w:val="00117FC4"/>
    <w:rsid w:val="00120235"/>
    <w:rsid w:val="001202A8"/>
    <w:rsid w:val="001202DB"/>
    <w:rsid w:val="0012033B"/>
    <w:rsid w:val="00120425"/>
    <w:rsid w:val="00120454"/>
    <w:rsid w:val="001204A2"/>
    <w:rsid w:val="0012068A"/>
    <w:rsid w:val="001206EF"/>
    <w:rsid w:val="0012098D"/>
    <w:rsid w:val="001209C7"/>
    <w:rsid w:val="00120A95"/>
    <w:rsid w:val="00120AEB"/>
    <w:rsid w:val="00120DA9"/>
    <w:rsid w:val="00120DFA"/>
    <w:rsid w:val="00120FAB"/>
    <w:rsid w:val="00121409"/>
    <w:rsid w:val="00121622"/>
    <w:rsid w:val="001217C7"/>
    <w:rsid w:val="00121A99"/>
    <w:rsid w:val="00121B52"/>
    <w:rsid w:val="00121C64"/>
    <w:rsid w:val="00121CCB"/>
    <w:rsid w:val="00121F0C"/>
    <w:rsid w:val="0012207C"/>
    <w:rsid w:val="001221BB"/>
    <w:rsid w:val="00122508"/>
    <w:rsid w:val="0012253E"/>
    <w:rsid w:val="0012253F"/>
    <w:rsid w:val="001225C2"/>
    <w:rsid w:val="00122663"/>
    <w:rsid w:val="001226B6"/>
    <w:rsid w:val="0012272B"/>
    <w:rsid w:val="001227CB"/>
    <w:rsid w:val="0012296C"/>
    <w:rsid w:val="00122D43"/>
    <w:rsid w:val="00122F70"/>
    <w:rsid w:val="00122F83"/>
    <w:rsid w:val="00122FB3"/>
    <w:rsid w:val="00122FCB"/>
    <w:rsid w:val="00123112"/>
    <w:rsid w:val="00123398"/>
    <w:rsid w:val="0012346C"/>
    <w:rsid w:val="001236D4"/>
    <w:rsid w:val="00123701"/>
    <w:rsid w:val="001239D4"/>
    <w:rsid w:val="00123B93"/>
    <w:rsid w:val="00123E5E"/>
    <w:rsid w:val="00124054"/>
    <w:rsid w:val="00124063"/>
    <w:rsid w:val="0012408F"/>
    <w:rsid w:val="00124238"/>
    <w:rsid w:val="0012425C"/>
    <w:rsid w:val="001242B4"/>
    <w:rsid w:val="001243C9"/>
    <w:rsid w:val="001245F1"/>
    <w:rsid w:val="0012481C"/>
    <w:rsid w:val="0012499D"/>
    <w:rsid w:val="00124B0D"/>
    <w:rsid w:val="00124BD9"/>
    <w:rsid w:val="00124D59"/>
    <w:rsid w:val="00125134"/>
    <w:rsid w:val="00125297"/>
    <w:rsid w:val="00125340"/>
    <w:rsid w:val="00125357"/>
    <w:rsid w:val="0012555B"/>
    <w:rsid w:val="00125792"/>
    <w:rsid w:val="00125864"/>
    <w:rsid w:val="00125954"/>
    <w:rsid w:val="001259A9"/>
    <w:rsid w:val="00125BE9"/>
    <w:rsid w:val="00125BFF"/>
    <w:rsid w:val="00125C32"/>
    <w:rsid w:val="00125F29"/>
    <w:rsid w:val="00125F72"/>
    <w:rsid w:val="00125F92"/>
    <w:rsid w:val="001261F7"/>
    <w:rsid w:val="00126483"/>
    <w:rsid w:val="0012670F"/>
    <w:rsid w:val="00126774"/>
    <w:rsid w:val="0012677E"/>
    <w:rsid w:val="001267BB"/>
    <w:rsid w:val="00126AEF"/>
    <w:rsid w:val="00126C0D"/>
    <w:rsid w:val="00126C4D"/>
    <w:rsid w:val="00126E88"/>
    <w:rsid w:val="00127021"/>
    <w:rsid w:val="001270AE"/>
    <w:rsid w:val="0012714B"/>
    <w:rsid w:val="00127166"/>
    <w:rsid w:val="001271E2"/>
    <w:rsid w:val="00127214"/>
    <w:rsid w:val="0012742F"/>
    <w:rsid w:val="00127836"/>
    <w:rsid w:val="00127900"/>
    <w:rsid w:val="00127912"/>
    <w:rsid w:val="0012796D"/>
    <w:rsid w:val="00127A9E"/>
    <w:rsid w:val="00127AAD"/>
    <w:rsid w:val="00127AAE"/>
    <w:rsid w:val="00127BB6"/>
    <w:rsid w:val="00127DC7"/>
    <w:rsid w:val="00127F1A"/>
    <w:rsid w:val="0013001A"/>
    <w:rsid w:val="00130497"/>
    <w:rsid w:val="001305D5"/>
    <w:rsid w:val="0013087F"/>
    <w:rsid w:val="00130AED"/>
    <w:rsid w:val="00131100"/>
    <w:rsid w:val="00131165"/>
    <w:rsid w:val="001311F2"/>
    <w:rsid w:val="00131316"/>
    <w:rsid w:val="001315E1"/>
    <w:rsid w:val="001317A3"/>
    <w:rsid w:val="001317EC"/>
    <w:rsid w:val="00131996"/>
    <w:rsid w:val="00131A41"/>
    <w:rsid w:val="00131B89"/>
    <w:rsid w:val="00131BBA"/>
    <w:rsid w:val="00131C77"/>
    <w:rsid w:val="00131D34"/>
    <w:rsid w:val="00131DEB"/>
    <w:rsid w:val="00131EDE"/>
    <w:rsid w:val="00132465"/>
    <w:rsid w:val="001327C0"/>
    <w:rsid w:val="00132919"/>
    <w:rsid w:val="00132938"/>
    <w:rsid w:val="00132973"/>
    <w:rsid w:val="00132ACF"/>
    <w:rsid w:val="00132AFD"/>
    <w:rsid w:val="00132B4F"/>
    <w:rsid w:val="00132C3C"/>
    <w:rsid w:val="00132DDE"/>
    <w:rsid w:val="001330F2"/>
    <w:rsid w:val="00133102"/>
    <w:rsid w:val="00133206"/>
    <w:rsid w:val="0013335F"/>
    <w:rsid w:val="00133457"/>
    <w:rsid w:val="00133470"/>
    <w:rsid w:val="001335BA"/>
    <w:rsid w:val="00133914"/>
    <w:rsid w:val="00133939"/>
    <w:rsid w:val="00133B78"/>
    <w:rsid w:val="00133DFE"/>
    <w:rsid w:val="00133E18"/>
    <w:rsid w:val="00133FBF"/>
    <w:rsid w:val="00134022"/>
    <w:rsid w:val="001340B3"/>
    <w:rsid w:val="001340F7"/>
    <w:rsid w:val="001341A6"/>
    <w:rsid w:val="0013422D"/>
    <w:rsid w:val="001343CF"/>
    <w:rsid w:val="001345D4"/>
    <w:rsid w:val="001347CE"/>
    <w:rsid w:val="001349B8"/>
    <w:rsid w:val="001349FB"/>
    <w:rsid w:val="00134ACF"/>
    <w:rsid w:val="00134C3A"/>
    <w:rsid w:val="00134C46"/>
    <w:rsid w:val="00134CB0"/>
    <w:rsid w:val="00134D71"/>
    <w:rsid w:val="00134FBE"/>
    <w:rsid w:val="00135089"/>
    <w:rsid w:val="001351C9"/>
    <w:rsid w:val="00135226"/>
    <w:rsid w:val="0013540E"/>
    <w:rsid w:val="00135431"/>
    <w:rsid w:val="00135454"/>
    <w:rsid w:val="001354B2"/>
    <w:rsid w:val="001356EF"/>
    <w:rsid w:val="0013571D"/>
    <w:rsid w:val="0013585B"/>
    <w:rsid w:val="001358A3"/>
    <w:rsid w:val="0013593B"/>
    <w:rsid w:val="00135B3B"/>
    <w:rsid w:val="00135B8A"/>
    <w:rsid w:val="00135C0E"/>
    <w:rsid w:val="00135C96"/>
    <w:rsid w:val="00135F1C"/>
    <w:rsid w:val="001361E3"/>
    <w:rsid w:val="0013625E"/>
    <w:rsid w:val="00136368"/>
    <w:rsid w:val="001366B9"/>
    <w:rsid w:val="001367D7"/>
    <w:rsid w:val="0013684D"/>
    <w:rsid w:val="00136A90"/>
    <w:rsid w:val="00136B89"/>
    <w:rsid w:val="00136CC9"/>
    <w:rsid w:val="00136D6F"/>
    <w:rsid w:val="00136D84"/>
    <w:rsid w:val="00136F02"/>
    <w:rsid w:val="00136F71"/>
    <w:rsid w:val="001371FE"/>
    <w:rsid w:val="0013724D"/>
    <w:rsid w:val="001372B7"/>
    <w:rsid w:val="001376A3"/>
    <w:rsid w:val="001378C6"/>
    <w:rsid w:val="00137C5C"/>
    <w:rsid w:val="00137E87"/>
    <w:rsid w:val="001400EB"/>
    <w:rsid w:val="0014017A"/>
    <w:rsid w:val="00140276"/>
    <w:rsid w:val="00140316"/>
    <w:rsid w:val="0014032F"/>
    <w:rsid w:val="0014069A"/>
    <w:rsid w:val="00140737"/>
    <w:rsid w:val="001407E6"/>
    <w:rsid w:val="001409B9"/>
    <w:rsid w:val="00140A32"/>
    <w:rsid w:val="00140EFF"/>
    <w:rsid w:val="00140F55"/>
    <w:rsid w:val="0014110B"/>
    <w:rsid w:val="00141297"/>
    <w:rsid w:val="001413D5"/>
    <w:rsid w:val="001413FD"/>
    <w:rsid w:val="00141580"/>
    <w:rsid w:val="00141982"/>
    <w:rsid w:val="00141A7E"/>
    <w:rsid w:val="00141D85"/>
    <w:rsid w:val="00141DC3"/>
    <w:rsid w:val="00141E54"/>
    <w:rsid w:val="00141EBF"/>
    <w:rsid w:val="0014201E"/>
    <w:rsid w:val="00142098"/>
    <w:rsid w:val="0014235C"/>
    <w:rsid w:val="001423EA"/>
    <w:rsid w:val="0014263D"/>
    <w:rsid w:val="0014264F"/>
    <w:rsid w:val="00142816"/>
    <w:rsid w:val="001428E2"/>
    <w:rsid w:val="001429EC"/>
    <w:rsid w:val="00142AB7"/>
    <w:rsid w:val="00142BD1"/>
    <w:rsid w:val="00142BFE"/>
    <w:rsid w:val="00142C6D"/>
    <w:rsid w:val="00142CB2"/>
    <w:rsid w:val="00142F0E"/>
    <w:rsid w:val="001431C1"/>
    <w:rsid w:val="001431F8"/>
    <w:rsid w:val="00143376"/>
    <w:rsid w:val="001434D7"/>
    <w:rsid w:val="00143672"/>
    <w:rsid w:val="00143799"/>
    <w:rsid w:val="00143C02"/>
    <w:rsid w:val="00143C7F"/>
    <w:rsid w:val="00143EBD"/>
    <w:rsid w:val="00143F09"/>
    <w:rsid w:val="00143FAA"/>
    <w:rsid w:val="001441BE"/>
    <w:rsid w:val="0014431C"/>
    <w:rsid w:val="0014431E"/>
    <w:rsid w:val="00144363"/>
    <w:rsid w:val="001443F0"/>
    <w:rsid w:val="0014449B"/>
    <w:rsid w:val="0014451C"/>
    <w:rsid w:val="00144657"/>
    <w:rsid w:val="00144710"/>
    <w:rsid w:val="0014472D"/>
    <w:rsid w:val="001449EC"/>
    <w:rsid w:val="00144ADE"/>
    <w:rsid w:val="00144BA1"/>
    <w:rsid w:val="00144C62"/>
    <w:rsid w:val="00144D09"/>
    <w:rsid w:val="00144E72"/>
    <w:rsid w:val="00144F58"/>
    <w:rsid w:val="00145438"/>
    <w:rsid w:val="001455F1"/>
    <w:rsid w:val="00145687"/>
    <w:rsid w:val="00145843"/>
    <w:rsid w:val="001458A3"/>
    <w:rsid w:val="00145939"/>
    <w:rsid w:val="001459EB"/>
    <w:rsid w:val="00145A42"/>
    <w:rsid w:val="00145ACF"/>
    <w:rsid w:val="00145CDC"/>
    <w:rsid w:val="0014608F"/>
    <w:rsid w:val="00146124"/>
    <w:rsid w:val="00146301"/>
    <w:rsid w:val="0014631F"/>
    <w:rsid w:val="00146466"/>
    <w:rsid w:val="00146580"/>
    <w:rsid w:val="0014658E"/>
    <w:rsid w:val="001465FC"/>
    <w:rsid w:val="0014662D"/>
    <w:rsid w:val="001467FB"/>
    <w:rsid w:val="00146860"/>
    <w:rsid w:val="00146912"/>
    <w:rsid w:val="001469A7"/>
    <w:rsid w:val="00146AED"/>
    <w:rsid w:val="00146E62"/>
    <w:rsid w:val="00146FEB"/>
    <w:rsid w:val="001470A2"/>
    <w:rsid w:val="00147186"/>
    <w:rsid w:val="001471D4"/>
    <w:rsid w:val="001472E9"/>
    <w:rsid w:val="0014738F"/>
    <w:rsid w:val="001473EC"/>
    <w:rsid w:val="0014758E"/>
    <w:rsid w:val="001475F8"/>
    <w:rsid w:val="00147B30"/>
    <w:rsid w:val="00147F2E"/>
    <w:rsid w:val="001501CA"/>
    <w:rsid w:val="001501D7"/>
    <w:rsid w:val="00150241"/>
    <w:rsid w:val="00150477"/>
    <w:rsid w:val="00150674"/>
    <w:rsid w:val="001506D4"/>
    <w:rsid w:val="001507D3"/>
    <w:rsid w:val="001507F6"/>
    <w:rsid w:val="0015090C"/>
    <w:rsid w:val="0015091C"/>
    <w:rsid w:val="00150966"/>
    <w:rsid w:val="001509D9"/>
    <w:rsid w:val="001509DF"/>
    <w:rsid w:val="00150CC1"/>
    <w:rsid w:val="00150E18"/>
    <w:rsid w:val="001510C8"/>
    <w:rsid w:val="00151179"/>
    <w:rsid w:val="001511C7"/>
    <w:rsid w:val="0015132A"/>
    <w:rsid w:val="00151659"/>
    <w:rsid w:val="00151688"/>
    <w:rsid w:val="001517A7"/>
    <w:rsid w:val="00151A67"/>
    <w:rsid w:val="00151D2A"/>
    <w:rsid w:val="0015203B"/>
    <w:rsid w:val="001521B7"/>
    <w:rsid w:val="00152225"/>
    <w:rsid w:val="0015278A"/>
    <w:rsid w:val="00152812"/>
    <w:rsid w:val="00152923"/>
    <w:rsid w:val="00152A1D"/>
    <w:rsid w:val="00152B55"/>
    <w:rsid w:val="00152E9D"/>
    <w:rsid w:val="00152F65"/>
    <w:rsid w:val="001530D5"/>
    <w:rsid w:val="00153465"/>
    <w:rsid w:val="0015346B"/>
    <w:rsid w:val="0015346E"/>
    <w:rsid w:val="00153512"/>
    <w:rsid w:val="00153544"/>
    <w:rsid w:val="0015382E"/>
    <w:rsid w:val="001538EF"/>
    <w:rsid w:val="0015395C"/>
    <w:rsid w:val="00153EF1"/>
    <w:rsid w:val="00154170"/>
    <w:rsid w:val="00154175"/>
    <w:rsid w:val="001541DF"/>
    <w:rsid w:val="00154275"/>
    <w:rsid w:val="001544DF"/>
    <w:rsid w:val="00154511"/>
    <w:rsid w:val="00154653"/>
    <w:rsid w:val="001546E2"/>
    <w:rsid w:val="00154864"/>
    <w:rsid w:val="00154870"/>
    <w:rsid w:val="00154915"/>
    <w:rsid w:val="00154A59"/>
    <w:rsid w:val="00154B04"/>
    <w:rsid w:val="00154C57"/>
    <w:rsid w:val="00155605"/>
    <w:rsid w:val="0015582C"/>
    <w:rsid w:val="00155900"/>
    <w:rsid w:val="00155905"/>
    <w:rsid w:val="0015596A"/>
    <w:rsid w:val="00155BC7"/>
    <w:rsid w:val="00155D90"/>
    <w:rsid w:val="00155E6C"/>
    <w:rsid w:val="00155F84"/>
    <w:rsid w:val="00155FA8"/>
    <w:rsid w:val="00156097"/>
    <w:rsid w:val="001561C0"/>
    <w:rsid w:val="00156222"/>
    <w:rsid w:val="001562D6"/>
    <w:rsid w:val="00156440"/>
    <w:rsid w:val="001564F7"/>
    <w:rsid w:val="0015652A"/>
    <w:rsid w:val="0015675A"/>
    <w:rsid w:val="001567C5"/>
    <w:rsid w:val="0015691B"/>
    <w:rsid w:val="00156AD3"/>
    <w:rsid w:val="00156F7E"/>
    <w:rsid w:val="00156FF7"/>
    <w:rsid w:val="00157142"/>
    <w:rsid w:val="001572AD"/>
    <w:rsid w:val="001573BD"/>
    <w:rsid w:val="001575F6"/>
    <w:rsid w:val="00157682"/>
    <w:rsid w:val="0015779B"/>
    <w:rsid w:val="0015779D"/>
    <w:rsid w:val="001577EE"/>
    <w:rsid w:val="00157874"/>
    <w:rsid w:val="00157946"/>
    <w:rsid w:val="0015795F"/>
    <w:rsid w:val="00157AD4"/>
    <w:rsid w:val="00157BE9"/>
    <w:rsid w:val="00157EEF"/>
    <w:rsid w:val="0016017F"/>
    <w:rsid w:val="001602E9"/>
    <w:rsid w:val="00160305"/>
    <w:rsid w:val="0016030D"/>
    <w:rsid w:val="0016083B"/>
    <w:rsid w:val="001609A7"/>
    <w:rsid w:val="001609D9"/>
    <w:rsid w:val="001609FF"/>
    <w:rsid w:val="00160C67"/>
    <w:rsid w:val="00160CDA"/>
    <w:rsid w:val="00160D7E"/>
    <w:rsid w:val="00160F75"/>
    <w:rsid w:val="001611B1"/>
    <w:rsid w:val="00161261"/>
    <w:rsid w:val="00161678"/>
    <w:rsid w:val="001616AD"/>
    <w:rsid w:val="001616DC"/>
    <w:rsid w:val="0016185F"/>
    <w:rsid w:val="001619AF"/>
    <w:rsid w:val="00161AB9"/>
    <w:rsid w:val="00161AEE"/>
    <w:rsid w:val="00161C55"/>
    <w:rsid w:val="00161CC3"/>
    <w:rsid w:val="00161F0C"/>
    <w:rsid w:val="0016218B"/>
    <w:rsid w:val="001621B6"/>
    <w:rsid w:val="00162333"/>
    <w:rsid w:val="001624B5"/>
    <w:rsid w:val="001625E8"/>
    <w:rsid w:val="00162622"/>
    <w:rsid w:val="00162769"/>
    <w:rsid w:val="00162781"/>
    <w:rsid w:val="001627A4"/>
    <w:rsid w:val="001627F2"/>
    <w:rsid w:val="001629D9"/>
    <w:rsid w:val="00162B1E"/>
    <w:rsid w:val="00162D18"/>
    <w:rsid w:val="00162DC6"/>
    <w:rsid w:val="00162F13"/>
    <w:rsid w:val="00162F66"/>
    <w:rsid w:val="00162F75"/>
    <w:rsid w:val="00163101"/>
    <w:rsid w:val="0016340E"/>
    <w:rsid w:val="0016361C"/>
    <w:rsid w:val="001636B2"/>
    <w:rsid w:val="001637DB"/>
    <w:rsid w:val="00163923"/>
    <w:rsid w:val="0016399B"/>
    <w:rsid w:val="00163B31"/>
    <w:rsid w:val="00163BBD"/>
    <w:rsid w:val="00163C42"/>
    <w:rsid w:val="00163C7A"/>
    <w:rsid w:val="00163CCC"/>
    <w:rsid w:val="00163D65"/>
    <w:rsid w:val="00163E01"/>
    <w:rsid w:val="00163E45"/>
    <w:rsid w:val="00163F9B"/>
    <w:rsid w:val="00163FB5"/>
    <w:rsid w:val="00164178"/>
    <w:rsid w:val="00164202"/>
    <w:rsid w:val="00164330"/>
    <w:rsid w:val="00164477"/>
    <w:rsid w:val="0016459C"/>
    <w:rsid w:val="0016464D"/>
    <w:rsid w:val="00164707"/>
    <w:rsid w:val="001649CB"/>
    <w:rsid w:val="00164AB8"/>
    <w:rsid w:val="00164C46"/>
    <w:rsid w:val="00164F5E"/>
    <w:rsid w:val="0016540A"/>
    <w:rsid w:val="0016561A"/>
    <w:rsid w:val="001656EF"/>
    <w:rsid w:val="00165A2C"/>
    <w:rsid w:val="00165C60"/>
    <w:rsid w:val="00165D31"/>
    <w:rsid w:val="00165DDB"/>
    <w:rsid w:val="00165E24"/>
    <w:rsid w:val="00165E49"/>
    <w:rsid w:val="001661A0"/>
    <w:rsid w:val="00166257"/>
    <w:rsid w:val="00166283"/>
    <w:rsid w:val="0016647E"/>
    <w:rsid w:val="00166512"/>
    <w:rsid w:val="001665F1"/>
    <w:rsid w:val="00166C77"/>
    <w:rsid w:val="00166DE8"/>
    <w:rsid w:val="00166F51"/>
    <w:rsid w:val="00167036"/>
    <w:rsid w:val="00167099"/>
    <w:rsid w:val="001670FA"/>
    <w:rsid w:val="001672A9"/>
    <w:rsid w:val="0016740C"/>
    <w:rsid w:val="00167426"/>
    <w:rsid w:val="001676DB"/>
    <w:rsid w:val="001679FF"/>
    <w:rsid w:val="00167C23"/>
    <w:rsid w:val="00167C6F"/>
    <w:rsid w:val="00167C92"/>
    <w:rsid w:val="00167C9A"/>
    <w:rsid w:val="00167EB4"/>
    <w:rsid w:val="00167FC1"/>
    <w:rsid w:val="00170065"/>
    <w:rsid w:val="001700B8"/>
    <w:rsid w:val="0017013D"/>
    <w:rsid w:val="00170328"/>
    <w:rsid w:val="001703CD"/>
    <w:rsid w:val="00170407"/>
    <w:rsid w:val="00170596"/>
    <w:rsid w:val="001705DD"/>
    <w:rsid w:val="001706DF"/>
    <w:rsid w:val="001707B7"/>
    <w:rsid w:val="001707EE"/>
    <w:rsid w:val="001708BC"/>
    <w:rsid w:val="00170954"/>
    <w:rsid w:val="00170B2F"/>
    <w:rsid w:val="00170BCA"/>
    <w:rsid w:val="00170C80"/>
    <w:rsid w:val="00170CCA"/>
    <w:rsid w:val="00170F49"/>
    <w:rsid w:val="00170F5F"/>
    <w:rsid w:val="00171081"/>
    <w:rsid w:val="0017126E"/>
    <w:rsid w:val="00171380"/>
    <w:rsid w:val="001713F2"/>
    <w:rsid w:val="00171403"/>
    <w:rsid w:val="00171509"/>
    <w:rsid w:val="001716B1"/>
    <w:rsid w:val="001716F8"/>
    <w:rsid w:val="001717CA"/>
    <w:rsid w:val="0017184F"/>
    <w:rsid w:val="00171A7D"/>
    <w:rsid w:val="00171C3F"/>
    <w:rsid w:val="00171D0B"/>
    <w:rsid w:val="00171D6E"/>
    <w:rsid w:val="00171E30"/>
    <w:rsid w:val="00171E59"/>
    <w:rsid w:val="00171FBF"/>
    <w:rsid w:val="001722B5"/>
    <w:rsid w:val="001722B7"/>
    <w:rsid w:val="0017252D"/>
    <w:rsid w:val="00172579"/>
    <w:rsid w:val="00172617"/>
    <w:rsid w:val="00172806"/>
    <w:rsid w:val="001728CE"/>
    <w:rsid w:val="001729F3"/>
    <w:rsid w:val="00172A67"/>
    <w:rsid w:val="00172AB2"/>
    <w:rsid w:val="00172B67"/>
    <w:rsid w:val="00172C69"/>
    <w:rsid w:val="00172DF3"/>
    <w:rsid w:val="00172E1E"/>
    <w:rsid w:val="00172F59"/>
    <w:rsid w:val="001731E9"/>
    <w:rsid w:val="00173250"/>
    <w:rsid w:val="001732F6"/>
    <w:rsid w:val="0017364C"/>
    <w:rsid w:val="0017378A"/>
    <w:rsid w:val="001737BC"/>
    <w:rsid w:val="001737F7"/>
    <w:rsid w:val="001737FE"/>
    <w:rsid w:val="00173815"/>
    <w:rsid w:val="0017387A"/>
    <w:rsid w:val="00173A5C"/>
    <w:rsid w:val="00173B1E"/>
    <w:rsid w:val="00173BEB"/>
    <w:rsid w:val="00173BF3"/>
    <w:rsid w:val="00173C7D"/>
    <w:rsid w:val="00173C9A"/>
    <w:rsid w:val="00173CA2"/>
    <w:rsid w:val="00173DB2"/>
    <w:rsid w:val="001740C3"/>
    <w:rsid w:val="00174128"/>
    <w:rsid w:val="00174177"/>
    <w:rsid w:val="0017432C"/>
    <w:rsid w:val="0017434E"/>
    <w:rsid w:val="0017458C"/>
    <w:rsid w:val="00174590"/>
    <w:rsid w:val="00174A0F"/>
    <w:rsid w:val="00174B6A"/>
    <w:rsid w:val="00174D60"/>
    <w:rsid w:val="00174DFE"/>
    <w:rsid w:val="00174FE3"/>
    <w:rsid w:val="0017503B"/>
    <w:rsid w:val="001754B2"/>
    <w:rsid w:val="00175523"/>
    <w:rsid w:val="001758D0"/>
    <w:rsid w:val="00175944"/>
    <w:rsid w:val="00175959"/>
    <w:rsid w:val="00175C9B"/>
    <w:rsid w:val="00175D7C"/>
    <w:rsid w:val="00175D8D"/>
    <w:rsid w:val="00175D93"/>
    <w:rsid w:val="00175EBB"/>
    <w:rsid w:val="00175F25"/>
    <w:rsid w:val="00175FF5"/>
    <w:rsid w:val="00176405"/>
    <w:rsid w:val="0017658A"/>
    <w:rsid w:val="001765D7"/>
    <w:rsid w:val="00176696"/>
    <w:rsid w:val="00176802"/>
    <w:rsid w:val="00176875"/>
    <w:rsid w:val="0017688F"/>
    <w:rsid w:val="001769C9"/>
    <w:rsid w:val="00176A83"/>
    <w:rsid w:val="00176D95"/>
    <w:rsid w:val="00176F09"/>
    <w:rsid w:val="00176FBD"/>
    <w:rsid w:val="00176FE7"/>
    <w:rsid w:val="00177110"/>
    <w:rsid w:val="00177450"/>
    <w:rsid w:val="00177599"/>
    <w:rsid w:val="001776CB"/>
    <w:rsid w:val="00177857"/>
    <w:rsid w:val="001778E2"/>
    <w:rsid w:val="00177A1B"/>
    <w:rsid w:val="00177A9E"/>
    <w:rsid w:val="00177AC7"/>
    <w:rsid w:val="00177AD5"/>
    <w:rsid w:val="00177B66"/>
    <w:rsid w:val="00177B76"/>
    <w:rsid w:val="00180089"/>
    <w:rsid w:val="001800B5"/>
    <w:rsid w:val="0018015B"/>
    <w:rsid w:val="001803E4"/>
    <w:rsid w:val="00180599"/>
    <w:rsid w:val="001806D9"/>
    <w:rsid w:val="0018075F"/>
    <w:rsid w:val="0018092C"/>
    <w:rsid w:val="00180B2A"/>
    <w:rsid w:val="00180B4F"/>
    <w:rsid w:val="00180B78"/>
    <w:rsid w:val="00180E03"/>
    <w:rsid w:val="00181238"/>
    <w:rsid w:val="0018141B"/>
    <w:rsid w:val="0018156F"/>
    <w:rsid w:val="001815A9"/>
    <w:rsid w:val="0018161B"/>
    <w:rsid w:val="0018168E"/>
    <w:rsid w:val="001817E5"/>
    <w:rsid w:val="00181A0B"/>
    <w:rsid w:val="00181AA9"/>
    <w:rsid w:val="001820BF"/>
    <w:rsid w:val="00182243"/>
    <w:rsid w:val="001824CE"/>
    <w:rsid w:val="0018253B"/>
    <w:rsid w:val="001828B9"/>
    <w:rsid w:val="001829F7"/>
    <w:rsid w:val="00182ADD"/>
    <w:rsid w:val="00182E73"/>
    <w:rsid w:val="00182E8E"/>
    <w:rsid w:val="00182F6A"/>
    <w:rsid w:val="00183055"/>
    <w:rsid w:val="001831C1"/>
    <w:rsid w:val="00183389"/>
    <w:rsid w:val="001833D3"/>
    <w:rsid w:val="001834AE"/>
    <w:rsid w:val="001834F2"/>
    <w:rsid w:val="001834FE"/>
    <w:rsid w:val="00183801"/>
    <w:rsid w:val="0018381E"/>
    <w:rsid w:val="0018383B"/>
    <w:rsid w:val="00183AFB"/>
    <w:rsid w:val="0018420D"/>
    <w:rsid w:val="00184253"/>
    <w:rsid w:val="00184344"/>
    <w:rsid w:val="001843A2"/>
    <w:rsid w:val="001843DA"/>
    <w:rsid w:val="0018451E"/>
    <w:rsid w:val="0018455F"/>
    <w:rsid w:val="001847D9"/>
    <w:rsid w:val="00184857"/>
    <w:rsid w:val="00184D43"/>
    <w:rsid w:val="00184E26"/>
    <w:rsid w:val="001853CD"/>
    <w:rsid w:val="001853D4"/>
    <w:rsid w:val="001854BB"/>
    <w:rsid w:val="0018552F"/>
    <w:rsid w:val="001855E9"/>
    <w:rsid w:val="001857D9"/>
    <w:rsid w:val="00185A98"/>
    <w:rsid w:val="00185BD9"/>
    <w:rsid w:val="00185C56"/>
    <w:rsid w:val="00185C82"/>
    <w:rsid w:val="00185D19"/>
    <w:rsid w:val="00185FD7"/>
    <w:rsid w:val="00186157"/>
    <w:rsid w:val="00186224"/>
    <w:rsid w:val="001862DE"/>
    <w:rsid w:val="00186326"/>
    <w:rsid w:val="001863CE"/>
    <w:rsid w:val="001866FB"/>
    <w:rsid w:val="00186750"/>
    <w:rsid w:val="00186EF8"/>
    <w:rsid w:val="00186F5F"/>
    <w:rsid w:val="00186FD7"/>
    <w:rsid w:val="0018702A"/>
    <w:rsid w:val="00187384"/>
    <w:rsid w:val="00187504"/>
    <w:rsid w:val="00187570"/>
    <w:rsid w:val="00187716"/>
    <w:rsid w:val="00187879"/>
    <w:rsid w:val="0018789D"/>
    <w:rsid w:val="00187940"/>
    <w:rsid w:val="00187CEC"/>
    <w:rsid w:val="00187DAD"/>
    <w:rsid w:val="00187EBA"/>
    <w:rsid w:val="00187F70"/>
    <w:rsid w:val="00187FCB"/>
    <w:rsid w:val="001902C2"/>
    <w:rsid w:val="00190477"/>
    <w:rsid w:val="001904F3"/>
    <w:rsid w:val="001905A4"/>
    <w:rsid w:val="00190785"/>
    <w:rsid w:val="00190890"/>
    <w:rsid w:val="00190942"/>
    <w:rsid w:val="001909FD"/>
    <w:rsid w:val="00190B7C"/>
    <w:rsid w:val="00190D66"/>
    <w:rsid w:val="00190EE0"/>
    <w:rsid w:val="00190F1F"/>
    <w:rsid w:val="00191006"/>
    <w:rsid w:val="0019107E"/>
    <w:rsid w:val="001911D7"/>
    <w:rsid w:val="001911F3"/>
    <w:rsid w:val="001915E9"/>
    <w:rsid w:val="001917D8"/>
    <w:rsid w:val="001918ED"/>
    <w:rsid w:val="00191D21"/>
    <w:rsid w:val="00191D25"/>
    <w:rsid w:val="00191DF9"/>
    <w:rsid w:val="00191EBF"/>
    <w:rsid w:val="00191F7D"/>
    <w:rsid w:val="0019210A"/>
    <w:rsid w:val="00192199"/>
    <w:rsid w:val="00192249"/>
    <w:rsid w:val="0019224B"/>
    <w:rsid w:val="001923F8"/>
    <w:rsid w:val="00192556"/>
    <w:rsid w:val="00192605"/>
    <w:rsid w:val="00192868"/>
    <w:rsid w:val="00192A4D"/>
    <w:rsid w:val="00192D99"/>
    <w:rsid w:val="00192EE1"/>
    <w:rsid w:val="00193162"/>
    <w:rsid w:val="001931D4"/>
    <w:rsid w:val="001932FE"/>
    <w:rsid w:val="001933B3"/>
    <w:rsid w:val="00193829"/>
    <w:rsid w:val="00193C86"/>
    <w:rsid w:val="00193D4B"/>
    <w:rsid w:val="00193DEA"/>
    <w:rsid w:val="001943D6"/>
    <w:rsid w:val="00194545"/>
    <w:rsid w:val="00194551"/>
    <w:rsid w:val="00194577"/>
    <w:rsid w:val="0019461A"/>
    <w:rsid w:val="001946FC"/>
    <w:rsid w:val="00194839"/>
    <w:rsid w:val="0019488C"/>
    <w:rsid w:val="001948C6"/>
    <w:rsid w:val="001949FD"/>
    <w:rsid w:val="00194E33"/>
    <w:rsid w:val="0019513E"/>
    <w:rsid w:val="0019517D"/>
    <w:rsid w:val="001954BA"/>
    <w:rsid w:val="001955E7"/>
    <w:rsid w:val="0019573F"/>
    <w:rsid w:val="00195958"/>
    <w:rsid w:val="00195C78"/>
    <w:rsid w:val="00195F9D"/>
    <w:rsid w:val="00195FFE"/>
    <w:rsid w:val="00196137"/>
    <w:rsid w:val="0019638C"/>
    <w:rsid w:val="00196707"/>
    <w:rsid w:val="0019671E"/>
    <w:rsid w:val="00196845"/>
    <w:rsid w:val="00196960"/>
    <w:rsid w:val="0019699B"/>
    <w:rsid w:val="00196AB7"/>
    <w:rsid w:val="00197098"/>
    <w:rsid w:val="00197322"/>
    <w:rsid w:val="00197349"/>
    <w:rsid w:val="001973DB"/>
    <w:rsid w:val="0019768D"/>
    <w:rsid w:val="00197760"/>
    <w:rsid w:val="001977B4"/>
    <w:rsid w:val="00197896"/>
    <w:rsid w:val="001978A8"/>
    <w:rsid w:val="001978C8"/>
    <w:rsid w:val="001979D6"/>
    <w:rsid w:val="001979E4"/>
    <w:rsid w:val="00197D18"/>
    <w:rsid w:val="00197D53"/>
    <w:rsid w:val="00197D75"/>
    <w:rsid w:val="00197FE4"/>
    <w:rsid w:val="001A02D5"/>
    <w:rsid w:val="001A02F8"/>
    <w:rsid w:val="001A0340"/>
    <w:rsid w:val="001A0763"/>
    <w:rsid w:val="001A07B1"/>
    <w:rsid w:val="001A0821"/>
    <w:rsid w:val="001A082C"/>
    <w:rsid w:val="001A0A48"/>
    <w:rsid w:val="001A0A76"/>
    <w:rsid w:val="001A0C4C"/>
    <w:rsid w:val="001A0CC1"/>
    <w:rsid w:val="001A0D08"/>
    <w:rsid w:val="001A0E53"/>
    <w:rsid w:val="001A0E93"/>
    <w:rsid w:val="001A0EC7"/>
    <w:rsid w:val="001A1373"/>
    <w:rsid w:val="001A13EA"/>
    <w:rsid w:val="001A1430"/>
    <w:rsid w:val="001A14F5"/>
    <w:rsid w:val="001A158F"/>
    <w:rsid w:val="001A1B3E"/>
    <w:rsid w:val="001A1C10"/>
    <w:rsid w:val="001A1CFA"/>
    <w:rsid w:val="001A20ED"/>
    <w:rsid w:val="001A20F3"/>
    <w:rsid w:val="001A227F"/>
    <w:rsid w:val="001A2317"/>
    <w:rsid w:val="001A2549"/>
    <w:rsid w:val="001A27A8"/>
    <w:rsid w:val="001A296A"/>
    <w:rsid w:val="001A2B12"/>
    <w:rsid w:val="001A2FAB"/>
    <w:rsid w:val="001A331D"/>
    <w:rsid w:val="001A3330"/>
    <w:rsid w:val="001A34B5"/>
    <w:rsid w:val="001A37FB"/>
    <w:rsid w:val="001A38AB"/>
    <w:rsid w:val="001A397E"/>
    <w:rsid w:val="001A3DB0"/>
    <w:rsid w:val="001A3DCA"/>
    <w:rsid w:val="001A3FDD"/>
    <w:rsid w:val="001A4059"/>
    <w:rsid w:val="001A42E9"/>
    <w:rsid w:val="001A457A"/>
    <w:rsid w:val="001A45D8"/>
    <w:rsid w:val="001A46A0"/>
    <w:rsid w:val="001A47F0"/>
    <w:rsid w:val="001A4A9B"/>
    <w:rsid w:val="001A4AB5"/>
    <w:rsid w:val="001A4C52"/>
    <w:rsid w:val="001A4C63"/>
    <w:rsid w:val="001A4CBB"/>
    <w:rsid w:val="001A529F"/>
    <w:rsid w:val="001A5471"/>
    <w:rsid w:val="001A54FC"/>
    <w:rsid w:val="001A569B"/>
    <w:rsid w:val="001A5700"/>
    <w:rsid w:val="001A58F9"/>
    <w:rsid w:val="001A5BDD"/>
    <w:rsid w:val="001A5CC6"/>
    <w:rsid w:val="001A5D89"/>
    <w:rsid w:val="001A5E4B"/>
    <w:rsid w:val="001A6080"/>
    <w:rsid w:val="001A6093"/>
    <w:rsid w:val="001A60DE"/>
    <w:rsid w:val="001A6121"/>
    <w:rsid w:val="001A6155"/>
    <w:rsid w:val="001A61EF"/>
    <w:rsid w:val="001A62E4"/>
    <w:rsid w:val="001A637F"/>
    <w:rsid w:val="001A63CE"/>
    <w:rsid w:val="001A6440"/>
    <w:rsid w:val="001A65DF"/>
    <w:rsid w:val="001A65F8"/>
    <w:rsid w:val="001A663A"/>
    <w:rsid w:val="001A674F"/>
    <w:rsid w:val="001A69B9"/>
    <w:rsid w:val="001A6B16"/>
    <w:rsid w:val="001A6BB5"/>
    <w:rsid w:val="001A6C12"/>
    <w:rsid w:val="001A6F73"/>
    <w:rsid w:val="001A70C4"/>
    <w:rsid w:val="001A728D"/>
    <w:rsid w:val="001A7368"/>
    <w:rsid w:val="001A75B0"/>
    <w:rsid w:val="001A7634"/>
    <w:rsid w:val="001A767E"/>
    <w:rsid w:val="001A769A"/>
    <w:rsid w:val="001A77A3"/>
    <w:rsid w:val="001A78B9"/>
    <w:rsid w:val="001A79E9"/>
    <w:rsid w:val="001A7B7D"/>
    <w:rsid w:val="001A7D5D"/>
    <w:rsid w:val="001A7EE7"/>
    <w:rsid w:val="001A7EFF"/>
    <w:rsid w:val="001A7FE2"/>
    <w:rsid w:val="001A7FE3"/>
    <w:rsid w:val="001B005A"/>
    <w:rsid w:val="001B0152"/>
    <w:rsid w:val="001B04B3"/>
    <w:rsid w:val="001B05D3"/>
    <w:rsid w:val="001B062B"/>
    <w:rsid w:val="001B092A"/>
    <w:rsid w:val="001B0966"/>
    <w:rsid w:val="001B0B03"/>
    <w:rsid w:val="001B0B4B"/>
    <w:rsid w:val="001B0BFC"/>
    <w:rsid w:val="001B0CFA"/>
    <w:rsid w:val="001B0D70"/>
    <w:rsid w:val="001B0EF0"/>
    <w:rsid w:val="001B1126"/>
    <w:rsid w:val="001B119C"/>
    <w:rsid w:val="001B11A7"/>
    <w:rsid w:val="001B120D"/>
    <w:rsid w:val="001B12B6"/>
    <w:rsid w:val="001B1495"/>
    <w:rsid w:val="001B14E0"/>
    <w:rsid w:val="001B1545"/>
    <w:rsid w:val="001B1729"/>
    <w:rsid w:val="001B1829"/>
    <w:rsid w:val="001B1925"/>
    <w:rsid w:val="001B1C4C"/>
    <w:rsid w:val="001B1C6D"/>
    <w:rsid w:val="001B1E17"/>
    <w:rsid w:val="001B1E36"/>
    <w:rsid w:val="001B1F47"/>
    <w:rsid w:val="001B20C2"/>
    <w:rsid w:val="001B218F"/>
    <w:rsid w:val="001B2291"/>
    <w:rsid w:val="001B2636"/>
    <w:rsid w:val="001B27BD"/>
    <w:rsid w:val="001B280C"/>
    <w:rsid w:val="001B290A"/>
    <w:rsid w:val="001B2C65"/>
    <w:rsid w:val="001B2DAA"/>
    <w:rsid w:val="001B2DE3"/>
    <w:rsid w:val="001B2E8C"/>
    <w:rsid w:val="001B31BA"/>
    <w:rsid w:val="001B3322"/>
    <w:rsid w:val="001B339E"/>
    <w:rsid w:val="001B33BE"/>
    <w:rsid w:val="001B33C1"/>
    <w:rsid w:val="001B36A3"/>
    <w:rsid w:val="001B3851"/>
    <w:rsid w:val="001B39ED"/>
    <w:rsid w:val="001B3DEB"/>
    <w:rsid w:val="001B3DF8"/>
    <w:rsid w:val="001B3F70"/>
    <w:rsid w:val="001B3F9F"/>
    <w:rsid w:val="001B405C"/>
    <w:rsid w:val="001B4060"/>
    <w:rsid w:val="001B41F0"/>
    <w:rsid w:val="001B4219"/>
    <w:rsid w:val="001B4414"/>
    <w:rsid w:val="001B44A1"/>
    <w:rsid w:val="001B45C6"/>
    <w:rsid w:val="001B4611"/>
    <w:rsid w:val="001B4960"/>
    <w:rsid w:val="001B49F0"/>
    <w:rsid w:val="001B4A02"/>
    <w:rsid w:val="001B4D44"/>
    <w:rsid w:val="001B5259"/>
    <w:rsid w:val="001B5261"/>
    <w:rsid w:val="001B54C3"/>
    <w:rsid w:val="001B54F8"/>
    <w:rsid w:val="001B5541"/>
    <w:rsid w:val="001B564B"/>
    <w:rsid w:val="001B57C1"/>
    <w:rsid w:val="001B5835"/>
    <w:rsid w:val="001B5841"/>
    <w:rsid w:val="001B58FA"/>
    <w:rsid w:val="001B5974"/>
    <w:rsid w:val="001B5A32"/>
    <w:rsid w:val="001B5A40"/>
    <w:rsid w:val="001B5C01"/>
    <w:rsid w:val="001B5F09"/>
    <w:rsid w:val="001B6154"/>
    <w:rsid w:val="001B6190"/>
    <w:rsid w:val="001B628F"/>
    <w:rsid w:val="001B62A8"/>
    <w:rsid w:val="001B6609"/>
    <w:rsid w:val="001B664A"/>
    <w:rsid w:val="001B6829"/>
    <w:rsid w:val="001B6AAF"/>
    <w:rsid w:val="001B6C5A"/>
    <w:rsid w:val="001B6D22"/>
    <w:rsid w:val="001B6F74"/>
    <w:rsid w:val="001B7061"/>
    <w:rsid w:val="001B75C8"/>
    <w:rsid w:val="001B7706"/>
    <w:rsid w:val="001B7A59"/>
    <w:rsid w:val="001B7C50"/>
    <w:rsid w:val="001B7C5C"/>
    <w:rsid w:val="001C026C"/>
    <w:rsid w:val="001C02CD"/>
    <w:rsid w:val="001C0467"/>
    <w:rsid w:val="001C05B0"/>
    <w:rsid w:val="001C05CC"/>
    <w:rsid w:val="001C05F4"/>
    <w:rsid w:val="001C0635"/>
    <w:rsid w:val="001C0794"/>
    <w:rsid w:val="001C0815"/>
    <w:rsid w:val="001C09FD"/>
    <w:rsid w:val="001C0B6E"/>
    <w:rsid w:val="001C0D1B"/>
    <w:rsid w:val="001C0D23"/>
    <w:rsid w:val="001C0E7A"/>
    <w:rsid w:val="001C0EE4"/>
    <w:rsid w:val="001C0F4E"/>
    <w:rsid w:val="001C1006"/>
    <w:rsid w:val="001C10FF"/>
    <w:rsid w:val="001C1298"/>
    <w:rsid w:val="001C14DA"/>
    <w:rsid w:val="001C15B7"/>
    <w:rsid w:val="001C177E"/>
    <w:rsid w:val="001C191B"/>
    <w:rsid w:val="001C1975"/>
    <w:rsid w:val="001C1C06"/>
    <w:rsid w:val="001C1C6B"/>
    <w:rsid w:val="001C1C73"/>
    <w:rsid w:val="001C1C9C"/>
    <w:rsid w:val="001C1CD3"/>
    <w:rsid w:val="001C1D5C"/>
    <w:rsid w:val="001C1E3E"/>
    <w:rsid w:val="001C1E84"/>
    <w:rsid w:val="001C1FBB"/>
    <w:rsid w:val="001C2119"/>
    <w:rsid w:val="001C211A"/>
    <w:rsid w:val="001C24D2"/>
    <w:rsid w:val="001C250C"/>
    <w:rsid w:val="001C25CA"/>
    <w:rsid w:val="001C27E2"/>
    <w:rsid w:val="001C2829"/>
    <w:rsid w:val="001C291A"/>
    <w:rsid w:val="001C2991"/>
    <w:rsid w:val="001C29A7"/>
    <w:rsid w:val="001C2C8F"/>
    <w:rsid w:val="001C2CB5"/>
    <w:rsid w:val="001C2EC5"/>
    <w:rsid w:val="001C2F15"/>
    <w:rsid w:val="001C3014"/>
    <w:rsid w:val="001C3162"/>
    <w:rsid w:val="001C318A"/>
    <w:rsid w:val="001C3448"/>
    <w:rsid w:val="001C382F"/>
    <w:rsid w:val="001C39B6"/>
    <w:rsid w:val="001C39DF"/>
    <w:rsid w:val="001C3A8D"/>
    <w:rsid w:val="001C3AAC"/>
    <w:rsid w:val="001C3BF5"/>
    <w:rsid w:val="001C3C6A"/>
    <w:rsid w:val="001C3C75"/>
    <w:rsid w:val="001C3D5F"/>
    <w:rsid w:val="001C3E26"/>
    <w:rsid w:val="001C4368"/>
    <w:rsid w:val="001C445F"/>
    <w:rsid w:val="001C44CA"/>
    <w:rsid w:val="001C457B"/>
    <w:rsid w:val="001C48D8"/>
    <w:rsid w:val="001C4929"/>
    <w:rsid w:val="001C4B17"/>
    <w:rsid w:val="001C4BCD"/>
    <w:rsid w:val="001C4BEF"/>
    <w:rsid w:val="001C4C2D"/>
    <w:rsid w:val="001C500B"/>
    <w:rsid w:val="001C556E"/>
    <w:rsid w:val="001C566C"/>
    <w:rsid w:val="001C5700"/>
    <w:rsid w:val="001C5738"/>
    <w:rsid w:val="001C5A9B"/>
    <w:rsid w:val="001C5C4B"/>
    <w:rsid w:val="001C5CED"/>
    <w:rsid w:val="001C5E07"/>
    <w:rsid w:val="001C5EEF"/>
    <w:rsid w:val="001C5FE3"/>
    <w:rsid w:val="001C5FFA"/>
    <w:rsid w:val="001C615C"/>
    <w:rsid w:val="001C6483"/>
    <w:rsid w:val="001C66F3"/>
    <w:rsid w:val="001C67F9"/>
    <w:rsid w:val="001C6D3A"/>
    <w:rsid w:val="001C7114"/>
    <w:rsid w:val="001C7250"/>
    <w:rsid w:val="001C775D"/>
    <w:rsid w:val="001C7833"/>
    <w:rsid w:val="001C7AC0"/>
    <w:rsid w:val="001C7D42"/>
    <w:rsid w:val="001C7D56"/>
    <w:rsid w:val="001C7DE2"/>
    <w:rsid w:val="001C7F06"/>
    <w:rsid w:val="001C7F9A"/>
    <w:rsid w:val="001C7FE7"/>
    <w:rsid w:val="001D007E"/>
    <w:rsid w:val="001D00EF"/>
    <w:rsid w:val="001D01D3"/>
    <w:rsid w:val="001D03BE"/>
    <w:rsid w:val="001D03FC"/>
    <w:rsid w:val="001D0442"/>
    <w:rsid w:val="001D05AE"/>
    <w:rsid w:val="001D0887"/>
    <w:rsid w:val="001D09F4"/>
    <w:rsid w:val="001D0DBB"/>
    <w:rsid w:val="001D0E08"/>
    <w:rsid w:val="001D0F3F"/>
    <w:rsid w:val="001D1000"/>
    <w:rsid w:val="001D10DF"/>
    <w:rsid w:val="001D1465"/>
    <w:rsid w:val="001D14DB"/>
    <w:rsid w:val="001D1565"/>
    <w:rsid w:val="001D162B"/>
    <w:rsid w:val="001D172E"/>
    <w:rsid w:val="001D190B"/>
    <w:rsid w:val="001D1D67"/>
    <w:rsid w:val="001D1D73"/>
    <w:rsid w:val="001D1D87"/>
    <w:rsid w:val="001D1F33"/>
    <w:rsid w:val="001D202D"/>
    <w:rsid w:val="001D212B"/>
    <w:rsid w:val="001D226D"/>
    <w:rsid w:val="001D233A"/>
    <w:rsid w:val="001D23DE"/>
    <w:rsid w:val="001D2516"/>
    <w:rsid w:val="001D263B"/>
    <w:rsid w:val="001D26D8"/>
    <w:rsid w:val="001D2850"/>
    <w:rsid w:val="001D2A8A"/>
    <w:rsid w:val="001D2BA6"/>
    <w:rsid w:val="001D2CBE"/>
    <w:rsid w:val="001D2D60"/>
    <w:rsid w:val="001D2D84"/>
    <w:rsid w:val="001D2E4F"/>
    <w:rsid w:val="001D2EC5"/>
    <w:rsid w:val="001D302F"/>
    <w:rsid w:val="001D3039"/>
    <w:rsid w:val="001D308C"/>
    <w:rsid w:val="001D346D"/>
    <w:rsid w:val="001D34E0"/>
    <w:rsid w:val="001D35E1"/>
    <w:rsid w:val="001D3663"/>
    <w:rsid w:val="001D372C"/>
    <w:rsid w:val="001D3957"/>
    <w:rsid w:val="001D3A76"/>
    <w:rsid w:val="001D3B5E"/>
    <w:rsid w:val="001D3BE8"/>
    <w:rsid w:val="001D3C11"/>
    <w:rsid w:val="001D3CDF"/>
    <w:rsid w:val="001D3F1A"/>
    <w:rsid w:val="001D3F7B"/>
    <w:rsid w:val="001D40F4"/>
    <w:rsid w:val="001D4217"/>
    <w:rsid w:val="001D445C"/>
    <w:rsid w:val="001D4482"/>
    <w:rsid w:val="001D45A6"/>
    <w:rsid w:val="001D485F"/>
    <w:rsid w:val="001D4874"/>
    <w:rsid w:val="001D4BE9"/>
    <w:rsid w:val="001D4CB8"/>
    <w:rsid w:val="001D4DDD"/>
    <w:rsid w:val="001D4E3C"/>
    <w:rsid w:val="001D4E3F"/>
    <w:rsid w:val="001D4EA5"/>
    <w:rsid w:val="001D500F"/>
    <w:rsid w:val="001D5123"/>
    <w:rsid w:val="001D520C"/>
    <w:rsid w:val="001D52C7"/>
    <w:rsid w:val="001D5477"/>
    <w:rsid w:val="001D5865"/>
    <w:rsid w:val="001D5908"/>
    <w:rsid w:val="001D5919"/>
    <w:rsid w:val="001D5B30"/>
    <w:rsid w:val="001D5BFA"/>
    <w:rsid w:val="001D5E86"/>
    <w:rsid w:val="001D5EF1"/>
    <w:rsid w:val="001D5FB8"/>
    <w:rsid w:val="001D634A"/>
    <w:rsid w:val="001D64BF"/>
    <w:rsid w:val="001D68C7"/>
    <w:rsid w:val="001D6A21"/>
    <w:rsid w:val="001D6A5F"/>
    <w:rsid w:val="001D6C66"/>
    <w:rsid w:val="001D7113"/>
    <w:rsid w:val="001D7115"/>
    <w:rsid w:val="001D713F"/>
    <w:rsid w:val="001D7339"/>
    <w:rsid w:val="001D739C"/>
    <w:rsid w:val="001D73E1"/>
    <w:rsid w:val="001D75DA"/>
    <w:rsid w:val="001D76C3"/>
    <w:rsid w:val="001D793D"/>
    <w:rsid w:val="001D7AA2"/>
    <w:rsid w:val="001D7EB9"/>
    <w:rsid w:val="001D7F01"/>
    <w:rsid w:val="001D7F24"/>
    <w:rsid w:val="001D7F34"/>
    <w:rsid w:val="001E0051"/>
    <w:rsid w:val="001E0199"/>
    <w:rsid w:val="001E023F"/>
    <w:rsid w:val="001E037D"/>
    <w:rsid w:val="001E0553"/>
    <w:rsid w:val="001E0585"/>
    <w:rsid w:val="001E06AB"/>
    <w:rsid w:val="001E08E5"/>
    <w:rsid w:val="001E0C18"/>
    <w:rsid w:val="001E0CA4"/>
    <w:rsid w:val="001E0E00"/>
    <w:rsid w:val="001E0E05"/>
    <w:rsid w:val="001E177D"/>
    <w:rsid w:val="001E17CB"/>
    <w:rsid w:val="001E18D2"/>
    <w:rsid w:val="001E195D"/>
    <w:rsid w:val="001E19C7"/>
    <w:rsid w:val="001E1B7C"/>
    <w:rsid w:val="001E1C1D"/>
    <w:rsid w:val="001E1D87"/>
    <w:rsid w:val="001E1EBF"/>
    <w:rsid w:val="001E224C"/>
    <w:rsid w:val="001E2372"/>
    <w:rsid w:val="001E2545"/>
    <w:rsid w:val="001E2559"/>
    <w:rsid w:val="001E2631"/>
    <w:rsid w:val="001E271D"/>
    <w:rsid w:val="001E27BF"/>
    <w:rsid w:val="001E2820"/>
    <w:rsid w:val="001E2AF1"/>
    <w:rsid w:val="001E2CA1"/>
    <w:rsid w:val="001E3049"/>
    <w:rsid w:val="001E3422"/>
    <w:rsid w:val="001E3497"/>
    <w:rsid w:val="001E360B"/>
    <w:rsid w:val="001E363F"/>
    <w:rsid w:val="001E36D2"/>
    <w:rsid w:val="001E3728"/>
    <w:rsid w:val="001E3957"/>
    <w:rsid w:val="001E3965"/>
    <w:rsid w:val="001E3C26"/>
    <w:rsid w:val="001E3CF8"/>
    <w:rsid w:val="001E3EC1"/>
    <w:rsid w:val="001E4541"/>
    <w:rsid w:val="001E455C"/>
    <w:rsid w:val="001E4966"/>
    <w:rsid w:val="001E4AEE"/>
    <w:rsid w:val="001E4C9A"/>
    <w:rsid w:val="001E4CC1"/>
    <w:rsid w:val="001E4F3E"/>
    <w:rsid w:val="001E4FFD"/>
    <w:rsid w:val="001E523A"/>
    <w:rsid w:val="001E52A8"/>
    <w:rsid w:val="001E54D8"/>
    <w:rsid w:val="001E5564"/>
    <w:rsid w:val="001E5629"/>
    <w:rsid w:val="001E576A"/>
    <w:rsid w:val="001E5AEB"/>
    <w:rsid w:val="001E5E73"/>
    <w:rsid w:val="001E5FCF"/>
    <w:rsid w:val="001E602D"/>
    <w:rsid w:val="001E613D"/>
    <w:rsid w:val="001E61C3"/>
    <w:rsid w:val="001E624F"/>
    <w:rsid w:val="001E6331"/>
    <w:rsid w:val="001E640E"/>
    <w:rsid w:val="001E65A8"/>
    <w:rsid w:val="001E65B4"/>
    <w:rsid w:val="001E69BA"/>
    <w:rsid w:val="001E6AD1"/>
    <w:rsid w:val="001E6B3B"/>
    <w:rsid w:val="001E6B5C"/>
    <w:rsid w:val="001E6BC3"/>
    <w:rsid w:val="001E7169"/>
    <w:rsid w:val="001E71A8"/>
    <w:rsid w:val="001E7228"/>
    <w:rsid w:val="001E7264"/>
    <w:rsid w:val="001E72CC"/>
    <w:rsid w:val="001E7432"/>
    <w:rsid w:val="001E76F2"/>
    <w:rsid w:val="001E7BEA"/>
    <w:rsid w:val="001E7C67"/>
    <w:rsid w:val="001F0046"/>
    <w:rsid w:val="001F017C"/>
    <w:rsid w:val="001F023A"/>
    <w:rsid w:val="001F03AA"/>
    <w:rsid w:val="001F0502"/>
    <w:rsid w:val="001F054A"/>
    <w:rsid w:val="001F0593"/>
    <w:rsid w:val="001F05CE"/>
    <w:rsid w:val="001F067C"/>
    <w:rsid w:val="001F070D"/>
    <w:rsid w:val="001F08C1"/>
    <w:rsid w:val="001F0A81"/>
    <w:rsid w:val="001F0DEF"/>
    <w:rsid w:val="001F0F1D"/>
    <w:rsid w:val="001F1054"/>
    <w:rsid w:val="001F1117"/>
    <w:rsid w:val="001F1489"/>
    <w:rsid w:val="001F148A"/>
    <w:rsid w:val="001F1609"/>
    <w:rsid w:val="001F174E"/>
    <w:rsid w:val="001F1768"/>
    <w:rsid w:val="001F1A67"/>
    <w:rsid w:val="001F1B70"/>
    <w:rsid w:val="001F1EFD"/>
    <w:rsid w:val="001F1F12"/>
    <w:rsid w:val="001F1FA0"/>
    <w:rsid w:val="001F2020"/>
    <w:rsid w:val="001F20C3"/>
    <w:rsid w:val="001F2100"/>
    <w:rsid w:val="001F2141"/>
    <w:rsid w:val="001F21E2"/>
    <w:rsid w:val="001F23B6"/>
    <w:rsid w:val="001F2536"/>
    <w:rsid w:val="001F2612"/>
    <w:rsid w:val="001F27BC"/>
    <w:rsid w:val="001F2886"/>
    <w:rsid w:val="001F28BC"/>
    <w:rsid w:val="001F2926"/>
    <w:rsid w:val="001F2D50"/>
    <w:rsid w:val="001F2DEC"/>
    <w:rsid w:val="001F2DF9"/>
    <w:rsid w:val="001F30A3"/>
    <w:rsid w:val="001F3122"/>
    <w:rsid w:val="001F3248"/>
    <w:rsid w:val="001F32B6"/>
    <w:rsid w:val="001F3491"/>
    <w:rsid w:val="001F34C2"/>
    <w:rsid w:val="001F35CF"/>
    <w:rsid w:val="001F380A"/>
    <w:rsid w:val="001F3950"/>
    <w:rsid w:val="001F3A14"/>
    <w:rsid w:val="001F3C5B"/>
    <w:rsid w:val="001F3C62"/>
    <w:rsid w:val="001F3D46"/>
    <w:rsid w:val="001F3DB3"/>
    <w:rsid w:val="001F3FBE"/>
    <w:rsid w:val="001F43E9"/>
    <w:rsid w:val="001F45A6"/>
    <w:rsid w:val="001F4634"/>
    <w:rsid w:val="001F465D"/>
    <w:rsid w:val="001F486C"/>
    <w:rsid w:val="001F4964"/>
    <w:rsid w:val="001F4ADD"/>
    <w:rsid w:val="001F4B72"/>
    <w:rsid w:val="001F4FE3"/>
    <w:rsid w:val="001F51AB"/>
    <w:rsid w:val="001F5321"/>
    <w:rsid w:val="001F53E2"/>
    <w:rsid w:val="001F544F"/>
    <w:rsid w:val="001F5478"/>
    <w:rsid w:val="001F5515"/>
    <w:rsid w:val="001F57E0"/>
    <w:rsid w:val="001F5852"/>
    <w:rsid w:val="001F5A8F"/>
    <w:rsid w:val="001F5B22"/>
    <w:rsid w:val="001F5F63"/>
    <w:rsid w:val="001F6191"/>
    <w:rsid w:val="001F6356"/>
    <w:rsid w:val="001F64F9"/>
    <w:rsid w:val="001F67CC"/>
    <w:rsid w:val="001F683C"/>
    <w:rsid w:val="001F6A9C"/>
    <w:rsid w:val="001F6BFA"/>
    <w:rsid w:val="001F6D43"/>
    <w:rsid w:val="001F6EF5"/>
    <w:rsid w:val="001F6F63"/>
    <w:rsid w:val="001F70C3"/>
    <w:rsid w:val="001F71A4"/>
    <w:rsid w:val="001F73D1"/>
    <w:rsid w:val="001F7466"/>
    <w:rsid w:val="001F74C4"/>
    <w:rsid w:val="001F7719"/>
    <w:rsid w:val="001F780D"/>
    <w:rsid w:val="001F786B"/>
    <w:rsid w:val="001F79B6"/>
    <w:rsid w:val="001F7B0A"/>
    <w:rsid w:val="001F7DDF"/>
    <w:rsid w:val="001F7E99"/>
    <w:rsid w:val="001F7E9E"/>
    <w:rsid w:val="001F7FE2"/>
    <w:rsid w:val="002000EE"/>
    <w:rsid w:val="00200461"/>
    <w:rsid w:val="00200560"/>
    <w:rsid w:val="0020056A"/>
    <w:rsid w:val="002008EB"/>
    <w:rsid w:val="00200B96"/>
    <w:rsid w:val="00200BD2"/>
    <w:rsid w:val="00200C13"/>
    <w:rsid w:val="00200C86"/>
    <w:rsid w:val="00200CBC"/>
    <w:rsid w:val="00200D78"/>
    <w:rsid w:val="00200DD8"/>
    <w:rsid w:val="00200E1A"/>
    <w:rsid w:val="00201240"/>
    <w:rsid w:val="00201283"/>
    <w:rsid w:val="002012D9"/>
    <w:rsid w:val="0020158F"/>
    <w:rsid w:val="00201632"/>
    <w:rsid w:val="00201673"/>
    <w:rsid w:val="00201796"/>
    <w:rsid w:val="002018D1"/>
    <w:rsid w:val="00201A2F"/>
    <w:rsid w:val="00201B91"/>
    <w:rsid w:val="00201FB3"/>
    <w:rsid w:val="00202300"/>
    <w:rsid w:val="00202324"/>
    <w:rsid w:val="00202557"/>
    <w:rsid w:val="00202906"/>
    <w:rsid w:val="00202B11"/>
    <w:rsid w:val="00202D04"/>
    <w:rsid w:val="00202EF8"/>
    <w:rsid w:val="00202F45"/>
    <w:rsid w:val="0020332B"/>
    <w:rsid w:val="0020347C"/>
    <w:rsid w:val="0020352E"/>
    <w:rsid w:val="00203553"/>
    <w:rsid w:val="00203702"/>
    <w:rsid w:val="00203871"/>
    <w:rsid w:val="00203C43"/>
    <w:rsid w:val="00203ECC"/>
    <w:rsid w:val="00203F4A"/>
    <w:rsid w:val="00204011"/>
    <w:rsid w:val="002041BD"/>
    <w:rsid w:val="00204252"/>
    <w:rsid w:val="002044A2"/>
    <w:rsid w:val="00204599"/>
    <w:rsid w:val="00204607"/>
    <w:rsid w:val="002049BC"/>
    <w:rsid w:val="00204B75"/>
    <w:rsid w:val="00204C59"/>
    <w:rsid w:val="00204C63"/>
    <w:rsid w:val="00204D01"/>
    <w:rsid w:val="00204D1C"/>
    <w:rsid w:val="00204E2F"/>
    <w:rsid w:val="00204E3F"/>
    <w:rsid w:val="00204EC4"/>
    <w:rsid w:val="00204FA7"/>
    <w:rsid w:val="00205078"/>
    <w:rsid w:val="00205225"/>
    <w:rsid w:val="0020528B"/>
    <w:rsid w:val="002055A0"/>
    <w:rsid w:val="002055CF"/>
    <w:rsid w:val="00205640"/>
    <w:rsid w:val="00205647"/>
    <w:rsid w:val="002056C2"/>
    <w:rsid w:val="002058A0"/>
    <w:rsid w:val="00205B2D"/>
    <w:rsid w:val="00205BF4"/>
    <w:rsid w:val="00205C41"/>
    <w:rsid w:val="00205D08"/>
    <w:rsid w:val="00205D0C"/>
    <w:rsid w:val="00205DDE"/>
    <w:rsid w:val="00205E72"/>
    <w:rsid w:val="00205F81"/>
    <w:rsid w:val="0020604E"/>
    <w:rsid w:val="002063CE"/>
    <w:rsid w:val="00206655"/>
    <w:rsid w:val="002067F6"/>
    <w:rsid w:val="002068E2"/>
    <w:rsid w:val="00206ABC"/>
    <w:rsid w:val="00206C02"/>
    <w:rsid w:val="00206D70"/>
    <w:rsid w:val="00206E13"/>
    <w:rsid w:val="002070A0"/>
    <w:rsid w:val="002070AC"/>
    <w:rsid w:val="00207200"/>
    <w:rsid w:val="0020735F"/>
    <w:rsid w:val="00207548"/>
    <w:rsid w:val="002075D8"/>
    <w:rsid w:val="00207A81"/>
    <w:rsid w:val="00207B30"/>
    <w:rsid w:val="00207C55"/>
    <w:rsid w:val="00207DD8"/>
    <w:rsid w:val="00207DEA"/>
    <w:rsid w:val="00207E02"/>
    <w:rsid w:val="00210174"/>
    <w:rsid w:val="0021018D"/>
    <w:rsid w:val="002101C7"/>
    <w:rsid w:val="002101F5"/>
    <w:rsid w:val="0021039D"/>
    <w:rsid w:val="002104FA"/>
    <w:rsid w:val="002108B9"/>
    <w:rsid w:val="00210BAE"/>
    <w:rsid w:val="00210CD2"/>
    <w:rsid w:val="00210E51"/>
    <w:rsid w:val="00210FE8"/>
    <w:rsid w:val="00211260"/>
    <w:rsid w:val="00211394"/>
    <w:rsid w:val="002113FC"/>
    <w:rsid w:val="0021152D"/>
    <w:rsid w:val="0021168F"/>
    <w:rsid w:val="002116A3"/>
    <w:rsid w:val="00211944"/>
    <w:rsid w:val="002120FF"/>
    <w:rsid w:val="00212117"/>
    <w:rsid w:val="002121FF"/>
    <w:rsid w:val="00212371"/>
    <w:rsid w:val="002124CB"/>
    <w:rsid w:val="0021268A"/>
    <w:rsid w:val="002128B1"/>
    <w:rsid w:val="002129B1"/>
    <w:rsid w:val="00212C14"/>
    <w:rsid w:val="00213035"/>
    <w:rsid w:val="002133C5"/>
    <w:rsid w:val="002133CA"/>
    <w:rsid w:val="00213546"/>
    <w:rsid w:val="00213759"/>
    <w:rsid w:val="00213C78"/>
    <w:rsid w:val="00213E3A"/>
    <w:rsid w:val="00213F86"/>
    <w:rsid w:val="00214190"/>
    <w:rsid w:val="002143B1"/>
    <w:rsid w:val="002143D7"/>
    <w:rsid w:val="00214480"/>
    <w:rsid w:val="00214559"/>
    <w:rsid w:val="00214647"/>
    <w:rsid w:val="002148FE"/>
    <w:rsid w:val="00214963"/>
    <w:rsid w:val="00214B46"/>
    <w:rsid w:val="00214C15"/>
    <w:rsid w:val="00214D95"/>
    <w:rsid w:val="00214E29"/>
    <w:rsid w:val="00214F0C"/>
    <w:rsid w:val="002150D8"/>
    <w:rsid w:val="00215251"/>
    <w:rsid w:val="00215290"/>
    <w:rsid w:val="0021554C"/>
    <w:rsid w:val="00215585"/>
    <w:rsid w:val="002155B6"/>
    <w:rsid w:val="002157D1"/>
    <w:rsid w:val="00215843"/>
    <w:rsid w:val="00215863"/>
    <w:rsid w:val="00215F2F"/>
    <w:rsid w:val="00215FBF"/>
    <w:rsid w:val="0021605D"/>
    <w:rsid w:val="002160BC"/>
    <w:rsid w:val="00216120"/>
    <w:rsid w:val="0021621D"/>
    <w:rsid w:val="00216505"/>
    <w:rsid w:val="002165A8"/>
    <w:rsid w:val="0021690F"/>
    <w:rsid w:val="00216A4D"/>
    <w:rsid w:val="00216ADB"/>
    <w:rsid w:val="00216B24"/>
    <w:rsid w:val="00216F30"/>
    <w:rsid w:val="0021700E"/>
    <w:rsid w:val="00217020"/>
    <w:rsid w:val="002170C3"/>
    <w:rsid w:val="002172A7"/>
    <w:rsid w:val="002172F7"/>
    <w:rsid w:val="002173C4"/>
    <w:rsid w:val="00217509"/>
    <w:rsid w:val="002175AE"/>
    <w:rsid w:val="00217984"/>
    <w:rsid w:val="00217A9A"/>
    <w:rsid w:val="00217BF0"/>
    <w:rsid w:val="00217DA4"/>
    <w:rsid w:val="00217EB1"/>
    <w:rsid w:val="00220290"/>
    <w:rsid w:val="00220358"/>
    <w:rsid w:val="002207D9"/>
    <w:rsid w:val="00220AA4"/>
    <w:rsid w:val="00220E7C"/>
    <w:rsid w:val="0022166C"/>
    <w:rsid w:val="002216C2"/>
    <w:rsid w:val="002218B1"/>
    <w:rsid w:val="0022197D"/>
    <w:rsid w:val="00221B0A"/>
    <w:rsid w:val="00221B76"/>
    <w:rsid w:val="00221B95"/>
    <w:rsid w:val="00221BF0"/>
    <w:rsid w:val="00221C34"/>
    <w:rsid w:val="00221C56"/>
    <w:rsid w:val="00221C8C"/>
    <w:rsid w:val="00221D95"/>
    <w:rsid w:val="00221EF2"/>
    <w:rsid w:val="00221F2B"/>
    <w:rsid w:val="0022203E"/>
    <w:rsid w:val="00222124"/>
    <w:rsid w:val="002221B4"/>
    <w:rsid w:val="00222209"/>
    <w:rsid w:val="0022221B"/>
    <w:rsid w:val="00222323"/>
    <w:rsid w:val="00222352"/>
    <w:rsid w:val="00222412"/>
    <w:rsid w:val="0022241B"/>
    <w:rsid w:val="0022242A"/>
    <w:rsid w:val="00222608"/>
    <w:rsid w:val="00222B2A"/>
    <w:rsid w:val="00222B89"/>
    <w:rsid w:val="00222EB8"/>
    <w:rsid w:val="00223097"/>
    <w:rsid w:val="00223139"/>
    <w:rsid w:val="002231C0"/>
    <w:rsid w:val="00223446"/>
    <w:rsid w:val="002234BA"/>
    <w:rsid w:val="00223835"/>
    <w:rsid w:val="00223868"/>
    <w:rsid w:val="002238C4"/>
    <w:rsid w:val="002238F1"/>
    <w:rsid w:val="00223A2B"/>
    <w:rsid w:val="00223AF7"/>
    <w:rsid w:val="00223B0F"/>
    <w:rsid w:val="00223DBF"/>
    <w:rsid w:val="00223F53"/>
    <w:rsid w:val="0022402C"/>
    <w:rsid w:val="00224468"/>
    <w:rsid w:val="00224588"/>
    <w:rsid w:val="002245F6"/>
    <w:rsid w:val="00224684"/>
    <w:rsid w:val="0022493C"/>
    <w:rsid w:val="00225087"/>
    <w:rsid w:val="002251B7"/>
    <w:rsid w:val="0022543F"/>
    <w:rsid w:val="00225467"/>
    <w:rsid w:val="0022555D"/>
    <w:rsid w:val="0022557A"/>
    <w:rsid w:val="0022565B"/>
    <w:rsid w:val="00225891"/>
    <w:rsid w:val="00225B7A"/>
    <w:rsid w:val="00225C03"/>
    <w:rsid w:val="00225C2C"/>
    <w:rsid w:val="00225C46"/>
    <w:rsid w:val="00225C8B"/>
    <w:rsid w:val="00225CB8"/>
    <w:rsid w:val="00225FB4"/>
    <w:rsid w:val="002260C0"/>
    <w:rsid w:val="0022612A"/>
    <w:rsid w:val="0022618A"/>
    <w:rsid w:val="0022668D"/>
    <w:rsid w:val="002266CA"/>
    <w:rsid w:val="002266D7"/>
    <w:rsid w:val="00226D6C"/>
    <w:rsid w:val="00226DAE"/>
    <w:rsid w:val="00226E01"/>
    <w:rsid w:val="0022713B"/>
    <w:rsid w:val="00227307"/>
    <w:rsid w:val="0022740D"/>
    <w:rsid w:val="00227433"/>
    <w:rsid w:val="0022754C"/>
    <w:rsid w:val="00227B5E"/>
    <w:rsid w:val="00227C71"/>
    <w:rsid w:val="00227DD8"/>
    <w:rsid w:val="002301C1"/>
    <w:rsid w:val="0023048D"/>
    <w:rsid w:val="00230721"/>
    <w:rsid w:val="002307F2"/>
    <w:rsid w:val="00230C0F"/>
    <w:rsid w:val="00230DEA"/>
    <w:rsid w:val="00230E00"/>
    <w:rsid w:val="00230F4D"/>
    <w:rsid w:val="0023114B"/>
    <w:rsid w:val="002316AB"/>
    <w:rsid w:val="00231703"/>
    <w:rsid w:val="0023171F"/>
    <w:rsid w:val="00231821"/>
    <w:rsid w:val="002318FD"/>
    <w:rsid w:val="00231C34"/>
    <w:rsid w:val="00231E9A"/>
    <w:rsid w:val="00231F01"/>
    <w:rsid w:val="00231FDD"/>
    <w:rsid w:val="00232374"/>
    <w:rsid w:val="002324A1"/>
    <w:rsid w:val="002324FE"/>
    <w:rsid w:val="00232510"/>
    <w:rsid w:val="002325B1"/>
    <w:rsid w:val="002326E5"/>
    <w:rsid w:val="0023279E"/>
    <w:rsid w:val="002327F6"/>
    <w:rsid w:val="002328C1"/>
    <w:rsid w:val="00232923"/>
    <w:rsid w:val="0023297B"/>
    <w:rsid w:val="00232A86"/>
    <w:rsid w:val="00232B67"/>
    <w:rsid w:val="00232BA8"/>
    <w:rsid w:val="00232C44"/>
    <w:rsid w:val="00232C49"/>
    <w:rsid w:val="00232DD0"/>
    <w:rsid w:val="002330B1"/>
    <w:rsid w:val="002330C4"/>
    <w:rsid w:val="0023318D"/>
    <w:rsid w:val="00233682"/>
    <w:rsid w:val="002337D3"/>
    <w:rsid w:val="0023389F"/>
    <w:rsid w:val="00233973"/>
    <w:rsid w:val="00233992"/>
    <w:rsid w:val="00233ABF"/>
    <w:rsid w:val="00233B14"/>
    <w:rsid w:val="00233D62"/>
    <w:rsid w:val="00233D68"/>
    <w:rsid w:val="00233F7C"/>
    <w:rsid w:val="0023441F"/>
    <w:rsid w:val="0023447E"/>
    <w:rsid w:val="00234535"/>
    <w:rsid w:val="00234656"/>
    <w:rsid w:val="002346BE"/>
    <w:rsid w:val="00234848"/>
    <w:rsid w:val="0023488D"/>
    <w:rsid w:val="00234B36"/>
    <w:rsid w:val="00234CAF"/>
    <w:rsid w:val="00234CDE"/>
    <w:rsid w:val="00234DA8"/>
    <w:rsid w:val="00234E5E"/>
    <w:rsid w:val="00234F5A"/>
    <w:rsid w:val="002351A9"/>
    <w:rsid w:val="002351D9"/>
    <w:rsid w:val="0023539A"/>
    <w:rsid w:val="0023568C"/>
    <w:rsid w:val="00235770"/>
    <w:rsid w:val="0023581A"/>
    <w:rsid w:val="002359B2"/>
    <w:rsid w:val="002359C8"/>
    <w:rsid w:val="00235A93"/>
    <w:rsid w:val="00235AA9"/>
    <w:rsid w:val="00235C35"/>
    <w:rsid w:val="00235E23"/>
    <w:rsid w:val="00235E56"/>
    <w:rsid w:val="00235F1A"/>
    <w:rsid w:val="00235F91"/>
    <w:rsid w:val="00235F95"/>
    <w:rsid w:val="00235FC3"/>
    <w:rsid w:val="002360F1"/>
    <w:rsid w:val="00236163"/>
    <w:rsid w:val="0023640A"/>
    <w:rsid w:val="0023660F"/>
    <w:rsid w:val="002366A9"/>
    <w:rsid w:val="0023699E"/>
    <w:rsid w:val="00236BF6"/>
    <w:rsid w:val="00236C20"/>
    <w:rsid w:val="00236E04"/>
    <w:rsid w:val="00236E20"/>
    <w:rsid w:val="00236E4F"/>
    <w:rsid w:val="00236FD1"/>
    <w:rsid w:val="002377B6"/>
    <w:rsid w:val="0023789F"/>
    <w:rsid w:val="00237900"/>
    <w:rsid w:val="002379A1"/>
    <w:rsid w:val="00237A90"/>
    <w:rsid w:val="00237AE2"/>
    <w:rsid w:val="00237EEB"/>
    <w:rsid w:val="00237FA6"/>
    <w:rsid w:val="00237FD3"/>
    <w:rsid w:val="00237FEB"/>
    <w:rsid w:val="002401C3"/>
    <w:rsid w:val="002402F7"/>
    <w:rsid w:val="00240553"/>
    <w:rsid w:val="0024081B"/>
    <w:rsid w:val="00240887"/>
    <w:rsid w:val="00240954"/>
    <w:rsid w:val="00240B6B"/>
    <w:rsid w:val="00240C97"/>
    <w:rsid w:val="00240F50"/>
    <w:rsid w:val="00241196"/>
    <w:rsid w:val="002412FA"/>
    <w:rsid w:val="00241532"/>
    <w:rsid w:val="002415A5"/>
    <w:rsid w:val="00241658"/>
    <w:rsid w:val="002417F3"/>
    <w:rsid w:val="002418D3"/>
    <w:rsid w:val="00241C40"/>
    <w:rsid w:val="00241C69"/>
    <w:rsid w:val="00241DC2"/>
    <w:rsid w:val="00241ECE"/>
    <w:rsid w:val="00241FCB"/>
    <w:rsid w:val="00241FEE"/>
    <w:rsid w:val="0024211C"/>
    <w:rsid w:val="002421C5"/>
    <w:rsid w:val="00242474"/>
    <w:rsid w:val="00242530"/>
    <w:rsid w:val="002427D1"/>
    <w:rsid w:val="002427FB"/>
    <w:rsid w:val="0024288E"/>
    <w:rsid w:val="002428BC"/>
    <w:rsid w:val="00242921"/>
    <w:rsid w:val="00242A5D"/>
    <w:rsid w:val="0024316F"/>
    <w:rsid w:val="002431DD"/>
    <w:rsid w:val="00243344"/>
    <w:rsid w:val="0024361F"/>
    <w:rsid w:val="00243705"/>
    <w:rsid w:val="002439CC"/>
    <w:rsid w:val="00243B97"/>
    <w:rsid w:val="00243BE0"/>
    <w:rsid w:val="00243BF1"/>
    <w:rsid w:val="00243CB3"/>
    <w:rsid w:val="00243F40"/>
    <w:rsid w:val="00244366"/>
    <w:rsid w:val="00244412"/>
    <w:rsid w:val="0024446F"/>
    <w:rsid w:val="002444E9"/>
    <w:rsid w:val="00244510"/>
    <w:rsid w:val="0024455E"/>
    <w:rsid w:val="00244996"/>
    <w:rsid w:val="00244C98"/>
    <w:rsid w:val="00244C9C"/>
    <w:rsid w:val="00244EEC"/>
    <w:rsid w:val="00244F8E"/>
    <w:rsid w:val="0024504A"/>
    <w:rsid w:val="0024504B"/>
    <w:rsid w:val="002450B6"/>
    <w:rsid w:val="002454B0"/>
    <w:rsid w:val="00245702"/>
    <w:rsid w:val="0024578D"/>
    <w:rsid w:val="0024582A"/>
    <w:rsid w:val="0024583A"/>
    <w:rsid w:val="00245A33"/>
    <w:rsid w:val="00245A5F"/>
    <w:rsid w:val="00245BB8"/>
    <w:rsid w:val="00245BE1"/>
    <w:rsid w:val="00245E0B"/>
    <w:rsid w:val="00245F50"/>
    <w:rsid w:val="002460E4"/>
    <w:rsid w:val="0024615C"/>
    <w:rsid w:val="00246407"/>
    <w:rsid w:val="00246462"/>
    <w:rsid w:val="002468AE"/>
    <w:rsid w:val="00246B6A"/>
    <w:rsid w:val="00246C2D"/>
    <w:rsid w:val="00246D84"/>
    <w:rsid w:val="00246DB8"/>
    <w:rsid w:val="00246EAD"/>
    <w:rsid w:val="00246EE2"/>
    <w:rsid w:val="00247129"/>
    <w:rsid w:val="0024712B"/>
    <w:rsid w:val="002471B3"/>
    <w:rsid w:val="002471D0"/>
    <w:rsid w:val="002472E0"/>
    <w:rsid w:val="002474CC"/>
    <w:rsid w:val="0024762C"/>
    <w:rsid w:val="00247712"/>
    <w:rsid w:val="002478D3"/>
    <w:rsid w:val="002478FC"/>
    <w:rsid w:val="00247914"/>
    <w:rsid w:val="002479F0"/>
    <w:rsid w:val="00247B82"/>
    <w:rsid w:val="00247C79"/>
    <w:rsid w:val="00247CA3"/>
    <w:rsid w:val="00247D1A"/>
    <w:rsid w:val="00247DFC"/>
    <w:rsid w:val="00247E3F"/>
    <w:rsid w:val="00247E84"/>
    <w:rsid w:val="00250043"/>
    <w:rsid w:val="002501B8"/>
    <w:rsid w:val="0025021F"/>
    <w:rsid w:val="00250384"/>
    <w:rsid w:val="002503B1"/>
    <w:rsid w:val="002504A1"/>
    <w:rsid w:val="002504C5"/>
    <w:rsid w:val="00250577"/>
    <w:rsid w:val="002505B4"/>
    <w:rsid w:val="00250821"/>
    <w:rsid w:val="00250ACA"/>
    <w:rsid w:val="00250B2E"/>
    <w:rsid w:val="00250B66"/>
    <w:rsid w:val="00250C26"/>
    <w:rsid w:val="00250CB4"/>
    <w:rsid w:val="00251114"/>
    <w:rsid w:val="00251223"/>
    <w:rsid w:val="002513A5"/>
    <w:rsid w:val="0025141B"/>
    <w:rsid w:val="0025158F"/>
    <w:rsid w:val="00251597"/>
    <w:rsid w:val="002515EB"/>
    <w:rsid w:val="002517E0"/>
    <w:rsid w:val="00251818"/>
    <w:rsid w:val="00251951"/>
    <w:rsid w:val="00251B7C"/>
    <w:rsid w:val="00251CC2"/>
    <w:rsid w:val="00251F21"/>
    <w:rsid w:val="00252205"/>
    <w:rsid w:val="00252270"/>
    <w:rsid w:val="002523A8"/>
    <w:rsid w:val="002523F0"/>
    <w:rsid w:val="002524A4"/>
    <w:rsid w:val="002525C5"/>
    <w:rsid w:val="0025271B"/>
    <w:rsid w:val="002527A8"/>
    <w:rsid w:val="002527C5"/>
    <w:rsid w:val="002528ED"/>
    <w:rsid w:val="00252909"/>
    <w:rsid w:val="002529C7"/>
    <w:rsid w:val="00252A70"/>
    <w:rsid w:val="00252AB4"/>
    <w:rsid w:val="00252EA6"/>
    <w:rsid w:val="002530AD"/>
    <w:rsid w:val="00253553"/>
    <w:rsid w:val="002535E8"/>
    <w:rsid w:val="002537E8"/>
    <w:rsid w:val="002539AF"/>
    <w:rsid w:val="00253CFE"/>
    <w:rsid w:val="00253D66"/>
    <w:rsid w:val="00253D6A"/>
    <w:rsid w:val="00253DB5"/>
    <w:rsid w:val="00253F30"/>
    <w:rsid w:val="00254077"/>
    <w:rsid w:val="0025411C"/>
    <w:rsid w:val="00254134"/>
    <w:rsid w:val="002541A9"/>
    <w:rsid w:val="00254502"/>
    <w:rsid w:val="00254590"/>
    <w:rsid w:val="002545F3"/>
    <w:rsid w:val="002546F9"/>
    <w:rsid w:val="00254724"/>
    <w:rsid w:val="00254801"/>
    <w:rsid w:val="002548AE"/>
    <w:rsid w:val="00254A12"/>
    <w:rsid w:val="00254A48"/>
    <w:rsid w:val="00254A94"/>
    <w:rsid w:val="00254AA4"/>
    <w:rsid w:val="00254B1B"/>
    <w:rsid w:val="00254B80"/>
    <w:rsid w:val="00254D0D"/>
    <w:rsid w:val="00254EFD"/>
    <w:rsid w:val="00254F08"/>
    <w:rsid w:val="00254F4E"/>
    <w:rsid w:val="00254F51"/>
    <w:rsid w:val="00254FB6"/>
    <w:rsid w:val="00255303"/>
    <w:rsid w:val="00255489"/>
    <w:rsid w:val="002556B7"/>
    <w:rsid w:val="0025573B"/>
    <w:rsid w:val="00255A4D"/>
    <w:rsid w:val="00255C49"/>
    <w:rsid w:val="00255C4B"/>
    <w:rsid w:val="00255DDF"/>
    <w:rsid w:val="00255E75"/>
    <w:rsid w:val="00255F47"/>
    <w:rsid w:val="00256005"/>
    <w:rsid w:val="00256392"/>
    <w:rsid w:val="00256492"/>
    <w:rsid w:val="002567FF"/>
    <w:rsid w:val="0025684A"/>
    <w:rsid w:val="002569A1"/>
    <w:rsid w:val="00256B21"/>
    <w:rsid w:val="00256BB7"/>
    <w:rsid w:val="00256CAA"/>
    <w:rsid w:val="00256DC6"/>
    <w:rsid w:val="00256E4E"/>
    <w:rsid w:val="00256F79"/>
    <w:rsid w:val="002570FB"/>
    <w:rsid w:val="00257408"/>
    <w:rsid w:val="0025741D"/>
    <w:rsid w:val="002574D8"/>
    <w:rsid w:val="00257904"/>
    <w:rsid w:val="0025795D"/>
    <w:rsid w:val="00257A0F"/>
    <w:rsid w:val="00257B1B"/>
    <w:rsid w:val="00257CF5"/>
    <w:rsid w:val="00257E0F"/>
    <w:rsid w:val="00257E61"/>
    <w:rsid w:val="00257FA8"/>
    <w:rsid w:val="00260087"/>
    <w:rsid w:val="00260299"/>
    <w:rsid w:val="002603DF"/>
    <w:rsid w:val="002603F3"/>
    <w:rsid w:val="00260522"/>
    <w:rsid w:val="00260701"/>
    <w:rsid w:val="00260BE0"/>
    <w:rsid w:val="00260F79"/>
    <w:rsid w:val="00260FC1"/>
    <w:rsid w:val="00261007"/>
    <w:rsid w:val="00261287"/>
    <w:rsid w:val="002614B7"/>
    <w:rsid w:val="00261507"/>
    <w:rsid w:val="00261563"/>
    <w:rsid w:val="0026159F"/>
    <w:rsid w:val="002619BA"/>
    <w:rsid w:val="00261A2A"/>
    <w:rsid w:val="00261AE7"/>
    <w:rsid w:val="00261BC5"/>
    <w:rsid w:val="00261C2F"/>
    <w:rsid w:val="00261D3C"/>
    <w:rsid w:val="00261E33"/>
    <w:rsid w:val="00261EA5"/>
    <w:rsid w:val="00261EDD"/>
    <w:rsid w:val="002620E2"/>
    <w:rsid w:val="00262178"/>
    <w:rsid w:val="00262291"/>
    <w:rsid w:val="0026238E"/>
    <w:rsid w:val="00262411"/>
    <w:rsid w:val="00262415"/>
    <w:rsid w:val="0026256D"/>
    <w:rsid w:val="002627AE"/>
    <w:rsid w:val="00262845"/>
    <w:rsid w:val="0026288A"/>
    <w:rsid w:val="00262A6B"/>
    <w:rsid w:val="00262B86"/>
    <w:rsid w:val="00262D57"/>
    <w:rsid w:val="00262E5D"/>
    <w:rsid w:val="00262E6E"/>
    <w:rsid w:val="00262EF9"/>
    <w:rsid w:val="002631A9"/>
    <w:rsid w:val="00263215"/>
    <w:rsid w:val="00263348"/>
    <w:rsid w:val="0026357C"/>
    <w:rsid w:val="0026368E"/>
    <w:rsid w:val="002636E0"/>
    <w:rsid w:val="0026372D"/>
    <w:rsid w:val="0026388C"/>
    <w:rsid w:val="0026395E"/>
    <w:rsid w:val="00263AE5"/>
    <w:rsid w:val="00263BAA"/>
    <w:rsid w:val="00263BDC"/>
    <w:rsid w:val="00263BF7"/>
    <w:rsid w:val="00263C2C"/>
    <w:rsid w:val="00263E7D"/>
    <w:rsid w:val="00264057"/>
    <w:rsid w:val="002640C1"/>
    <w:rsid w:val="0026416F"/>
    <w:rsid w:val="002641AA"/>
    <w:rsid w:val="002641CA"/>
    <w:rsid w:val="002641F2"/>
    <w:rsid w:val="0026421D"/>
    <w:rsid w:val="002642F0"/>
    <w:rsid w:val="002642F6"/>
    <w:rsid w:val="00264319"/>
    <w:rsid w:val="002643BD"/>
    <w:rsid w:val="0026445D"/>
    <w:rsid w:val="00264494"/>
    <w:rsid w:val="0026459D"/>
    <w:rsid w:val="002646ED"/>
    <w:rsid w:val="00264869"/>
    <w:rsid w:val="00264A46"/>
    <w:rsid w:val="00264B3D"/>
    <w:rsid w:val="00264C92"/>
    <w:rsid w:val="00264D1E"/>
    <w:rsid w:val="00264D2E"/>
    <w:rsid w:val="00264D87"/>
    <w:rsid w:val="00264FB4"/>
    <w:rsid w:val="00264FE8"/>
    <w:rsid w:val="00265063"/>
    <w:rsid w:val="002650B8"/>
    <w:rsid w:val="00265209"/>
    <w:rsid w:val="0026543D"/>
    <w:rsid w:val="00265516"/>
    <w:rsid w:val="002655DF"/>
    <w:rsid w:val="002655EA"/>
    <w:rsid w:val="002656F2"/>
    <w:rsid w:val="0026574F"/>
    <w:rsid w:val="00265884"/>
    <w:rsid w:val="002658AC"/>
    <w:rsid w:val="002659B7"/>
    <w:rsid w:val="00265ADB"/>
    <w:rsid w:val="00265AE5"/>
    <w:rsid w:val="00265BC1"/>
    <w:rsid w:val="00265C07"/>
    <w:rsid w:val="00265D36"/>
    <w:rsid w:val="00265D42"/>
    <w:rsid w:val="00265D47"/>
    <w:rsid w:val="00265DEA"/>
    <w:rsid w:val="002660A1"/>
    <w:rsid w:val="00266258"/>
    <w:rsid w:val="002663EB"/>
    <w:rsid w:val="00266416"/>
    <w:rsid w:val="0026650D"/>
    <w:rsid w:val="00266680"/>
    <w:rsid w:val="002666CD"/>
    <w:rsid w:val="00266736"/>
    <w:rsid w:val="0026678C"/>
    <w:rsid w:val="002668F7"/>
    <w:rsid w:val="00266948"/>
    <w:rsid w:val="00266B4E"/>
    <w:rsid w:val="00266B9E"/>
    <w:rsid w:val="00266C7F"/>
    <w:rsid w:val="00266CEB"/>
    <w:rsid w:val="00266CFA"/>
    <w:rsid w:val="00267037"/>
    <w:rsid w:val="00267074"/>
    <w:rsid w:val="002670B2"/>
    <w:rsid w:val="002671FB"/>
    <w:rsid w:val="002673D9"/>
    <w:rsid w:val="0026742B"/>
    <w:rsid w:val="0026744D"/>
    <w:rsid w:val="002675B0"/>
    <w:rsid w:val="002675C7"/>
    <w:rsid w:val="00267850"/>
    <w:rsid w:val="00267950"/>
    <w:rsid w:val="00267B57"/>
    <w:rsid w:val="00267DE6"/>
    <w:rsid w:val="00267E65"/>
    <w:rsid w:val="00267E99"/>
    <w:rsid w:val="00267ED9"/>
    <w:rsid w:val="00267F49"/>
    <w:rsid w:val="00267F7F"/>
    <w:rsid w:val="00267FCB"/>
    <w:rsid w:val="00267FDE"/>
    <w:rsid w:val="002700FD"/>
    <w:rsid w:val="0027015F"/>
    <w:rsid w:val="002702B4"/>
    <w:rsid w:val="00270342"/>
    <w:rsid w:val="0027037A"/>
    <w:rsid w:val="00270512"/>
    <w:rsid w:val="0027066C"/>
    <w:rsid w:val="0027078E"/>
    <w:rsid w:val="002707FE"/>
    <w:rsid w:val="0027082F"/>
    <w:rsid w:val="00270989"/>
    <w:rsid w:val="00270C1E"/>
    <w:rsid w:val="00270C3E"/>
    <w:rsid w:val="00270C77"/>
    <w:rsid w:val="00270C86"/>
    <w:rsid w:val="00270E79"/>
    <w:rsid w:val="0027102E"/>
    <w:rsid w:val="0027118A"/>
    <w:rsid w:val="00271314"/>
    <w:rsid w:val="002715BD"/>
    <w:rsid w:val="002716A0"/>
    <w:rsid w:val="002718A1"/>
    <w:rsid w:val="00271AA1"/>
    <w:rsid w:val="00271C00"/>
    <w:rsid w:val="00271D7C"/>
    <w:rsid w:val="00271F68"/>
    <w:rsid w:val="00271F82"/>
    <w:rsid w:val="0027205B"/>
    <w:rsid w:val="00272099"/>
    <w:rsid w:val="002720D2"/>
    <w:rsid w:val="002721D4"/>
    <w:rsid w:val="002722E4"/>
    <w:rsid w:val="00272355"/>
    <w:rsid w:val="00272428"/>
    <w:rsid w:val="0027258A"/>
    <w:rsid w:val="002727D8"/>
    <w:rsid w:val="0027298B"/>
    <w:rsid w:val="00272994"/>
    <w:rsid w:val="00272D91"/>
    <w:rsid w:val="00272E2F"/>
    <w:rsid w:val="00272E3E"/>
    <w:rsid w:val="00272E6E"/>
    <w:rsid w:val="00273024"/>
    <w:rsid w:val="0027337C"/>
    <w:rsid w:val="00273476"/>
    <w:rsid w:val="00273642"/>
    <w:rsid w:val="00273893"/>
    <w:rsid w:val="002739F2"/>
    <w:rsid w:val="00273A3A"/>
    <w:rsid w:val="00273A57"/>
    <w:rsid w:val="00273B0C"/>
    <w:rsid w:val="00273BBD"/>
    <w:rsid w:val="00273CAC"/>
    <w:rsid w:val="00273D4A"/>
    <w:rsid w:val="00273D6D"/>
    <w:rsid w:val="00273DE5"/>
    <w:rsid w:val="00273F4E"/>
    <w:rsid w:val="00273FB4"/>
    <w:rsid w:val="002740FA"/>
    <w:rsid w:val="002741A5"/>
    <w:rsid w:val="0027435E"/>
    <w:rsid w:val="002746B6"/>
    <w:rsid w:val="00274D2C"/>
    <w:rsid w:val="00274E25"/>
    <w:rsid w:val="00275831"/>
    <w:rsid w:val="0027593D"/>
    <w:rsid w:val="00275AAD"/>
    <w:rsid w:val="00275BE6"/>
    <w:rsid w:val="00275CF6"/>
    <w:rsid w:val="00275E35"/>
    <w:rsid w:val="00275F0B"/>
    <w:rsid w:val="00275F93"/>
    <w:rsid w:val="002761AC"/>
    <w:rsid w:val="002761B4"/>
    <w:rsid w:val="002761DD"/>
    <w:rsid w:val="0027645D"/>
    <w:rsid w:val="002765C0"/>
    <w:rsid w:val="002768E3"/>
    <w:rsid w:val="002768EE"/>
    <w:rsid w:val="00276AF4"/>
    <w:rsid w:val="00276BDD"/>
    <w:rsid w:val="00276CEB"/>
    <w:rsid w:val="00276D86"/>
    <w:rsid w:val="00276DB3"/>
    <w:rsid w:val="00277135"/>
    <w:rsid w:val="0027713F"/>
    <w:rsid w:val="00277226"/>
    <w:rsid w:val="00277272"/>
    <w:rsid w:val="002772AD"/>
    <w:rsid w:val="00277427"/>
    <w:rsid w:val="002775BF"/>
    <w:rsid w:val="00277720"/>
    <w:rsid w:val="002777F7"/>
    <w:rsid w:val="00277985"/>
    <w:rsid w:val="002779B1"/>
    <w:rsid w:val="00277AB0"/>
    <w:rsid w:val="00277B06"/>
    <w:rsid w:val="00277BC8"/>
    <w:rsid w:val="00277C46"/>
    <w:rsid w:val="00277C72"/>
    <w:rsid w:val="00277D5E"/>
    <w:rsid w:val="00277E9C"/>
    <w:rsid w:val="00277ECD"/>
    <w:rsid w:val="00277F69"/>
    <w:rsid w:val="00277FCC"/>
    <w:rsid w:val="00280122"/>
    <w:rsid w:val="00280225"/>
    <w:rsid w:val="0028022C"/>
    <w:rsid w:val="002802E9"/>
    <w:rsid w:val="00280426"/>
    <w:rsid w:val="00280577"/>
    <w:rsid w:val="00280659"/>
    <w:rsid w:val="0028098B"/>
    <w:rsid w:val="00280A34"/>
    <w:rsid w:val="00280A9B"/>
    <w:rsid w:val="00280DD1"/>
    <w:rsid w:val="00280E29"/>
    <w:rsid w:val="00280EC3"/>
    <w:rsid w:val="00280ECC"/>
    <w:rsid w:val="00280EDD"/>
    <w:rsid w:val="0028126B"/>
    <w:rsid w:val="002812A9"/>
    <w:rsid w:val="0028143A"/>
    <w:rsid w:val="002816E0"/>
    <w:rsid w:val="002819CD"/>
    <w:rsid w:val="00281E79"/>
    <w:rsid w:val="00282082"/>
    <w:rsid w:val="00282089"/>
    <w:rsid w:val="0028208C"/>
    <w:rsid w:val="00282176"/>
    <w:rsid w:val="002821D1"/>
    <w:rsid w:val="0028229B"/>
    <w:rsid w:val="0028236C"/>
    <w:rsid w:val="00282384"/>
    <w:rsid w:val="0028266C"/>
    <w:rsid w:val="00282843"/>
    <w:rsid w:val="00282855"/>
    <w:rsid w:val="0028292C"/>
    <w:rsid w:val="002829A6"/>
    <w:rsid w:val="00282CBA"/>
    <w:rsid w:val="00282F34"/>
    <w:rsid w:val="00282F40"/>
    <w:rsid w:val="00283153"/>
    <w:rsid w:val="00283178"/>
    <w:rsid w:val="00283284"/>
    <w:rsid w:val="0028332E"/>
    <w:rsid w:val="002833F8"/>
    <w:rsid w:val="002834C5"/>
    <w:rsid w:val="00283531"/>
    <w:rsid w:val="002838B2"/>
    <w:rsid w:val="00283E4A"/>
    <w:rsid w:val="00283F70"/>
    <w:rsid w:val="0028410C"/>
    <w:rsid w:val="00284376"/>
    <w:rsid w:val="002843B1"/>
    <w:rsid w:val="0028461B"/>
    <w:rsid w:val="0028467F"/>
    <w:rsid w:val="0028475A"/>
    <w:rsid w:val="0028492E"/>
    <w:rsid w:val="0028494A"/>
    <w:rsid w:val="002849B6"/>
    <w:rsid w:val="002849D7"/>
    <w:rsid w:val="00284A03"/>
    <w:rsid w:val="00284A9D"/>
    <w:rsid w:val="00284AB3"/>
    <w:rsid w:val="00284D75"/>
    <w:rsid w:val="00284DA7"/>
    <w:rsid w:val="00284DB4"/>
    <w:rsid w:val="00284E47"/>
    <w:rsid w:val="00284E6D"/>
    <w:rsid w:val="00284EFF"/>
    <w:rsid w:val="00284FD9"/>
    <w:rsid w:val="00285151"/>
    <w:rsid w:val="002851BD"/>
    <w:rsid w:val="002852AC"/>
    <w:rsid w:val="0028548D"/>
    <w:rsid w:val="002854A6"/>
    <w:rsid w:val="002854CD"/>
    <w:rsid w:val="0028572D"/>
    <w:rsid w:val="0028576F"/>
    <w:rsid w:val="0028583E"/>
    <w:rsid w:val="00285946"/>
    <w:rsid w:val="002859FE"/>
    <w:rsid w:val="00285C1F"/>
    <w:rsid w:val="00285C23"/>
    <w:rsid w:val="00285D2C"/>
    <w:rsid w:val="00286470"/>
    <w:rsid w:val="0028647F"/>
    <w:rsid w:val="002865AE"/>
    <w:rsid w:val="00286641"/>
    <w:rsid w:val="002867C4"/>
    <w:rsid w:val="0028692E"/>
    <w:rsid w:val="00286987"/>
    <w:rsid w:val="00286B5E"/>
    <w:rsid w:val="00286BD6"/>
    <w:rsid w:val="002871EC"/>
    <w:rsid w:val="0028738D"/>
    <w:rsid w:val="002873E8"/>
    <w:rsid w:val="0028761A"/>
    <w:rsid w:val="002877F1"/>
    <w:rsid w:val="00287B06"/>
    <w:rsid w:val="00287C1C"/>
    <w:rsid w:val="00287CFD"/>
    <w:rsid w:val="00287EF2"/>
    <w:rsid w:val="00290054"/>
    <w:rsid w:val="00290095"/>
    <w:rsid w:val="002901F5"/>
    <w:rsid w:val="00290201"/>
    <w:rsid w:val="0029020C"/>
    <w:rsid w:val="002902D8"/>
    <w:rsid w:val="002903B0"/>
    <w:rsid w:val="00290449"/>
    <w:rsid w:val="0029046E"/>
    <w:rsid w:val="002905A3"/>
    <w:rsid w:val="0029079F"/>
    <w:rsid w:val="002907A6"/>
    <w:rsid w:val="00290849"/>
    <w:rsid w:val="0029087E"/>
    <w:rsid w:val="00290997"/>
    <w:rsid w:val="00290AF8"/>
    <w:rsid w:val="00290BC6"/>
    <w:rsid w:val="00290D7B"/>
    <w:rsid w:val="002910B4"/>
    <w:rsid w:val="00291187"/>
    <w:rsid w:val="0029132C"/>
    <w:rsid w:val="00291507"/>
    <w:rsid w:val="00291559"/>
    <w:rsid w:val="0029156D"/>
    <w:rsid w:val="00291573"/>
    <w:rsid w:val="002916EF"/>
    <w:rsid w:val="00291714"/>
    <w:rsid w:val="00291826"/>
    <w:rsid w:val="00291A72"/>
    <w:rsid w:val="00291D64"/>
    <w:rsid w:val="00291EEB"/>
    <w:rsid w:val="00292111"/>
    <w:rsid w:val="0029229E"/>
    <w:rsid w:val="002922DB"/>
    <w:rsid w:val="00292477"/>
    <w:rsid w:val="002925B2"/>
    <w:rsid w:val="00292785"/>
    <w:rsid w:val="0029281D"/>
    <w:rsid w:val="002929D8"/>
    <w:rsid w:val="00292E24"/>
    <w:rsid w:val="00292E71"/>
    <w:rsid w:val="00292E85"/>
    <w:rsid w:val="00292F8A"/>
    <w:rsid w:val="00293732"/>
    <w:rsid w:val="00293A13"/>
    <w:rsid w:val="00293A19"/>
    <w:rsid w:val="00293A31"/>
    <w:rsid w:val="00293B3C"/>
    <w:rsid w:val="00293B8D"/>
    <w:rsid w:val="00293BBB"/>
    <w:rsid w:val="00293C5A"/>
    <w:rsid w:val="00293DA7"/>
    <w:rsid w:val="00294192"/>
    <w:rsid w:val="002941DA"/>
    <w:rsid w:val="00294222"/>
    <w:rsid w:val="00294251"/>
    <w:rsid w:val="00294255"/>
    <w:rsid w:val="0029440E"/>
    <w:rsid w:val="00294506"/>
    <w:rsid w:val="00294AA0"/>
    <w:rsid w:val="00294B62"/>
    <w:rsid w:val="00294BE1"/>
    <w:rsid w:val="00294BED"/>
    <w:rsid w:val="00294C19"/>
    <w:rsid w:val="00294D36"/>
    <w:rsid w:val="00294E55"/>
    <w:rsid w:val="00295017"/>
    <w:rsid w:val="00295079"/>
    <w:rsid w:val="002950DD"/>
    <w:rsid w:val="00295291"/>
    <w:rsid w:val="002953FB"/>
    <w:rsid w:val="0029563D"/>
    <w:rsid w:val="0029567F"/>
    <w:rsid w:val="0029569E"/>
    <w:rsid w:val="002957C2"/>
    <w:rsid w:val="002957EE"/>
    <w:rsid w:val="00295834"/>
    <w:rsid w:val="00295B5F"/>
    <w:rsid w:val="00295BB8"/>
    <w:rsid w:val="00295C0A"/>
    <w:rsid w:val="002961AC"/>
    <w:rsid w:val="002961F6"/>
    <w:rsid w:val="002961F7"/>
    <w:rsid w:val="00296227"/>
    <w:rsid w:val="00296272"/>
    <w:rsid w:val="00296332"/>
    <w:rsid w:val="0029643D"/>
    <w:rsid w:val="00296575"/>
    <w:rsid w:val="002966AA"/>
    <w:rsid w:val="002966B9"/>
    <w:rsid w:val="0029674A"/>
    <w:rsid w:val="002967AF"/>
    <w:rsid w:val="0029682B"/>
    <w:rsid w:val="00296D8D"/>
    <w:rsid w:val="00296E5E"/>
    <w:rsid w:val="00296F4C"/>
    <w:rsid w:val="00296F79"/>
    <w:rsid w:val="002970FC"/>
    <w:rsid w:val="0029711F"/>
    <w:rsid w:val="002972CC"/>
    <w:rsid w:val="0029736A"/>
    <w:rsid w:val="002973C9"/>
    <w:rsid w:val="0029750E"/>
    <w:rsid w:val="00297516"/>
    <w:rsid w:val="0029754F"/>
    <w:rsid w:val="002976FB"/>
    <w:rsid w:val="0029771B"/>
    <w:rsid w:val="0029780E"/>
    <w:rsid w:val="00297B0E"/>
    <w:rsid w:val="00297B4C"/>
    <w:rsid w:val="00297B78"/>
    <w:rsid w:val="00297BAE"/>
    <w:rsid w:val="00297C45"/>
    <w:rsid w:val="00297C8E"/>
    <w:rsid w:val="00297CB8"/>
    <w:rsid w:val="00297E11"/>
    <w:rsid w:val="00297ED4"/>
    <w:rsid w:val="00297F2D"/>
    <w:rsid w:val="00297FD7"/>
    <w:rsid w:val="002A0282"/>
    <w:rsid w:val="002A0510"/>
    <w:rsid w:val="002A0724"/>
    <w:rsid w:val="002A0BC3"/>
    <w:rsid w:val="002A0D7F"/>
    <w:rsid w:val="002A0FC1"/>
    <w:rsid w:val="002A100F"/>
    <w:rsid w:val="002A1076"/>
    <w:rsid w:val="002A10C8"/>
    <w:rsid w:val="002A1162"/>
    <w:rsid w:val="002A1176"/>
    <w:rsid w:val="002A1242"/>
    <w:rsid w:val="002A127A"/>
    <w:rsid w:val="002A13D1"/>
    <w:rsid w:val="002A15C7"/>
    <w:rsid w:val="002A1830"/>
    <w:rsid w:val="002A1849"/>
    <w:rsid w:val="002A1864"/>
    <w:rsid w:val="002A1A5B"/>
    <w:rsid w:val="002A1B91"/>
    <w:rsid w:val="002A1D0F"/>
    <w:rsid w:val="002A2465"/>
    <w:rsid w:val="002A25A6"/>
    <w:rsid w:val="002A27F4"/>
    <w:rsid w:val="002A2B01"/>
    <w:rsid w:val="002A2C6B"/>
    <w:rsid w:val="002A2E1D"/>
    <w:rsid w:val="002A3002"/>
    <w:rsid w:val="002A3172"/>
    <w:rsid w:val="002A31B7"/>
    <w:rsid w:val="002A3371"/>
    <w:rsid w:val="002A35AB"/>
    <w:rsid w:val="002A362C"/>
    <w:rsid w:val="002A3889"/>
    <w:rsid w:val="002A389A"/>
    <w:rsid w:val="002A3905"/>
    <w:rsid w:val="002A39D5"/>
    <w:rsid w:val="002A3AF3"/>
    <w:rsid w:val="002A3B41"/>
    <w:rsid w:val="002A3CDD"/>
    <w:rsid w:val="002A3EB5"/>
    <w:rsid w:val="002A3FE0"/>
    <w:rsid w:val="002A4059"/>
    <w:rsid w:val="002A444B"/>
    <w:rsid w:val="002A4643"/>
    <w:rsid w:val="002A4842"/>
    <w:rsid w:val="002A4890"/>
    <w:rsid w:val="002A48DC"/>
    <w:rsid w:val="002A49AF"/>
    <w:rsid w:val="002A4F1E"/>
    <w:rsid w:val="002A4F78"/>
    <w:rsid w:val="002A508E"/>
    <w:rsid w:val="002A52E1"/>
    <w:rsid w:val="002A53AB"/>
    <w:rsid w:val="002A5501"/>
    <w:rsid w:val="002A55FC"/>
    <w:rsid w:val="002A57B3"/>
    <w:rsid w:val="002A57FC"/>
    <w:rsid w:val="002A5A6F"/>
    <w:rsid w:val="002A5B53"/>
    <w:rsid w:val="002A5BB5"/>
    <w:rsid w:val="002A5CE1"/>
    <w:rsid w:val="002A5DD3"/>
    <w:rsid w:val="002A5F8C"/>
    <w:rsid w:val="002A622E"/>
    <w:rsid w:val="002A6302"/>
    <w:rsid w:val="002A63B6"/>
    <w:rsid w:val="002A63C8"/>
    <w:rsid w:val="002A66D9"/>
    <w:rsid w:val="002A697A"/>
    <w:rsid w:val="002A6A39"/>
    <w:rsid w:val="002A6EEB"/>
    <w:rsid w:val="002A7030"/>
    <w:rsid w:val="002A715C"/>
    <w:rsid w:val="002A7165"/>
    <w:rsid w:val="002A718E"/>
    <w:rsid w:val="002A71AE"/>
    <w:rsid w:val="002A727D"/>
    <w:rsid w:val="002A7362"/>
    <w:rsid w:val="002A7515"/>
    <w:rsid w:val="002A75B3"/>
    <w:rsid w:val="002A764C"/>
    <w:rsid w:val="002A788C"/>
    <w:rsid w:val="002A7A88"/>
    <w:rsid w:val="002A7B37"/>
    <w:rsid w:val="002B0274"/>
    <w:rsid w:val="002B034A"/>
    <w:rsid w:val="002B03C7"/>
    <w:rsid w:val="002B07F5"/>
    <w:rsid w:val="002B0B2C"/>
    <w:rsid w:val="002B0B52"/>
    <w:rsid w:val="002B0C67"/>
    <w:rsid w:val="002B0D7B"/>
    <w:rsid w:val="002B0F02"/>
    <w:rsid w:val="002B0F53"/>
    <w:rsid w:val="002B11DC"/>
    <w:rsid w:val="002B170B"/>
    <w:rsid w:val="002B172B"/>
    <w:rsid w:val="002B1A8E"/>
    <w:rsid w:val="002B1B24"/>
    <w:rsid w:val="002B1EDC"/>
    <w:rsid w:val="002B1FD4"/>
    <w:rsid w:val="002B1FE8"/>
    <w:rsid w:val="002B21BD"/>
    <w:rsid w:val="002B243B"/>
    <w:rsid w:val="002B2899"/>
    <w:rsid w:val="002B2977"/>
    <w:rsid w:val="002B2A45"/>
    <w:rsid w:val="002B2AA9"/>
    <w:rsid w:val="002B2B43"/>
    <w:rsid w:val="002B2C08"/>
    <w:rsid w:val="002B2C5E"/>
    <w:rsid w:val="002B2C6A"/>
    <w:rsid w:val="002B2CAD"/>
    <w:rsid w:val="002B2F4F"/>
    <w:rsid w:val="002B303E"/>
    <w:rsid w:val="002B30B9"/>
    <w:rsid w:val="002B323B"/>
    <w:rsid w:val="002B3412"/>
    <w:rsid w:val="002B3603"/>
    <w:rsid w:val="002B3AD4"/>
    <w:rsid w:val="002B3F70"/>
    <w:rsid w:val="002B3F9F"/>
    <w:rsid w:val="002B4145"/>
    <w:rsid w:val="002B4157"/>
    <w:rsid w:val="002B4181"/>
    <w:rsid w:val="002B4356"/>
    <w:rsid w:val="002B43A1"/>
    <w:rsid w:val="002B4429"/>
    <w:rsid w:val="002B44D9"/>
    <w:rsid w:val="002B4571"/>
    <w:rsid w:val="002B45C5"/>
    <w:rsid w:val="002B4BA5"/>
    <w:rsid w:val="002B4C89"/>
    <w:rsid w:val="002B4D36"/>
    <w:rsid w:val="002B4DE5"/>
    <w:rsid w:val="002B4EB5"/>
    <w:rsid w:val="002B4ED3"/>
    <w:rsid w:val="002B4FAA"/>
    <w:rsid w:val="002B5062"/>
    <w:rsid w:val="002B50E4"/>
    <w:rsid w:val="002B521B"/>
    <w:rsid w:val="002B52CD"/>
    <w:rsid w:val="002B5326"/>
    <w:rsid w:val="002B53DF"/>
    <w:rsid w:val="002B5534"/>
    <w:rsid w:val="002B5741"/>
    <w:rsid w:val="002B596D"/>
    <w:rsid w:val="002B5AF8"/>
    <w:rsid w:val="002B5CE8"/>
    <w:rsid w:val="002B5EF6"/>
    <w:rsid w:val="002B5FBE"/>
    <w:rsid w:val="002B6292"/>
    <w:rsid w:val="002B62C4"/>
    <w:rsid w:val="002B648F"/>
    <w:rsid w:val="002B6504"/>
    <w:rsid w:val="002B66A3"/>
    <w:rsid w:val="002B671F"/>
    <w:rsid w:val="002B68AE"/>
    <w:rsid w:val="002B68C2"/>
    <w:rsid w:val="002B6928"/>
    <w:rsid w:val="002B6FDB"/>
    <w:rsid w:val="002B71A2"/>
    <w:rsid w:val="002B743E"/>
    <w:rsid w:val="002B75C2"/>
    <w:rsid w:val="002B779F"/>
    <w:rsid w:val="002B7A2C"/>
    <w:rsid w:val="002B7AAD"/>
    <w:rsid w:val="002B7B4A"/>
    <w:rsid w:val="002B7B5C"/>
    <w:rsid w:val="002B7B6A"/>
    <w:rsid w:val="002B7C05"/>
    <w:rsid w:val="002B7CD3"/>
    <w:rsid w:val="002B7E28"/>
    <w:rsid w:val="002B7EA4"/>
    <w:rsid w:val="002B7EF0"/>
    <w:rsid w:val="002C0024"/>
    <w:rsid w:val="002C0303"/>
    <w:rsid w:val="002C0354"/>
    <w:rsid w:val="002C039E"/>
    <w:rsid w:val="002C05AF"/>
    <w:rsid w:val="002C0611"/>
    <w:rsid w:val="002C063B"/>
    <w:rsid w:val="002C075E"/>
    <w:rsid w:val="002C0A43"/>
    <w:rsid w:val="002C0A7C"/>
    <w:rsid w:val="002C0A80"/>
    <w:rsid w:val="002C0C04"/>
    <w:rsid w:val="002C0C53"/>
    <w:rsid w:val="002C0EB0"/>
    <w:rsid w:val="002C10FD"/>
    <w:rsid w:val="002C1201"/>
    <w:rsid w:val="002C122F"/>
    <w:rsid w:val="002C16E5"/>
    <w:rsid w:val="002C1749"/>
    <w:rsid w:val="002C17B3"/>
    <w:rsid w:val="002C17C8"/>
    <w:rsid w:val="002C17E9"/>
    <w:rsid w:val="002C181B"/>
    <w:rsid w:val="002C1834"/>
    <w:rsid w:val="002C1ABB"/>
    <w:rsid w:val="002C1CD2"/>
    <w:rsid w:val="002C1DAA"/>
    <w:rsid w:val="002C1DD3"/>
    <w:rsid w:val="002C1E52"/>
    <w:rsid w:val="002C1FB8"/>
    <w:rsid w:val="002C2162"/>
    <w:rsid w:val="002C21E3"/>
    <w:rsid w:val="002C2282"/>
    <w:rsid w:val="002C22D6"/>
    <w:rsid w:val="002C2945"/>
    <w:rsid w:val="002C29FD"/>
    <w:rsid w:val="002C2B4E"/>
    <w:rsid w:val="002C2EAC"/>
    <w:rsid w:val="002C2EF7"/>
    <w:rsid w:val="002C2F70"/>
    <w:rsid w:val="002C2FDF"/>
    <w:rsid w:val="002C301F"/>
    <w:rsid w:val="002C30AA"/>
    <w:rsid w:val="002C30CD"/>
    <w:rsid w:val="002C3662"/>
    <w:rsid w:val="002C37DC"/>
    <w:rsid w:val="002C38DC"/>
    <w:rsid w:val="002C3984"/>
    <w:rsid w:val="002C3C0A"/>
    <w:rsid w:val="002C3C37"/>
    <w:rsid w:val="002C3D92"/>
    <w:rsid w:val="002C3E45"/>
    <w:rsid w:val="002C4135"/>
    <w:rsid w:val="002C41B4"/>
    <w:rsid w:val="002C4302"/>
    <w:rsid w:val="002C44D6"/>
    <w:rsid w:val="002C46D0"/>
    <w:rsid w:val="002C46EF"/>
    <w:rsid w:val="002C4719"/>
    <w:rsid w:val="002C4796"/>
    <w:rsid w:val="002C48D6"/>
    <w:rsid w:val="002C499F"/>
    <w:rsid w:val="002C4BB5"/>
    <w:rsid w:val="002C4BF6"/>
    <w:rsid w:val="002C4C9E"/>
    <w:rsid w:val="002C4CE5"/>
    <w:rsid w:val="002C537D"/>
    <w:rsid w:val="002C56B3"/>
    <w:rsid w:val="002C57B9"/>
    <w:rsid w:val="002C5822"/>
    <w:rsid w:val="002C59A2"/>
    <w:rsid w:val="002C59F9"/>
    <w:rsid w:val="002C5A5E"/>
    <w:rsid w:val="002C5C29"/>
    <w:rsid w:val="002C5E06"/>
    <w:rsid w:val="002C6112"/>
    <w:rsid w:val="002C6171"/>
    <w:rsid w:val="002C6363"/>
    <w:rsid w:val="002C63B2"/>
    <w:rsid w:val="002C6717"/>
    <w:rsid w:val="002C6769"/>
    <w:rsid w:val="002C68B7"/>
    <w:rsid w:val="002C6A46"/>
    <w:rsid w:val="002C6BF4"/>
    <w:rsid w:val="002C6E52"/>
    <w:rsid w:val="002C6EB2"/>
    <w:rsid w:val="002C6F94"/>
    <w:rsid w:val="002C70F8"/>
    <w:rsid w:val="002C71D6"/>
    <w:rsid w:val="002C7221"/>
    <w:rsid w:val="002C7401"/>
    <w:rsid w:val="002C7567"/>
    <w:rsid w:val="002C75E1"/>
    <w:rsid w:val="002C76A4"/>
    <w:rsid w:val="002C78B8"/>
    <w:rsid w:val="002C78EB"/>
    <w:rsid w:val="002C79B1"/>
    <w:rsid w:val="002C7C32"/>
    <w:rsid w:val="002C7D94"/>
    <w:rsid w:val="002D0049"/>
    <w:rsid w:val="002D01A9"/>
    <w:rsid w:val="002D0297"/>
    <w:rsid w:val="002D059F"/>
    <w:rsid w:val="002D0727"/>
    <w:rsid w:val="002D0797"/>
    <w:rsid w:val="002D0826"/>
    <w:rsid w:val="002D092A"/>
    <w:rsid w:val="002D0938"/>
    <w:rsid w:val="002D096D"/>
    <w:rsid w:val="002D09EA"/>
    <w:rsid w:val="002D0D34"/>
    <w:rsid w:val="002D0D48"/>
    <w:rsid w:val="002D0E3B"/>
    <w:rsid w:val="002D1317"/>
    <w:rsid w:val="002D1796"/>
    <w:rsid w:val="002D17D4"/>
    <w:rsid w:val="002D1822"/>
    <w:rsid w:val="002D18F2"/>
    <w:rsid w:val="002D19B2"/>
    <w:rsid w:val="002D1AA7"/>
    <w:rsid w:val="002D1B70"/>
    <w:rsid w:val="002D1E48"/>
    <w:rsid w:val="002D1FCA"/>
    <w:rsid w:val="002D246D"/>
    <w:rsid w:val="002D249F"/>
    <w:rsid w:val="002D2565"/>
    <w:rsid w:val="002D2622"/>
    <w:rsid w:val="002D265C"/>
    <w:rsid w:val="002D26ED"/>
    <w:rsid w:val="002D27C5"/>
    <w:rsid w:val="002D2860"/>
    <w:rsid w:val="002D2C31"/>
    <w:rsid w:val="002D2CD4"/>
    <w:rsid w:val="002D2EF4"/>
    <w:rsid w:val="002D2F45"/>
    <w:rsid w:val="002D2FBD"/>
    <w:rsid w:val="002D318D"/>
    <w:rsid w:val="002D31EA"/>
    <w:rsid w:val="002D32E3"/>
    <w:rsid w:val="002D34AF"/>
    <w:rsid w:val="002D3A2B"/>
    <w:rsid w:val="002D3DE6"/>
    <w:rsid w:val="002D3FED"/>
    <w:rsid w:val="002D41DD"/>
    <w:rsid w:val="002D42D8"/>
    <w:rsid w:val="002D4361"/>
    <w:rsid w:val="002D45A2"/>
    <w:rsid w:val="002D4B16"/>
    <w:rsid w:val="002D4C78"/>
    <w:rsid w:val="002D4F09"/>
    <w:rsid w:val="002D50CD"/>
    <w:rsid w:val="002D50D7"/>
    <w:rsid w:val="002D51DE"/>
    <w:rsid w:val="002D54D7"/>
    <w:rsid w:val="002D55B6"/>
    <w:rsid w:val="002D5626"/>
    <w:rsid w:val="002D5A8A"/>
    <w:rsid w:val="002D5B11"/>
    <w:rsid w:val="002D5BDE"/>
    <w:rsid w:val="002D5CAE"/>
    <w:rsid w:val="002D5D83"/>
    <w:rsid w:val="002D5E94"/>
    <w:rsid w:val="002D5EF9"/>
    <w:rsid w:val="002D60D0"/>
    <w:rsid w:val="002D6307"/>
    <w:rsid w:val="002D6349"/>
    <w:rsid w:val="002D6558"/>
    <w:rsid w:val="002D6634"/>
    <w:rsid w:val="002D66AC"/>
    <w:rsid w:val="002D6729"/>
    <w:rsid w:val="002D676F"/>
    <w:rsid w:val="002D6918"/>
    <w:rsid w:val="002D6A74"/>
    <w:rsid w:val="002D6C5F"/>
    <w:rsid w:val="002D6EE2"/>
    <w:rsid w:val="002D6F4F"/>
    <w:rsid w:val="002D700A"/>
    <w:rsid w:val="002D7024"/>
    <w:rsid w:val="002D7139"/>
    <w:rsid w:val="002D718E"/>
    <w:rsid w:val="002D71E8"/>
    <w:rsid w:val="002D7379"/>
    <w:rsid w:val="002D7516"/>
    <w:rsid w:val="002D76B2"/>
    <w:rsid w:val="002D76C1"/>
    <w:rsid w:val="002D779B"/>
    <w:rsid w:val="002D7917"/>
    <w:rsid w:val="002D7C6C"/>
    <w:rsid w:val="002D7E30"/>
    <w:rsid w:val="002D7E89"/>
    <w:rsid w:val="002E02D3"/>
    <w:rsid w:val="002E0670"/>
    <w:rsid w:val="002E0756"/>
    <w:rsid w:val="002E0836"/>
    <w:rsid w:val="002E08B2"/>
    <w:rsid w:val="002E0A78"/>
    <w:rsid w:val="002E0CA3"/>
    <w:rsid w:val="002E0DEB"/>
    <w:rsid w:val="002E0DFC"/>
    <w:rsid w:val="002E11B2"/>
    <w:rsid w:val="002E11DF"/>
    <w:rsid w:val="002E144E"/>
    <w:rsid w:val="002E145A"/>
    <w:rsid w:val="002E14E7"/>
    <w:rsid w:val="002E174E"/>
    <w:rsid w:val="002E18C7"/>
    <w:rsid w:val="002E1A6E"/>
    <w:rsid w:val="002E1B74"/>
    <w:rsid w:val="002E1BB5"/>
    <w:rsid w:val="002E1C2D"/>
    <w:rsid w:val="002E1C69"/>
    <w:rsid w:val="002E1E50"/>
    <w:rsid w:val="002E205D"/>
    <w:rsid w:val="002E2310"/>
    <w:rsid w:val="002E2371"/>
    <w:rsid w:val="002E27B7"/>
    <w:rsid w:val="002E28BA"/>
    <w:rsid w:val="002E29CF"/>
    <w:rsid w:val="002E2AAF"/>
    <w:rsid w:val="002E2AFF"/>
    <w:rsid w:val="002E2C4C"/>
    <w:rsid w:val="002E2DE0"/>
    <w:rsid w:val="002E2FB5"/>
    <w:rsid w:val="002E3091"/>
    <w:rsid w:val="002E31C8"/>
    <w:rsid w:val="002E3932"/>
    <w:rsid w:val="002E3998"/>
    <w:rsid w:val="002E3B73"/>
    <w:rsid w:val="002E3BCC"/>
    <w:rsid w:val="002E3D12"/>
    <w:rsid w:val="002E3D7A"/>
    <w:rsid w:val="002E3DEA"/>
    <w:rsid w:val="002E3E42"/>
    <w:rsid w:val="002E401A"/>
    <w:rsid w:val="002E4196"/>
    <w:rsid w:val="002E41A8"/>
    <w:rsid w:val="002E41F5"/>
    <w:rsid w:val="002E425B"/>
    <w:rsid w:val="002E42A7"/>
    <w:rsid w:val="002E4369"/>
    <w:rsid w:val="002E4392"/>
    <w:rsid w:val="002E462E"/>
    <w:rsid w:val="002E4729"/>
    <w:rsid w:val="002E4966"/>
    <w:rsid w:val="002E4AC2"/>
    <w:rsid w:val="002E4D30"/>
    <w:rsid w:val="002E4DA8"/>
    <w:rsid w:val="002E4FF1"/>
    <w:rsid w:val="002E5083"/>
    <w:rsid w:val="002E50DA"/>
    <w:rsid w:val="002E51F5"/>
    <w:rsid w:val="002E530B"/>
    <w:rsid w:val="002E53F5"/>
    <w:rsid w:val="002E5636"/>
    <w:rsid w:val="002E56A1"/>
    <w:rsid w:val="002E59C7"/>
    <w:rsid w:val="002E59F1"/>
    <w:rsid w:val="002E5A8E"/>
    <w:rsid w:val="002E5B64"/>
    <w:rsid w:val="002E5D4F"/>
    <w:rsid w:val="002E5D93"/>
    <w:rsid w:val="002E5F6C"/>
    <w:rsid w:val="002E5F9C"/>
    <w:rsid w:val="002E5FEA"/>
    <w:rsid w:val="002E602D"/>
    <w:rsid w:val="002E60AD"/>
    <w:rsid w:val="002E64C1"/>
    <w:rsid w:val="002E6608"/>
    <w:rsid w:val="002E67B1"/>
    <w:rsid w:val="002E682B"/>
    <w:rsid w:val="002E6861"/>
    <w:rsid w:val="002E6C4B"/>
    <w:rsid w:val="002E7045"/>
    <w:rsid w:val="002E729F"/>
    <w:rsid w:val="002E764B"/>
    <w:rsid w:val="002E794A"/>
    <w:rsid w:val="002E7ADC"/>
    <w:rsid w:val="002E7B8A"/>
    <w:rsid w:val="002E7BA8"/>
    <w:rsid w:val="002E7BB0"/>
    <w:rsid w:val="002E7C4A"/>
    <w:rsid w:val="002E7C8D"/>
    <w:rsid w:val="002E7DDF"/>
    <w:rsid w:val="002E7E51"/>
    <w:rsid w:val="002E7F0A"/>
    <w:rsid w:val="002F003A"/>
    <w:rsid w:val="002F00CC"/>
    <w:rsid w:val="002F01D5"/>
    <w:rsid w:val="002F0201"/>
    <w:rsid w:val="002F0393"/>
    <w:rsid w:val="002F03AE"/>
    <w:rsid w:val="002F05D4"/>
    <w:rsid w:val="002F0665"/>
    <w:rsid w:val="002F0915"/>
    <w:rsid w:val="002F0961"/>
    <w:rsid w:val="002F09D9"/>
    <w:rsid w:val="002F0A52"/>
    <w:rsid w:val="002F0B5D"/>
    <w:rsid w:val="002F0CDB"/>
    <w:rsid w:val="002F0E3F"/>
    <w:rsid w:val="002F1089"/>
    <w:rsid w:val="002F11ED"/>
    <w:rsid w:val="002F1642"/>
    <w:rsid w:val="002F17DC"/>
    <w:rsid w:val="002F19E2"/>
    <w:rsid w:val="002F1B2E"/>
    <w:rsid w:val="002F1C32"/>
    <w:rsid w:val="002F1D41"/>
    <w:rsid w:val="002F1DF4"/>
    <w:rsid w:val="002F1FDA"/>
    <w:rsid w:val="002F20B6"/>
    <w:rsid w:val="002F2347"/>
    <w:rsid w:val="002F270D"/>
    <w:rsid w:val="002F2714"/>
    <w:rsid w:val="002F2A83"/>
    <w:rsid w:val="002F2AA2"/>
    <w:rsid w:val="002F2B62"/>
    <w:rsid w:val="002F2C7E"/>
    <w:rsid w:val="002F2CD8"/>
    <w:rsid w:val="002F2E80"/>
    <w:rsid w:val="002F2ECF"/>
    <w:rsid w:val="002F2EE0"/>
    <w:rsid w:val="002F2F63"/>
    <w:rsid w:val="002F301B"/>
    <w:rsid w:val="002F3202"/>
    <w:rsid w:val="002F34F4"/>
    <w:rsid w:val="002F3A19"/>
    <w:rsid w:val="002F3A6B"/>
    <w:rsid w:val="002F3AB7"/>
    <w:rsid w:val="002F3AE2"/>
    <w:rsid w:val="002F3B18"/>
    <w:rsid w:val="002F3B5E"/>
    <w:rsid w:val="002F3C92"/>
    <w:rsid w:val="002F4604"/>
    <w:rsid w:val="002F4745"/>
    <w:rsid w:val="002F47A1"/>
    <w:rsid w:val="002F48CB"/>
    <w:rsid w:val="002F48CE"/>
    <w:rsid w:val="002F4C4A"/>
    <w:rsid w:val="002F4E7E"/>
    <w:rsid w:val="002F5206"/>
    <w:rsid w:val="002F5397"/>
    <w:rsid w:val="002F54B4"/>
    <w:rsid w:val="002F54DB"/>
    <w:rsid w:val="002F55FB"/>
    <w:rsid w:val="002F56C7"/>
    <w:rsid w:val="002F5859"/>
    <w:rsid w:val="002F5968"/>
    <w:rsid w:val="002F5A73"/>
    <w:rsid w:val="002F5C29"/>
    <w:rsid w:val="002F5C2E"/>
    <w:rsid w:val="002F5CCE"/>
    <w:rsid w:val="002F5F57"/>
    <w:rsid w:val="002F5F8B"/>
    <w:rsid w:val="002F6069"/>
    <w:rsid w:val="002F6108"/>
    <w:rsid w:val="002F6212"/>
    <w:rsid w:val="002F6399"/>
    <w:rsid w:val="002F63E5"/>
    <w:rsid w:val="002F6456"/>
    <w:rsid w:val="002F669E"/>
    <w:rsid w:val="002F677D"/>
    <w:rsid w:val="002F686A"/>
    <w:rsid w:val="002F6B4F"/>
    <w:rsid w:val="002F6DBC"/>
    <w:rsid w:val="002F6FDB"/>
    <w:rsid w:val="002F7267"/>
    <w:rsid w:val="002F735C"/>
    <w:rsid w:val="002F7378"/>
    <w:rsid w:val="002F74B4"/>
    <w:rsid w:val="002F778B"/>
    <w:rsid w:val="002F7B54"/>
    <w:rsid w:val="002F7C0C"/>
    <w:rsid w:val="002F7DB2"/>
    <w:rsid w:val="002F7E21"/>
    <w:rsid w:val="002F7E4D"/>
    <w:rsid w:val="002F7E5E"/>
    <w:rsid w:val="00300089"/>
    <w:rsid w:val="00300284"/>
    <w:rsid w:val="00300424"/>
    <w:rsid w:val="0030077F"/>
    <w:rsid w:val="003007D8"/>
    <w:rsid w:val="0030099E"/>
    <w:rsid w:val="003009D4"/>
    <w:rsid w:val="00300B7F"/>
    <w:rsid w:val="00300C8F"/>
    <w:rsid w:val="00300CF0"/>
    <w:rsid w:val="00300ECA"/>
    <w:rsid w:val="00300FB1"/>
    <w:rsid w:val="00301097"/>
    <w:rsid w:val="00301110"/>
    <w:rsid w:val="00301222"/>
    <w:rsid w:val="00301311"/>
    <w:rsid w:val="00301349"/>
    <w:rsid w:val="00301442"/>
    <w:rsid w:val="0030144F"/>
    <w:rsid w:val="00301515"/>
    <w:rsid w:val="00301661"/>
    <w:rsid w:val="0030167D"/>
    <w:rsid w:val="00301715"/>
    <w:rsid w:val="003017CD"/>
    <w:rsid w:val="00301918"/>
    <w:rsid w:val="0030192B"/>
    <w:rsid w:val="00301D79"/>
    <w:rsid w:val="00302459"/>
    <w:rsid w:val="003024AE"/>
    <w:rsid w:val="003024F5"/>
    <w:rsid w:val="00302535"/>
    <w:rsid w:val="003028B8"/>
    <w:rsid w:val="00302994"/>
    <w:rsid w:val="00302995"/>
    <w:rsid w:val="00302CAF"/>
    <w:rsid w:val="00302FFA"/>
    <w:rsid w:val="00303141"/>
    <w:rsid w:val="003031CE"/>
    <w:rsid w:val="003032AD"/>
    <w:rsid w:val="003033B8"/>
    <w:rsid w:val="0030343E"/>
    <w:rsid w:val="0030350B"/>
    <w:rsid w:val="00303821"/>
    <w:rsid w:val="003039D1"/>
    <w:rsid w:val="00303B10"/>
    <w:rsid w:val="00303B36"/>
    <w:rsid w:val="00303B86"/>
    <w:rsid w:val="00303BD1"/>
    <w:rsid w:val="00303BD7"/>
    <w:rsid w:val="00303C3B"/>
    <w:rsid w:val="00303CA7"/>
    <w:rsid w:val="00303E27"/>
    <w:rsid w:val="00303ED5"/>
    <w:rsid w:val="00304078"/>
    <w:rsid w:val="003040D9"/>
    <w:rsid w:val="003042B5"/>
    <w:rsid w:val="00304401"/>
    <w:rsid w:val="003045AF"/>
    <w:rsid w:val="003046A9"/>
    <w:rsid w:val="00304783"/>
    <w:rsid w:val="00304814"/>
    <w:rsid w:val="00304909"/>
    <w:rsid w:val="00304A85"/>
    <w:rsid w:val="00304B6F"/>
    <w:rsid w:val="00304C93"/>
    <w:rsid w:val="00304DE3"/>
    <w:rsid w:val="00304DE4"/>
    <w:rsid w:val="00304E5F"/>
    <w:rsid w:val="00305003"/>
    <w:rsid w:val="003051E4"/>
    <w:rsid w:val="0030529A"/>
    <w:rsid w:val="003054C5"/>
    <w:rsid w:val="0030562E"/>
    <w:rsid w:val="00305638"/>
    <w:rsid w:val="00305653"/>
    <w:rsid w:val="003056CF"/>
    <w:rsid w:val="003056F4"/>
    <w:rsid w:val="003058ED"/>
    <w:rsid w:val="00305970"/>
    <w:rsid w:val="003059AB"/>
    <w:rsid w:val="003059C5"/>
    <w:rsid w:val="00305A63"/>
    <w:rsid w:val="00305C75"/>
    <w:rsid w:val="00305EE1"/>
    <w:rsid w:val="00305F71"/>
    <w:rsid w:val="003062AB"/>
    <w:rsid w:val="00306663"/>
    <w:rsid w:val="0030670A"/>
    <w:rsid w:val="0030690C"/>
    <w:rsid w:val="00306AEC"/>
    <w:rsid w:val="00306C6D"/>
    <w:rsid w:val="00306F1A"/>
    <w:rsid w:val="0030709F"/>
    <w:rsid w:val="003072D4"/>
    <w:rsid w:val="003073F4"/>
    <w:rsid w:val="0030751B"/>
    <w:rsid w:val="00307A43"/>
    <w:rsid w:val="00307D0C"/>
    <w:rsid w:val="00307D1C"/>
    <w:rsid w:val="00307E63"/>
    <w:rsid w:val="0031043A"/>
    <w:rsid w:val="003104F0"/>
    <w:rsid w:val="00310541"/>
    <w:rsid w:val="003105C0"/>
    <w:rsid w:val="00310939"/>
    <w:rsid w:val="00310BAF"/>
    <w:rsid w:val="00310D1B"/>
    <w:rsid w:val="00310D64"/>
    <w:rsid w:val="00310DAA"/>
    <w:rsid w:val="00311006"/>
    <w:rsid w:val="00311347"/>
    <w:rsid w:val="0031158E"/>
    <w:rsid w:val="00311655"/>
    <w:rsid w:val="00311885"/>
    <w:rsid w:val="00311B24"/>
    <w:rsid w:val="00311B50"/>
    <w:rsid w:val="00311E6A"/>
    <w:rsid w:val="00311F55"/>
    <w:rsid w:val="0031227D"/>
    <w:rsid w:val="003124A3"/>
    <w:rsid w:val="0031255F"/>
    <w:rsid w:val="0031276B"/>
    <w:rsid w:val="00312794"/>
    <w:rsid w:val="003127BE"/>
    <w:rsid w:val="003129AD"/>
    <w:rsid w:val="00312A4E"/>
    <w:rsid w:val="00312B39"/>
    <w:rsid w:val="00312CD3"/>
    <w:rsid w:val="00312E4E"/>
    <w:rsid w:val="00312F8F"/>
    <w:rsid w:val="00312FCA"/>
    <w:rsid w:val="0031303C"/>
    <w:rsid w:val="0031304C"/>
    <w:rsid w:val="00313464"/>
    <w:rsid w:val="003136A9"/>
    <w:rsid w:val="00313759"/>
    <w:rsid w:val="0031380B"/>
    <w:rsid w:val="00313EE0"/>
    <w:rsid w:val="00313F3E"/>
    <w:rsid w:val="003140AB"/>
    <w:rsid w:val="00314322"/>
    <w:rsid w:val="003143AD"/>
    <w:rsid w:val="0031456D"/>
    <w:rsid w:val="0031471C"/>
    <w:rsid w:val="003149DB"/>
    <w:rsid w:val="00314A44"/>
    <w:rsid w:val="00314A4E"/>
    <w:rsid w:val="00314A65"/>
    <w:rsid w:val="00314D7E"/>
    <w:rsid w:val="00314DCB"/>
    <w:rsid w:val="00314DE3"/>
    <w:rsid w:val="00314F7A"/>
    <w:rsid w:val="00314FA0"/>
    <w:rsid w:val="0031515F"/>
    <w:rsid w:val="003151B5"/>
    <w:rsid w:val="00315475"/>
    <w:rsid w:val="0031547D"/>
    <w:rsid w:val="003154D3"/>
    <w:rsid w:val="003155D2"/>
    <w:rsid w:val="00315794"/>
    <w:rsid w:val="003157D7"/>
    <w:rsid w:val="00315845"/>
    <w:rsid w:val="003158FF"/>
    <w:rsid w:val="0031597C"/>
    <w:rsid w:val="00315AD2"/>
    <w:rsid w:val="00315D1E"/>
    <w:rsid w:val="003160C8"/>
    <w:rsid w:val="0031619F"/>
    <w:rsid w:val="003165F7"/>
    <w:rsid w:val="003166FF"/>
    <w:rsid w:val="00316844"/>
    <w:rsid w:val="00316B12"/>
    <w:rsid w:val="00316B41"/>
    <w:rsid w:val="00316D08"/>
    <w:rsid w:val="00316FBF"/>
    <w:rsid w:val="0031707F"/>
    <w:rsid w:val="0031716E"/>
    <w:rsid w:val="00317175"/>
    <w:rsid w:val="003174C8"/>
    <w:rsid w:val="00317562"/>
    <w:rsid w:val="003176AF"/>
    <w:rsid w:val="003177C9"/>
    <w:rsid w:val="003177F5"/>
    <w:rsid w:val="00317CA1"/>
    <w:rsid w:val="00317CE2"/>
    <w:rsid w:val="00317F40"/>
    <w:rsid w:val="0032002D"/>
    <w:rsid w:val="003204A5"/>
    <w:rsid w:val="00320517"/>
    <w:rsid w:val="003209D4"/>
    <w:rsid w:val="00320CB1"/>
    <w:rsid w:val="00320CC0"/>
    <w:rsid w:val="00320D36"/>
    <w:rsid w:val="00320E52"/>
    <w:rsid w:val="00320FC8"/>
    <w:rsid w:val="0032112B"/>
    <w:rsid w:val="00321317"/>
    <w:rsid w:val="003213A3"/>
    <w:rsid w:val="0032196F"/>
    <w:rsid w:val="00321B50"/>
    <w:rsid w:val="00321D10"/>
    <w:rsid w:val="00321F70"/>
    <w:rsid w:val="00322127"/>
    <w:rsid w:val="003221DA"/>
    <w:rsid w:val="0032222E"/>
    <w:rsid w:val="003223C6"/>
    <w:rsid w:val="00322442"/>
    <w:rsid w:val="00322484"/>
    <w:rsid w:val="003224E0"/>
    <w:rsid w:val="0032258E"/>
    <w:rsid w:val="003225A2"/>
    <w:rsid w:val="0032265F"/>
    <w:rsid w:val="00322703"/>
    <w:rsid w:val="00322716"/>
    <w:rsid w:val="0032278D"/>
    <w:rsid w:val="0032281A"/>
    <w:rsid w:val="0032288A"/>
    <w:rsid w:val="003229DB"/>
    <w:rsid w:val="00322D28"/>
    <w:rsid w:val="00322D5E"/>
    <w:rsid w:val="00322D76"/>
    <w:rsid w:val="00322DC2"/>
    <w:rsid w:val="00322EFC"/>
    <w:rsid w:val="00322FB9"/>
    <w:rsid w:val="003230C4"/>
    <w:rsid w:val="00323157"/>
    <w:rsid w:val="0032327D"/>
    <w:rsid w:val="0032328A"/>
    <w:rsid w:val="003233BD"/>
    <w:rsid w:val="003233F5"/>
    <w:rsid w:val="003234DE"/>
    <w:rsid w:val="00323672"/>
    <w:rsid w:val="00323778"/>
    <w:rsid w:val="00323909"/>
    <w:rsid w:val="00323937"/>
    <w:rsid w:val="00323945"/>
    <w:rsid w:val="00323D74"/>
    <w:rsid w:val="00323DFB"/>
    <w:rsid w:val="00324598"/>
    <w:rsid w:val="00324661"/>
    <w:rsid w:val="00324909"/>
    <w:rsid w:val="00324956"/>
    <w:rsid w:val="003249E1"/>
    <w:rsid w:val="00324A29"/>
    <w:rsid w:val="00324CA6"/>
    <w:rsid w:val="00324D4E"/>
    <w:rsid w:val="00324DF1"/>
    <w:rsid w:val="00324F53"/>
    <w:rsid w:val="0032509F"/>
    <w:rsid w:val="00325144"/>
    <w:rsid w:val="00325171"/>
    <w:rsid w:val="00325397"/>
    <w:rsid w:val="00325681"/>
    <w:rsid w:val="003256D3"/>
    <w:rsid w:val="003259B1"/>
    <w:rsid w:val="00325A2B"/>
    <w:rsid w:val="00325C50"/>
    <w:rsid w:val="00325CAA"/>
    <w:rsid w:val="00325D52"/>
    <w:rsid w:val="00325E2E"/>
    <w:rsid w:val="00326055"/>
    <w:rsid w:val="0032608A"/>
    <w:rsid w:val="00326227"/>
    <w:rsid w:val="0032624C"/>
    <w:rsid w:val="003264EA"/>
    <w:rsid w:val="00326AD5"/>
    <w:rsid w:val="00326BE6"/>
    <w:rsid w:val="00326C00"/>
    <w:rsid w:val="00326C26"/>
    <w:rsid w:val="00326ED9"/>
    <w:rsid w:val="003272CC"/>
    <w:rsid w:val="00327472"/>
    <w:rsid w:val="00327537"/>
    <w:rsid w:val="00327569"/>
    <w:rsid w:val="00327894"/>
    <w:rsid w:val="00327B6E"/>
    <w:rsid w:val="00327E36"/>
    <w:rsid w:val="00327E93"/>
    <w:rsid w:val="00327EDD"/>
    <w:rsid w:val="00327F28"/>
    <w:rsid w:val="0033005E"/>
    <w:rsid w:val="0033019B"/>
    <w:rsid w:val="003301EE"/>
    <w:rsid w:val="00330737"/>
    <w:rsid w:val="003307C6"/>
    <w:rsid w:val="003307F7"/>
    <w:rsid w:val="003308A0"/>
    <w:rsid w:val="0033090E"/>
    <w:rsid w:val="00330CD4"/>
    <w:rsid w:val="00330EE4"/>
    <w:rsid w:val="00331040"/>
    <w:rsid w:val="003310E8"/>
    <w:rsid w:val="00331668"/>
    <w:rsid w:val="003317F5"/>
    <w:rsid w:val="00331942"/>
    <w:rsid w:val="00331ACE"/>
    <w:rsid w:val="00331B9E"/>
    <w:rsid w:val="00331C4F"/>
    <w:rsid w:val="00331C6B"/>
    <w:rsid w:val="00331E3E"/>
    <w:rsid w:val="00331FC6"/>
    <w:rsid w:val="0033225F"/>
    <w:rsid w:val="0033247F"/>
    <w:rsid w:val="0033278A"/>
    <w:rsid w:val="00332978"/>
    <w:rsid w:val="00332AFA"/>
    <w:rsid w:val="00332B42"/>
    <w:rsid w:val="00332F2D"/>
    <w:rsid w:val="00333158"/>
    <w:rsid w:val="00333312"/>
    <w:rsid w:val="003333FA"/>
    <w:rsid w:val="003336FD"/>
    <w:rsid w:val="0033386A"/>
    <w:rsid w:val="00333901"/>
    <w:rsid w:val="003339BD"/>
    <w:rsid w:val="00333C0A"/>
    <w:rsid w:val="00333C4B"/>
    <w:rsid w:val="00333C5F"/>
    <w:rsid w:val="00333D6F"/>
    <w:rsid w:val="00334151"/>
    <w:rsid w:val="003341EE"/>
    <w:rsid w:val="003341F5"/>
    <w:rsid w:val="0033429E"/>
    <w:rsid w:val="003342F3"/>
    <w:rsid w:val="00334363"/>
    <w:rsid w:val="003343A5"/>
    <w:rsid w:val="003346F8"/>
    <w:rsid w:val="003347EA"/>
    <w:rsid w:val="00334859"/>
    <w:rsid w:val="00334B08"/>
    <w:rsid w:val="00334C06"/>
    <w:rsid w:val="00334C1B"/>
    <w:rsid w:val="00334D1B"/>
    <w:rsid w:val="00334ED0"/>
    <w:rsid w:val="00334F19"/>
    <w:rsid w:val="003353FA"/>
    <w:rsid w:val="0033558B"/>
    <w:rsid w:val="003356F4"/>
    <w:rsid w:val="00335745"/>
    <w:rsid w:val="00335799"/>
    <w:rsid w:val="003357E9"/>
    <w:rsid w:val="00335AD5"/>
    <w:rsid w:val="00335EE3"/>
    <w:rsid w:val="00335FF2"/>
    <w:rsid w:val="003362AB"/>
    <w:rsid w:val="00336388"/>
    <w:rsid w:val="0033672B"/>
    <w:rsid w:val="00336C53"/>
    <w:rsid w:val="00336C59"/>
    <w:rsid w:val="00336D40"/>
    <w:rsid w:val="00336D62"/>
    <w:rsid w:val="00336D90"/>
    <w:rsid w:val="003371C3"/>
    <w:rsid w:val="003371F0"/>
    <w:rsid w:val="00337323"/>
    <w:rsid w:val="00337369"/>
    <w:rsid w:val="0033736A"/>
    <w:rsid w:val="00337767"/>
    <w:rsid w:val="003377F1"/>
    <w:rsid w:val="00337885"/>
    <w:rsid w:val="003378DA"/>
    <w:rsid w:val="00337908"/>
    <w:rsid w:val="00337A93"/>
    <w:rsid w:val="00337D86"/>
    <w:rsid w:val="00337E39"/>
    <w:rsid w:val="00337F08"/>
    <w:rsid w:val="0033ACF4"/>
    <w:rsid w:val="003402F0"/>
    <w:rsid w:val="00340328"/>
    <w:rsid w:val="00340387"/>
    <w:rsid w:val="003405ED"/>
    <w:rsid w:val="003406DA"/>
    <w:rsid w:val="003408A1"/>
    <w:rsid w:val="0034090B"/>
    <w:rsid w:val="00340957"/>
    <w:rsid w:val="003409DC"/>
    <w:rsid w:val="00340BAC"/>
    <w:rsid w:val="00340BD7"/>
    <w:rsid w:val="00340CDE"/>
    <w:rsid w:val="00340E3D"/>
    <w:rsid w:val="00340FD8"/>
    <w:rsid w:val="0034111B"/>
    <w:rsid w:val="00341133"/>
    <w:rsid w:val="003411A5"/>
    <w:rsid w:val="003411D8"/>
    <w:rsid w:val="00341208"/>
    <w:rsid w:val="003415B1"/>
    <w:rsid w:val="00341728"/>
    <w:rsid w:val="00341A7E"/>
    <w:rsid w:val="00341AA3"/>
    <w:rsid w:val="00341C94"/>
    <w:rsid w:val="00341CF6"/>
    <w:rsid w:val="00342445"/>
    <w:rsid w:val="003424D6"/>
    <w:rsid w:val="0034258C"/>
    <w:rsid w:val="0034265E"/>
    <w:rsid w:val="0034280D"/>
    <w:rsid w:val="00342883"/>
    <w:rsid w:val="003429A6"/>
    <w:rsid w:val="003429E4"/>
    <w:rsid w:val="00342B1F"/>
    <w:rsid w:val="00342B8A"/>
    <w:rsid w:val="00342E28"/>
    <w:rsid w:val="00342F14"/>
    <w:rsid w:val="00343132"/>
    <w:rsid w:val="003431AE"/>
    <w:rsid w:val="00343251"/>
    <w:rsid w:val="00343375"/>
    <w:rsid w:val="003435F4"/>
    <w:rsid w:val="00343A0C"/>
    <w:rsid w:val="00343B77"/>
    <w:rsid w:val="00343D56"/>
    <w:rsid w:val="00343E16"/>
    <w:rsid w:val="00343F81"/>
    <w:rsid w:val="003441F0"/>
    <w:rsid w:val="00344216"/>
    <w:rsid w:val="00344491"/>
    <w:rsid w:val="0034452C"/>
    <w:rsid w:val="00344A3A"/>
    <w:rsid w:val="00344A89"/>
    <w:rsid w:val="00344B5C"/>
    <w:rsid w:val="00344CE1"/>
    <w:rsid w:val="00344DE5"/>
    <w:rsid w:val="00344FA9"/>
    <w:rsid w:val="0034500C"/>
    <w:rsid w:val="00345066"/>
    <w:rsid w:val="00345070"/>
    <w:rsid w:val="00345107"/>
    <w:rsid w:val="00345172"/>
    <w:rsid w:val="00345470"/>
    <w:rsid w:val="0034564E"/>
    <w:rsid w:val="00345B0A"/>
    <w:rsid w:val="00345BC0"/>
    <w:rsid w:val="00345C06"/>
    <w:rsid w:val="00345F7C"/>
    <w:rsid w:val="003460AD"/>
    <w:rsid w:val="00346180"/>
    <w:rsid w:val="00346305"/>
    <w:rsid w:val="00346554"/>
    <w:rsid w:val="0034660D"/>
    <w:rsid w:val="003466DC"/>
    <w:rsid w:val="003468F9"/>
    <w:rsid w:val="00346992"/>
    <w:rsid w:val="00346996"/>
    <w:rsid w:val="003469B4"/>
    <w:rsid w:val="003469E8"/>
    <w:rsid w:val="00346A28"/>
    <w:rsid w:val="00346DBE"/>
    <w:rsid w:val="00346E77"/>
    <w:rsid w:val="00346FFB"/>
    <w:rsid w:val="0034703A"/>
    <w:rsid w:val="00347094"/>
    <w:rsid w:val="0034730D"/>
    <w:rsid w:val="00347408"/>
    <w:rsid w:val="0034746D"/>
    <w:rsid w:val="0034758A"/>
    <w:rsid w:val="003479B3"/>
    <w:rsid w:val="00347BE7"/>
    <w:rsid w:val="00347C66"/>
    <w:rsid w:val="00347FAC"/>
    <w:rsid w:val="00347FCC"/>
    <w:rsid w:val="00347FEF"/>
    <w:rsid w:val="003500BA"/>
    <w:rsid w:val="00350241"/>
    <w:rsid w:val="003502C2"/>
    <w:rsid w:val="00350398"/>
    <w:rsid w:val="0035044B"/>
    <w:rsid w:val="00350495"/>
    <w:rsid w:val="0035058F"/>
    <w:rsid w:val="00350615"/>
    <w:rsid w:val="003507D1"/>
    <w:rsid w:val="00350809"/>
    <w:rsid w:val="00350A7F"/>
    <w:rsid w:val="00350AC5"/>
    <w:rsid w:val="00350ADE"/>
    <w:rsid w:val="00350AF3"/>
    <w:rsid w:val="00350BD5"/>
    <w:rsid w:val="00350BFA"/>
    <w:rsid w:val="00350E26"/>
    <w:rsid w:val="00350EBC"/>
    <w:rsid w:val="00350F6D"/>
    <w:rsid w:val="00350F87"/>
    <w:rsid w:val="003510BC"/>
    <w:rsid w:val="0035114D"/>
    <w:rsid w:val="0035116A"/>
    <w:rsid w:val="00351332"/>
    <w:rsid w:val="003514FA"/>
    <w:rsid w:val="003515E8"/>
    <w:rsid w:val="003517FA"/>
    <w:rsid w:val="003518B2"/>
    <w:rsid w:val="00351AE6"/>
    <w:rsid w:val="00351BAE"/>
    <w:rsid w:val="00351EE4"/>
    <w:rsid w:val="00351F3E"/>
    <w:rsid w:val="003520D0"/>
    <w:rsid w:val="00352269"/>
    <w:rsid w:val="0035227A"/>
    <w:rsid w:val="003522EF"/>
    <w:rsid w:val="00352365"/>
    <w:rsid w:val="0035246A"/>
    <w:rsid w:val="0035257C"/>
    <w:rsid w:val="0035291E"/>
    <w:rsid w:val="00352B40"/>
    <w:rsid w:val="00352FF2"/>
    <w:rsid w:val="00353052"/>
    <w:rsid w:val="003530E7"/>
    <w:rsid w:val="003532A7"/>
    <w:rsid w:val="003535F9"/>
    <w:rsid w:val="0035373D"/>
    <w:rsid w:val="00353AED"/>
    <w:rsid w:val="00353B9C"/>
    <w:rsid w:val="00353BF3"/>
    <w:rsid w:val="00353C2C"/>
    <w:rsid w:val="00353CC0"/>
    <w:rsid w:val="00353CF9"/>
    <w:rsid w:val="00353D50"/>
    <w:rsid w:val="00353E61"/>
    <w:rsid w:val="00353FB5"/>
    <w:rsid w:val="003540F5"/>
    <w:rsid w:val="00354291"/>
    <w:rsid w:val="00354528"/>
    <w:rsid w:val="00354598"/>
    <w:rsid w:val="00354A1D"/>
    <w:rsid w:val="00354B50"/>
    <w:rsid w:val="00354D8E"/>
    <w:rsid w:val="00354DF7"/>
    <w:rsid w:val="00354E33"/>
    <w:rsid w:val="00354F77"/>
    <w:rsid w:val="00354FF5"/>
    <w:rsid w:val="00355164"/>
    <w:rsid w:val="003551BA"/>
    <w:rsid w:val="0035526C"/>
    <w:rsid w:val="003552E2"/>
    <w:rsid w:val="003552E6"/>
    <w:rsid w:val="0035540C"/>
    <w:rsid w:val="003555A2"/>
    <w:rsid w:val="0035564E"/>
    <w:rsid w:val="00355779"/>
    <w:rsid w:val="00355810"/>
    <w:rsid w:val="00355826"/>
    <w:rsid w:val="003558F2"/>
    <w:rsid w:val="00355AE4"/>
    <w:rsid w:val="00355BB6"/>
    <w:rsid w:val="00355D6F"/>
    <w:rsid w:val="00355FFC"/>
    <w:rsid w:val="003561E4"/>
    <w:rsid w:val="003562A7"/>
    <w:rsid w:val="00356526"/>
    <w:rsid w:val="003565DE"/>
    <w:rsid w:val="00356633"/>
    <w:rsid w:val="00356637"/>
    <w:rsid w:val="003568FE"/>
    <w:rsid w:val="00356A0C"/>
    <w:rsid w:val="00356A68"/>
    <w:rsid w:val="00356ACE"/>
    <w:rsid w:val="00356BD3"/>
    <w:rsid w:val="00356D47"/>
    <w:rsid w:val="00356D48"/>
    <w:rsid w:val="00356EB4"/>
    <w:rsid w:val="00356F15"/>
    <w:rsid w:val="00356F51"/>
    <w:rsid w:val="003570DA"/>
    <w:rsid w:val="003571C3"/>
    <w:rsid w:val="0035735B"/>
    <w:rsid w:val="003573C5"/>
    <w:rsid w:val="00357516"/>
    <w:rsid w:val="0035757B"/>
    <w:rsid w:val="0035762D"/>
    <w:rsid w:val="0035772F"/>
    <w:rsid w:val="00357BA9"/>
    <w:rsid w:val="00357E03"/>
    <w:rsid w:val="00357F93"/>
    <w:rsid w:val="00357FF8"/>
    <w:rsid w:val="0036009F"/>
    <w:rsid w:val="00360200"/>
    <w:rsid w:val="0036029D"/>
    <w:rsid w:val="003603B0"/>
    <w:rsid w:val="003604FB"/>
    <w:rsid w:val="0036052F"/>
    <w:rsid w:val="0036085C"/>
    <w:rsid w:val="00360918"/>
    <w:rsid w:val="00360B38"/>
    <w:rsid w:val="00360BD7"/>
    <w:rsid w:val="00360F80"/>
    <w:rsid w:val="00361167"/>
    <w:rsid w:val="003612AD"/>
    <w:rsid w:val="003613EB"/>
    <w:rsid w:val="0036143E"/>
    <w:rsid w:val="003614E0"/>
    <w:rsid w:val="003616A2"/>
    <w:rsid w:val="0036196A"/>
    <w:rsid w:val="00361B7A"/>
    <w:rsid w:val="00361CC0"/>
    <w:rsid w:val="00361DFF"/>
    <w:rsid w:val="00361E14"/>
    <w:rsid w:val="00361F31"/>
    <w:rsid w:val="00362147"/>
    <w:rsid w:val="00362258"/>
    <w:rsid w:val="0036233E"/>
    <w:rsid w:val="003623FD"/>
    <w:rsid w:val="00362629"/>
    <w:rsid w:val="0036278A"/>
    <w:rsid w:val="0036279A"/>
    <w:rsid w:val="00362810"/>
    <w:rsid w:val="00362885"/>
    <w:rsid w:val="00362A7A"/>
    <w:rsid w:val="00362B81"/>
    <w:rsid w:val="00362C52"/>
    <w:rsid w:val="00362D23"/>
    <w:rsid w:val="00362D9C"/>
    <w:rsid w:val="00362F14"/>
    <w:rsid w:val="00363080"/>
    <w:rsid w:val="00363118"/>
    <w:rsid w:val="00363137"/>
    <w:rsid w:val="003631E0"/>
    <w:rsid w:val="00363368"/>
    <w:rsid w:val="00363381"/>
    <w:rsid w:val="003638AC"/>
    <w:rsid w:val="00363A69"/>
    <w:rsid w:val="00363AA6"/>
    <w:rsid w:val="00363AE6"/>
    <w:rsid w:val="00363AEB"/>
    <w:rsid w:val="00363AFA"/>
    <w:rsid w:val="00363B6C"/>
    <w:rsid w:val="00363B7F"/>
    <w:rsid w:val="00363CD1"/>
    <w:rsid w:val="00364098"/>
    <w:rsid w:val="003642C9"/>
    <w:rsid w:val="003643D7"/>
    <w:rsid w:val="003643E3"/>
    <w:rsid w:val="00364424"/>
    <w:rsid w:val="003644EC"/>
    <w:rsid w:val="003645FB"/>
    <w:rsid w:val="0036497E"/>
    <w:rsid w:val="00364A19"/>
    <w:rsid w:val="00364B28"/>
    <w:rsid w:val="00364BBC"/>
    <w:rsid w:val="00364BCB"/>
    <w:rsid w:val="00364BFC"/>
    <w:rsid w:val="00364BFD"/>
    <w:rsid w:val="00364FDD"/>
    <w:rsid w:val="00364FF6"/>
    <w:rsid w:val="00365241"/>
    <w:rsid w:val="0036533B"/>
    <w:rsid w:val="00365390"/>
    <w:rsid w:val="0036540F"/>
    <w:rsid w:val="00365457"/>
    <w:rsid w:val="00365659"/>
    <w:rsid w:val="00365673"/>
    <w:rsid w:val="0036576D"/>
    <w:rsid w:val="0036577D"/>
    <w:rsid w:val="0036579E"/>
    <w:rsid w:val="003657EA"/>
    <w:rsid w:val="00365818"/>
    <w:rsid w:val="00365878"/>
    <w:rsid w:val="00365B02"/>
    <w:rsid w:val="00365B80"/>
    <w:rsid w:val="00365B9A"/>
    <w:rsid w:val="00365D12"/>
    <w:rsid w:val="00365E90"/>
    <w:rsid w:val="003660E6"/>
    <w:rsid w:val="003660F9"/>
    <w:rsid w:val="003662A5"/>
    <w:rsid w:val="003662B9"/>
    <w:rsid w:val="003663BC"/>
    <w:rsid w:val="0036640E"/>
    <w:rsid w:val="0036651A"/>
    <w:rsid w:val="0036663B"/>
    <w:rsid w:val="00366840"/>
    <w:rsid w:val="003669D4"/>
    <w:rsid w:val="00366ACA"/>
    <w:rsid w:val="00366BAC"/>
    <w:rsid w:val="00366BED"/>
    <w:rsid w:val="00366C58"/>
    <w:rsid w:val="00366F5E"/>
    <w:rsid w:val="003670AC"/>
    <w:rsid w:val="00367137"/>
    <w:rsid w:val="003671B7"/>
    <w:rsid w:val="003671D7"/>
    <w:rsid w:val="0036754F"/>
    <w:rsid w:val="00367870"/>
    <w:rsid w:val="003679C3"/>
    <w:rsid w:val="00367A4D"/>
    <w:rsid w:val="00367A58"/>
    <w:rsid w:val="00367B3C"/>
    <w:rsid w:val="00367B58"/>
    <w:rsid w:val="00367C65"/>
    <w:rsid w:val="00367DA2"/>
    <w:rsid w:val="00367E58"/>
    <w:rsid w:val="00370033"/>
    <w:rsid w:val="00370399"/>
    <w:rsid w:val="003706D1"/>
    <w:rsid w:val="00370729"/>
    <w:rsid w:val="00370812"/>
    <w:rsid w:val="00370981"/>
    <w:rsid w:val="00370A63"/>
    <w:rsid w:val="00370BD5"/>
    <w:rsid w:val="00370D41"/>
    <w:rsid w:val="00370EAC"/>
    <w:rsid w:val="00371296"/>
    <w:rsid w:val="003712A3"/>
    <w:rsid w:val="00371330"/>
    <w:rsid w:val="00371439"/>
    <w:rsid w:val="00371537"/>
    <w:rsid w:val="00371734"/>
    <w:rsid w:val="0037190E"/>
    <w:rsid w:val="003719F6"/>
    <w:rsid w:val="00371E12"/>
    <w:rsid w:val="00371E46"/>
    <w:rsid w:val="00372109"/>
    <w:rsid w:val="00372436"/>
    <w:rsid w:val="003725A3"/>
    <w:rsid w:val="00372755"/>
    <w:rsid w:val="00372B17"/>
    <w:rsid w:val="00372B3A"/>
    <w:rsid w:val="00372B49"/>
    <w:rsid w:val="00372C6A"/>
    <w:rsid w:val="00372EE5"/>
    <w:rsid w:val="00372F85"/>
    <w:rsid w:val="00373035"/>
    <w:rsid w:val="00373064"/>
    <w:rsid w:val="00373136"/>
    <w:rsid w:val="003732DD"/>
    <w:rsid w:val="00373314"/>
    <w:rsid w:val="003734F3"/>
    <w:rsid w:val="00373564"/>
    <w:rsid w:val="0037373D"/>
    <w:rsid w:val="003737F4"/>
    <w:rsid w:val="003738A1"/>
    <w:rsid w:val="0037398B"/>
    <w:rsid w:val="003739AE"/>
    <w:rsid w:val="00373B83"/>
    <w:rsid w:val="00373BF9"/>
    <w:rsid w:val="00373C0D"/>
    <w:rsid w:val="0037405D"/>
    <w:rsid w:val="0037426A"/>
    <w:rsid w:val="003742A1"/>
    <w:rsid w:val="0037430B"/>
    <w:rsid w:val="003744B3"/>
    <w:rsid w:val="00374676"/>
    <w:rsid w:val="00374694"/>
    <w:rsid w:val="00374A55"/>
    <w:rsid w:val="00374ADB"/>
    <w:rsid w:val="00374AF9"/>
    <w:rsid w:val="00374BD6"/>
    <w:rsid w:val="00374C5C"/>
    <w:rsid w:val="00374CDF"/>
    <w:rsid w:val="00374DAF"/>
    <w:rsid w:val="00374DB6"/>
    <w:rsid w:val="00374E63"/>
    <w:rsid w:val="00374EF4"/>
    <w:rsid w:val="00375017"/>
    <w:rsid w:val="003750D6"/>
    <w:rsid w:val="003750EF"/>
    <w:rsid w:val="00375101"/>
    <w:rsid w:val="00375108"/>
    <w:rsid w:val="00375338"/>
    <w:rsid w:val="00375340"/>
    <w:rsid w:val="00375370"/>
    <w:rsid w:val="003753A6"/>
    <w:rsid w:val="003754BE"/>
    <w:rsid w:val="003754EB"/>
    <w:rsid w:val="00375593"/>
    <w:rsid w:val="003755BF"/>
    <w:rsid w:val="00375702"/>
    <w:rsid w:val="003757A1"/>
    <w:rsid w:val="003757BE"/>
    <w:rsid w:val="003757D8"/>
    <w:rsid w:val="00375915"/>
    <w:rsid w:val="00375BDB"/>
    <w:rsid w:val="00375C2C"/>
    <w:rsid w:val="003762EA"/>
    <w:rsid w:val="003764F8"/>
    <w:rsid w:val="003766BD"/>
    <w:rsid w:val="003767B3"/>
    <w:rsid w:val="003767FD"/>
    <w:rsid w:val="00376899"/>
    <w:rsid w:val="0037698A"/>
    <w:rsid w:val="003769CB"/>
    <w:rsid w:val="00376A86"/>
    <w:rsid w:val="00376CD2"/>
    <w:rsid w:val="00376D9B"/>
    <w:rsid w:val="00376DBA"/>
    <w:rsid w:val="00376EA6"/>
    <w:rsid w:val="00376EF9"/>
    <w:rsid w:val="00376F3B"/>
    <w:rsid w:val="00376FE4"/>
    <w:rsid w:val="003778A1"/>
    <w:rsid w:val="00377906"/>
    <w:rsid w:val="0037796C"/>
    <w:rsid w:val="00377C2B"/>
    <w:rsid w:val="00377C2F"/>
    <w:rsid w:val="00377E77"/>
    <w:rsid w:val="00377EFF"/>
    <w:rsid w:val="00377F15"/>
    <w:rsid w:val="00377F37"/>
    <w:rsid w:val="0037FB8A"/>
    <w:rsid w:val="00380160"/>
    <w:rsid w:val="0038022E"/>
    <w:rsid w:val="003802D3"/>
    <w:rsid w:val="003802EB"/>
    <w:rsid w:val="00380361"/>
    <w:rsid w:val="00380642"/>
    <w:rsid w:val="00380A2F"/>
    <w:rsid w:val="00380AA9"/>
    <w:rsid w:val="00380B36"/>
    <w:rsid w:val="00380B46"/>
    <w:rsid w:val="00380C08"/>
    <w:rsid w:val="00380CAD"/>
    <w:rsid w:val="00380CD5"/>
    <w:rsid w:val="00380DFC"/>
    <w:rsid w:val="00380E55"/>
    <w:rsid w:val="00380F39"/>
    <w:rsid w:val="00380F5B"/>
    <w:rsid w:val="00381109"/>
    <w:rsid w:val="00381113"/>
    <w:rsid w:val="0038111A"/>
    <w:rsid w:val="00381151"/>
    <w:rsid w:val="00381155"/>
    <w:rsid w:val="0038144A"/>
    <w:rsid w:val="003814E3"/>
    <w:rsid w:val="003814F0"/>
    <w:rsid w:val="003815CB"/>
    <w:rsid w:val="00381631"/>
    <w:rsid w:val="003816F3"/>
    <w:rsid w:val="0038174A"/>
    <w:rsid w:val="003817F6"/>
    <w:rsid w:val="00381817"/>
    <w:rsid w:val="0038186B"/>
    <w:rsid w:val="003818BF"/>
    <w:rsid w:val="003819E5"/>
    <w:rsid w:val="00381ABE"/>
    <w:rsid w:val="00381C44"/>
    <w:rsid w:val="00381C7E"/>
    <w:rsid w:val="00381EA9"/>
    <w:rsid w:val="0038200E"/>
    <w:rsid w:val="0038219B"/>
    <w:rsid w:val="00382451"/>
    <w:rsid w:val="00382529"/>
    <w:rsid w:val="00382781"/>
    <w:rsid w:val="003827ED"/>
    <w:rsid w:val="00382AE4"/>
    <w:rsid w:val="00382FE7"/>
    <w:rsid w:val="0038304D"/>
    <w:rsid w:val="00383131"/>
    <w:rsid w:val="003832F4"/>
    <w:rsid w:val="00383465"/>
    <w:rsid w:val="003834D9"/>
    <w:rsid w:val="00383562"/>
    <w:rsid w:val="00383564"/>
    <w:rsid w:val="003835AC"/>
    <w:rsid w:val="003836B0"/>
    <w:rsid w:val="00383727"/>
    <w:rsid w:val="00383A2E"/>
    <w:rsid w:val="00383B2A"/>
    <w:rsid w:val="00383B71"/>
    <w:rsid w:val="00383CDD"/>
    <w:rsid w:val="003841C5"/>
    <w:rsid w:val="00384359"/>
    <w:rsid w:val="00384396"/>
    <w:rsid w:val="003843B8"/>
    <w:rsid w:val="00384512"/>
    <w:rsid w:val="0038454B"/>
    <w:rsid w:val="00384B20"/>
    <w:rsid w:val="00384FB6"/>
    <w:rsid w:val="00385081"/>
    <w:rsid w:val="003850B4"/>
    <w:rsid w:val="003850F7"/>
    <w:rsid w:val="003851CA"/>
    <w:rsid w:val="00385386"/>
    <w:rsid w:val="0038538A"/>
    <w:rsid w:val="0038543D"/>
    <w:rsid w:val="0038572B"/>
    <w:rsid w:val="003857D3"/>
    <w:rsid w:val="00385C8D"/>
    <w:rsid w:val="00385E62"/>
    <w:rsid w:val="00386012"/>
    <w:rsid w:val="00386284"/>
    <w:rsid w:val="003864D4"/>
    <w:rsid w:val="003866FE"/>
    <w:rsid w:val="0038678C"/>
    <w:rsid w:val="0038696B"/>
    <w:rsid w:val="003869A8"/>
    <w:rsid w:val="003869FF"/>
    <w:rsid w:val="00386C4D"/>
    <w:rsid w:val="00386E1C"/>
    <w:rsid w:val="00386ECD"/>
    <w:rsid w:val="00387302"/>
    <w:rsid w:val="003873D8"/>
    <w:rsid w:val="00387434"/>
    <w:rsid w:val="003874AB"/>
    <w:rsid w:val="003875D3"/>
    <w:rsid w:val="003876B1"/>
    <w:rsid w:val="003876BE"/>
    <w:rsid w:val="0038785A"/>
    <w:rsid w:val="0038796F"/>
    <w:rsid w:val="00387B95"/>
    <w:rsid w:val="00387BAF"/>
    <w:rsid w:val="00387CBF"/>
    <w:rsid w:val="00387DFE"/>
    <w:rsid w:val="00387F21"/>
    <w:rsid w:val="00387F3A"/>
    <w:rsid w:val="00387F79"/>
    <w:rsid w:val="003900C7"/>
    <w:rsid w:val="00390453"/>
    <w:rsid w:val="00390518"/>
    <w:rsid w:val="00390906"/>
    <w:rsid w:val="00390A40"/>
    <w:rsid w:val="00390AE0"/>
    <w:rsid w:val="00390B18"/>
    <w:rsid w:val="00390BF7"/>
    <w:rsid w:val="00390BF8"/>
    <w:rsid w:val="00390FE0"/>
    <w:rsid w:val="00391048"/>
    <w:rsid w:val="00391378"/>
    <w:rsid w:val="003914B5"/>
    <w:rsid w:val="00391625"/>
    <w:rsid w:val="003916C0"/>
    <w:rsid w:val="003918EA"/>
    <w:rsid w:val="00391AB3"/>
    <w:rsid w:val="00391B79"/>
    <w:rsid w:val="00391CE3"/>
    <w:rsid w:val="00391CE5"/>
    <w:rsid w:val="003921CD"/>
    <w:rsid w:val="0039237E"/>
    <w:rsid w:val="0039238B"/>
    <w:rsid w:val="003924EA"/>
    <w:rsid w:val="0039253B"/>
    <w:rsid w:val="00392970"/>
    <w:rsid w:val="00392AD1"/>
    <w:rsid w:val="00392B04"/>
    <w:rsid w:val="00392C22"/>
    <w:rsid w:val="00392C3E"/>
    <w:rsid w:val="00392F28"/>
    <w:rsid w:val="00392F92"/>
    <w:rsid w:val="00392FA9"/>
    <w:rsid w:val="0039313B"/>
    <w:rsid w:val="003931BC"/>
    <w:rsid w:val="003937EC"/>
    <w:rsid w:val="00393916"/>
    <w:rsid w:val="00393B14"/>
    <w:rsid w:val="00393C4B"/>
    <w:rsid w:val="00393C73"/>
    <w:rsid w:val="00393D54"/>
    <w:rsid w:val="003943E3"/>
    <w:rsid w:val="003944FE"/>
    <w:rsid w:val="003947F0"/>
    <w:rsid w:val="00394DE9"/>
    <w:rsid w:val="00394E3B"/>
    <w:rsid w:val="00395139"/>
    <w:rsid w:val="00395448"/>
    <w:rsid w:val="003955E4"/>
    <w:rsid w:val="0039569A"/>
    <w:rsid w:val="0039569E"/>
    <w:rsid w:val="003956DE"/>
    <w:rsid w:val="003956FC"/>
    <w:rsid w:val="003957CB"/>
    <w:rsid w:val="0039581C"/>
    <w:rsid w:val="00395C1D"/>
    <w:rsid w:val="00395D43"/>
    <w:rsid w:val="00395DBF"/>
    <w:rsid w:val="00395FCC"/>
    <w:rsid w:val="0039615B"/>
    <w:rsid w:val="0039627D"/>
    <w:rsid w:val="00396333"/>
    <w:rsid w:val="003968D2"/>
    <w:rsid w:val="003969BF"/>
    <w:rsid w:val="00396D3A"/>
    <w:rsid w:val="00396DF5"/>
    <w:rsid w:val="00396FE1"/>
    <w:rsid w:val="00397120"/>
    <w:rsid w:val="0039715F"/>
    <w:rsid w:val="00397183"/>
    <w:rsid w:val="003972FA"/>
    <w:rsid w:val="00397315"/>
    <w:rsid w:val="00397386"/>
    <w:rsid w:val="00397670"/>
    <w:rsid w:val="00397872"/>
    <w:rsid w:val="00397B3F"/>
    <w:rsid w:val="00397B77"/>
    <w:rsid w:val="00397C89"/>
    <w:rsid w:val="003A001F"/>
    <w:rsid w:val="003A0040"/>
    <w:rsid w:val="003A0072"/>
    <w:rsid w:val="003A0197"/>
    <w:rsid w:val="003A01EC"/>
    <w:rsid w:val="003A01F3"/>
    <w:rsid w:val="003A0223"/>
    <w:rsid w:val="003A0585"/>
    <w:rsid w:val="003A0D61"/>
    <w:rsid w:val="003A0D76"/>
    <w:rsid w:val="003A0DC2"/>
    <w:rsid w:val="003A0E92"/>
    <w:rsid w:val="003A0EFF"/>
    <w:rsid w:val="003A112B"/>
    <w:rsid w:val="003A12E9"/>
    <w:rsid w:val="003A1583"/>
    <w:rsid w:val="003A1C96"/>
    <w:rsid w:val="003A1E41"/>
    <w:rsid w:val="003A1E72"/>
    <w:rsid w:val="003A1F9B"/>
    <w:rsid w:val="003A210D"/>
    <w:rsid w:val="003A2125"/>
    <w:rsid w:val="003A21DD"/>
    <w:rsid w:val="003A2260"/>
    <w:rsid w:val="003A254D"/>
    <w:rsid w:val="003A2565"/>
    <w:rsid w:val="003A25D0"/>
    <w:rsid w:val="003A2684"/>
    <w:rsid w:val="003A27FD"/>
    <w:rsid w:val="003A28AB"/>
    <w:rsid w:val="003A2955"/>
    <w:rsid w:val="003A2A14"/>
    <w:rsid w:val="003A2A9C"/>
    <w:rsid w:val="003A2C44"/>
    <w:rsid w:val="003A2D61"/>
    <w:rsid w:val="003A2E9B"/>
    <w:rsid w:val="003A309F"/>
    <w:rsid w:val="003A30B1"/>
    <w:rsid w:val="003A31A2"/>
    <w:rsid w:val="003A32F9"/>
    <w:rsid w:val="003A3345"/>
    <w:rsid w:val="003A336E"/>
    <w:rsid w:val="003A3A6B"/>
    <w:rsid w:val="003A3D88"/>
    <w:rsid w:val="003A4295"/>
    <w:rsid w:val="003A42C3"/>
    <w:rsid w:val="003A4385"/>
    <w:rsid w:val="003A4462"/>
    <w:rsid w:val="003A4504"/>
    <w:rsid w:val="003A452B"/>
    <w:rsid w:val="003A45B5"/>
    <w:rsid w:val="003A4683"/>
    <w:rsid w:val="003A46C6"/>
    <w:rsid w:val="003A4805"/>
    <w:rsid w:val="003A4A06"/>
    <w:rsid w:val="003A4AD7"/>
    <w:rsid w:val="003A4B64"/>
    <w:rsid w:val="003A4CAF"/>
    <w:rsid w:val="003A4CDC"/>
    <w:rsid w:val="003A4D0A"/>
    <w:rsid w:val="003A4EE8"/>
    <w:rsid w:val="003A506C"/>
    <w:rsid w:val="003A516B"/>
    <w:rsid w:val="003A523A"/>
    <w:rsid w:val="003A546D"/>
    <w:rsid w:val="003A5625"/>
    <w:rsid w:val="003A5962"/>
    <w:rsid w:val="003A5AD2"/>
    <w:rsid w:val="003A5AE7"/>
    <w:rsid w:val="003A5C43"/>
    <w:rsid w:val="003A5D6E"/>
    <w:rsid w:val="003A5F3B"/>
    <w:rsid w:val="003A6178"/>
    <w:rsid w:val="003A6183"/>
    <w:rsid w:val="003A6418"/>
    <w:rsid w:val="003A6608"/>
    <w:rsid w:val="003A67FD"/>
    <w:rsid w:val="003A682F"/>
    <w:rsid w:val="003A6832"/>
    <w:rsid w:val="003A6850"/>
    <w:rsid w:val="003A68A5"/>
    <w:rsid w:val="003A6935"/>
    <w:rsid w:val="003A6A1E"/>
    <w:rsid w:val="003A6A35"/>
    <w:rsid w:val="003A6B3C"/>
    <w:rsid w:val="003A6CEE"/>
    <w:rsid w:val="003A6DB6"/>
    <w:rsid w:val="003A6ECE"/>
    <w:rsid w:val="003A705A"/>
    <w:rsid w:val="003A70F5"/>
    <w:rsid w:val="003A74A2"/>
    <w:rsid w:val="003A7677"/>
    <w:rsid w:val="003A796E"/>
    <w:rsid w:val="003A7B24"/>
    <w:rsid w:val="003A7B45"/>
    <w:rsid w:val="003A7B61"/>
    <w:rsid w:val="003A7C24"/>
    <w:rsid w:val="003A7C4D"/>
    <w:rsid w:val="003A7D28"/>
    <w:rsid w:val="003A7E48"/>
    <w:rsid w:val="003A7E6E"/>
    <w:rsid w:val="003A7EA2"/>
    <w:rsid w:val="003A7FE0"/>
    <w:rsid w:val="003B0063"/>
    <w:rsid w:val="003B01E7"/>
    <w:rsid w:val="003B0244"/>
    <w:rsid w:val="003B0281"/>
    <w:rsid w:val="003B04E5"/>
    <w:rsid w:val="003B0610"/>
    <w:rsid w:val="003B0665"/>
    <w:rsid w:val="003B07E3"/>
    <w:rsid w:val="003B089F"/>
    <w:rsid w:val="003B0B80"/>
    <w:rsid w:val="003B0EBF"/>
    <w:rsid w:val="003B0EFD"/>
    <w:rsid w:val="003B0F16"/>
    <w:rsid w:val="003B1184"/>
    <w:rsid w:val="003B12DA"/>
    <w:rsid w:val="003B12E4"/>
    <w:rsid w:val="003B13C0"/>
    <w:rsid w:val="003B13C6"/>
    <w:rsid w:val="003B13D0"/>
    <w:rsid w:val="003B14E5"/>
    <w:rsid w:val="003B173D"/>
    <w:rsid w:val="003B17D2"/>
    <w:rsid w:val="003B1A2B"/>
    <w:rsid w:val="003B1BB0"/>
    <w:rsid w:val="003B1D65"/>
    <w:rsid w:val="003B1D9F"/>
    <w:rsid w:val="003B1DBF"/>
    <w:rsid w:val="003B1E4D"/>
    <w:rsid w:val="003B1E94"/>
    <w:rsid w:val="003B2018"/>
    <w:rsid w:val="003B20B8"/>
    <w:rsid w:val="003B20F2"/>
    <w:rsid w:val="003B2141"/>
    <w:rsid w:val="003B2260"/>
    <w:rsid w:val="003B2304"/>
    <w:rsid w:val="003B2359"/>
    <w:rsid w:val="003B24B7"/>
    <w:rsid w:val="003B24BD"/>
    <w:rsid w:val="003B265C"/>
    <w:rsid w:val="003B276E"/>
    <w:rsid w:val="003B29C9"/>
    <w:rsid w:val="003B2A5A"/>
    <w:rsid w:val="003B2D53"/>
    <w:rsid w:val="003B2E1A"/>
    <w:rsid w:val="003B2F4E"/>
    <w:rsid w:val="003B312F"/>
    <w:rsid w:val="003B3253"/>
    <w:rsid w:val="003B3310"/>
    <w:rsid w:val="003B37E9"/>
    <w:rsid w:val="003B387E"/>
    <w:rsid w:val="003B3ABC"/>
    <w:rsid w:val="003B40A9"/>
    <w:rsid w:val="003B4133"/>
    <w:rsid w:val="003B414D"/>
    <w:rsid w:val="003B41E7"/>
    <w:rsid w:val="003B4415"/>
    <w:rsid w:val="003B4841"/>
    <w:rsid w:val="003B48DE"/>
    <w:rsid w:val="003B4AF0"/>
    <w:rsid w:val="003B4FF1"/>
    <w:rsid w:val="003B5054"/>
    <w:rsid w:val="003B5145"/>
    <w:rsid w:val="003B54A0"/>
    <w:rsid w:val="003B553B"/>
    <w:rsid w:val="003B5594"/>
    <w:rsid w:val="003B5596"/>
    <w:rsid w:val="003B55F9"/>
    <w:rsid w:val="003B568D"/>
    <w:rsid w:val="003B5699"/>
    <w:rsid w:val="003B57EE"/>
    <w:rsid w:val="003B589D"/>
    <w:rsid w:val="003B59C2"/>
    <w:rsid w:val="003B59DD"/>
    <w:rsid w:val="003B5F14"/>
    <w:rsid w:val="003B6032"/>
    <w:rsid w:val="003B60D7"/>
    <w:rsid w:val="003B61A5"/>
    <w:rsid w:val="003B61DF"/>
    <w:rsid w:val="003B64BC"/>
    <w:rsid w:val="003B650C"/>
    <w:rsid w:val="003B6549"/>
    <w:rsid w:val="003B6793"/>
    <w:rsid w:val="003B687B"/>
    <w:rsid w:val="003B696A"/>
    <w:rsid w:val="003B698E"/>
    <w:rsid w:val="003B6D45"/>
    <w:rsid w:val="003B6EBA"/>
    <w:rsid w:val="003B6EBE"/>
    <w:rsid w:val="003B71EE"/>
    <w:rsid w:val="003B7227"/>
    <w:rsid w:val="003B7442"/>
    <w:rsid w:val="003B74D7"/>
    <w:rsid w:val="003B761B"/>
    <w:rsid w:val="003B7788"/>
    <w:rsid w:val="003B7893"/>
    <w:rsid w:val="003B793D"/>
    <w:rsid w:val="003B79FD"/>
    <w:rsid w:val="003B7B0D"/>
    <w:rsid w:val="003B7D0E"/>
    <w:rsid w:val="003B7E4B"/>
    <w:rsid w:val="003C00B4"/>
    <w:rsid w:val="003C01EC"/>
    <w:rsid w:val="003C033E"/>
    <w:rsid w:val="003C0428"/>
    <w:rsid w:val="003C0650"/>
    <w:rsid w:val="003C0740"/>
    <w:rsid w:val="003C0A31"/>
    <w:rsid w:val="003C0A70"/>
    <w:rsid w:val="003C0B55"/>
    <w:rsid w:val="003C0B80"/>
    <w:rsid w:val="003C0C9E"/>
    <w:rsid w:val="003C0D33"/>
    <w:rsid w:val="003C0E54"/>
    <w:rsid w:val="003C111C"/>
    <w:rsid w:val="003C1127"/>
    <w:rsid w:val="003C114F"/>
    <w:rsid w:val="003C11B3"/>
    <w:rsid w:val="003C1204"/>
    <w:rsid w:val="003C12EE"/>
    <w:rsid w:val="003C1310"/>
    <w:rsid w:val="003C13CE"/>
    <w:rsid w:val="003C13ED"/>
    <w:rsid w:val="003C145D"/>
    <w:rsid w:val="003C14D6"/>
    <w:rsid w:val="003C1769"/>
    <w:rsid w:val="003C17F6"/>
    <w:rsid w:val="003C19C3"/>
    <w:rsid w:val="003C1A0F"/>
    <w:rsid w:val="003C1BA4"/>
    <w:rsid w:val="003C1D97"/>
    <w:rsid w:val="003C1DC0"/>
    <w:rsid w:val="003C1E5E"/>
    <w:rsid w:val="003C1F17"/>
    <w:rsid w:val="003C1F3F"/>
    <w:rsid w:val="003C1FE4"/>
    <w:rsid w:val="003C21D4"/>
    <w:rsid w:val="003C21EA"/>
    <w:rsid w:val="003C22FF"/>
    <w:rsid w:val="003C2308"/>
    <w:rsid w:val="003C23BB"/>
    <w:rsid w:val="003C2572"/>
    <w:rsid w:val="003C2585"/>
    <w:rsid w:val="003C275B"/>
    <w:rsid w:val="003C27FE"/>
    <w:rsid w:val="003C28F3"/>
    <w:rsid w:val="003C2B7F"/>
    <w:rsid w:val="003C2C77"/>
    <w:rsid w:val="003C2EEA"/>
    <w:rsid w:val="003C31EB"/>
    <w:rsid w:val="003C340F"/>
    <w:rsid w:val="003C3497"/>
    <w:rsid w:val="003C375A"/>
    <w:rsid w:val="003C3989"/>
    <w:rsid w:val="003C3AAB"/>
    <w:rsid w:val="003C3D4B"/>
    <w:rsid w:val="003C3E3A"/>
    <w:rsid w:val="003C405A"/>
    <w:rsid w:val="003C4380"/>
    <w:rsid w:val="003C43BE"/>
    <w:rsid w:val="003C4425"/>
    <w:rsid w:val="003C44E9"/>
    <w:rsid w:val="003C4650"/>
    <w:rsid w:val="003C4B05"/>
    <w:rsid w:val="003C4D3C"/>
    <w:rsid w:val="003C5479"/>
    <w:rsid w:val="003C54E1"/>
    <w:rsid w:val="003C5573"/>
    <w:rsid w:val="003C562C"/>
    <w:rsid w:val="003C568F"/>
    <w:rsid w:val="003C58A5"/>
    <w:rsid w:val="003C595B"/>
    <w:rsid w:val="003C5E68"/>
    <w:rsid w:val="003C5ECB"/>
    <w:rsid w:val="003C5EEA"/>
    <w:rsid w:val="003C5F00"/>
    <w:rsid w:val="003C613A"/>
    <w:rsid w:val="003C61CE"/>
    <w:rsid w:val="003C6601"/>
    <w:rsid w:val="003C6692"/>
    <w:rsid w:val="003C6781"/>
    <w:rsid w:val="003C68B2"/>
    <w:rsid w:val="003C6B2A"/>
    <w:rsid w:val="003C6C73"/>
    <w:rsid w:val="003C6DF1"/>
    <w:rsid w:val="003C6FBF"/>
    <w:rsid w:val="003C71B9"/>
    <w:rsid w:val="003C721E"/>
    <w:rsid w:val="003C73A2"/>
    <w:rsid w:val="003C7560"/>
    <w:rsid w:val="003C7609"/>
    <w:rsid w:val="003C769B"/>
    <w:rsid w:val="003C76D4"/>
    <w:rsid w:val="003C771A"/>
    <w:rsid w:val="003C788E"/>
    <w:rsid w:val="003C795D"/>
    <w:rsid w:val="003C79BA"/>
    <w:rsid w:val="003C7D6F"/>
    <w:rsid w:val="003C7E56"/>
    <w:rsid w:val="003D00E3"/>
    <w:rsid w:val="003D02BF"/>
    <w:rsid w:val="003D0344"/>
    <w:rsid w:val="003D035F"/>
    <w:rsid w:val="003D045A"/>
    <w:rsid w:val="003D0469"/>
    <w:rsid w:val="003D04D2"/>
    <w:rsid w:val="003D0698"/>
    <w:rsid w:val="003D0849"/>
    <w:rsid w:val="003D08BC"/>
    <w:rsid w:val="003D0A6A"/>
    <w:rsid w:val="003D0A97"/>
    <w:rsid w:val="003D0B2E"/>
    <w:rsid w:val="003D0CEA"/>
    <w:rsid w:val="003D100C"/>
    <w:rsid w:val="003D1033"/>
    <w:rsid w:val="003D1051"/>
    <w:rsid w:val="003D16C9"/>
    <w:rsid w:val="003D19A9"/>
    <w:rsid w:val="003D1A87"/>
    <w:rsid w:val="003D1B80"/>
    <w:rsid w:val="003D1E89"/>
    <w:rsid w:val="003D1FDA"/>
    <w:rsid w:val="003D20B4"/>
    <w:rsid w:val="003D21D7"/>
    <w:rsid w:val="003D2256"/>
    <w:rsid w:val="003D245E"/>
    <w:rsid w:val="003D24A6"/>
    <w:rsid w:val="003D27A9"/>
    <w:rsid w:val="003D27E1"/>
    <w:rsid w:val="003D28A4"/>
    <w:rsid w:val="003D28BC"/>
    <w:rsid w:val="003D2A1D"/>
    <w:rsid w:val="003D2D5C"/>
    <w:rsid w:val="003D2D7D"/>
    <w:rsid w:val="003D2DBD"/>
    <w:rsid w:val="003D2F30"/>
    <w:rsid w:val="003D2F82"/>
    <w:rsid w:val="003D307A"/>
    <w:rsid w:val="003D30B7"/>
    <w:rsid w:val="003D30C9"/>
    <w:rsid w:val="003D328E"/>
    <w:rsid w:val="003D3457"/>
    <w:rsid w:val="003D35CC"/>
    <w:rsid w:val="003D376F"/>
    <w:rsid w:val="003D38DB"/>
    <w:rsid w:val="003D3A18"/>
    <w:rsid w:val="003D3A83"/>
    <w:rsid w:val="003D3AC4"/>
    <w:rsid w:val="003D3E31"/>
    <w:rsid w:val="003D42F9"/>
    <w:rsid w:val="003D4320"/>
    <w:rsid w:val="003D43E9"/>
    <w:rsid w:val="003D4624"/>
    <w:rsid w:val="003D46B1"/>
    <w:rsid w:val="003D46F8"/>
    <w:rsid w:val="003D4744"/>
    <w:rsid w:val="003D48E5"/>
    <w:rsid w:val="003D4A11"/>
    <w:rsid w:val="003D4A3F"/>
    <w:rsid w:val="003D4B77"/>
    <w:rsid w:val="003D4B95"/>
    <w:rsid w:val="003D4C35"/>
    <w:rsid w:val="003D4C55"/>
    <w:rsid w:val="003D5437"/>
    <w:rsid w:val="003D55C2"/>
    <w:rsid w:val="003D5693"/>
    <w:rsid w:val="003D578A"/>
    <w:rsid w:val="003D5B2C"/>
    <w:rsid w:val="003D5E56"/>
    <w:rsid w:val="003D5FAC"/>
    <w:rsid w:val="003D6003"/>
    <w:rsid w:val="003D633C"/>
    <w:rsid w:val="003D639E"/>
    <w:rsid w:val="003D66C1"/>
    <w:rsid w:val="003D6800"/>
    <w:rsid w:val="003D6A4D"/>
    <w:rsid w:val="003D6D8A"/>
    <w:rsid w:val="003D6E40"/>
    <w:rsid w:val="003D7001"/>
    <w:rsid w:val="003D7014"/>
    <w:rsid w:val="003D71CB"/>
    <w:rsid w:val="003D7364"/>
    <w:rsid w:val="003D7406"/>
    <w:rsid w:val="003D74A2"/>
    <w:rsid w:val="003D75FC"/>
    <w:rsid w:val="003D7699"/>
    <w:rsid w:val="003D76B3"/>
    <w:rsid w:val="003D7819"/>
    <w:rsid w:val="003D7826"/>
    <w:rsid w:val="003D7992"/>
    <w:rsid w:val="003D7BB3"/>
    <w:rsid w:val="003D7BC8"/>
    <w:rsid w:val="003D7D5C"/>
    <w:rsid w:val="003D7F08"/>
    <w:rsid w:val="003D7FD4"/>
    <w:rsid w:val="003E0032"/>
    <w:rsid w:val="003E0033"/>
    <w:rsid w:val="003E015C"/>
    <w:rsid w:val="003E02D8"/>
    <w:rsid w:val="003E0684"/>
    <w:rsid w:val="003E06B7"/>
    <w:rsid w:val="003E06F8"/>
    <w:rsid w:val="003E072B"/>
    <w:rsid w:val="003E096B"/>
    <w:rsid w:val="003E0C62"/>
    <w:rsid w:val="003E0D8A"/>
    <w:rsid w:val="003E0E75"/>
    <w:rsid w:val="003E0F69"/>
    <w:rsid w:val="003E111F"/>
    <w:rsid w:val="003E1440"/>
    <w:rsid w:val="003E145F"/>
    <w:rsid w:val="003E1493"/>
    <w:rsid w:val="003E161D"/>
    <w:rsid w:val="003E1763"/>
    <w:rsid w:val="003E1799"/>
    <w:rsid w:val="003E1898"/>
    <w:rsid w:val="003E1AE7"/>
    <w:rsid w:val="003E1F05"/>
    <w:rsid w:val="003E1FBA"/>
    <w:rsid w:val="003E2883"/>
    <w:rsid w:val="003E289D"/>
    <w:rsid w:val="003E29DA"/>
    <w:rsid w:val="003E2A4F"/>
    <w:rsid w:val="003E2AAE"/>
    <w:rsid w:val="003E2C47"/>
    <w:rsid w:val="003E2CAB"/>
    <w:rsid w:val="003E2EB3"/>
    <w:rsid w:val="003E302B"/>
    <w:rsid w:val="003E311C"/>
    <w:rsid w:val="003E3165"/>
    <w:rsid w:val="003E32EE"/>
    <w:rsid w:val="003E361A"/>
    <w:rsid w:val="003E36BD"/>
    <w:rsid w:val="003E3715"/>
    <w:rsid w:val="003E371C"/>
    <w:rsid w:val="003E3743"/>
    <w:rsid w:val="003E37B3"/>
    <w:rsid w:val="003E3BA5"/>
    <w:rsid w:val="003E3BC9"/>
    <w:rsid w:val="003E3BF6"/>
    <w:rsid w:val="003E3D18"/>
    <w:rsid w:val="003E3FB0"/>
    <w:rsid w:val="003E437F"/>
    <w:rsid w:val="003E440F"/>
    <w:rsid w:val="003E4586"/>
    <w:rsid w:val="003E45A0"/>
    <w:rsid w:val="003E4610"/>
    <w:rsid w:val="003E4830"/>
    <w:rsid w:val="003E486C"/>
    <w:rsid w:val="003E4920"/>
    <w:rsid w:val="003E493B"/>
    <w:rsid w:val="003E4A39"/>
    <w:rsid w:val="003E4B48"/>
    <w:rsid w:val="003E4C3F"/>
    <w:rsid w:val="003E4F67"/>
    <w:rsid w:val="003E4FA5"/>
    <w:rsid w:val="003E52DE"/>
    <w:rsid w:val="003E5390"/>
    <w:rsid w:val="003E53DA"/>
    <w:rsid w:val="003E545F"/>
    <w:rsid w:val="003E55C3"/>
    <w:rsid w:val="003E5788"/>
    <w:rsid w:val="003E5942"/>
    <w:rsid w:val="003E5CE2"/>
    <w:rsid w:val="003E5EE0"/>
    <w:rsid w:val="003E5FD7"/>
    <w:rsid w:val="003E6028"/>
    <w:rsid w:val="003E60B4"/>
    <w:rsid w:val="003E62D1"/>
    <w:rsid w:val="003E6353"/>
    <w:rsid w:val="003E63BD"/>
    <w:rsid w:val="003E63F6"/>
    <w:rsid w:val="003E64EC"/>
    <w:rsid w:val="003E6597"/>
    <w:rsid w:val="003E6655"/>
    <w:rsid w:val="003E67A4"/>
    <w:rsid w:val="003E6A0B"/>
    <w:rsid w:val="003E6A4C"/>
    <w:rsid w:val="003E6B75"/>
    <w:rsid w:val="003E6BFE"/>
    <w:rsid w:val="003E6CB9"/>
    <w:rsid w:val="003E6E75"/>
    <w:rsid w:val="003E6F94"/>
    <w:rsid w:val="003E7150"/>
    <w:rsid w:val="003E724B"/>
    <w:rsid w:val="003E746D"/>
    <w:rsid w:val="003E74BD"/>
    <w:rsid w:val="003E76C6"/>
    <w:rsid w:val="003E77B3"/>
    <w:rsid w:val="003E7836"/>
    <w:rsid w:val="003E7869"/>
    <w:rsid w:val="003E7976"/>
    <w:rsid w:val="003E7AA0"/>
    <w:rsid w:val="003E7AD5"/>
    <w:rsid w:val="003E7CA5"/>
    <w:rsid w:val="003E7CE9"/>
    <w:rsid w:val="003E7D3E"/>
    <w:rsid w:val="003E7DA2"/>
    <w:rsid w:val="003E7FE0"/>
    <w:rsid w:val="003F028C"/>
    <w:rsid w:val="003F0357"/>
    <w:rsid w:val="003F03D6"/>
    <w:rsid w:val="003F063B"/>
    <w:rsid w:val="003F09C6"/>
    <w:rsid w:val="003F0A77"/>
    <w:rsid w:val="003F0BCC"/>
    <w:rsid w:val="003F0C19"/>
    <w:rsid w:val="003F0C35"/>
    <w:rsid w:val="003F0CE0"/>
    <w:rsid w:val="003F0E2E"/>
    <w:rsid w:val="003F0E82"/>
    <w:rsid w:val="003F144E"/>
    <w:rsid w:val="003F150F"/>
    <w:rsid w:val="003F16BF"/>
    <w:rsid w:val="003F1766"/>
    <w:rsid w:val="003F19B5"/>
    <w:rsid w:val="003F1AFF"/>
    <w:rsid w:val="003F217A"/>
    <w:rsid w:val="003F22C1"/>
    <w:rsid w:val="003F2327"/>
    <w:rsid w:val="003F2360"/>
    <w:rsid w:val="003F2380"/>
    <w:rsid w:val="003F2460"/>
    <w:rsid w:val="003F26B2"/>
    <w:rsid w:val="003F29E8"/>
    <w:rsid w:val="003F2A4E"/>
    <w:rsid w:val="003F2ABE"/>
    <w:rsid w:val="003F2BEB"/>
    <w:rsid w:val="003F2ECD"/>
    <w:rsid w:val="003F2EF2"/>
    <w:rsid w:val="003F2F49"/>
    <w:rsid w:val="003F2F5F"/>
    <w:rsid w:val="003F30D8"/>
    <w:rsid w:val="003F3134"/>
    <w:rsid w:val="003F3138"/>
    <w:rsid w:val="003F317C"/>
    <w:rsid w:val="003F33BB"/>
    <w:rsid w:val="003F3445"/>
    <w:rsid w:val="003F345C"/>
    <w:rsid w:val="003F350C"/>
    <w:rsid w:val="003F358D"/>
    <w:rsid w:val="003F360F"/>
    <w:rsid w:val="003F3910"/>
    <w:rsid w:val="003F3958"/>
    <w:rsid w:val="003F3A44"/>
    <w:rsid w:val="003F3C74"/>
    <w:rsid w:val="003F3E36"/>
    <w:rsid w:val="003F3E50"/>
    <w:rsid w:val="003F418B"/>
    <w:rsid w:val="003F430C"/>
    <w:rsid w:val="003F4331"/>
    <w:rsid w:val="003F4364"/>
    <w:rsid w:val="003F43E9"/>
    <w:rsid w:val="003F44B5"/>
    <w:rsid w:val="003F46CF"/>
    <w:rsid w:val="003F46E3"/>
    <w:rsid w:val="003F4896"/>
    <w:rsid w:val="003F4AC6"/>
    <w:rsid w:val="003F4D72"/>
    <w:rsid w:val="003F4F59"/>
    <w:rsid w:val="003F5278"/>
    <w:rsid w:val="003F5382"/>
    <w:rsid w:val="003F544A"/>
    <w:rsid w:val="003F54B5"/>
    <w:rsid w:val="003F550B"/>
    <w:rsid w:val="003F55B3"/>
    <w:rsid w:val="003F55FA"/>
    <w:rsid w:val="003F5615"/>
    <w:rsid w:val="003F5645"/>
    <w:rsid w:val="003F56DA"/>
    <w:rsid w:val="003F5A70"/>
    <w:rsid w:val="003F5AAC"/>
    <w:rsid w:val="003F5B46"/>
    <w:rsid w:val="003F5BD9"/>
    <w:rsid w:val="003F5D58"/>
    <w:rsid w:val="003F5DFC"/>
    <w:rsid w:val="003F5E5A"/>
    <w:rsid w:val="003F5F2F"/>
    <w:rsid w:val="003F604C"/>
    <w:rsid w:val="003F6103"/>
    <w:rsid w:val="003F61BD"/>
    <w:rsid w:val="003F621E"/>
    <w:rsid w:val="003F63C2"/>
    <w:rsid w:val="003F648E"/>
    <w:rsid w:val="003F64C9"/>
    <w:rsid w:val="003F67D5"/>
    <w:rsid w:val="003F6874"/>
    <w:rsid w:val="003F6ABD"/>
    <w:rsid w:val="003F6CD7"/>
    <w:rsid w:val="003F6E58"/>
    <w:rsid w:val="003F7040"/>
    <w:rsid w:val="003F7065"/>
    <w:rsid w:val="003F7156"/>
    <w:rsid w:val="003F71C8"/>
    <w:rsid w:val="003F778D"/>
    <w:rsid w:val="003F78C7"/>
    <w:rsid w:val="003F78FE"/>
    <w:rsid w:val="003F7982"/>
    <w:rsid w:val="003F7A34"/>
    <w:rsid w:val="003F7C77"/>
    <w:rsid w:val="003F7E6F"/>
    <w:rsid w:val="003F7F56"/>
    <w:rsid w:val="0040001A"/>
    <w:rsid w:val="0040005E"/>
    <w:rsid w:val="00400250"/>
    <w:rsid w:val="00400325"/>
    <w:rsid w:val="00400404"/>
    <w:rsid w:val="00400481"/>
    <w:rsid w:val="0040072F"/>
    <w:rsid w:val="00400857"/>
    <w:rsid w:val="00400A40"/>
    <w:rsid w:val="00400C12"/>
    <w:rsid w:val="00400D92"/>
    <w:rsid w:val="00401039"/>
    <w:rsid w:val="00401082"/>
    <w:rsid w:val="004010B1"/>
    <w:rsid w:val="00401186"/>
    <w:rsid w:val="004014A6"/>
    <w:rsid w:val="004014E4"/>
    <w:rsid w:val="0040159A"/>
    <w:rsid w:val="0040168C"/>
    <w:rsid w:val="004016E7"/>
    <w:rsid w:val="00401733"/>
    <w:rsid w:val="004017C9"/>
    <w:rsid w:val="004018EB"/>
    <w:rsid w:val="00401937"/>
    <w:rsid w:val="00401A81"/>
    <w:rsid w:val="00401CEC"/>
    <w:rsid w:val="00401D95"/>
    <w:rsid w:val="00401D9C"/>
    <w:rsid w:val="00401E22"/>
    <w:rsid w:val="00401EC2"/>
    <w:rsid w:val="00401EF9"/>
    <w:rsid w:val="00402042"/>
    <w:rsid w:val="0040215C"/>
    <w:rsid w:val="0040216F"/>
    <w:rsid w:val="00402205"/>
    <w:rsid w:val="0040232A"/>
    <w:rsid w:val="0040250C"/>
    <w:rsid w:val="0040257C"/>
    <w:rsid w:val="00402729"/>
    <w:rsid w:val="00402981"/>
    <w:rsid w:val="004029FF"/>
    <w:rsid w:val="00402A2F"/>
    <w:rsid w:val="00402B73"/>
    <w:rsid w:val="00402BB2"/>
    <w:rsid w:val="00402BDB"/>
    <w:rsid w:val="00402C35"/>
    <w:rsid w:val="00402E0D"/>
    <w:rsid w:val="00402E24"/>
    <w:rsid w:val="00402ED8"/>
    <w:rsid w:val="00402F3E"/>
    <w:rsid w:val="0040302C"/>
    <w:rsid w:val="00403111"/>
    <w:rsid w:val="004031A2"/>
    <w:rsid w:val="0040328B"/>
    <w:rsid w:val="0040330F"/>
    <w:rsid w:val="00403452"/>
    <w:rsid w:val="00403717"/>
    <w:rsid w:val="004037A0"/>
    <w:rsid w:val="0040387C"/>
    <w:rsid w:val="00403BFD"/>
    <w:rsid w:val="00403E49"/>
    <w:rsid w:val="00403E53"/>
    <w:rsid w:val="00404283"/>
    <w:rsid w:val="004042AC"/>
    <w:rsid w:val="004043F3"/>
    <w:rsid w:val="0040456F"/>
    <w:rsid w:val="004046C4"/>
    <w:rsid w:val="004046D5"/>
    <w:rsid w:val="00404989"/>
    <w:rsid w:val="004049F0"/>
    <w:rsid w:val="00404B34"/>
    <w:rsid w:val="00404B88"/>
    <w:rsid w:val="00404B9A"/>
    <w:rsid w:val="00404F86"/>
    <w:rsid w:val="00404FF2"/>
    <w:rsid w:val="00405224"/>
    <w:rsid w:val="0040528D"/>
    <w:rsid w:val="00405337"/>
    <w:rsid w:val="004053F4"/>
    <w:rsid w:val="0040540A"/>
    <w:rsid w:val="0040549D"/>
    <w:rsid w:val="004055F8"/>
    <w:rsid w:val="0040576C"/>
    <w:rsid w:val="0040576D"/>
    <w:rsid w:val="00405948"/>
    <w:rsid w:val="00405BCF"/>
    <w:rsid w:val="00405E4C"/>
    <w:rsid w:val="00405E52"/>
    <w:rsid w:val="00405F54"/>
    <w:rsid w:val="00406024"/>
    <w:rsid w:val="004060AF"/>
    <w:rsid w:val="004061DF"/>
    <w:rsid w:val="004062D4"/>
    <w:rsid w:val="00406553"/>
    <w:rsid w:val="004066D9"/>
    <w:rsid w:val="00406ABE"/>
    <w:rsid w:val="00406B40"/>
    <w:rsid w:val="00406D31"/>
    <w:rsid w:val="00406D8A"/>
    <w:rsid w:val="00406DA1"/>
    <w:rsid w:val="00406F31"/>
    <w:rsid w:val="00406FCA"/>
    <w:rsid w:val="0040708E"/>
    <w:rsid w:val="00407528"/>
    <w:rsid w:val="00407A21"/>
    <w:rsid w:val="00407A49"/>
    <w:rsid w:val="00407B21"/>
    <w:rsid w:val="00407BC9"/>
    <w:rsid w:val="00407BD7"/>
    <w:rsid w:val="00407C8E"/>
    <w:rsid w:val="00407D27"/>
    <w:rsid w:val="00407E58"/>
    <w:rsid w:val="00407F3B"/>
    <w:rsid w:val="0041014F"/>
    <w:rsid w:val="0041019D"/>
    <w:rsid w:val="00410568"/>
    <w:rsid w:val="004105FE"/>
    <w:rsid w:val="004105FF"/>
    <w:rsid w:val="0041064F"/>
    <w:rsid w:val="00410726"/>
    <w:rsid w:val="004107C2"/>
    <w:rsid w:val="004109FF"/>
    <w:rsid w:val="00410C22"/>
    <w:rsid w:val="00410DC1"/>
    <w:rsid w:val="00410E85"/>
    <w:rsid w:val="00410EE9"/>
    <w:rsid w:val="00410F7C"/>
    <w:rsid w:val="004112FD"/>
    <w:rsid w:val="0041132F"/>
    <w:rsid w:val="004114FC"/>
    <w:rsid w:val="004115D7"/>
    <w:rsid w:val="0041165E"/>
    <w:rsid w:val="00411726"/>
    <w:rsid w:val="004117F0"/>
    <w:rsid w:val="00411854"/>
    <w:rsid w:val="00411EB8"/>
    <w:rsid w:val="00411F6D"/>
    <w:rsid w:val="004120B9"/>
    <w:rsid w:val="0041237D"/>
    <w:rsid w:val="004124AD"/>
    <w:rsid w:val="0041263B"/>
    <w:rsid w:val="0041263C"/>
    <w:rsid w:val="00412656"/>
    <w:rsid w:val="00412A18"/>
    <w:rsid w:val="00412A9F"/>
    <w:rsid w:val="00412AAF"/>
    <w:rsid w:val="00412CCA"/>
    <w:rsid w:val="00412D0A"/>
    <w:rsid w:val="00412E84"/>
    <w:rsid w:val="00412EA4"/>
    <w:rsid w:val="0041319C"/>
    <w:rsid w:val="004131F4"/>
    <w:rsid w:val="004132C5"/>
    <w:rsid w:val="00413315"/>
    <w:rsid w:val="004134A9"/>
    <w:rsid w:val="00413602"/>
    <w:rsid w:val="004137E5"/>
    <w:rsid w:val="00413988"/>
    <w:rsid w:val="00413A9C"/>
    <w:rsid w:val="00413BB1"/>
    <w:rsid w:val="00413CFA"/>
    <w:rsid w:val="00413DD4"/>
    <w:rsid w:val="00413EE8"/>
    <w:rsid w:val="00413F6A"/>
    <w:rsid w:val="0041431A"/>
    <w:rsid w:val="0041431F"/>
    <w:rsid w:val="004143FA"/>
    <w:rsid w:val="004144B4"/>
    <w:rsid w:val="004144F1"/>
    <w:rsid w:val="0041468E"/>
    <w:rsid w:val="00414691"/>
    <w:rsid w:val="00414852"/>
    <w:rsid w:val="00414879"/>
    <w:rsid w:val="00414BBF"/>
    <w:rsid w:val="00414DA8"/>
    <w:rsid w:val="00414F83"/>
    <w:rsid w:val="004150CF"/>
    <w:rsid w:val="00415235"/>
    <w:rsid w:val="004152B8"/>
    <w:rsid w:val="0041533F"/>
    <w:rsid w:val="004154E9"/>
    <w:rsid w:val="004155F6"/>
    <w:rsid w:val="004156E7"/>
    <w:rsid w:val="004158BB"/>
    <w:rsid w:val="004158EC"/>
    <w:rsid w:val="0041590E"/>
    <w:rsid w:val="00415957"/>
    <w:rsid w:val="00415A66"/>
    <w:rsid w:val="00415A85"/>
    <w:rsid w:val="00415ACA"/>
    <w:rsid w:val="00415C8B"/>
    <w:rsid w:val="00415DC4"/>
    <w:rsid w:val="00415E6B"/>
    <w:rsid w:val="004160AA"/>
    <w:rsid w:val="004160F0"/>
    <w:rsid w:val="0041611A"/>
    <w:rsid w:val="004163B6"/>
    <w:rsid w:val="004166E9"/>
    <w:rsid w:val="00416854"/>
    <w:rsid w:val="0041687A"/>
    <w:rsid w:val="004169D6"/>
    <w:rsid w:val="00416C8D"/>
    <w:rsid w:val="00416D6F"/>
    <w:rsid w:val="00417083"/>
    <w:rsid w:val="00417189"/>
    <w:rsid w:val="004172E1"/>
    <w:rsid w:val="00417318"/>
    <w:rsid w:val="004173BD"/>
    <w:rsid w:val="004175F8"/>
    <w:rsid w:val="00417A43"/>
    <w:rsid w:val="00417AD9"/>
    <w:rsid w:val="00417D60"/>
    <w:rsid w:val="00417E84"/>
    <w:rsid w:val="00417FBA"/>
    <w:rsid w:val="00420237"/>
    <w:rsid w:val="004202B1"/>
    <w:rsid w:val="00420469"/>
    <w:rsid w:val="004205EA"/>
    <w:rsid w:val="0042064D"/>
    <w:rsid w:val="004206A2"/>
    <w:rsid w:val="004209B9"/>
    <w:rsid w:val="00420AFB"/>
    <w:rsid w:val="00420D87"/>
    <w:rsid w:val="00420E0B"/>
    <w:rsid w:val="00420E77"/>
    <w:rsid w:val="0042107F"/>
    <w:rsid w:val="00421218"/>
    <w:rsid w:val="00421227"/>
    <w:rsid w:val="00421385"/>
    <w:rsid w:val="00421593"/>
    <w:rsid w:val="004217CE"/>
    <w:rsid w:val="004217FA"/>
    <w:rsid w:val="0042192F"/>
    <w:rsid w:val="00421950"/>
    <w:rsid w:val="0042199A"/>
    <w:rsid w:val="00421AC8"/>
    <w:rsid w:val="00421B0E"/>
    <w:rsid w:val="00421F3D"/>
    <w:rsid w:val="00422501"/>
    <w:rsid w:val="004225F8"/>
    <w:rsid w:val="00422625"/>
    <w:rsid w:val="004227DF"/>
    <w:rsid w:val="004227F9"/>
    <w:rsid w:val="00422B02"/>
    <w:rsid w:val="00422B26"/>
    <w:rsid w:val="00422D08"/>
    <w:rsid w:val="00422D38"/>
    <w:rsid w:val="00422DC1"/>
    <w:rsid w:val="00422E11"/>
    <w:rsid w:val="00423028"/>
    <w:rsid w:val="0042307F"/>
    <w:rsid w:val="00423166"/>
    <w:rsid w:val="004232BA"/>
    <w:rsid w:val="00423391"/>
    <w:rsid w:val="004235F7"/>
    <w:rsid w:val="00423681"/>
    <w:rsid w:val="004236D7"/>
    <w:rsid w:val="004237F2"/>
    <w:rsid w:val="00423972"/>
    <w:rsid w:val="00423A8E"/>
    <w:rsid w:val="00423AC7"/>
    <w:rsid w:val="00423B9B"/>
    <w:rsid w:val="00423BEC"/>
    <w:rsid w:val="00423C73"/>
    <w:rsid w:val="00423DAD"/>
    <w:rsid w:val="00423F81"/>
    <w:rsid w:val="004240E1"/>
    <w:rsid w:val="0042418C"/>
    <w:rsid w:val="004241A7"/>
    <w:rsid w:val="0042437A"/>
    <w:rsid w:val="004243F3"/>
    <w:rsid w:val="004244EF"/>
    <w:rsid w:val="004245A7"/>
    <w:rsid w:val="004247C2"/>
    <w:rsid w:val="004248B6"/>
    <w:rsid w:val="0042492D"/>
    <w:rsid w:val="004249E4"/>
    <w:rsid w:val="00424C08"/>
    <w:rsid w:val="00424F22"/>
    <w:rsid w:val="0042502D"/>
    <w:rsid w:val="00425182"/>
    <w:rsid w:val="004252AD"/>
    <w:rsid w:val="00425607"/>
    <w:rsid w:val="0042565A"/>
    <w:rsid w:val="00425731"/>
    <w:rsid w:val="00425888"/>
    <w:rsid w:val="00425BE6"/>
    <w:rsid w:val="00425BF9"/>
    <w:rsid w:val="00425CF2"/>
    <w:rsid w:val="00426029"/>
    <w:rsid w:val="0042608E"/>
    <w:rsid w:val="00426247"/>
    <w:rsid w:val="00426463"/>
    <w:rsid w:val="004264FD"/>
    <w:rsid w:val="00426542"/>
    <w:rsid w:val="004268A2"/>
    <w:rsid w:val="004268AF"/>
    <w:rsid w:val="00426909"/>
    <w:rsid w:val="00426984"/>
    <w:rsid w:val="00426A27"/>
    <w:rsid w:val="00426A8F"/>
    <w:rsid w:val="00426C81"/>
    <w:rsid w:val="00426CA3"/>
    <w:rsid w:val="00426CB5"/>
    <w:rsid w:val="00426D8A"/>
    <w:rsid w:val="00426FE0"/>
    <w:rsid w:val="004273DE"/>
    <w:rsid w:val="004273FF"/>
    <w:rsid w:val="00427506"/>
    <w:rsid w:val="004275E2"/>
    <w:rsid w:val="00427671"/>
    <w:rsid w:val="004276A7"/>
    <w:rsid w:val="004277D2"/>
    <w:rsid w:val="00427888"/>
    <w:rsid w:val="004278B2"/>
    <w:rsid w:val="00427C50"/>
    <w:rsid w:val="00427F8A"/>
    <w:rsid w:val="00430141"/>
    <w:rsid w:val="004301D7"/>
    <w:rsid w:val="0043046C"/>
    <w:rsid w:val="00430698"/>
    <w:rsid w:val="004309A8"/>
    <w:rsid w:val="00430AC0"/>
    <w:rsid w:val="00430AF7"/>
    <w:rsid w:val="00430B11"/>
    <w:rsid w:val="00430B38"/>
    <w:rsid w:val="00430BBE"/>
    <w:rsid w:val="00431080"/>
    <w:rsid w:val="0043138B"/>
    <w:rsid w:val="004314B1"/>
    <w:rsid w:val="004314BC"/>
    <w:rsid w:val="004317EC"/>
    <w:rsid w:val="0043184A"/>
    <w:rsid w:val="00431AF9"/>
    <w:rsid w:val="00431B04"/>
    <w:rsid w:val="00431D0D"/>
    <w:rsid w:val="00431DD6"/>
    <w:rsid w:val="0043212E"/>
    <w:rsid w:val="004322C1"/>
    <w:rsid w:val="00432372"/>
    <w:rsid w:val="004323C9"/>
    <w:rsid w:val="00432530"/>
    <w:rsid w:val="00432624"/>
    <w:rsid w:val="0043281C"/>
    <w:rsid w:val="004329A0"/>
    <w:rsid w:val="004329CE"/>
    <w:rsid w:val="00432A70"/>
    <w:rsid w:val="00432A7B"/>
    <w:rsid w:val="00432AC8"/>
    <w:rsid w:val="00432C43"/>
    <w:rsid w:val="00432F51"/>
    <w:rsid w:val="00433000"/>
    <w:rsid w:val="004331B4"/>
    <w:rsid w:val="004332C3"/>
    <w:rsid w:val="00433321"/>
    <w:rsid w:val="0043346D"/>
    <w:rsid w:val="004334E5"/>
    <w:rsid w:val="0043357A"/>
    <w:rsid w:val="004336C1"/>
    <w:rsid w:val="00433B51"/>
    <w:rsid w:val="00433D4E"/>
    <w:rsid w:val="00433EBA"/>
    <w:rsid w:val="00433ED9"/>
    <w:rsid w:val="00433F66"/>
    <w:rsid w:val="00433FE8"/>
    <w:rsid w:val="004340BF"/>
    <w:rsid w:val="004340C0"/>
    <w:rsid w:val="00434219"/>
    <w:rsid w:val="0043438D"/>
    <w:rsid w:val="004343BE"/>
    <w:rsid w:val="00434512"/>
    <w:rsid w:val="004345D4"/>
    <w:rsid w:val="00434711"/>
    <w:rsid w:val="0043473F"/>
    <w:rsid w:val="00434975"/>
    <w:rsid w:val="00434B2D"/>
    <w:rsid w:val="00434B82"/>
    <w:rsid w:val="00434EB3"/>
    <w:rsid w:val="00434F89"/>
    <w:rsid w:val="004350B4"/>
    <w:rsid w:val="004355BD"/>
    <w:rsid w:val="0043562C"/>
    <w:rsid w:val="0043569D"/>
    <w:rsid w:val="004356A1"/>
    <w:rsid w:val="004357C5"/>
    <w:rsid w:val="004359D0"/>
    <w:rsid w:val="00435B35"/>
    <w:rsid w:val="00435DE1"/>
    <w:rsid w:val="00435EA5"/>
    <w:rsid w:val="00435F0C"/>
    <w:rsid w:val="00436001"/>
    <w:rsid w:val="004361E7"/>
    <w:rsid w:val="004363DE"/>
    <w:rsid w:val="004364D9"/>
    <w:rsid w:val="00436759"/>
    <w:rsid w:val="004367FD"/>
    <w:rsid w:val="004368FB"/>
    <w:rsid w:val="00436B26"/>
    <w:rsid w:val="00436B80"/>
    <w:rsid w:val="00436C7C"/>
    <w:rsid w:val="00436D36"/>
    <w:rsid w:val="00436E08"/>
    <w:rsid w:val="00436EA2"/>
    <w:rsid w:val="00436F85"/>
    <w:rsid w:val="0043709E"/>
    <w:rsid w:val="004372F9"/>
    <w:rsid w:val="004374D2"/>
    <w:rsid w:val="004375F1"/>
    <w:rsid w:val="004378D9"/>
    <w:rsid w:val="00437A60"/>
    <w:rsid w:val="00437BF2"/>
    <w:rsid w:val="00437F2E"/>
    <w:rsid w:val="00438311"/>
    <w:rsid w:val="00440056"/>
    <w:rsid w:val="0044017E"/>
    <w:rsid w:val="004401E9"/>
    <w:rsid w:val="00440207"/>
    <w:rsid w:val="004403F8"/>
    <w:rsid w:val="004406EC"/>
    <w:rsid w:val="0044071F"/>
    <w:rsid w:val="00440800"/>
    <w:rsid w:val="00440847"/>
    <w:rsid w:val="00440885"/>
    <w:rsid w:val="0044090B"/>
    <w:rsid w:val="004409A4"/>
    <w:rsid w:val="00440B9C"/>
    <w:rsid w:val="00440BC3"/>
    <w:rsid w:val="00440E07"/>
    <w:rsid w:val="00440EF9"/>
    <w:rsid w:val="00440FCD"/>
    <w:rsid w:val="0044118F"/>
    <w:rsid w:val="004411BC"/>
    <w:rsid w:val="0044127F"/>
    <w:rsid w:val="0044130F"/>
    <w:rsid w:val="0044132B"/>
    <w:rsid w:val="004414F9"/>
    <w:rsid w:val="0044156C"/>
    <w:rsid w:val="00441597"/>
    <w:rsid w:val="00441966"/>
    <w:rsid w:val="004419DD"/>
    <w:rsid w:val="00441A1E"/>
    <w:rsid w:val="00441A44"/>
    <w:rsid w:val="00441CA2"/>
    <w:rsid w:val="00441D1F"/>
    <w:rsid w:val="00441D67"/>
    <w:rsid w:val="00441E13"/>
    <w:rsid w:val="004421EF"/>
    <w:rsid w:val="00442240"/>
    <w:rsid w:val="00442356"/>
    <w:rsid w:val="00442474"/>
    <w:rsid w:val="004425F0"/>
    <w:rsid w:val="0044265D"/>
    <w:rsid w:val="00442732"/>
    <w:rsid w:val="004427B1"/>
    <w:rsid w:val="0044280D"/>
    <w:rsid w:val="0044296D"/>
    <w:rsid w:val="004429BF"/>
    <w:rsid w:val="004429D7"/>
    <w:rsid w:val="00442BA6"/>
    <w:rsid w:val="00442CF4"/>
    <w:rsid w:val="00442E8C"/>
    <w:rsid w:val="00442F63"/>
    <w:rsid w:val="00443007"/>
    <w:rsid w:val="0044307D"/>
    <w:rsid w:val="004431F5"/>
    <w:rsid w:val="00443306"/>
    <w:rsid w:val="0044330C"/>
    <w:rsid w:val="0044360E"/>
    <w:rsid w:val="0044391C"/>
    <w:rsid w:val="004439A5"/>
    <w:rsid w:val="00443B91"/>
    <w:rsid w:val="00443DA5"/>
    <w:rsid w:val="00443DEB"/>
    <w:rsid w:val="00443F5C"/>
    <w:rsid w:val="0044405C"/>
    <w:rsid w:val="004440A3"/>
    <w:rsid w:val="00444222"/>
    <w:rsid w:val="00444235"/>
    <w:rsid w:val="00444584"/>
    <w:rsid w:val="00444653"/>
    <w:rsid w:val="004446F9"/>
    <w:rsid w:val="00444789"/>
    <w:rsid w:val="0044488D"/>
    <w:rsid w:val="004448F3"/>
    <w:rsid w:val="00444E03"/>
    <w:rsid w:val="00444E12"/>
    <w:rsid w:val="00444F32"/>
    <w:rsid w:val="0044506A"/>
    <w:rsid w:val="0044518D"/>
    <w:rsid w:val="00445205"/>
    <w:rsid w:val="004453C9"/>
    <w:rsid w:val="0044597F"/>
    <w:rsid w:val="00445ADD"/>
    <w:rsid w:val="00445D08"/>
    <w:rsid w:val="00445D30"/>
    <w:rsid w:val="00445E01"/>
    <w:rsid w:val="00446309"/>
    <w:rsid w:val="004464D1"/>
    <w:rsid w:val="004465C5"/>
    <w:rsid w:val="004466E2"/>
    <w:rsid w:val="00446747"/>
    <w:rsid w:val="00446A2D"/>
    <w:rsid w:val="00446A64"/>
    <w:rsid w:val="00446BC2"/>
    <w:rsid w:val="00446C1F"/>
    <w:rsid w:val="00446ED7"/>
    <w:rsid w:val="0044722B"/>
    <w:rsid w:val="004472E0"/>
    <w:rsid w:val="00447320"/>
    <w:rsid w:val="00447439"/>
    <w:rsid w:val="00447546"/>
    <w:rsid w:val="004479E9"/>
    <w:rsid w:val="00447B2B"/>
    <w:rsid w:val="00447B40"/>
    <w:rsid w:val="00447D20"/>
    <w:rsid w:val="00447D96"/>
    <w:rsid w:val="00447E35"/>
    <w:rsid w:val="004501C3"/>
    <w:rsid w:val="00450687"/>
    <w:rsid w:val="0045068D"/>
    <w:rsid w:val="0045087F"/>
    <w:rsid w:val="00450891"/>
    <w:rsid w:val="00450AD5"/>
    <w:rsid w:val="00450DC1"/>
    <w:rsid w:val="00450DE5"/>
    <w:rsid w:val="00450F36"/>
    <w:rsid w:val="00450FD6"/>
    <w:rsid w:val="00451004"/>
    <w:rsid w:val="0045102C"/>
    <w:rsid w:val="0045103F"/>
    <w:rsid w:val="00451122"/>
    <w:rsid w:val="00451176"/>
    <w:rsid w:val="004513C0"/>
    <w:rsid w:val="00451528"/>
    <w:rsid w:val="004515A2"/>
    <w:rsid w:val="00451610"/>
    <w:rsid w:val="0045163F"/>
    <w:rsid w:val="004517AA"/>
    <w:rsid w:val="004518AD"/>
    <w:rsid w:val="004519FA"/>
    <w:rsid w:val="00451A08"/>
    <w:rsid w:val="00451A9C"/>
    <w:rsid w:val="00451B7D"/>
    <w:rsid w:val="00451EBF"/>
    <w:rsid w:val="00451FD9"/>
    <w:rsid w:val="004520D0"/>
    <w:rsid w:val="00452103"/>
    <w:rsid w:val="004524E2"/>
    <w:rsid w:val="0045268D"/>
    <w:rsid w:val="00452779"/>
    <w:rsid w:val="004527A9"/>
    <w:rsid w:val="0045283B"/>
    <w:rsid w:val="00452CC6"/>
    <w:rsid w:val="00452EB4"/>
    <w:rsid w:val="00453062"/>
    <w:rsid w:val="004530C5"/>
    <w:rsid w:val="0045315C"/>
    <w:rsid w:val="00453180"/>
    <w:rsid w:val="004531BD"/>
    <w:rsid w:val="004531D9"/>
    <w:rsid w:val="00453287"/>
    <w:rsid w:val="004533A1"/>
    <w:rsid w:val="00453568"/>
    <w:rsid w:val="0045379B"/>
    <w:rsid w:val="004537C1"/>
    <w:rsid w:val="00453858"/>
    <w:rsid w:val="00453B09"/>
    <w:rsid w:val="00453B94"/>
    <w:rsid w:val="00453CE1"/>
    <w:rsid w:val="00453E16"/>
    <w:rsid w:val="00453EA9"/>
    <w:rsid w:val="00453F84"/>
    <w:rsid w:val="00453F88"/>
    <w:rsid w:val="0045414B"/>
    <w:rsid w:val="00454211"/>
    <w:rsid w:val="00454381"/>
    <w:rsid w:val="004543DB"/>
    <w:rsid w:val="0045445F"/>
    <w:rsid w:val="00454588"/>
    <w:rsid w:val="00454663"/>
    <w:rsid w:val="0045477E"/>
    <w:rsid w:val="00454B85"/>
    <w:rsid w:val="00454C5F"/>
    <w:rsid w:val="00454CD1"/>
    <w:rsid w:val="00454E57"/>
    <w:rsid w:val="00454F29"/>
    <w:rsid w:val="00455095"/>
    <w:rsid w:val="004553F2"/>
    <w:rsid w:val="004553F5"/>
    <w:rsid w:val="0045555E"/>
    <w:rsid w:val="0045559F"/>
    <w:rsid w:val="004555E1"/>
    <w:rsid w:val="0045562C"/>
    <w:rsid w:val="00455661"/>
    <w:rsid w:val="004556CE"/>
    <w:rsid w:val="00455859"/>
    <w:rsid w:val="0045598B"/>
    <w:rsid w:val="004559FA"/>
    <w:rsid w:val="00455FC7"/>
    <w:rsid w:val="0045637E"/>
    <w:rsid w:val="00456419"/>
    <w:rsid w:val="0045662F"/>
    <w:rsid w:val="0045668D"/>
    <w:rsid w:val="00456795"/>
    <w:rsid w:val="004567D8"/>
    <w:rsid w:val="004568AB"/>
    <w:rsid w:val="004569EF"/>
    <w:rsid w:val="00456AC5"/>
    <w:rsid w:val="00456F15"/>
    <w:rsid w:val="00456F23"/>
    <w:rsid w:val="0045709F"/>
    <w:rsid w:val="0045714E"/>
    <w:rsid w:val="0045727E"/>
    <w:rsid w:val="0045729C"/>
    <w:rsid w:val="004572A8"/>
    <w:rsid w:val="0045732A"/>
    <w:rsid w:val="00457462"/>
    <w:rsid w:val="00457682"/>
    <w:rsid w:val="004577AD"/>
    <w:rsid w:val="0045785F"/>
    <w:rsid w:val="004578EB"/>
    <w:rsid w:val="0045798F"/>
    <w:rsid w:val="00457D37"/>
    <w:rsid w:val="00457D7E"/>
    <w:rsid w:val="00457F16"/>
    <w:rsid w:val="00457F9D"/>
    <w:rsid w:val="00460113"/>
    <w:rsid w:val="004602D5"/>
    <w:rsid w:val="004603CF"/>
    <w:rsid w:val="004604E4"/>
    <w:rsid w:val="0046053F"/>
    <w:rsid w:val="0046062D"/>
    <w:rsid w:val="004606F4"/>
    <w:rsid w:val="00460783"/>
    <w:rsid w:val="00460806"/>
    <w:rsid w:val="00460836"/>
    <w:rsid w:val="00460867"/>
    <w:rsid w:val="004610D6"/>
    <w:rsid w:val="004614F4"/>
    <w:rsid w:val="0046155F"/>
    <w:rsid w:val="00461561"/>
    <w:rsid w:val="004615D7"/>
    <w:rsid w:val="00461671"/>
    <w:rsid w:val="00461728"/>
    <w:rsid w:val="00461758"/>
    <w:rsid w:val="00461799"/>
    <w:rsid w:val="0046199D"/>
    <w:rsid w:val="004619C3"/>
    <w:rsid w:val="00461B19"/>
    <w:rsid w:val="00461C7E"/>
    <w:rsid w:val="00461DD2"/>
    <w:rsid w:val="00461E2A"/>
    <w:rsid w:val="00461F00"/>
    <w:rsid w:val="00461F81"/>
    <w:rsid w:val="004620E0"/>
    <w:rsid w:val="004621DF"/>
    <w:rsid w:val="004623C8"/>
    <w:rsid w:val="004625E6"/>
    <w:rsid w:val="00462711"/>
    <w:rsid w:val="0046295D"/>
    <w:rsid w:val="004629F8"/>
    <w:rsid w:val="00462A32"/>
    <w:rsid w:val="00462AA2"/>
    <w:rsid w:val="00462CF9"/>
    <w:rsid w:val="00462D7E"/>
    <w:rsid w:val="00462E43"/>
    <w:rsid w:val="00462F07"/>
    <w:rsid w:val="00462F98"/>
    <w:rsid w:val="004631B2"/>
    <w:rsid w:val="00463215"/>
    <w:rsid w:val="0046325D"/>
    <w:rsid w:val="004634AC"/>
    <w:rsid w:val="004634C6"/>
    <w:rsid w:val="004636BD"/>
    <w:rsid w:val="00463906"/>
    <w:rsid w:val="00463AF5"/>
    <w:rsid w:val="00463B08"/>
    <w:rsid w:val="00463BA6"/>
    <w:rsid w:val="00463C9E"/>
    <w:rsid w:val="00463DA8"/>
    <w:rsid w:val="00463E70"/>
    <w:rsid w:val="00463F31"/>
    <w:rsid w:val="00463FDA"/>
    <w:rsid w:val="00464215"/>
    <w:rsid w:val="00464288"/>
    <w:rsid w:val="00464774"/>
    <w:rsid w:val="0046487F"/>
    <w:rsid w:val="00464A59"/>
    <w:rsid w:val="00464A8B"/>
    <w:rsid w:val="00464AB7"/>
    <w:rsid w:val="00464FE0"/>
    <w:rsid w:val="00464FE4"/>
    <w:rsid w:val="0046512C"/>
    <w:rsid w:val="00465376"/>
    <w:rsid w:val="00465381"/>
    <w:rsid w:val="004653B4"/>
    <w:rsid w:val="00465459"/>
    <w:rsid w:val="00465479"/>
    <w:rsid w:val="0046557B"/>
    <w:rsid w:val="00465581"/>
    <w:rsid w:val="004655BB"/>
    <w:rsid w:val="004655E7"/>
    <w:rsid w:val="00465712"/>
    <w:rsid w:val="004659DC"/>
    <w:rsid w:val="00465D89"/>
    <w:rsid w:val="00465DA5"/>
    <w:rsid w:val="00466018"/>
    <w:rsid w:val="00466144"/>
    <w:rsid w:val="004663C3"/>
    <w:rsid w:val="004669E2"/>
    <w:rsid w:val="00466C56"/>
    <w:rsid w:val="00466F3B"/>
    <w:rsid w:val="00466F69"/>
    <w:rsid w:val="00466F8B"/>
    <w:rsid w:val="004676E1"/>
    <w:rsid w:val="00467878"/>
    <w:rsid w:val="00467BBA"/>
    <w:rsid w:val="00467D41"/>
    <w:rsid w:val="00467E73"/>
    <w:rsid w:val="0047016A"/>
    <w:rsid w:val="004702BF"/>
    <w:rsid w:val="0047048E"/>
    <w:rsid w:val="00470715"/>
    <w:rsid w:val="00470718"/>
    <w:rsid w:val="00470746"/>
    <w:rsid w:val="004707CC"/>
    <w:rsid w:val="00470D56"/>
    <w:rsid w:val="004711AB"/>
    <w:rsid w:val="0047174D"/>
    <w:rsid w:val="004718D9"/>
    <w:rsid w:val="00471AB0"/>
    <w:rsid w:val="00471BE7"/>
    <w:rsid w:val="00471D20"/>
    <w:rsid w:val="00471DC6"/>
    <w:rsid w:val="00471DE4"/>
    <w:rsid w:val="00471EEE"/>
    <w:rsid w:val="00471FEA"/>
    <w:rsid w:val="0047208D"/>
    <w:rsid w:val="004720B7"/>
    <w:rsid w:val="00472393"/>
    <w:rsid w:val="0047254E"/>
    <w:rsid w:val="0047267E"/>
    <w:rsid w:val="0047274E"/>
    <w:rsid w:val="004727C5"/>
    <w:rsid w:val="004727FE"/>
    <w:rsid w:val="00472825"/>
    <w:rsid w:val="0047288C"/>
    <w:rsid w:val="004728D6"/>
    <w:rsid w:val="00472B2D"/>
    <w:rsid w:val="00472D55"/>
    <w:rsid w:val="00473033"/>
    <w:rsid w:val="004733D7"/>
    <w:rsid w:val="00473535"/>
    <w:rsid w:val="0047353F"/>
    <w:rsid w:val="004738E0"/>
    <w:rsid w:val="00473C2D"/>
    <w:rsid w:val="00473CD6"/>
    <w:rsid w:val="00473E14"/>
    <w:rsid w:val="00473EB1"/>
    <w:rsid w:val="00473F9F"/>
    <w:rsid w:val="00474153"/>
    <w:rsid w:val="004741C7"/>
    <w:rsid w:val="004745A7"/>
    <w:rsid w:val="004745DF"/>
    <w:rsid w:val="0047493E"/>
    <w:rsid w:val="0047495B"/>
    <w:rsid w:val="00475087"/>
    <w:rsid w:val="004751EE"/>
    <w:rsid w:val="004752E0"/>
    <w:rsid w:val="004754CA"/>
    <w:rsid w:val="00475603"/>
    <w:rsid w:val="00475674"/>
    <w:rsid w:val="00475698"/>
    <w:rsid w:val="00475762"/>
    <w:rsid w:val="004758EF"/>
    <w:rsid w:val="004759A5"/>
    <w:rsid w:val="00475D66"/>
    <w:rsid w:val="00475D84"/>
    <w:rsid w:val="00475DFD"/>
    <w:rsid w:val="00475F29"/>
    <w:rsid w:val="00475F2D"/>
    <w:rsid w:val="004761E7"/>
    <w:rsid w:val="004765DA"/>
    <w:rsid w:val="00476999"/>
    <w:rsid w:val="00476A52"/>
    <w:rsid w:val="00476AAD"/>
    <w:rsid w:val="00476AD3"/>
    <w:rsid w:val="00476AD7"/>
    <w:rsid w:val="00476CE7"/>
    <w:rsid w:val="00476D88"/>
    <w:rsid w:val="00477018"/>
    <w:rsid w:val="00477037"/>
    <w:rsid w:val="00477236"/>
    <w:rsid w:val="00477322"/>
    <w:rsid w:val="0047734C"/>
    <w:rsid w:val="0047735F"/>
    <w:rsid w:val="004773E8"/>
    <w:rsid w:val="00477BA1"/>
    <w:rsid w:val="00477CAC"/>
    <w:rsid w:val="00477D23"/>
    <w:rsid w:val="00477F2D"/>
    <w:rsid w:val="004800CF"/>
    <w:rsid w:val="00480243"/>
    <w:rsid w:val="004802E2"/>
    <w:rsid w:val="00480389"/>
    <w:rsid w:val="004803DF"/>
    <w:rsid w:val="004805E4"/>
    <w:rsid w:val="0048072A"/>
    <w:rsid w:val="00480889"/>
    <w:rsid w:val="0048094E"/>
    <w:rsid w:val="00480B58"/>
    <w:rsid w:val="00480C5C"/>
    <w:rsid w:val="00480CF0"/>
    <w:rsid w:val="00480DBA"/>
    <w:rsid w:val="004812A1"/>
    <w:rsid w:val="004813F2"/>
    <w:rsid w:val="0048186A"/>
    <w:rsid w:val="00481950"/>
    <w:rsid w:val="004819B7"/>
    <w:rsid w:val="00481A60"/>
    <w:rsid w:val="00481A9E"/>
    <w:rsid w:val="00481AD7"/>
    <w:rsid w:val="00481BAB"/>
    <w:rsid w:val="00481DE8"/>
    <w:rsid w:val="00481EAB"/>
    <w:rsid w:val="00482117"/>
    <w:rsid w:val="0048215D"/>
    <w:rsid w:val="00482171"/>
    <w:rsid w:val="004821D1"/>
    <w:rsid w:val="00482298"/>
    <w:rsid w:val="0048235B"/>
    <w:rsid w:val="00482380"/>
    <w:rsid w:val="004826A9"/>
    <w:rsid w:val="0048280E"/>
    <w:rsid w:val="00482818"/>
    <w:rsid w:val="004828A3"/>
    <w:rsid w:val="00482A39"/>
    <w:rsid w:val="00482B78"/>
    <w:rsid w:val="00482C6D"/>
    <w:rsid w:val="00482C7B"/>
    <w:rsid w:val="00482D27"/>
    <w:rsid w:val="00482D6A"/>
    <w:rsid w:val="00482D7B"/>
    <w:rsid w:val="00482F94"/>
    <w:rsid w:val="0048305C"/>
    <w:rsid w:val="00483481"/>
    <w:rsid w:val="004834BE"/>
    <w:rsid w:val="0048381D"/>
    <w:rsid w:val="00483862"/>
    <w:rsid w:val="00483AA2"/>
    <w:rsid w:val="00483AF9"/>
    <w:rsid w:val="00483B31"/>
    <w:rsid w:val="00483C43"/>
    <w:rsid w:val="00483CA4"/>
    <w:rsid w:val="00483E50"/>
    <w:rsid w:val="00484074"/>
    <w:rsid w:val="004840D1"/>
    <w:rsid w:val="00484232"/>
    <w:rsid w:val="0048445F"/>
    <w:rsid w:val="00484495"/>
    <w:rsid w:val="004845D8"/>
    <w:rsid w:val="004845FA"/>
    <w:rsid w:val="00484702"/>
    <w:rsid w:val="004849E2"/>
    <w:rsid w:val="00484A2B"/>
    <w:rsid w:val="00484A31"/>
    <w:rsid w:val="00484A7B"/>
    <w:rsid w:val="00484BA8"/>
    <w:rsid w:val="00484DC8"/>
    <w:rsid w:val="00484F13"/>
    <w:rsid w:val="00484F2A"/>
    <w:rsid w:val="0048506D"/>
    <w:rsid w:val="004850A3"/>
    <w:rsid w:val="004850AF"/>
    <w:rsid w:val="00485358"/>
    <w:rsid w:val="0048539E"/>
    <w:rsid w:val="0048567E"/>
    <w:rsid w:val="00485894"/>
    <w:rsid w:val="00485938"/>
    <w:rsid w:val="00485959"/>
    <w:rsid w:val="00485BCD"/>
    <w:rsid w:val="00485C78"/>
    <w:rsid w:val="00485CFE"/>
    <w:rsid w:val="00485ED3"/>
    <w:rsid w:val="00486112"/>
    <w:rsid w:val="0048635D"/>
    <w:rsid w:val="0048639C"/>
    <w:rsid w:val="004863B1"/>
    <w:rsid w:val="004863F0"/>
    <w:rsid w:val="0048643D"/>
    <w:rsid w:val="00486697"/>
    <w:rsid w:val="00486744"/>
    <w:rsid w:val="0048690B"/>
    <w:rsid w:val="00486996"/>
    <w:rsid w:val="00486B2A"/>
    <w:rsid w:val="00486CD2"/>
    <w:rsid w:val="00486D91"/>
    <w:rsid w:val="00486E73"/>
    <w:rsid w:val="00486EF8"/>
    <w:rsid w:val="00487086"/>
    <w:rsid w:val="00487461"/>
    <w:rsid w:val="00487658"/>
    <w:rsid w:val="004877B2"/>
    <w:rsid w:val="004879AD"/>
    <w:rsid w:val="00487A18"/>
    <w:rsid w:val="00487B18"/>
    <w:rsid w:val="00487C60"/>
    <w:rsid w:val="00487CB1"/>
    <w:rsid w:val="0049002D"/>
    <w:rsid w:val="00490090"/>
    <w:rsid w:val="0049011C"/>
    <w:rsid w:val="004902DA"/>
    <w:rsid w:val="00490326"/>
    <w:rsid w:val="0049069B"/>
    <w:rsid w:val="004906DE"/>
    <w:rsid w:val="004909B1"/>
    <w:rsid w:val="00490A30"/>
    <w:rsid w:val="00490D6B"/>
    <w:rsid w:val="00490F03"/>
    <w:rsid w:val="004911C8"/>
    <w:rsid w:val="004912A4"/>
    <w:rsid w:val="00491480"/>
    <w:rsid w:val="0049152A"/>
    <w:rsid w:val="00491566"/>
    <w:rsid w:val="004915A9"/>
    <w:rsid w:val="004917C2"/>
    <w:rsid w:val="0049181F"/>
    <w:rsid w:val="00491822"/>
    <w:rsid w:val="004918E7"/>
    <w:rsid w:val="0049192B"/>
    <w:rsid w:val="00491D9A"/>
    <w:rsid w:val="00491F4C"/>
    <w:rsid w:val="00491FD7"/>
    <w:rsid w:val="00492002"/>
    <w:rsid w:val="004920AF"/>
    <w:rsid w:val="0049226C"/>
    <w:rsid w:val="004922E9"/>
    <w:rsid w:val="00492326"/>
    <w:rsid w:val="00492327"/>
    <w:rsid w:val="0049240A"/>
    <w:rsid w:val="00492507"/>
    <w:rsid w:val="00492588"/>
    <w:rsid w:val="00492589"/>
    <w:rsid w:val="0049279F"/>
    <w:rsid w:val="004928BB"/>
    <w:rsid w:val="004928E2"/>
    <w:rsid w:val="004929F9"/>
    <w:rsid w:val="00492B80"/>
    <w:rsid w:val="00492D01"/>
    <w:rsid w:val="0049304A"/>
    <w:rsid w:val="004930C0"/>
    <w:rsid w:val="00493435"/>
    <w:rsid w:val="00493588"/>
    <w:rsid w:val="004939D7"/>
    <w:rsid w:val="00493BE8"/>
    <w:rsid w:val="00493D12"/>
    <w:rsid w:val="00493D56"/>
    <w:rsid w:val="00493DCC"/>
    <w:rsid w:val="00493E07"/>
    <w:rsid w:val="00493E77"/>
    <w:rsid w:val="00493E9A"/>
    <w:rsid w:val="00493EC4"/>
    <w:rsid w:val="00493F92"/>
    <w:rsid w:val="00493FC7"/>
    <w:rsid w:val="0049406D"/>
    <w:rsid w:val="00494240"/>
    <w:rsid w:val="004946AF"/>
    <w:rsid w:val="00494798"/>
    <w:rsid w:val="0049483D"/>
    <w:rsid w:val="004948F3"/>
    <w:rsid w:val="00494B8D"/>
    <w:rsid w:val="00494C65"/>
    <w:rsid w:val="00494C9F"/>
    <w:rsid w:val="00494D37"/>
    <w:rsid w:val="00495110"/>
    <w:rsid w:val="004952F0"/>
    <w:rsid w:val="0049558C"/>
    <w:rsid w:val="00495643"/>
    <w:rsid w:val="0049578C"/>
    <w:rsid w:val="00495939"/>
    <w:rsid w:val="004959E2"/>
    <w:rsid w:val="004959EF"/>
    <w:rsid w:val="00495ACB"/>
    <w:rsid w:val="00495ADB"/>
    <w:rsid w:val="00495BD8"/>
    <w:rsid w:val="00495E08"/>
    <w:rsid w:val="00495E67"/>
    <w:rsid w:val="00495ED3"/>
    <w:rsid w:val="00495F24"/>
    <w:rsid w:val="004960E7"/>
    <w:rsid w:val="00496629"/>
    <w:rsid w:val="004967A7"/>
    <w:rsid w:val="004967A9"/>
    <w:rsid w:val="00496821"/>
    <w:rsid w:val="00496AE9"/>
    <w:rsid w:val="00496B32"/>
    <w:rsid w:val="00496B7E"/>
    <w:rsid w:val="00496C68"/>
    <w:rsid w:val="00496F6D"/>
    <w:rsid w:val="00496F86"/>
    <w:rsid w:val="004972F0"/>
    <w:rsid w:val="00497441"/>
    <w:rsid w:val="00497453"/>
    <w:rsid w:val="00497477"/>
    <w:rsid w:val="00497717"/>
    <w:rsid w:val="0049788A"/>
    <w:rsid w:val="00497997"/>
    <w:rsid w:val="00497B34"/>
    <w:rsid w:val="00497D30"/>
    <w:rsid w:val="00497EC0"/>
    <w:rsid w:val="00497FC2"/>
    <w:rsid w:val="004A00C9"/>
    <w:rsid w:val="004A024E"/>
    <w:rsid w:val="004A0401"/>
    <w:rsid w:val="004A0837"/>
    <w:rsid w:val="004A0BCF"/>
    <w:rsid w:val="004A0BE2"/>
    <w:rsid w:val="004A0CE9"/>
    <w:rsid w:val="004A0CF8"/>
    <w:rsid w:val="004A0D4C"/>
    <w:rsid w:val="004A0E90"/>
    <w:rsid w:val="004A0F35"/>
    <w:rsid w:val="004A110E"/>
    <w:rsid w:val="004A1119"/>
    <w:rsid w:val="004A13ED"/>
    <w:rsid w:val="004A1494"/>
    <w:rsid w:val="004A156B"/>
    <w:rsid w:val="004A18FC"/>
    <w:rsid w:val="004A1B95"/>
    <w:rsid w:val="004A1CE2"/>
    <w:rsid w:val="004A1D75"/>
    <w:rsid w:val="004A1F6C"/>
    <w:rsid w:val="004A1FBF"/>
    <w:rsid w:val="004A208C"/>
    <w:rsid w:val="004A216B"/>
    <w:rsid w:val="004A2198"/>
    <w:rsid w:val="004A225E"/>
    <w:rsid w:val="004A241A"/>
    <w:rsid w:val="004A2476"/>
    <w:rsid w:val="004A27A5"/>
    <w:rsid w:val="004A28DA"/>
    <w:rsid w:val="004A28EA"/>
    <w:rsid w:val="004A2923"/>
    <w:rsid w:val="004A29C5"/>
    <w:rsid w:val="004A2A76"/>
    <w:rsid w:val="004A2C65"/>
    <w:rsid w:val="004A2D3B"/>
    <w:rsid w:val="004A2E07"/>
    <w:rsid w:val="004A2E8D"/>
    <w:rsid w:val="004A2F09"/>
    <w:rsid w:val="004A2F61"/>
    <w:rsid w:val="004A305B"/>
    <w:rsid w:val="004A325C"/>
    <w:rsid w:val="004A32AD"/>
    <w:rsid w:val="004A36EA"/>
    <w:rsid w:val="004A38BC"/>
    <w:rsid w:val="004A3BA2"/>
    <w:rsid w:val="004A3D11"/>
    <w:rsid w:val="004A3FD5"/>
    <w:rsid w:val="004A40FE"/>
    <w:rsid w:val="004A420C"/>
    <w:rsid w:val="004A434E"/>
    <w:rsid w:val="004A4368"/>
    <w:rsid w:val="004A436E"/>
    <w:rsid w:val="004A43B6"/>
    <w:rsid w:val="004A476E"/>
    <w:rsid w:val="004A47EE"/>
    <w:rsid w:val="004A4A51"/>
    <w:rsid w:val="004A4B5D"/>
    <w:rsid w:val="004A4BC3"/>
    <w:rsid w:val="004A4BD3"/>
    <w:rsid w:val="004A4DD5"/>
    <w:rsid w:val="004A4DFC"/>
    <w:rsid w:val="004A4ED2"/>
    <w:rsid w:val="004A4F04"/>
    <w:rsid w:val="004A4F53"/>
    <w:rsid w:val="004A4F83"/>
    <w:rsid w:val="004A516C"/>
    <w:rsid w:val="004A51CA"/>
    <w:rsid w:val="004A5429"/>
    <w:rsid w:val="004A5609"/>
    <w:rsid w:val="004A573F"/>
    <w:rsid w:val="004A57FE"/>
    <w:rsid w:val="004A5943"/>
    <w:rsid w:val="004A5A4D"/>
    <w:rsid w:val="004A5A8C"/>
    <w:rsid w:val="004A5C45"/>
    <w:rsid w:val="004A5DA5"/>
    <w:rsid w:val="004A5E10"/>
    <w:rsid w:val="004A603F"/>
    <w:rsid w:val="004A6040"/>
    <w:rsid w:val="004A614E"/>
    <w:rsid w:val="004A6169"/>
    <w:rsid w:val="004A6175"/>
    <w:rsid w:val="004A61AD"/>
    <w:rsid w:val="004A6229"/>
    <w:rsid w:val="004A65E0"/>
    <w:rsid w:val="004A6612"/>
    <w:rsid w:val="004A667E"/>
    <w:rsid w:val="004A6731"/>
    <w:rsid w:val="004A676C"/>
    <w:rsid w:val="004A685A"/>
    <w:rsid w:val="004A6918"/>
    <w:rsid w:val="004A69C8"/>
    <w:rsid w:val="004A6B2E"/>
    <w:rsid w:val="004A6CFD"/>
    <w:rsid w:val="004A7038"/>
    <w:rsid w:val="004A72D6"/>
    <w:rsid w:val="004A7378"/>
    <w:rsid w:val="004A743C"/>
    <w:rsid w:val="004A7714"/>
    <w:rsid w:val="004A777E"/>
    <w:rsid w:val="004A7880"/>
    <w:rsid w:val="004A78EA"/>
    <w:rsid w:val="004A7996"/>
    <w:rsid w:val="004A799C"/>
    <w:rsid w:val="004A7C40"/>
    <w:rsid w:val="004A7DB6"/>
    <w:rsid w:val="004A7E67"/>
    <w:rsid w:val="004A7E91"/>
    <w:rsid w:val="004A7FAD"/>
    <w:rsid w:val="004B0063"/>
    <w:rsid w:val="004B00ED"/>
    <w:rsid w:val="004B02A0"/>
    <w:rsid w:val="004B03B0"/>
    <w:rsid w:val="004B0453"/>
    <w:rsid w:val="004B055B"/>
    <w:rsid w:val="004B06F4"/>
    <w:rsid w:val="004B0B1F"/>
    <w:rsid w:val="004B0C69"/>
    <w:rsid w:val="004B0D51"/>
    <w:rsid w:val="004B0DD9"/>
    <w:rsid w:val="004B0E51"/>
    <w:rsid w:val="004B0EDD"/>
    <w:rsid w:val="004B11C1"/>
    <w:rsid w:val="004B1238"/>
    <w:rsid w:val="004B1296"/>
    <w:rsid w:val="004B12DA"/>
    <w:rsid w:val="004B13BA"/>
    <w:rsid w:val="004B1595"/>
    <w:rsid w:val="004B15B4"/>
    <w:rsid w:val="004B1A9E"/>
    <w:rsid w:val="004B1C6C"/>
    <w:rsid w:val="004B1CC3"/>
    <w:rsid w:val="004B1D08"/>
    <w:rsid w:val="004B1DDF"/>
    <w:rsid w:val="004B1E41"/>
    <w:rsid w:val="004B1E7B"/>
    <w:rsid w:val="004B1FF2"/>
    <w:rsid w:val="004B205D"/>
    <w:rsid w:val="004B20A5"/>
    <w:rsid w:val="004B20F7"/>
    <w:rsid w:val="004B20F8"/>
    <w:rsid w:val="004B2138"/>
    <w:rsid w:val="004B21BC"/>
    <w:rsid w:val="004B22F9"/>
    <w:rsid w:val="004B2361"/>
    <w:rsid w:val="004B243F"/>
    <w:rsid w:val="004B245B"/>
    <w:rsid w:val="004B2463"/>
    <w:rsid w:val="004B2516"/>
    <w:rsid w:val="004B2A10"/>
    <w:rsid w:val="004B2A35"/>
    <w:rsid w:val="004B2A9D"/>
    <w:rsid w:val="004B2AED"/>
    <w:rsid w:val="004B2DC6"/>
    <w:rsid w:val="004B2E26"/>
    <w:rsid w:val="004B2E71"/>
    <w:rsid w:val="004B2F40"/>
    <w:rsid w:val="004B3039"/>
    <w:rsid w:val="004B3163"/>
    <w:rsid w:val="004B3233"/>
    <w:rsid w:val="004B32BD"/>
    <w:rsid w:val="004B3460"/>
    <w:rsid w:val="004B34FE"/>
    <w:rsid w:val="004B35DB"/>
    <w:rsid w:val="004B36E3"/>
    <w:rsid w:val="004B391C"/>
    <w:rsid w:val="004B39A9"/>
    <w:rsid w:val="004B3B39"/>
    <w:rsid w:val="004B3BFB"/>
    <w:rsid w:val="004B3C24"/>
    <w:rsid w:val="004B3C46"/>
    <w:rsid w:val="004B3C6D"/>
    <w:rsid w:val="004B3D36"/>
    <w:rsid w:val="004B3E76"/>
    <w:rsid w:val="004B3E9A"/>
    <w:rsid w:val="004B3FEB"/>
    <w:rsid w:val="004B4359"/>
    <w:rsid w:val="004B462B"/>
    <w:rsid w:val="004B4658"/>
    <w:rsid w:val="004B465C"/>
    <w:rsid w:val="004B4730"/>
    <w:rsid w:val="004B4A36"/>
    <w:rsid w:val="004B4B08"/>
    <w:rsid w:val="004B4B11"/>
    <w:rsid w:val="004B4C7C"/>
    <w:rsid w:val="004B4CCF"/>
    <w:rsid w:val="004B4D17"/>
    <w:rsid w:val="004B4DA4"/>
    <w:rsid w:val="004B522D"/>
    <w:rsid w:val="004B55DB"/>
    <w:rsid w:val="004B58C0"/>
    <w:rsid w:val="004B5951"/>
    <w:rsid w:val="004B5A09"/>
    <w:rsid w:val="004B5B2F"/>
    <w:rsid w:val="004B5BCA"/>
    <w:rsid w:val="004B5BDA"/>
    <w:rsid w:val="004B5E10"/>
    <w:rsid w:val="004B5E25"/>
    <w:rsid w:val="004B6011"/>
    <w:rsid w:val="004B606D"/>
    <w:rsid w:val="004B6216"/>
    <w:rsid w:val="004B6376"/>
    <w:rsid w:val="004B63A7"/>
    <w:rsid w:val="004B63AD"/>
    <w:rsid w:val="004B6723"/>
    <w:rsid w:val="004B6741"/>
    <w:rsid w:val="004B681A"/>
    <w:rsid w:val="004B68C8"/>
    <w:rsid w:val="004B68DB"/>
    <w:rsid w:val="004B69C4"/>
    <w:rsid w:val="004B6A98"/>
    <w:rsid w:val="004B6B55"/>
    <w:rsid w:val="004B6CD3"/>
    <w:rsid w:val="004B6E21"/>
    <w:rsid w:val="004B7160"/>
    <w:rsid w:val="004B7342"/>
    <w:rsid w:val="004B73D3"/>
    <w:rsid w:val="004B73FF"/>
    <w:rsid w:val="004B740B"/>
    <w:rsid w:val="004B755A"/>
    <w:rsid w:val="004B7AD7"/>
    <w:rsid w:val="004B7B42"/>
    <w:rsid w:val="004B7B48"/>
    <w:rsid w:val="004B7BEC"/>
    <w:rsid w:val="004B7BFF"/>
    <w:rsid w:val="004B7CEB"/>
    <w:rsid w:val="004B7D2B"/>
    <w:rsid w:val="004B7DD6"/>
    <w:rsid w:val="004B7FE9"/>
    <w:rsid w:val="004C0230"/>
    <w:rsid w:val="004C0234"/>
    <w:rsid w:val="004C027F"/>
    <w:rsid w:val="004C0348"/>
    <w:rsid w:val="004C0466"/>
    <w:rsid w:val="004C0618"/>
    <w:rsid w:val="004C083B"/>
    <w:rsid w:val="004C0843"/>
    <w:rsid w:val="004C08BC"/>
    <w:rsid w:val="004C0921"/>
    <w:rsid w:val="004C09BD"/>
    <w:rsid w:val="004C0C67"/>
    <w:rsid w:val="004C0CFB"/>
    <w:rsid w:val="004C0FA6"/>
    <w:rsid w:val="004C13BF"/>
    <w:rsid w:val="004C1446"/>
    <w:rsid w:val="004C149B"/>
    <w:rsid w:val="004C14C1"/>
    <w:rsid w:val="004C1525"/>
    <w:rsid w:val="004C1693"/>
    <w:rsid w:val="004C17F6"/>
    <w:rsid w:val="004C1860"/>
    <w:rsid w:val="004C19F8"/>
    <w:rsid w:val="004C1BBA"/>
    <w:rsid w:val="004C1DDB"/>
    <w:rsid w:val="004C2026"/>
    <w:rsid w:val="004C206A"/>
    <w:rsid w:val="004C222E"/>
    <w:rsid w:val="004C236E"/>
    <w:rsid w:val="004C237B"/>
    <w:rsid w:val="004C244C"/>
    <w:rsid w:val="004C275B"/>
    <w:rsid w:val="004C2AF5"/>
    <w:rsid w:val="004C2D3B"/>
    <w:rsid w:val="004C2D61"/>
    <w:rsid w:val="004C2EA9"/>
    <w:rsid w:val="004C2EAC"/>
    <w:rsid w:val="004C2EEE"/>
    <w:rsid w:val="004C2FAA"/>
    <w:rsid w:val="004C2FF4"/>
    <w:rsid w:val="004C316E"/>
    <w:rsid w:val="004C31DF"/>
    <w:rsid w:val="004C321C"/>
    <w:rsid w:val="004C3256"/>
    <w:rsid w:val="004C3470"/>
    <w:rsid w:val="004C363C"/>
    <w:rsid w:val="004C36CD"/>
    <w:rsid w:val="004C3BFD"/>
    <w:rsid w:val="004C3CBC"/>
    <w:rsid w:val="004C3D6F"/>
    <w:rsid w:val="004C3E66"/>
    <w:rsid w:val="004C40CF"/>
    <w:rsid w:val="004C40E0"/>
    <w:rsid w:val="004C413F"/>
    <w:rsid w:val="004C4155"/>
    <w:rsid w:val="004C419C"/>
    <w:rsid w:val="004C4247"/>
    <w:rsid w:val="004C4282"/>
    <w:rsid w:val="004C42E6"/>
    <w:rsid w:val="004C457B"/>
    <w:rsid w:val="004C46D9"/>
    <w:rsid w:val="004C4792"/>
    <w:rsid w:val="004C485F"/>
    <w:rsid w:val="004C4899"/>
    <w:rsid w:val="004C4A57"/>
    <w:rsid w:val="004C4B04"/>
    <w:rsid w:val="004C4CF1"/>
    <w:rsid w:val="004C502D"/>
    <w:rsid w:val="004C507F"/>
    <w:rsid w:val="004C5255"/>
    <w:rsid w:val="004C5456"/>
    <w:rsid w:val="004C545B"/>
    <w:rsid w:val="004C5674"/>
    <w:rsid w:val="004C5A1A"/>
    <w:rsid w:val="004C5C86"/>
    <w:rsid w:val="004C5D7D"/>
    <w:rsid w:val="004C5F65"/>
    <w:rsid w:val="004C626A"/>
    <w:rsid w:val="004C634D"/>
    <w:rsid w:val="004C66EE"/>
    <w:rsid w:val="004C6807"/>
    <w:rsid w:val="004C6B74"/>
    <w:rsid w:val="004C6CC1"/>
    <w:rsid w:val="004C6D89"/>
    <w:rsid w:val="004C7308"/>
    <w:rsid w:val="004C7868"/>
    <w:rsid w:val="004C7B79"/>
    <w:rsid w:val="004C7D6F"/>
    <w:rsid w:val="004C7D95"/>
    <w:rsid w:val="004C7F15"/>
    <w:rsid w:val="004D0099"/>
    <w:rsid w:val="004D0157"/>
    <w:rsid w:val="004D03D8"/>
    <w:rsid w:val="004D0443"/>
    <w:rsid w:val="004D0613"/>
    <w:rsid w:val="004D0A5A"/>
    <w:rsid w:val="004D0E54"/>
    <w:rsid w:val="004D0F73"/>
    <w:rsid w:val="004D1110"/>
    <w:rsid w:val="004D11BE"/>
    <w:rsid w:val="004D1586"/>
    <w:rsid w:val="004D16CD"/>
    <w:rsid w:val="004D17AC"/>
    <w:rsid w:val="004D187C"/>
    <w:rsid w:val="004D1905"/>
    <w:rsid w:val="004D1923"/>
    <w:rsid w:val="004D1949"/>
    <w:rsid w:val="004D1BC9"/>
    <w:rsid w:val="004D1BF3"/>
    <w:rsid w:val="004D1C89"/>
    <w:rsid w:val="004D1D14"/>
    <w:rsid w:val="004D1D97"/>
    <w:rsid w:val="004D1DDA"/>
    <w:rsid w:val="004D1FAC"/>
    <w:rsid w:val="004D26BC"/>
    <w:rsid w:val="004D28D1"/>
    <w:rsid w:val="004D2ABB"/>
    <w:rsid w:val="004D2B87"/>
    <w:rsid w:val="004D2C1B"/>
    <w:rsid w:val="004D2CF2"/>
    <w:rsid w:val="004D2E15"/>
    <w:rsid w:val="004D2E5F"/>
    <w:rsid w:val="004D2E75"/>
    <w:rsid w:val="004D30CE"/>
    <w:rsid w:val="004D324A"/>
    <w:rsid w:val="004D3412"/>
    <w:rsid w:val="004D34E1"/>
    <w:rsid w:val="004D3662"/>
    <w:rsid w:val="004D3675"/>
    <w:rsid w:val="004D399C"/>
    <w:rsid w:val="004D39F3"/>
    <w:rsid w:val="004D3BE8"/>
    <w:rsid w:val="004D3C2E"/>
    <w:rsid w:val="004D3DD1"/>
    <w:rsid w:val="004D3F18"/>
    <w:rsid w:val="004D40F5"/>
    <w:rsid w:val="004D42FD"/>
    <w:rsid w:val="004D439C"/>
    <w:rsid w:val="004D43A7"/>
    <w:rsid w:val="004D43D5"/>
    <w:rsid w:val="004D45B4"/>
    <w:rsid w:val="004D4619"/>
    <w:rsid w:val="004D48BC"/>
    <w:rsid w:val="004D48FF"/>
    <w:rsid w:val="004D4AFC"/>
    <w:rsid w:val="004D4B21"/>
    <w:rsid w:val="004D4F82"/>
    <w:rsid w:val="004D4FBB"/>
    <w:rsid w:val="004D4FF9"/>
    <w:rsid w:val="004D5150"/>
    <w:rsid w:val="004D521A"/>
    <w:rsid w:val="004D5610"/>
    <w:rsid w:val="004D57F8"/>
    <w:rsid w:val="004D580A"/>
    <w:rsid w:val="004D588A"/>
    <w:rsid w:val="004D58A1"/>
    <w:rsid w:val="004D5968"/>
    <w:rsid w:val="004D59E5"/>
    <w:rsid w:val="004D5D87"/>
    <w:rsid w:val="004D5E69"/>
    <w:rsid w:val="004D5F11"/>
    <w:rsid w:val="004D5F63"/>
    <w:rsid w:val="004D5F9B"/>
    <w:rsid w:val="004D615C"/>
    <w:rsid w:val="004D636A"/>
    <w:rsid w:val="004D6439"/>
    <w:rsid w:val="004D64E3"/>
    <w:rsid w:val="004D653E"/>
    <w:rsid w:val="004D6605"/>
    <w:rsid w:val="004D664E"/>
    <w:rsid w:val="004D67E7"/>
    <w:rsid w:val="004D68BD"/>
    <w:rsid w:val="004D6968"/>
    <w:rsid w:val="004D699E"/>
    <w:rsid w:val="004D6AB4"/>
    <w:rsid w:val="004D6C85"/>
    <w:rsid w:val="004D6CC8"/>
    <w:rsid w:val="004D6D39"/>
    <w:rsid w:val="004D6DB4"/>
    <w:rsid w:val="004D6E6C"/>
    <w:rsid w:val="004D6ED1"/>
    <w:rsid w:val="004D71FA"/>
    <w:rsid w:val="004D75C8"/>
    <w:rsid w:val="004D7717"/>
    <w:rsid w:val="004D772F"/>
    <w:rsid w:val="004D77A5"/>
    <w:rsid w:val="004D7A40"/>
    <w:rsid w:val="004D7A86"/>
    <w:rsid w:val="004D7B3F"/>
    <w:rsid w:val="004D7D0F"/>
    <w:rsid w:val="004D7EF7"/>
    <w:rsid w:val="004E00CC"/>
    <w:rsid w:val="004E00D7"/>
    <w:rsid w:val="004E0117"/>
    <w:rsid w:val="004E057E"/>
    <w:rsid w:val="004E0728"/>
    <w:rsid w:val="004E07AC"/>
    <w:rsid w:val="004E087A"/>
    <w:rsid w:val="004E08D0"/>
    <w:rsid w:val="004E0A14"/>
    <w:rsid w:val="004E0C4A"/>
    <w:rsid w:val="004E0CCF"/>
    <w:rsid w:val="004E0FBB"/>
    <w:rsid w:val="004E0FC3"/>
    <w:rsid w:val="004E1110"/>
    <w:rsid w:val="004E124A"/>
    <w:rsid w:val="004E1277"/>
    <w:rsid w:val="004E15BC"/>
    <w:rsid w:val="004E15EA"/>
    <w:rsid w:val="004E1614"/>
    <w:rsid w:val="004E19A3"/>
    <w:rsid w:val="004E19FF"/>
    <w:rsid w:val="004E2253"/>
    <w:rsid w:val="004E255E"/>
    <w:rsid w:val="004E25B8"/>
    <w:rsid w:val="004E2DB7"/>
    <w:rsid w:val="004E2EA9"/>
    <w:rsid w:val="004E3187"/>
    <w:rsid w:val="004E337F"/>
    <w:rsid w:val="004E3481"/>
    <w:rsid w:val="004E3755"/>
    <w:rsid w:val="004E3847"/>
    <w:rsid w:val="004E3A6C"/>
    <w:rsid w:val="004E3B3D"/>
    <w:rsid w:val="004E3B65"/>
    <w:rsid w:val="004E3DB0"/>
    <w:rsid w:val="004E3EEB"/>
    <w:rsid w:val="004E4063"/>
    <w:rsid w:val="004E4086"/>
    <w:rsid w:val="004E47A6"/>
    <w:rsid w:val="004E4B0A"/>
    <w:rsid w:val="004E4B4E"/>
    <w:rsid w:val="004E4BAB"/>
    <w:rsid w:val="004E4BC3"/>
    <w:rsid w:val="004E4C87"/>
    <w:rsid w:val="004E4C9E"/>
    <w:rsid w:val="004E4D47"/>
    <w:rsid w:val="004E4E4D"/>
    <w:rsid w:val="004E50E2"/>
    <w:rsid w:val="004E5150"/>
    <w:rsid w:val="004E524A"/>
    <w:rsid w:val="004E54BE"/>
    <w:rsid w:val="004E5591"/>
    <w:rsid w:val="004E57E3"/>
    <w:rsid w:val="004E582B"/>
    <w:rsid w:val="004E5A66"/>
    <w:rsid w:val="004E5B94"/>
    <w:rsid w:val="004E5E01"/>
    <w:rsid w:val="004E5F6A"/>
    <w:rsid w:val="004E61FF"/>
    <w:rsid w:val="004E6284"/>
    <w:rsid w:val="004E63E6"/>
    <w:rsid w:val="004E6484"/>
    <w:rsid w:val="004E67AA"/>
    <w:rsid w:val="004E69FE"/>
    <w:rsid w:val="004E6BDB"/>
    <w:rsid w:val="004E6C8D"/>
    <w:rsid w:val="004E6CB0"/>
    <w:rsid w:val="004E6FA4"/>
    <w:rsid w:val="004E7161"/>
    <w:rsid w:val="004E71E9"/>
    <w:rsid w:val="004E72EE"/>
    <w:rsid w:val="004E7364"/>
    <w:rsid w:val="004E74E1"/>
    <w:rsid w:val="004E7500"/>
    <w:rsid w:val="004E75F8"/>
    <w:rsid w:val="004E775F"/>
    <w:rsid w:val="004E7804"/>
    <w:rsid w:val="004E78FE"/>
    <w:rsid w:val="004E7937"/>
    <w:rsid w:val="004E79B3"/>
    <w:rsid w:val="004E7A1B"/>
    <w:rsid w:val="004E7DF0"/>
    <w:rsid w:val="004E7F53"/>
    <w:rsid w:val="004E7FA3"/>
    <w:rsid w:val="004E7FA8"/>
    <w:rsid w:val="004F0051"/>
    <w:rsid w:val="004F0186"/>
    <w:rsid w:val="004F0217"/>
    <w:rsid w:val="004F0224"/>
    <w:rsid w:val="004F03FD"/>
    <w:rsid w:val="004F05F6"/>
    <w:rsid w:val="004F0686"/>
    <w:rsid w:val="004F0A32"/>
    <w:rsid w:val="004F0AEB"/>
    <w:rsid w:val="004F0D33"/>
    <w:rsid w:val="004F0D85"/>
    <w:rsid w:val="004F109A"/>
    <w:rsid w:val="004F10C0"/>
    <w:rsid w:val="004F113A"/>
    <w:rsid w:val="004F118C"/>
    <w:rsid w:val="004F11EF"/>
    <w:rsid w:val="004F1294"/>
    <w:rsid w:val="004F14EE"/>
    <w:rsid w:val="004F15A5"/>
    <w:rsid w:val="004F1669"/>
    <w:rsid w:val="004F16BB"/>
    <w:rsid w:val="004F16F0"/>
    <w:rsid w:val="004F1768"/>
    <w:rsid w:val="004F178E"/>
    <w:rsid w:val="004F1901"/>
    <w:rsid w:val="004F1C00"/>
    <w:rsid w:val="004F1C73"/>
    <w:rsid w:val="004F1CFD"/>
    <w:rsid w:val="004F1E67"/>
    <w:rsid w:val="004F1F81"/>
    <w:rsid w:val="004F2114"/>
    <w:rsid w:val="004F2193"/>
    <w:rsid w:val="004F221C"/>
    <w:rsid w:val="004F22EC"/>
    <w:rsid w:val="004F23EB"/>
    <w:rsid w:val="004F2431"/>
    <w:rsid w:val="004F2530"/>
    <w:rsid w:val="004F2688"/>
    <w:rsid w:val="004F2867"/>
    <w:rsid w:val="004F287C"/>
    <w:rsid w:val="004F2891"/>
    <w:rsid w:val="004F296F"/>
    <w:rsid w:val="004F2AF8"/>
    <w:rsid w:val="004F2FF6"/>
    <w:rsid w:val="004F3132"/>
    <w:rsid w:val="004F33E8"/>
    <w:rsid w:val="004F3414"/>
    <w:rsid w:val="004F354A"/>
    <w:rsid w:val="004F3674"/>
    <w:rsid w:val="004F3814"/>
    <w:rsid w:val="004F3992"/>
    <w:rsid w:val="004F3A1C"/>
    <w:rsid w:val="004F3ADB"/>
    <w:rsid w:val="004F3BF8"/>
    <w:rsid w:val="004F3CA5"/>
    <w:rsid w:val="004F3CAD"/>
    <w:rsid w:val="004F3D70"/>
    <w:rsid w:val="004F3E39"/>
    <w:rsid w:val="004F3EFA"/>
    <w:rsid w:val="004F3F1F"/>
    <w:rsid w:val="004F4007"/>
    <w:rsid w:val="004F4076"/>
    <w:rsid w:val="004F418D"/>
    <w:rsid w:val="004F44C6"/>
    <w:rsid w:val="004F45B6"/>
    <w:rsid w:val="004F45C1"/>
    <w:rsid w:val="004F4722"/>
    <w:rsid w:val="004F4755"/>
    <w:rsid w:val="004F485A"/>
    <w:rsid w:val="004F486F"/>
    <w:rsid w:val="004F4A95"/>
    <w:rsid w:val="004F4BE2"/>
    <w:rsid w:val="004F4E60"/>
    <w:rsid w:val="004F4E92"/>
    <w:rsid w:val="004F4EEC"/>
    <w:rsid w:val="004F5054"/>
    <w:rsid w:val="004F50F7"/>
    <w:rsid w:val="004F5397"/>
    <w:rsid w:val="004F541B"/>
    <w:rsid w:val="004F5533"/>
    <w:rsid w:val="004F56BB"/>
    <w:rsid w:val="004F56D2"/>
    <w:rsid w:val="004F5956"/>
    <w:rsid w:val="004F5A9F"/>
    <w:rsid w:val="004F5C9D"/>
    <w:rsid w:val="004F5D30"/>
    <w:rsid w:val="004F6075"/>
    <w:rsid w:val="004F6293"/>
    <w:rsid w:val="004F62BB"/>
    <w:rsid w:val="004F6390"/>
    <w:rsid w:val="004F63FC"/>
    <w:rsid w:val="004F6434"/>
    <w:rsid w:val="004F6521"/>
    <w:rsid w:val="004F656F"/>
    <w:rsid w:val="004F65A5"/>
    <w:rsid w:val="004F6674"/>
    <w:rsid w:val="004F6688"/>
    <w:rsid w:val="004F66CC"/>
    <w:rsid w:val="004F66CF"/>
    <w:rsid w:val="004F6739"/>
    <w:rsid w:val="004F685F"/>
    <w:rsid w:val="004F6967"/>
    <w:rsid w:val="004F6A3A"/>
    <w:rsid w:val="004F6B91"/>
    <w:rsid w:val="004F6B9F"/>
    <w:rsid w:val="004F6D2C"/>
    <w:rsid w:val="004F6FF7"/>
    <w:rsid w:val="004F70BD"/>
    <w:rsid w:val="004F7400"/>
    <w:rsid w:val="004F766F"/>
    <w:rsid w:val="004F775B"/>
    <w:rsid w:val="004F79DE"/>
    <w:rsid w:val="004F79F7"/>
    <w:rsid w:val="004F7AC9"/>
    <w:rsid w:val="004F7AEB"/>
    <w:rsid w:val="004F7B4E"/>
    <w:rsid w:val="004F7C09"/>
    <w:rsid w:val="004F7E50"/>
    <w:rsid w:val="004F7E95"/>
    <w:rsid w:val="005000C1"/>
    <w:rsid w:val="0050022F"/>
    <w:rsid w:val="0050036E"/>
    <w:rsid w:val="0050064B"/>
    <w:rsid w:val="00500973"/>
    <w:rsid w:val="00500A0B"/>
    <w:rsid w:val="00500AE0"/>
    <w:rsid w:val="00500B6E"/>
    <w:rsid w:val="00500B9C"/>
    <w:rsid w:val="00500BEE"/>
    <w:rsid w:val="00500C50"/>
    <w:rsid w:val="00500D6A"/>
    <w:rsid w:val="00500E71"/>
    <w:rsid w:val="00500F7F"/>
    <w:rsid w:val="00501050"/>
    <w:rsid w:val="0050113F"/>
    <w:rsid w:val="0050122A"/>
    <w:rsid w:val="0050133B"/>
    <w:rsid w:val="005014F4"/>
    <w:rsid w:val="005016DB"/>
    <w:rsid w:val="005017D9"/>
    <w:rsid w:val="005018C9"/>
    <w:rsid w:val="005019B7"/>
    <w:rsid w:val="00501DCE"/>
    <w:rsid w:val="00501FB8"/>
    <w:rsid w:val="005020BA"/>
    <w:rsid w:val="0050212F"/>
    <w:rsid w:val="005021A7"/>
    <w:rsid w:val="005022E6"/>
    <w:rsid w:val="00502445"/>
    <w:rsid w:val="0050252E"/>
    <w:rsid w:val="0050255C"/>
    <w:rsid w:val="00502A20"/>
    <w:rsid w:val="00502CA5"/>
    <w:rsid w:val="00502DDB"/>
    <w:rsid w:val="00502E8A"/>
    <w:rsid w:val="00502ED8"/>
    <w:rsid w:val="00502FE5"/>
    <w:rsid w:val="0050302D"/>
    <w:rsid w:val="005030CC"/>
    <w:rsid w:val="005031A2"/>
    <w:rsid w:val="005031BD"/>
    <w:rsid w:val="005031DF"/>
    <w:rsid w:val="005034DD"/>
    <w:rsid w:val="0050372F"/>
    <w:rsid w:val="005037A6"/>
    <w:rsid w:val="005037D5"/>
    <w:rsid w:val="00503863"/>
    <w:rsid w:val="00503A24"/>
    <w:rsid w:val="00503A32"/>
    <w:rsid w:val="00503B0B"/>
    <w:rsid w:val="00503C3B"/>
    <w:rsid w:val="00503CD5"/>
    <w:rsid w:val="00503D2A"/>
    <w:rsid w:val="00503DFC"/>
    <w:rsid w:val="00504389"/>
    <w:rsid w:val="0050461A"/>
    <w:rsid w:val="005046DB"/>
    <w:rsid w:val="00504790"/>
    <w:rsid w:val="005049BA"/>
    <w:rsid w:val="00504A39"/>
    <w:rsid w:val="00504C37"/>
    <w:rsid w:val="00504C4E"/>
    <w:rsid w:val="00504C9C"/>
    <w:rsid w:val="00504DF2"/>
    <w:rsid w:val="00504FCF"/>
    <w:rsid w:val="00505243"/>
    <w:rsid w:val="00505372"/>
    <w:rsid w:val="0050564A"/>
    <w:rsid w:val="00505728"/>
    <w:rsid w:val="005059E7"/>
    <w:rsid w:val="00505A4C"/>
    <w:rsid w:val="00505B5C"/>
    <w:rsid w:val="00505BBE"/>
    <w:rsid w:val="00505FAF"/>
    <w:rsid w:val="005060C4"/>
    <w:rsid w:val="00506328"/>
    <w:rsid w:val="00506343"/>
    <w:rsid w:val="00506393"/>
    <w:rsid w:val="00506651"/>
    <w:rsid w:val="0050678B"/>
    <w:rsid w:val="005067F1"/>
    <w:rsid w:val="00506973"/>
    <w:rsid w:val="00506974"/>
    <w:rsid w:val="005069E5"/>
    <w:rsid w:val="00506A2C"/>
    <w:rsid w:val="00506ABD"/>
    <w:rsid w:val="00506CBA"/>
    <w:rsid w:val="00506CBE"/>
    <w:rsid w:val="00506D71"/>
    <w:rsid w:val="00506F71"/>
    <w:rsid w:val="0050731B"/>
    <w:rsid w:val="0050732C"/>
    <w:rsid w:val="0050751F"/>
    <w:rsid w:val="00507524"/>
    <w:rsid w:val="005075CB"/>
    <w:rsid w:val="00507649"/>
    <w:rsid w:val="005077FB"/>
    <w:rsid w:val="00507883"/>
    <w:rsid w:val="00507B0E"/>
    <w:rsid w:val="00507C53"/>
    <w:rsid w:val="00507DC7"/>
    <w:rsid w:val="005100C1"/>
    <w:rsid w:val="00510304"/>
    <w:rsid w:val="0051064C"/>
    <w:rsid w:val="00510A9E"/>
    <w:rsid w:val="00510B42"/>
    <w:rsid w:val="00510BB5"/>
    <w:rsid w:val="00510D79"/>
    <w:rsid w:val="00510DE2"/>
    <w:rsid w:val="00510E8D"/>
    <w:rsid w:val="00511273"/>
    <w:rsid w:val="00511769"/>
    <w:rsid w:val="005118A0"/>
    <w:rsid w:val="00511A0A"/>
    <w:rsid w:val="00511A16"/>
    <w:rsid w:val="00511BBA"/>
    <w:rsid w:val="00511CD7"/>
    <w:rsid w:val="00511D2E"/>
    <w:rsid w:val="00511DBD"/>
    <w:rsid w:val="00511E10"/>
    <w:rsid w:val="00511EA0"/>
    <w:rsid w:val="005120CE"/>
    <w:rsid w:val="00512187"/>
    <w:rsid w:val="005123A8"/>
    <w:rsid w:val="00512406"/>
    <w:rsid w:val="005126AD"/>
    <w:rsid w:val="00512779"/>
    <w:rsid w:val="005129F4"/>
    <w:rsid w:val="00512A3E"/>
    <w:rsid w:val="00512C16"/>
    <w:rsid w:val="00512C19"/>
    <w:rsid w:val="005135AB"/>
    <w:rsid w:val="005136C8"/>
    <w:rsid w:val="005137F7"/>
    <w:rsid w:val="00513C20"/>
    <w:rsid w:val="00513E27"/>
    <w:rsid w:val="00514090"/>
    <w:rsid w:val="00514209"/>
    <w:rsid w:val="00514360"/>
    <w:rsid w:val="00514399"/>
    <w:rsid w:val="00514455"/>
    <w:rsid w:val="0051456A"/>
    <w:rsid w:val="00514C0B"/>
    <w:rsid w:val="00514C22"/>
    <w:rsid w:val="00514C3D"/>
    <w:rsid w:val="00514D20"/>
    <w:rsid w:val="00514DF0"/>
    <w:rsid w:val="00514E83"/>
    <w:rsid w:val="005153FE"/>
    <w:rsid w:val="0051544B"/>
    <w:rsid w:val="00515534"/>
    <w:rsid w:val="00515573"/>
    <w:rsid w:val="00515665"/>
    <w:rsid w:val="00515937"/>
    <w:rsid w:val="00515940"/>
    <w:rsid w:val="00515941"/>
    <w:rsid w:val="0051596B"/>
    <w:rsid w:val="00515AE7"/>
    <w:rsid w:val="00515AF0"/>
    <w:rsid w:val="00515CF3"/>
    <w:rsid w:val="00515E24"/>
    <w:rsid w:val="00515FFD"/>
    <w:rsid w:val="00516072"/>
    <w:rsid w:val="005160AB"/>
    <w:rsid w:val="0051637C"/>
    <w:rsid w:val="00516564"/>
    <w:rsid w:val="005165F1"/>
    <w:rsid w:val="00516673"/>
    <w:rsid w:val="00516708"/>
    <w:rsid w:val="00516774"/>
    <w:rsid w:val="005169E0"/>
    <w:rsid w:val="00516A75"/>
    <w:rsid w:val="00516B2F"/>
    <w:rsid w:val="00516BB1"/>
    <w:rsid w:val="00516DDA"/>
    <w:rsid w:val="00516EFD"/>
    <w:rsid w:val="00516F47"/>
    <w:rsid w:val="0051702F"/>
    <w:rsid w:val="00517065"/>
    <w:rsid w:val="0051721D"/>
    <w:rsid w:val="0051727B"/>
    <w:rsid w:val="005174AC"/>
    <w:rsid w:val="00517546"/>
    <w:rsid w:val="0051762B"/>
    <w:rsid w:val="005176EB"/>
    <w:rsid w:val="00517722"/>
    <w:rsid w:val="0051772E"/>
    <w:rsid w:val="00517D3D"/>
    <w:rsid w:val="00520044"/>
    <w:rsid w:val="00520064"/>
    <w:rsid w:val="005200FA"/>
    <w:rsid w:val="0052035F"/>
    <w:rsid w:val="005203FD"/>
    <w:rsid w:val="0052046B"/>
    <w:rsid w:val="0052068B"/>
    <w:rsid w:val="00520793"/>
    <w:rsid w:val="00520A88"/>
    <w:rsid w:val="00520B72"/>
    <w:rsid w:val="00520CAC"/>
    <w:rsid w:val="00520DA6"/>
    <w:rsid w:val="005210A3"/>
    <w:rsid w:val="0052114F"/>
    <w:rsid w:val="00521246"/>
    <w:rsid w:val="0052140F"/>
    <w:rsid w:val="005215CD"/>
    <w:rsid w:val="00521660"/>
    <w:rsid w:val="0052166B"/>
    <w:rsid w:val="0052176A"/>
    <w:rsid w:val="00521A70"/>
    <w:rsid w:val="00521D8E"/>
    <w:rsid w:val="00521DEC"/>
    <w:rsid w:val="005221B7"/>
    <w:rsid w:val="005222F8"/>
    <w:rsid w:val="005223D7"/>
    <w:rsid w:val="005226DA"/>
    <w:rsid w:val="00522730"/>
    <w:rsid w:val="0052273B"/>
    <w:rsid w:val="00522A07"/>
    <w:rsid w:val="00522A1F"/>
    <w:rsid w:val="00522D01"/>
    <w:rsid w:val="00522DA1"/>
    <w:rsid w:val="00522E0D"/>
    <w:rsid w:val="0052305F"/>
    <w:rsid w:val="005230D3"/>
    <w:rsid w:val="00523371"/>
    <w:rsid w:val="0052343E"/>
    <w:rsid w:val="00523592"/>
    <w:rsid w:val="005235C0"/>
    <w:rsid w:val="005235C5"/>
    <w:rsid w:val="00523750"/>
    <w:rsid w:val="005237A4"/>
    <w:rsid w:val="0052386B"/>
    <w:rsid w:val="005238CA"/>
    <w:rsid w:val="0052394A"/>
    <w:rsid w:val="005239A0"/>
    <w:rsid w:val="00523A3D"/>
    <w:rsid w:val="00523A54"/>
    <w:rsid w:val="00523A64"/>
    <w:rsid w:val="00523D06"/>
    <w:rsid w:val="00523DB4"/>
    <w:rsid w:val="00523E7A"/>
    <w:rsid w:val="00523EC7"/>
    <w:rsid w:val="00523EE3"/>
    <w:rsid w:val="00523F41"/>
    <w:rsid w:val="00524030"/>
    <w:rsid w:val="00524319"/>
    <w:rsid w:val="00524387"/>
    <w:rsid w:val="00524508"/>
    <w:rsid w:val="00524570"/>
    <w:rsid w:val="005245B0"/>
    <w:rsid w:val="005245E4"/>
    <w:rsid w:val="0052460C"/>
    <w:rsid w:val="00524615"/>
    <w:rsid w:val="0052462E"/>
    <w:rsid w:val="005248E9"/>
    <w:rsid w:val="00524B3D"/>
    <w:rsid w:val="00524BE6"/>
    <w:rsid w:val="00524C7D"/>
    <w:rsid w:val="00524D67"/>
    <w:rsid w:val="00524FCA"/>
    <w:rsid w:val="00525008"/>
    <w:rsid w:val="00525010"/>
    <w:rsid w:val="005250FC"/>
    <w:rsid w:val="0052511D"/>
    <w:rsid w:val="005251B3"/>
    <w:rsid w:val="005251B5"/>
    <w:rsid w:val="005251EF"/>
    <w:rsid w:val="00525298"/>
    <w:rsid w:val="00525461"/>
    <w:rsid w:val="00525646"/>
    <w:rsid w:val="00525655"/>
    <w:rsid w:val="00525992"/>
    <w:rsid w:val="00525A04"/>
    <w:rsid w:val="00525C25"/>
    <w:rsid w:val="00525C60"/>
    <w:rsid w:val="00525E11"/>
    <w:rsid w:val="00525E26"/>
    <w:rsid w:val="00525F4F"/>
    <w:rsid w:val="005260D5"/>
    <w:rsid w:val="005262BD"/>
    <w:rsid w:val="00526568"/>
    <w:rsid w:val="005266C5"/>
    <w:rsid w:val="00526B6F"/>
    <w:rsid w:val="00526B8B"/>
    <w:rsid w:val="00526BD1"/>
    <w:rsid w:val="00526D56"/>
    <w:rsid w:val="00526D70"/>
    <w:rsid w:val="00526D93"/>
    <w:rsid w:val="00526E21"/>
    <w:rsid w:val="00526EB1"/>
    <w:rsid w:val="00526F5A"/>
    <w:rsid w:val="00527035"/>
    <w:rsid w:val="005270E6"/>
    <w:rsid w:val="00527156"/>
    <w:rsid w:val="00527449"/>
    <w:rsid w:val="005274F6"/>
    <w:rsid w:val="005277D3"/>
    <w:rsid w:val="005277DE"/>
    <w:rsid w:val="00527A94"/>
    <w:rsid w:val="00527C56"/>
    <w:rsid w:val="00527CF0"/>
    <w:rsid w:val="0053026E"/>
    <w:rsid w:val="005304C7"/>
    <w:rsid w:val="00530535"/>
    <w:rsid w:val="0053065B"/>
    <w:rsid w:val="00530715"/>
    <w:rsid w:val="00530EE8"/>
    <w:rsid w:val="00531000"/>
    <w:rsid w:val="0053103D"/>
    <w:rsid w:val="005317E0"/>
    <w:rsid w:val="00531810"/>
    <w:rsid w:val="00531925"/>
    <w:rsid w:val="00531B98"/>
    <w:rsid w:val="00531BAB"/>
    <w:rsid w:val="00531E29"/>
    <w:rsid w:val="00531E85"/>
    <w:rsid w:val="005320B2"/>
    <w:rsid w:val="00532214"/>
    <w:rsid w:val="00532287"/>
    <w:rsid w:val="00532456"/>
    <w:rsid w:val="0053258F"/>
    <w:rsid w:val="0053259F"/>
    <w:rsid w:val="005325BE"/>
    <w:rsid w:val="00532793"/>
    <w:rsid w:val="0053282D"/>
    <w:rsid w:val="00532C69"/>
    <w:rsid w:val="00532CD3"/>
    <w:rsid w:val="00532EAC"/>
    <w:rsid w:val="00533014"/>
    <w:rsid w:val="00533094"/>
    <w:rsid w:val="005331EF"/>
    <w:rsid w:val="00533446"/>
    <w:rsid w:val="0053359E"/>
    <w:rsid w:val="005335A7"/>
    <w:rsid w:val="0053381C"/>
    <w:rsid w:val="0053384D"/>
    <w:rsid w:val="00533C60"/>
    <w:rsid w:val="005341AA"/>
    <w:rsid w:val="005343C2"/>
    <w:rsid w:val="005343C9"/>
    <w:rsid w:val="005344E9"/>
    <w:rsid w:val="00534892"/>
    <w:rsid w:val="00534952"/>
    <w:rsid w:val="00534ADD"/>
    <w:rsid w:val="00534B94"/>
    <w:rsid w:val="00534F22"/>
    <w:rsid w:val="00535124"/>
    <w:rsid w:val="00535178"/>
    <w:rsid w:val="00535224"/>
    <w:rsid w:val="005353D0"/>
    <w:rsid w:val="00535485"/>
    <w:rsid w:val="005355E7"/>
    <w:rsid w:val="00535600"/>
    <w:rsid w:val="00535877"/>
    <w:rsid w:val="005359DC"/>
    <w:rsid w:val="00535AC7"/>
    <w:rsid w:val="00535AFC"/>
    <w:rsid w:val="00535C51"/>
    <w:rsid w:val="00535C6C"/>
    <w:rsid w:val="00535DAB"/>
    <w:rsid w:val="0053612E"/>
    <w:rsid w:val="00536465"/>
    <w:rsid w:val="0053667A"/>
    <w:rsid w:val="00536864"/>
    <w:rsid w:val="005368C7"/>
    <w:rsid w:val="00536ACF"/>
    <w:rsid w:val="00536B03"/>
    <w:rsid w:val="00536B59"/>
    <w:rsid w:val="00536C26"/>
    <w:rsid w:val="00536F54"/>
    <w:rsid w:val="005371F1"/>
    <w:rsid w:val="005372BA"/>
    <w:rsid w:val="00537590"/>
    <w:rsid w:val="0053765F"/>
    <w:rsid w:val="00537912"/>
    <w:rsid w:val="00537BA4"/>
    <w:rsid w:val="00537E24"/>
    <w:rsid w:val="00537F31"/>
    <w:rsid w:val="00540059"/>
    <w:rsid w:val="0054065C"/>
    <w:rsid w:val="0054090F"/>
    <w:rsid w:val="0054091D"/>
    <w:rsid w:val="00540B26"/>
    <w:rsid w:val="00540FF0"/>
    <w:rsid w:val="0054108C"/>
    <w:rsid w:val="00541136"/>
    <w:rsid w:val="0054113B"/>
    <w:rsid w:val="005411AA"/>
    <w:rsid w:val="005412C8"/>
    <w:rsid w:val="00541361"/>
    <w:rsid w:val="005413AF"/>
    <w:rsid w:val="00541511"/>
    <w:rsid w:val="0054160A"/>
    <w:rsid w:val="005416B5"/>
    <w:rsid w:val="005416C9"/>
    <w:rsid w:val="00541895"/>
    <w:rsid w:val="005419F2"/>
    <w:rsid w:val="00541A0B"/>
    <w:rsid w:val="00541A69"/>
    <w:rsid w:val="00541AE7"/>
    <w:rsid w:val="00541DFB"/>
    <w:rsid w:val="005420F7"/>
    <w:rsid w:val="0054214A"/>
    <w:rsid w:val="00542473"/>
    <w:rsid w:val="00542517"/>
    <w:rsid w:val="00542762"/>
    <w:rsid w:val="00542769"/>
    <w:rsid w:val="0054279D"/>
    <w:rsid w:val="0054286F"/>
    <w:rsid w:val="005428C5"/>
    <w:rsid w:val="0054294A"/>
    <w:rsid w:val="00542A7E"/>
    <w:rsid w:val="00542A87"/>
    <w:rsid w:val="00542A9B"/>
    <w:rsid w:val="00542B10"/>
    <w:rsid w:val="00542B3F"/>
    <w:rsid w:val="00542CDD"/>
    <w:rsid w:val="00542D84"/>
    <w:rsid w:val="00542E41"/>
    <w:rsid w:val="00542F82"/>
    <w:rsid w:val="00543117"/>
    <w:rsid w:val="005432BE"/>
    <w:rsid w:val="005433DB"/>
    <w:rsid w:val="0054369F"/>
    <w:rsid w:val="005436DB"/>
    <w:rsid w:val="0054378D"/>
    <w:rsid w:val="0054384A"/>
    <w:rsid w:val="0054386C"/>
    <w:rsid w:val="005438D6"/>
    <w:rsid w:val="00543BF2"/>
    <w:rsid w:val="00543CEE"/>
    <w:rsid w:val="00543F32"/>
    <w:rsid w:val="005443DF"/>
    <w:rsid w:val="00544411"/>
    <w:rsid w:val="0054449D"/>
    <w:rsid w:val="005444CD"/>
    <w:rsid w:val="00544689"/>
    <w:rsid w:val="00544A62"/>
    <w:rsid w:val="00544AB7"/>
    <w:rsid w:val="00544B9B"/>
    <w:rsid w:val="00544C24"/>
    <w:rsid w:val="00544C70"/>
    <w:rsid w:val="005450A8"/>
    <w:rsid w:val="005453DD"/>
    <w:rsid w:val="0054557B"/>
    <w:rsid w:val="00545593"/>
    <w:rsid w:val="0054559C"/>
    <w:rsid w:val="005458E5"/>
    <w:rsid w:val="00545983"/>
    <w:rsid w:val="00545BCE"/>
    <w:rsid w:val="00545C0B"/>
    <w:rsid w:val="00545C41"/>
    <w:rsid w:val="00545E37"/>
    <w:rsid w:val="00545E83"/>
    <w:rsid w:val="00545F45"/>
    <w:rsid w:val="00546000"/>
    <w:rsid w:val="0054606E"/>
    <w:rsid w:val="00546134"/>
    <w:rsid w:val="0054613E"/>
    <w:rsid w:val="005465A4"/>
    <w:rsid w:val="005466D5"/>
    <w:rsid w:val="005466FE"/>
    <w:rsid w:val="005468A6"/>
    <w:rsid w:val="00546925"/>
    <w:rsid w:val="005469A7"/>
    <w:rsid w:val="00546AB1"/>
    <w:rsid w:val="00546C41"/>
    <w:rsid w:val="005470C3"/>
    <w:rsid w:val="005471F9"/>
    <w:rsid w:val="00547437"/>
    <w:rsid w:val="005474E6"/>
    <w:rsid w:val="005475A0"/>
    <w:rsid w:val="005478EA"/>
    <w:rsid w:val="00547A4C"/>
    <w:rsid w:val="00547B5F"/>
    <w:rsid w:val="00547BD3"/>
    <w:rsid w:val="00547CDB"/>
    <w:rsid w:val="0055000D"/>
    <w:rsid w:val="005501C9"/>
    <w:rsid w:val="00550319"/>
    <w:rsid w:val="005503FC"/>
    <w:rsid w:val="00550633"/>
    <w:rsid w:val="00550699"/>
    <w:rsid w:val="00550897"/>
    <w:rsid w:val="005508D9"/>
    <w:rsid w:val="00550963"/>
    <w:rsid w:val="00550A3A"/>
    <w:rsid w:val="00550B77"/>
    <w:rsid w:val="00550F13"/>
    <w:rsid w:val="00550F93"/>
    <w:rsid w:val="0055109B"/>
    <w:rsid w:val="00551323"/>
    <w:rsid w:val="00551343"/>
    <w:rsid w:val="00551403"/>
    <w:rsid w:val="00551678"/>
    <w:rsid w:val="00551802"/>
    <w:rsid w:val="00551872"/>
    <w:rsid w:val="00551A81"/>
    <w:rsid w:val="00551AD6"/>
    <w:rsid w:val="00551AF9"/>
    <w:rsid w:val="00551D88"/>
    <w:rsid w:val="00551E3C"/>
    <w:rsid w:val="00551E4F"/>
    <w:rsid w:val="0055226C"/>
    <w:rsid w:val="0055227D"/>
    <w:rsid w:val="005522B0"/>
    <w:rsid w:val="0055236C"/>
    <w:rsid w:val="005523BA"/>
    <w:rsid w:val="0055247D"/>
    <w:rsid w:val="005525EA"/>
    <w:rsid w:val="00552908"/>
    <w:rsid w:val="0055293B"/>
    <w:rsid w:val="00552C0D"/>
    <w:rsid w:val="00552C51"/>
    <w:rsid w:val="00552CC6"/>
    <w:rsid w:val="00552D49"/>
    <w:rsid w:val="005532D0"/>
    <w:rsid w:val="00553387"/>
    <w:rsid w:val="00553680"/>
    <w:rsid w:val="005536D0"/>
    <w:rsid w:val="005536DA"/>
    <w:rsid w:val="005536EF"/>
    <w:rsid w:val="00553715"/>
    <w:rsid w:val="0055385C"/>
    <w:rsid w:val="00553BA9"/>
    <w:rsid w:val="00553D5D"/>
    <w:rsid w:val="00553E35"/>
    <w:rsid w:val="00553E65"/>
    <w:rsid w:val="005541FF"/>
    <w:rsid w:val="005543BA"/>
    <w:rsid w:val="0055448C"/>
    <w:rsid w:val="005544A3"/>
    <w:rsid w:val="00554729"/>
    <w:rsid w:val="00554A8B"/>
    <w:rsid w:val="00554B0B"/>
    <w:rsid w:val="00554BAD"/>
    <w:rsid w:val="00554C14"/>
    <w:rsid w:val="00554C7A"/>
    <w:rsid w:val="00554CE2"/>
    <w:rsid w:val="00554D40"/>
    <w:rsid w:val="00554D92"/>
    <w:rsid w:val="00554EC1"/>
    <w:rsid w:val="0055509C"/>
    <w:rsid w:val="005550FC"/>
    <w:rsid w:val="005551BB"/>
    <w:rsid w:val="00555243"/>
    <w:rsid w:val="00555311"/>
    <w:rsid w:val="005553EB"/>
    <w:rsid w:val="005554EE"/>
    <w:rsid w:val="0055550E"/>
    <w:rsid w:val="0055560E"/>
    <w:rsid w:val="00555832"/>
    <w:rsid w:val="005558E2"/>
    <w:rsid w:val="00555916"/>
    <w:rsid w:val="00555B9C"/>
    <w:rsid w:val="00555BC9"/>
    <w:rsid w:val="00555CBE"/>
    <w:rsid w:val="00555CD6"/>
    <w:rsid w:val="00555D05"/>
    <w:rsid w:val="00555F3A"/>
    <w:rsid w:val="0055611D"/>
    <w:rsid w:val="005562A6"/>
    <w:rsid w:val="00556362"/>
    <w:rsid w:val="00556447"/>
    <w:rsid w:val="00556515"/>
    <w:rsid w:val="0055676B"/>
    <w:rsid w:val="005568C4"/>
    <w:rsid w:val="00556A3C"/>
    <w:rsid w:val="00556A8C"/>
    <w:rsid w:val="00556BE8"/>
    <w:rsid w:val="00556EA8"/>
    <w:rsid w:val="00556F41"/>
    <w:rsid w:val="00557296"/>
    <w:rsid w:val="005572FA"/>
    <w:rsid w:val="00557463"/>
    <w:rsid w:val="005574E7"/>
    <w:rsid w:val="00557507"/>
    <w:rsid w:val="0055757B"/>
    <w:rsid w:val="0055788E"/>
    <w:rsid w:val="00557B03"/>
    <w:rsid w:val="00557B85"/>
    <w:rsid w:val="00557C17"/>
    <w:rsid w:val="00557CE1"/>
    <w:rsid w:val="0056009A"/>
    <w:rsid w:val="0056010C"/>
    <w:rsid w:val="0056025D"/>
    <w:rsid w:val="0056031A"/>
    <w:rsid w:val="005604F0"/>
    <w:rsid w:val="005604F5"/>
    <w:rsid w:val="00560542"/>
    <w:rsid w:val="005607B3"/>
    <w:rsid w:val="00560840"/>
    <w:rsid w:val="005608DD"/>
    <w:rsid w:val="00560AF8"/>
    <w:rsid w:val="00560BE5"/>
    <w:rsid w:val="00560C01"/>
    <w:rsid w:val="00560C7F"/>
    <w:rsid w:val="00560CDB"/>
    <w:rsid w:val="00560CFD"/>
    <w:rsid w:val="00560D14"/>
    <w:rsid w:val="00560DAE"/>
    <w:rsid w:val="00560E6F"/>
    <w:rsid w:val="0056138F"/>
    <w:rsid w:val="005614AB"/>
    <w:rsid w:val="00561567"/>
    <w:rsid w:val="005615CB"/>
    <w:rsid w:val="00561813"/>
    <w:rsid w:val="005619DD"/>
    <w:rsid w:val="00561BB5"/>
    <w:rsid w:val="00561C92"/>
    <w:rsid w:val="00561FF7"/>
    <w:rsid w:val="00562067"/>
    <w:rsid w:val="00562107"/>
    <w:rsid w:val="005621B2"/>
    <w:rsid w:val="005621EF"/>
    <w:rsid w:val="0056223B"/>
    <w:rsid w:val="0056228F"/>
    <w:rsid w:val="005623D6"/>
    <w:rsid w:val="00562415"/>
    <w:rsid w:val="00562463"/>
    <w:rsid w:val="0056297F"/>
    <w:rsid w:val="00562AC4"/>
    <w:rsid w:val="00562AEF"/>
    <w:rsid w:val="00562C07"/>
    <w:rsid w:val="00562C3D"/>
    <w:rsid w:val="00562CDF"/>
    <w:rsid w:val="00562DB8"/>
    <w:rsid w:val="00562E9B"/>
    <w:rsid w:val="00562FE7"/>
    <w:rsid w:val="0056303A"/>
    <w:rsid w:val="005630C3"/>
    <w:rsid w:val="0056318A"/>
    <w:rsid w:val="00563192"/>
    <w:rsid w:val="005634CA"/>
    <w:rsid w:val="00563684"/>
    <w:rsid w:val="005636F6"/>
    <w:rsid w:val="005637E0"/>
    <w:rsid w:val="00563B5E"/>
    <w:rsid w:val="00563BE6"/>
    <w:rsid w:val="00563C38"/>
    <w:rsid w:val="005641A5"/>
    <w:rsid w:val="00564383"/>
    <w:rsid w:val="005643B7"/>
    <w:rsid w:val="00564707"/>
    <w:rsid w:val="00564836"/>
    <w:rsid w:val="00564907"/>
    <w:rsid w:val="00564A07"/>
    <w:rsid w:val="00564B2A"/>
    <w:rsid w:val="00564B30"/>
    <w:rsid w:val="00564D03"/>
    <w:rsid w:val="00564D17"/>
    <w:rsid w:val="00564E51"/>
    <w:rsid w:val="00565154"/>
    <w:rsid w:val="00565181"/>
    <w:rsid w:val="005651B1"/>
    <w:rsid w:val="005652EF"/>
    <w:rsid w:val="00565575"/>
    <w:rsid w:val="005656CA"/>
    <w:rsid w:val="005656D1"/>
    <w:rsid w:val="00565766"/>
    <w:rsid w:val="0056576B"/>
    <w:rsid w:val="00565829"/>
    <w:rsid w:val="00565A56"/>
    <w:rsid w:val="00565B27"/>
    <w:rsid w:val="00565C8F"/>
    <w:rsid w:val="00565DA6"/>
    <w:rsid w:val="00565E69"/>
    <w:rsid w:val="0056603D"/>
    <w:rsid w:val="00566075"/>
    <w:rsid w:val="0056631F"/>
    <w:rsid w:val="00566374"/>
    <w:rsid w:val="005666BB"/>
    <w:rsid w:val="005667BB"/>
    <w:rsid w:val="00566867"/>
    <w:rsid w:val="00566C6D"/>
    <w:rsid w:val="00566EE9"/>
    <w:rsid w:val="0056714D"/>
    <w:rsid w:val="0056720E"/>
    <w:rsid w:val="00567539"/>
    <w:rsid w:val="005675A4"/>
    <w:rsid w:val="0056767C"/>
    <w:rsid w:val="005678C4"/>
    <w:rsid w:val="005679B3"/>
    <w:rsid w:val="00567B01"/>
    <w:rsid w:val="00567C26"/>
    <w:rsid w:val="00567C33"/>
    <w:rsid w:val="00567C59"/>
    <w:rsid w:val="005700F0"/>
    <w:rsid w:val="00570118"/>
    <w:rsid w:val="0057014F"/>
    <w:rsid w:val="00570397"/>
    <w:rsid w:val="0057047F"/>
    <w:rsid w:val="005704B9"/>
    <w:rsid w:val="00570559"/>
    <w:rsid w:val="00570598"/>
    <w:rsid w:val="005706F7"/>
    <w:rsid w:val="0057078A"/>
    <w:rsid w:val="005707C1"/>
    <w:rsid w:val="00570836"/>
    <w:rsid w:val="00570956"/>
    <w:rsid w:val="00570990"/>
    <w:rsid w:val="005709C0"/>
    <w:rsid w:val="00570DFB"/>
    <w:rsid w:val="00570E99"/>
    <w:rsid w:val="00571079"/>
    <w:rsid w:val="0057135B"/>
    <w:rsid w:val="005716C6"/>
    <w:rsid w:val="0057179E"/>
    <w:rsid w:val="00571ABF"/>
    <w:rsid w:val="00571C6F"/>
    <w:rsid w:val="00571C90"/>
    <w:rsid w:val="00571EE5"/>
    <w:rsid w:val="00571FB9"/>
    <w:rsid w:val="00571FE7"/>
    <w:rsid w:val="0057233C"/>
    <w:rsid w:val="00572411"/>
    <w:rsid w:val="005725A1"/>
    <w:rsid w:val="00572B4A"/>
    <w:rsid w:val="00572CBD"/>
    <w:rsid w:val="00572D41"/>
    <w:rsid w:val="00572D61"/>
    <w:rsid w:val="00572DC5"/>
    <w:rsid w:val="005730B2"/>
    <w:rsid w:val="00573193"/>
    <w:rsid w:val="00573354"/>
    <w:rsid w:val="005737AE"/>
    <w:rsid w:val="00573A9A"/>
    <w:rsid w:val="00573C34"/>
    <w:rsid w:val="00574145"/>
    <w:rsid w:val="005741AD"/>
    <w:rsid w:val="0057422C"/>
    <w:rsid w:val="00574502"/>
    <w:rsid w:val="005745DF"/>
    <w:rsid w:val="00574726"/>
    <w:rsid w:val="00574760"/>
    <w:rsid w:val="00574986"/>
    <w:rsid w:val="00574BD5"/>
    <w:rsid w:val="005751C2"/>
    <w:rsid w:val="00575246"/>
    <w:rsid w:val="00575253"/>
    <w:rsid w:val="005752E0"/>
    <w:rsid w:val="00575442"/>
    <w:rsid w:val="00575579"/>
    <w:rsid w:val="0057564D"/>
    <w:rsid w:val="0057593B"/>
    <w:rsid w:val="005759AB"/>
    <w:rsid w:val="00575A86"/>
    <w:rsid w:val="00575D13"/>
    <w:rsid w:val="00575DE4"/>
    <w:rsid w:val="00575F5C"/>
    <w:rsid w:val="00575FE7"/>
    <w:rsid w:val="00576020"/>
    <w:rsid w:val="0057613F"/>
    <w:rsid w:val="00576375"/>
    <w:rsid w:val="00576407"/>
    <w:rsid w:val="005765DC"/>
    <w:rsid w:val="00576770"/>
    <w:rsid w:val="005767DC"/>
    <w:rsid w:val="005768F9"/>
    <w:rsid w:val="00576B4B"/>
    <w:rsid w:val="00576C25"/>
    <w:rsid w:val="00576C59"/>
    <w:rsid w:val="00576D62"/>
    <w:rsid w:val="00577096"/>
    <w:rsid w:val="00577222"/>
    <w:rsid w:val="005773D0"/>
    <w:rsid w:val="00577D31"/>
    <w:rsid w:val="00577EB9"/>
    <w:rsid w:val="00577F6F"/>
    <w:rsid w:val="00580131"/>
    <w:rsid w:val="005801A9"/>
    <w:rsid w:val="00580205"/>
    <w:rsid w:val="00580344"/>
    <w:rsid w:val="0058040E"/>
    <w:rsid w:val="0058041D"/>
    <w:rsid w:val="005806F6"/>
    <w:rsid w:val="00580A74"/>
    <w:rsid w:val="00580DD7"/>
    <w:rsid w:val="00580E43"/>
    <w:rsid w:val="00580EA6"/>
    <w:rsid w:val="00580FAF"/>
    <w:rsid w:val="00581013"/>
    <w:rsid w:val="005810C1"/>
    <w:rsid w:val="00581104"/>
    <w:rsid w:val="00581191"/>
    <w:rsid w:val="005811B2"/>
    <w:rsid w:val="0058127A"/>
    <w:rsid w:val="0058134A"/>
    <w:rsid w:val="00581418"/>
    <w:rsid w:val="005815A6"/>
    <w:rsid w:val="005815E9"/>
    <w:rsid w:val="00581753"/>
    <w:rsid w:val="0058191F"/>
    <w:rsid w:val="005819DF"/>
    <w:rsid w:val="00581A0B"/>
    <w:rsid w:val="00581CB1"/>
    <w:rsid w:val="00581EC1"/>
    <w:rsid w:val="00581F18"/>
    <w:rsid w:val="00581F1B"/>
    <w:rsid w:val="00581F9C"/>
    <w:rsid w:val="00582009"/>
    <w:rsid w:val="005820D7"/>
    <w:rsid w:val="00582255"/>
    <w:rsid w:val="005822CC"/>
    <w:rsid w:val="0058237B"/>
    <w:rsid w:val="0058250B"/>
    <w:rsid w:val="00582701"/>
    <w:rsid w:val="005829AE"/>
    <w:rsid w:val="005829F3"/>
    <w:rsid w:val="00582A90"/>
    <w:rsid w:val="00582B58"/>
    <w:rsid w:val="005830BB"/>
    <w:rsid w:val="0058331B"/>
    <w:rsid w:val="005833DD"/>
    <w:rsid w:val="005835C0"/>
    <w:rsid w:val="0058367F"/>
    <w:rsid w:val="005836DC"/>
    <w:rsid w:val="00583826"/>
    <w:rsid w:val="00583B5C"/>
    <w:rsid w:val="00583DF6"/>
    <w:rsid w:val="00583EB7"/>
    <w:rsid w:val="00583FF1"/>
    <w:rsid w:val="005841D9"/>
    <w:rsid w:val="00584245"/>
    <w:rsid w:val="005842C2"/>
    <w:rsid w:val="00584337"/>
    <w:rsid w:val="0058448F"/>
    <w:rsid w:val="005844A3"/>
    <w:rsid w:val="00584632"/>
    <w:rsid w:val="00584C2A"/>
    <w:rsid w:val="00584C5D"/>
    <w:rsid w:val="00584C61"/>
    <w:rsid w:val="005850D8"/>
    <w:rsid w:val="00585161"/>
    <w:rsid w:val="0058522E"/>
    <w:rsid w:val="00585391"/>
    <w:rsid w:val="005853FE"/>
    <w:rsid w:val="005856A2"/>
    <w:rsid w:val="00585839"/>
    <w:rsid w:val="005858DA"/>
    <w:rsid w:val="00585AE2"/>
    <w:rsid w:val="00585C6B"/>
    <w:rsid w:val="00585CC5"/>
    <w:rsid w:val="00585F6B"/>
    <w:rsid w:val="00585F88"/>
    <w:rsid w:val="00586118"/>
    <w:rsid w:val="00586243"/>
    <w:rsid w:val="00586550"/>
    <w:rsid w:val="00586561"/>
    <w:rsid w:val="005865D9"/>
    <w:rsid w:val="005865F4"/>
    <w:rsid w:val="005866D3"/>
    <w:rsid w:val="00586AB8"/>
    <w:rsid w:val="00586B2F"/>
    <w:rsid w:val="00586D2D"/>
    <w:rsid w:val="00587042"/>
    <w:rsid w:val="0058720E"/>
    <w:rsid w:val="00587241"/>
    <w:rsid w:val="00587405"/>
    <w:rsid w:val="005875D5"/>
    <w:rsid w:val="00587625"/>
    <w:rsid w:val="005878F6"/>
    <w:rsid w:val="00587A96"/>
    <w:rsid w:val="00587C61"/>
    <w:rsid w:val="00587CC8"/>
    <w:rsid w:val="00587CEB"/>
    <w:rsid w:val="00587D74"/>
    <w:rsid w:val="00587F44"/>
    <w:rsid w:val="005901B3"/>
    <w:rsid w:val="005901EE"/>
    <w:rsid w:val="005903D8"/>
    <w:rsid w:val="005904F3"/>
    <w:rsid w:val="005905FE"/>
    <w:rsid w:val="00590646"/>
    <w:rsid w:val="0059068C"/>
    <w:rsid w:val="00590762"/>
    <w:rsid w:val="005908D9"/>
    <w:rsid w:val="00590BC7"/>
    <w:rsid w:val="00590E15"/>
    <w:rsid w:val="00590EED"/>
    <w:rsid w:val="005910C8"/>
    <w:rsid w:val="005912C0"/>
    <w:rsid w:val="005913FD"/>
    <w:rsid w:val="005914E0"/>
    <w:rsid w:val="00591676"/>
    <w:rsid w:val="005916A3"/>
    <w:rsid w:val="0059171D"/>
    <w:rsid w:val="005917B2"/>
    <w:rsid w:val="00591942"/>
    <w:rsid w:val="005919E5"/>
    <w:rsid w:val="00591A4E"/>
    <w:rsid w:val="00591A54"/>
    <w:rsid w:val="00591DF7"/>
    <w:rsid w:val="00591F82"/>
    <w:rsid w:val="00591FA5"/>
    <w:rsid w:val="0059204A"/>
    <w:rsid w:val="005920F0"/>
    <w:rsid w:val="005922C2"/>
    <w:rsid w:val="00592351"/>
    <w:rsid w:val="0059245A"/>
    <w:rsid w:val="00592488"/>
    <w:rsid w:val="005925A1"/>
    <w:rsid w:val="005926C2"/>
    <w:rsid w:val="005929EC"/>
    <w:rsid w:val="00592A05"/>
    <w:rsid w:val="00592A86"/>
    <w:rsid w:val="00592AD5"/>
    <w:rsid w:val="00592B7B"/>
    <w:rsid w:val="00592BE9"/>
    <w:rsid w:val="00592C54"/>
    <w:rsid w:val="00592FB1"/>
    <w:rsid w:val="00592FF9"/>
    <w:rsid w:val="0059312A"/>
    <w:rsid w:val="0059314A"/>
    <w:rsid w:val="00593194"/>
    <w:rsid w:val="005934E2"/>
    <w:rsid w:val="00593599"/>
    <w:rsid w:val="005935A2"/>
    <w:rsid w:val="005936D6"/>
    <w:rsid w:val="00593800"/>
    <w:rsid w:val="00593891"/>
    <w:rsid w:val="00593AE3"/>
    <w:rsid w:val="00593B7F"/>
    <w:rsid w:val="00593D42"/>
    <w:rsid w:val="00593DB7"/>
    <w:rsid w:val="0059416C"/>
    <w:rsid w:val="00594377"/>
    <w:rsid w:val="00594393"/>
    <w:rsid w:val="0059448E"/>
    <w:rsid w:val="00594A5A"/>
    <w:rsid w:val="00594AC4"/>
    <w:rsid w:val="00594C64"/>
    <w:rsid w:val="00594FC7"/>
    <w:rsid w:val="00595014"/>
    <w:rsid w:val="0059503C"/>
    <w:rsid w:val="00595065"/>
    <w:rsid w:val="005950F7"/>
    <w:rsid w:val="005952A1"/>
    <w:rsid w:val="005952F4"/>
    <w:rsid w:val="00595512"/>
    <w:rsid w:val="0059551E"/>
    <w:rsid w:val="005955BC"/>
    <w:rsid w:val="005955C1"/>
    <w:rsid w:val="0059567A"/>
    <w:rsid w:val="0059576E"/>
    <w:rsid w:val="00595822"/>
    <w:rsid w:val="0059590A"/>
    <w:rsid w:val="0059596E"/>
    <w:rsid w:val="00595A88"/>
    <w:rsid w:val="00595CEE"/>
    <w:rsid w:val="00595E90"/>
    <w:rsid w:val="00596081"/>
    <w:rsid w:val="00596358"/>
    <w:rsid w:val="00596598"/>
    <w:rsid w:val="005966E3"/>
    <w:rsid w:val="005967F9"/>
    <w:rsid w:val="00596819"/>
    <w:rsid w:val="00596963"/>
    <w:rsid w:val="0059696D"/>
    <w:rsid w:val="00596B60"/>
    <w:rsid w:val="00596BEB"/>
    <w:rsid w:val="00596F42"/>
    <w:rsid w:val="0059709E"/>
    <w:rsid w:val="00597121"/>
    <w:rsid w:val="0059712C"/>
    <w:rsid w:val="00597211"/>
    <w:rsid w:val="005972ED"/>
    <w:rsid w:val="00597766"/>
    <w:rsid w:val="00597776"/>
    <w:rsid w:val="0059778D"/>
    <w:rsid w:val="005977E1"/>
    <w:rsid w:val="00597874"/>
    <w:rsid w:val="005978C6"/>
    <w:rsid w:val="0059796F"/>
    <w:rsid w:val="00597A94"/>
    <w:rsid w:val="00597BA6"/>
    <w:rsid w:val="00597F12"/>
    <w:rsid w:val="00597F6F"/>
    <w:rsid w:val="005A0117"/>
    <w:rsid w:val="005A017E"/>
    <w:rsid w:val="005A0197"/>
    <w:rsid w:val="005A0551"/>
    <w:rsid w:val="005A0651"/>
    <w:rsid w:val="005A08F6"/>
    <w:rsid w:val="005A0949"/>
    <w:rsid w:val="005A0AC9"/>
    <w:rsid w:val="005A0C2B"/>
    <w:rsid w:val="005A0C87"/>
    <w:rsid w:val="005A0E4C"/>
    <w:rsid w:val="005A0E86"/>
    <w:rsid w:val="005A1303"/>
    <w:rsid w:val="005A1472"/>
    <w:rsid w:val="005A1485"/>
    <w:rsid w:val="005A151C"/>
    <w:rsid w:val="005A15CA"/>
    <w:rsid w:val="005A15EC"/>
    <w:rsid w:val="005A1635"/>
    <w:rsid w:val="005A167E"/>
    <w:rsid w:val="005A16E6"/>
    <w:rsid w:val="005A1922"/>
    <w:rsid w:val="005A19A3"/>
    <w:rsid w:val="005A1AD6"/>
    <w:rsid w:val="005A1AD7"/>
    <w:rsid w:val="005A2092"/>
    <w:rsid w:val="005A20F3"/>
    <w:rsid w:val="005A2247"/>
    <w:rsid w:val="005A229F"/>
    <w:rsid w:val="005A2333"/>
    <w:rsid w:val="005A24C4"/>
    <w:rsid w:val="005A25FA"/>
    <w:rsid w:val="005A28EB"/>
    <w:rsid w:val="005A2A71"/>
    <w:rsid w:val="005A2B0D"/>
    <w:rsid w:val="005A2CF5"/>
    <w:rsid w:val="005A2F79"/>
    <w:rsid w:val="005A3231"/>
    <w:rsid w:val="005A3561"/>
    <w:rsid w:val="005A3570"/>
    <w:rsid w:val="005A35D2"/>
    <w:rsid w:val="005A36E0"/>
    <w:rsid w:val="005A3701"/>
    <w:rsid w:val="005A3711"/>
    <w:rsid w:val="005A3885"/>
    <w:rsid w:val="005A38DB"/>
    <w:rsid w:val="005A3A1B"/>
    <w:rsid w:val="005A3A6F"/>
    <w:rsid w:val="005A3B86"/>
    <w:rsid w:val="005A3C9A"/>
    <w:rsid w:val="005A3FFA"/>
    <w:rsid w:val="005A41B8"/>
    <w:rsid w:val="005A423F"/>
    <w:rsid w:val="005A43FA"/>
    <w:rsid w:val="005A441A"/>
    <w:rsid w:val="005A44B6"/>
    <w:rsid w:val="005A4658"/>
    <w:rsid w:val="005A469E"/>
    <w:rsid w:val="005A477D"/>
    <w:rsid w:val="005A480B"/>
    <w:rsid w:val="005A4934"/>
    <w:rsid w:val="005A4974"/>
    <w:rsid w:val="005A4A63"/>
    <w:rsid w:val="005A4A84"/>
    <w:rsid w:val="005A4B80"/>
    <w:rsid w:val="005A4C4A"/>
    <w:rsid w:val="005A4E5F"/>
    <w:rsid w:val="005A4F20"/>
    <w:rsid w:val="005A4F4B"/>
    <w:rsid w:val="005A4F74"/>
    <w:rsid w:val="005A500C"/>
    <w:rsid w:val="005A51D0"/>
    <w:rsid w:val="005A52E0"/>
    <w:rsid w:val="005A531E"/>
    <w:rsid w:val="005A536F"/>
    <w:rsid w:val="005A55B7"/>
    <w:rsid w:val="005A5B53"/>
    <w:rsid w:val="005A5DAE"/>
    <w:rsid w:val="005A5E3E"/>
    <w:rsid w:val="005A5E59"/>
    <w:rsid w:val="005A5F6B"/>
    <w:rsid w:val="005A5FF8"/>
    <w:rsid w:val="005A6317"/>
    <w:rsid w:val="005A6397"/>
    <w:rsid w:val="005A63DB"/>
    <w:rsid w:val="005A6989"/>
    <w:rsid w:val="005A6C74"/>
    <w:rsid w:val="005A6CE1"/>
    <w:rsid w:val="005A6D4C"/>
    <w:rsid w:val="005A6DAB"/>
    <w:rsid w:val="005A6E80"/>
    <w:rsid w:val="005A6F4A"/>
    <w:rsid w:val="005A6F6F"/>
    <w:rsid w:val="005A6FFC"/>
    <w:rsid w:val="005A7103"/>
    <w:rsid w:val="005A71AE"/>
    <w:rsid w:val="005A7232"/>
    <w:rsid w:val="005A73E6"/>
    <w:rsid w:val="005A73EB"/>
    <w:rsid w:val="005A7475"/>
    <w:rsid w:val="005A74D9"/>
    <w:rsid w:val="005A7511"/>
    <w:rsid w:val="005A76F1"/>
    <w:rsid w:val="005A77C6"/>
    <w:rsid w:val="005A78CE"/>
    <w:rsid w:val="005A79CB"/>
    <w:rsid w:val="005A7B4F"/>
    <w:rsid w:val="005A7BF3"/>
    <w:rsid w:val="005A7F02"/>
    <w:rsid w:val="005B006E"/>
    <w:rsid w:val="005B00D8"/>
    <w:rsid w:val="005B0189"/>
    <w:rsid w:val="005B023E"/>
    <w:rsid w:val="005B0458"/>
    <w:rsid w:val="005B0544"/>
    <w:rsid w:val="005B0589"/>
    <w:rsid w:val="005B0632"/>
    <w:rsid w:val="005B08DC"/>
    <w:rsid w:val="005B08F3"/>
    <w:rsid w:val="005B09BA"/>
    <w:rsid w:val="005B0A04"/>
    <w:rsid w:val="005B0A3A"/>
    <w:rsid w:val="005B0BFC"/>
    <w:rsid w:val="005B0C36"/>
    <w:rsid w:val="005B0CCB"/>
    <w:rsid w:val="005B0DFC"/>
    <w:rsid w:val="005B119E"/>
    <w:rsid w:val="005B13E0"/>
    <w:rsid w:val="005B17BA"/>
    <w:rsid w:val="005B199A"/>
    <w:rsid w:val="005B19A4"/>
    <w:rsid w:val="005B1B2A"/>
    <w:rsid w:val="005B1BAB"/>
    <w:rsid w:val="005B205B"/>
    <w:rsid w:val="005B21D2"/>
    <w:rsid w:val="005B2233"/>
    <w:rsid w:val="005B24C5"/>
    <w:rsid w:val="005B2540"/>
    <w:rsid w:val="005B29BC"/>
    <w:rsid w:val="005B2A56"/>
    <w:rsid w:val="005B2A6A"/>
    <w:rsid w:val="005B2BB5"/>
    <w:rsid w:val="005B2E2B"/>
    <w:rsid w:val="005B2EA3"/>
    <w:rsid w:val="005B2F58"/>
    <w:rsid w:val="005B2FB8"/>
    <w:rsid w:val="005B30A9"/>
    <w:rsid w:val="005B31B0"/>
    <w:rsid w:val="005B324E"/>
    <w:rsid w:val="005B32B0"/>
    <w:rsid w:val="005B33E6"/>
    <w:rsid w:val="005B33F2"/>
    <w:rsid w:val="005B34D8"/>
    <w:rsid w:val="005B359B"/>
    <w:rsid w:val="005B35B3"/>
    <w:rsid w:val="005B35FF"/>
    <w:rsid w:val="005B3759"/>
    <w:rsid w:val="005B3A5B"/>
    <w:rsid w:val="005B3A95"/>
    <w:rsid w:val="005B3B57"/>
    <w:rsid w:val="005B3C1E"/>
    <w:rsid w:val="005B3C2E"/>
    <w:rsid w:val="005B3DB5"/>
    <w:rsid w:val="005B3E54"/>
    <w:rsid w:val="005B3FF7"/>
    <w:rsid w:val="005B414A"/>
    <w:rsid w:val="005B41F8"/>
    <w:rsid w:val="005B440B"/>
    <w:rsid w:val="005B4584"/>
    <w:rsid w:val="005B4661"/>
    <w:rsid w:val="005B483A"/>
    <w:rsid w:val="005B48E8"/>
    <w:rsid w:val="005B4A32"/>
    <w:rsid w:val="005B4C2A"/>
    <w:rsid w:val="005B4E8D"/>
    <w:rsid w:val="005B51C4"/>
    <w:rsid w:val="005B51F2"/>
    <w:rsid w:val="005B55CD"/>
    <w:rsid w:val="005B571D"/>
    <w:rsid w:val="005B5935"/>
    <w:rsid w:val="005B59C9"/>
    <w:rsid w:val="005B59F2"/>
    <w:rsid w:val="005B5AAA"/>
    <w:rsid w:val="005B5B9E"/>
    <w:rsid w:val="005B5C21"/>
    <w:rsid w:val="005B5D70"/>
    <w:rsid w:val="005B5E2E"/>
    <w:rsid w:val="005B5E63"/>
    <w:rsid w:val="005B5EF1"/>
    <w:rsid w:val="005B61DC"/>
    <w:rsid w:val="005B630F"/>
    <w:rsid w:val="005B6497"/>
    <w:rsid w:val="005B6677"/>
    <w:rsid w:val="005B67C2"/>
    <w:rsid w:val="005B68CB"/>
    <w:rsid w:val="005B690D"/>
    <w:rsid w:val="005B6D26"/>
    <w:rsid w:val="005B6E86"/>
    <w:rsid w:val="005B6F1B"/>
    <w:rsid w:val="005B6FCA"/>
    <w:rsid w:val="005B70AA"/>
    <w:rsid w:val="005B70DF"/>
    <w:rsid w:val="005B7103"/>
    <w:rsid w:val="005B71A7"/>
    <w:rsid w:val="005B73DE"/>
    <w:rsid w:val="005B757C"/>
    <w:rsid w:val="005B76FA"/>
    <w:rsid w:val="005B7751"/>
    <w:rsid w:val="005B7763"/>
    <w:rsid w:val="005B77AA"/>
    <w:rsid w:val="005B780C"/>
    <w:rsid w:val="005B7961"/>
    <w:rsid w:val="005B7BB3"/>
    <w:rsid w:val="005B7CAA"/>
    <w:rsid w:val="005B7D16"/>
    <w:rsid w:val="005B7D2D"/>
    <w:rsid w:val="005B7D52"/>
    <w:rsid w:val="005B7D90"/>
    <w:rsid w:val="005B7DA4"/>
    <w:rsid w:val="005B7DB5"/>
    <w:rsid w:val="005B7E8B"/>
    <w:rsid w:val="005B7F58"/>
    <w:rsid w:val="005C0238"/>
    <w:rsid w:val="005C026E"/>
    <w:rsid w:val="005C02A9"/>
    <w:rsid w:val="005C072F"/>
    <w:rsid w:val="005C0788"/>
    <w:rsid w:val="005C088A"/>
    <w:rsid w:val="005C08C0"/>
    <w:rsid w:val="005C09BF"/>
    <w:rsid w:val="005C0C0A"/>
    <w:rsid w:val="005C0CE3"/>
    <w:rsid w:val="005C0D07"/>
    <w:rsid w:val="005C0D33"/>
    <w:rsid w:val="005C0D40"/>
    <w:rsid w:val="005C0D9F"/>
    <w:rsid w:val="005C0DA9"/>
    <w:rsid w:val="005C11DC"/>
    <w:rsid w:val="005C11ED"/>
    <w:rsid w:val="005C1220"/>
    <w:rsid w:val="005C1333"/>
    <w:rsid w:val="005C1413"/>
    <w:rsid w:val="005C1486"/>
    <w:rsid w:val="005C1724"/>
    <w:rsid w:val="005C177A"/>
    <w:rsid w:val="005C186C"/>
    <w:rsid w:val="005C18B1"/>
    <w:rsid w:val="005C19C4"/>
    <w:rsid w:val="005C1BDD"/>
    <w:rsid w:val="005C1C67"/>
    <w:rsid w:val="005C1D87"/>
    <w:rsid w:val="005C2113"/>
    <w:rsid w:val="005C219C"/>
    <w:rsid w:val="005C2281"/>
    <w:rsid w:val="005C2448"/>
    <w:rsid w:val="005C24F5"/>
    <w:rsid w:val="005C25D6"/>
    <w:rsid w:val="005C284D"/>
    <w:rsid w:val="005C289C"/>
    <w:rsid w:val="005C2A07"/>
    <w:rsid w:val="005C2DA2"/>
    <w:rsid w:val="005C2DBD"/>
    <w:rsid w:val="005C2DE6"/>
    <w:rsid w:val="005C2E25"/>
    <w:rsid w:val="005C2FFF"/>
    <w:rsid w:val="005C312C"/>
    <w:rsid w:val="005C31B1"/>
    <w:rsid w:val="005C325D"/>
    <w:rsid w:val="005C32FC"/>
    <w:rsid w:val="005C3377"/>
    <w:rsid w:val="005C34BD"/>
    <w:rsid w:val="005C3527"/>
    <w:rsid w:val="005C36B2"/>
    <w:rsid w:val="005C395D"/>
    <w:rsid w:val="005C3A7C"/>
    <w:rsid w:val="005C3A96"/>
    <w:rsid w:val="005C3ADF"/>
    <w:rsid w:val="005C3D0F"/>
    <w:rsid w:val="005C3DAA"/>
    <w:rsid w:val="005C3FD1"/>
    <w:rsid w:val="005C4129"/>
    <w:rsid w:val="005C4287"/>
    <w:rsid w:val="005C44D1"/>
    <w:rsid w:val="005C455C"/>
    <w:rsid w:val="005C4655"/>
    <w:rsid w:val="005C48B7"/>
    <w:rsid w:val="005C4AA9"/>
    <w:rsid w:val="005C4C12"/>
    <w:rsid w:val="005C4CA5"/>
    <w:rsid w:val="005C4D8C"/>
    <w:rsid w:val="005C4EDC"/>
    <w:rsid w:val="005C4F81"/>
    <w:rsid w:val="005C528B"/>
    <w:rsid w:val="005C529B"/>
    <w:rsid w:val="005C5505"/>
    <w:rsid w:val="005C55CB"/>
    <w:rsid w:val="005C55D4"/>
    <w:rsid w:val="005C561A"/>
    <w:rsid w:val="005C565C"/>
    <w:rsid w:val="005C5681"/>
    <w:rsid w:val="005C56FA"/>
    <w:rsid w:val="005C5716"/>
    <w:rsid w:val="005C5752"/>
    <w:rsid w:val="005C583F"/>
    <w:rsid w:val="005C585D"/>
    <w:rsid w:val="005C5A11"/>
    <w:rsid w:val="005C5A65"/>
    <w:rsid w:val="005C5B08"/>
    <w:rsid w:val="005C5B2C"/>
    <w:rsid w:val="005C5B8D"/>
    <w:rsid w:val="005C6220"/>
    <w:rsid w:val="005C6560"/>
    <w:rsid w:val="005C661E"/>
    <w:rsid w:val="005C66B6"/>
    <w:rsid w:val="005C6867"/>
    <w:rsid w:val="005C6ABA"/>
    <w:rsid w:val="005C6D47"/>
    <w:rsid w:val="005C6EEE"/>
    <w:rsid w:val="005C6F1E"/>
    <w:rsid w:val="005C6FD0"/>
    <w:rsid w:val="005C7198"/>
    <w:rsid w:val="005C73AC"/>
    <w:rsid w:val="005C78C1"/>
    <w:rsid w:val="005C7D95"/>
    <w:rsid w:val="005C7E37"/>
    <w:rsid w:val="005D019D"/>
    <w:rsid w:val="005D04D4"/>
    <w:rsid w:val="005D04F2"/>
    <w:rsid w:val="005D06B4"/>
    <w:rsid w:val="005D077E"/>
    <w:rsid w:val="005D07CF"/>
    <w:rsid w:val="005D07F4"/>
    <w:rsid w:val="005D0960"/>
    <w:rsid w:val="005D0B5F"/>
    <w:rsid w:val="005D0DC0"/>
    <w:rsid w:val="005D0F9D"/>
    <w:rsid w:val="005D104F"/>
    <w:rsid w:val="005D10E9"/>
    <w:rsid w:val="005D158F"/>
    <w:rsid w:val="005D15C5"/>
    <w:rsid w:val="005D164F"/>
    <w:rsid w:val="005D1A0E"/>
    <w:rsid w:val="005D1B04"/>
    <w:rsid w:val="005D22BD"/>
    <w:rsid w:val="005D263F"/>
    <w:rsid w:val="005D2956"/>
    <w:rsid w:val="005D2978"/>
    <w:rsid w:val="005D2BE4"/>
    <w:rsid w:val="005D2CA3"/>
    <w:rsid w:val="005D2DA5"/>
    <w:rsid w:val="005D2DEA"/>
    <w:rsid w:val="005D3386"/>
    <w:rsid w:val="005D35F3"/>
    <w:rsid w:val="005D3746"/>
    <w:rsid w:val="005D387D"/>
    <w:rsid w:val="005D3A7A"/>
    <w:rsid w:val="005D3AD1"/>
    <w:rsid w:val="005D3BB0"/>
    <w:rsid w:val="005D3CAA"/>
    <w:rsid w:val="005D3CD3"/>
    <w:rsid w:val="005D3EC2"/>
    <w:rsid w:val="005D41AA"/>
    <w:rsid w:val="005D460A"/>
    <w:rsid w:val="005D4668"/>
    <w:rsid w:val="005D476E"/>
    <w:rsid w:val="005D4986"/>
    <w:rsid w:val="005D4B41"/>
    <w:rsid w:val="005D4C25"/>
    <w:rsid w:val="005D4C7C"/>
    <w:rsid w:val="005D4D7D"/>
    <w:rsid w:val="005D4E82"/>
    <w:rsid w:val="005D5057"/>
    <w:rsid w:val="005D536A"/>
    <w:rsid w:val="005D5473"/>
    <w:rsid w:val="005D548A"/>
    <w:rsid w:val="005D5583"/>
    <w:rsid w:val="005D56E5"/>
    <w:rsid w:val="005D5760"/>
    <w:rsid w:val="005D58E7"/>
    <w:rsid w:val="005D59BB"/>
    <w:rsid w:val="005D5AAB"/>
    <w:rsid w:val="005D5DE1"/>
    <w:rsid w:val="005D5EF8"/>
    <w:rsid w:val="005D5F2A"/>
    <w:rsid w:val="005D6192"/>
    <w:rsid w:val="005D6325"/>
    <w:rsid w:val="005D63FD"/>
    <w:rsid w:val="005D6613"/>
    <w:rsid w:val="005D66C5"/>
    <w:rsid w:val="005D6918"/>
    <w:rsid w:val="005D6957"/>
    <w:rsid w:val="005D697F"/>
    <w:rsid w:val="005D69EC"/>
    <w:rsid w:val="005D6A2E"/>
    <w:rsid w:val="005D6AC7"/>
    <w:rsid w:val="005D6B48"/>
    <w:rsid w:val="005D6DC4"/>
    <w:rsid w:val="005D703A"/>
    <w:rsid w:val="005D70B2"/>
    <w:rsid w:val="005D7181"/>
    <w:rsid w:val="005D71B8"/>
    <w:rsid w:val="005D7232"/>
    <w:rsid w:val="005D7274"/>
    <w:rsid w:val="005D7473"/>
    <w:rsid w:val="005D74DF"/>
    <w:rsid w:val="005D7622"/>
    <w:rsid w:val="005D764B"/>
    <w:rsid w:val="005D766D"/>
    <w:rsid w:val="005D76CC"/>
    <w:rsid w:val="005D77CA"/>
    <w:rsid w:val="005D7889"/>
    <w:rsid w:val="005D7998"/>
    <w:rsid w:val="005D7A58"/>
    <w:rsid w:val="005D7ABC"/>
    <w:rsid w:val="005D7C39"/>
    <w:rsid w:val="005D7C5A"/>
    <w:rsid w:val="005D7D19"/>
    <w:rsid w:val="005D7EB4"/>
    <w:rsid w:val="005D7F89"/>
    <w:rsid w:val="005E00FD"/>
    <w:rsid w:val="005E03F8"/>
    <w:rsid w:val="005E0695"/>
    <w:rsid w:val="005E07DB"/>
    <w:rsid w:val="005E08CB"/>
    <w:rsid w:val="005E0990"/>
    <w:rsid w:val="005E09AA"/>
    <w:rsid w:val="005E0C10"/>
    <w:rsid w:val="005E0C12"/>
    <w:rsid w:val="005E0C5D"/>
    <w:rsid w:val="005E0D05"/>
    <w:rsid w:val="005E0D42"/>
    <w:rsid w:val="005E0EDE"/>
    <w:rsid w:val="005E10E4"/>
    <w:rsid w:val="005E1112"/>
    <w:rsid w:val="005E11EB"/>
    <w:rsid w:val="005E1202"/>
    <w:rsid w:val="005E16E3"/>
    <w:rsid w:val="005E172C"/>
    <w:rsid w:val="005E1792"/>
    <w:rsid w:val="005E1794"/>
    <w:rsid w:val="005E1890"/>
    <w:rsid w:val="005E1A27"/>
    <w:rsid w:val="005E1AB6"/>
    <w:rsid w:val="005E1ABE"/>
    <w:rsid w:val="005E1B6B"/>
    <w:rsid w:val="005E1B78"/>
    <w:rsid w:val="005E1C81"/>
    <w:rsid w:val="005E1E34"/>
    <w:rsid w:val="005E230F"/>
    <w:rsid w:val="005E2463"/>
    <w:rsid w:val="005E26FB"/>
    <w:rsid w:val="005E2894"/>
    <w:rsid w:val="005E29EE"/>
    <w:rsid w:val="005E2A04"/>
    <w:rsid w:val="005E2B14"/>
    <w:rsid w:val="005E2D5C"/>
    <w:rsid w:val="005E2E48"/>
    <w:rsid w:val="005E2EE5"/>
    <w:rsid w:val="005E306A"/>
    <w:rsid w:val="005E3102"/>
    <w:rsid w:val="005E31F5"/>
    <w:rsid w:val="005E323E"/>
    <w:rsid w:val="005E3487"/>
    <w:rsid w:val="005E3582"/>
    <w:rsid w:val="005E35DE"/>
    <w:rsid w:val="005E3764"/>
    <w:rsid w:val="005E3774"/>
    <w:rsid w:val="005E3D3C"/>
    <w:rsid w:val="005E3D9A"/>
    <w:rsid w:val="005E3E67"/>
    <w:rsid w:val="005E3F2E"/>
    <w:rsid w:val="005E4006"/>
    <w:rsid w:val="005E4012"/>
    <w:rsid w:val="005E4037"/>
    <w:rsid w:val="005E41AB"/>
    <w:rsid w:val="005E43B9"/>
    <w:rsid w:val="005E43E0"/>
    <w:rsid w:val="005E4588"/>
    <w:rsid w:val="005E469E"/>
    <w:rsid w:val="005E46BF"/>
    <w:rsid w:val="005E49C2"/>
    <w:rsid w:val="005E4CE0"/>
    <w:rsid w:val="005E51A2"/>
    <w:rsid w:val="005E54A8"/>
    <w:rsid w:val="005E54E6"/>
    <w:rsid w:val="005E5697"/>
    <w:rsid w:val="005E5825"/>
    <w:rsid w:val="005E58EA"/>
    <w:rsid w:val="005E5A76"/>
    <w:rsid w:val="005E5D69"/>
    <w:rsid w:val="005E5DB5"/>
    <w:rsid w:val="005E5DF5"/>
    <w:rsid w:val="005E5FED"/>
    <w:rsid w:val="005E5FFB"/>
    <w:rsid w:val="005E6004"/>
    <w:rsid w:val="005E6466"/>
    <w:rsid w:val="005E6469"/>
    <w:rsid w:val="005E647E"/>
    <w:rsid w:val="005E6589"/>
    <w:rsid w:val="005E658A"/>
    <w:rsid w:val="005E66D9"/>
    <w:rsid w:val="005E6865"/>
    <w:rsid w:val="005E6A34"/>
    <w:rsid w:val="005E6B55"/>
    <w:rsid w:val="005E6CCD"/>
    <w:rsid w:val="005E721C"/>
    <w:rsid w:val="005E7456"/>
    <w:rsid w:val="005E758D"/>
    <w:rsid w:val="005E772D"/>
    <w:rsid w:val="005E79BF"/>
    <w:rsid w:val="005E7B5E"/>
    <w:rsid w:val="005E7C78"/>
    <w:rsid w:val="005E7FA9"/>
    <w:rsid w:val="005F01FD"/>
    <w:rsid w:val="005F03BF"/>
    <w:rsid w:val="005F04E2"/>
    <w:rsid w:val="005F061E"/>
    <w:rsid w:val="005F09AB"/>
    <w:rsid w:val="005F0B48"/>
    <w:rsid w:val="005F0B68"/>
    <w:rsid w:val="005F0C57"/>
    <w:rsid w:val="005F0EC2"/>
    <w:rsid w:val="005F10F5"/>
    <w:rsid w:val="005F117E"/>
    <w:rsid w:val="005F120E"/>
    <w:rsid w:val="005F1464"/>
    <w:rsid w:val="005F16DA"/>
    <w:rsid w:val="005F170B"/>
    <w:rsid w:val="005F1878"/>
    <w:rsid w:val="005F18C3"/>
    <w:rsid w:val="005F1C95"/>
    <w:rsid w:val="005F1CAE"/>
    <w:rsid w:val="005F1D96"/>
    <w:rsid w:val="005F203A"/>
    <w:rsid w:val="005F2085"/>
    <w:rsid w:val="005F208A"/>
    <w:rsid w:val="005F237E"/>
    <w:rsid w:val="005F2510"/>
    <w:rsid w:val="005F26FF"/>
    <w:rsid w:val="005F280A"/>
    <w:rsid w:val="005F2952"/>
    <w:rsid w:val="005F296C"/>
    <w:rsid w:val="005F2B20"/>
    <w:rsid w:val="005F2F64"/>
    <w:rsid w:val="005F3577"/>
    <w:rsid w:val="005F3638"/>
    <w:rsid w:val="005F3651"/>
    <w:rsid w:val="005F39FE"/>
    <w:rsid w:val="005F3AE9"/>
    <w:rsid w:val="005F3C36"/>
    <w:rsid w:val="005F3CE3"/>
    <w:rsid w:val="005F3F48"/>
    <w:rsid w:val="005F3F66"/>
    <w:rsid w:val="005F40EF"/>
    <w:rsid w:val="005F4112"/>
    <w:rsid w:val="005F446B"/>
    <w:rsid w:val="005F463C"/>
    <w:rsid w:val="005F4876"/>
    <w:rsid w:val="005F4930"/>
    <w:rsid w:val="005F4BA9"/>
    <w:rsid w:val="005F4BB2"/>
    <w:rsid w:val="005F4D11"/>
    <w:rsid w:val="005F51B9"/>
    <w:rsid w:val="005F5416"/>
    <w:rsid w:val="005F562D"/>
    <w:rsid w:val="005F563E"/>
    <w:rsid w:val="005F578F"/>
    <w:rsid w:val="005F57C4"/>
    <w:rsid w:val="005F59FF"/>
    <w:rsid w:val="005F5BA9"/>
    <w:rsid w:val="005F5F4D"/>
    <w:rsid w:val="005F5F53"/>
    <w:rsid w:val="005F5F5E"/>
    <w:rsid w:val="005F5FC0"/>
    <w:rsid w:val="005F60D8"/>
    <w:rsid w:val="005F6376"/>
    <w:rsid w:val="005F63B5"/>
    <w:rsid w:val="005F6473"/>
    <w:rsid w:val="005F64CB"/>
    <w:rsid w:val="005F64DC"/>
    <w:rsid w:val="005F6597"/>
    <w:rsid w:val="005F6694"/>
    <w:rsid w:val="005F671E"/>
    <w:rsid w:val="005F6786"/>
    <w:rsid w:val="005F67D6"/>
    <w:rsid w:val="005F6AF6"/>
    <w:rsid w:val="005F6B92"/>
    <w:rsid w:val="005F6C0B"/>
    <w:rsid w:val="005F6CB5"/>
    <w:rsid w:val="005F6D26"/>
    <w:rsid w:val="005F7574"/>
    <w:rsid w:val="005F7659"/>
    <w:rsid w:val="005F76CC"/>
    <w:rsid w:val="005F776C"/>
    <w:rsid w:val="005F77D0"/>
    <w:rsid w:val="005F7AAD"/>
    <w:rsid w:val="005F7BEB"/>
    <w:rsid w:val="005F7D9E"/>
    <w:rsid w:val="005F7EFD"/>
    <w:rsid w:val="00600156"/>
    <w:rsid w:val="00600381"/>
    <w:rsid w:val="006003D9"/>
    <w:rsid w:val="00600606"/>
    <w:rsid w:val="00600652"/>
    <w:rsid w:val="00600725"/>
    <w:rsid w:val="0060072E"/>
    <w:rsid w:val="006008C4"/>
    <w:rsid w:val="00600C83"/>
    <w:rsid w:val="00600D22"/>
    <w:rsid w:val="00600E99"/>
    <w:rsid w:val="00601252"/>
    <w:rsid w:val="006012FF"/>
    <w:rsid w:val="00601313"/>
    <w:rsid w:val="006016EB"/>
    <w:rsid w:val="0060173B"/>
    <w:rsid w:val="0060185D"/>
    <w:rsid w:val="006018CE"/>
    <w:rsid w:val="00601B1D"/>
    <w:rsid w:val="00601BB0"/>
    <w:rsid w:val="00601BF3"/>
    <w:rsid w:val="00601CAE"/>
    <w:rsid w:val="00601E64"/>
    <w:rsid w:val="00601EA3"/>
    <w:rsid w:val="00601EF8"/>
    <w:rsid w:val="00601F09"/>
    <w:rsid w:val="00601F80"/>
    <w:rsid w:val="00602297"/>
    <w:rsid w:val="0060241A"/>
    <w:rsid w:val="00602508"/>
    <w:rsid w:val="0060270A"/>
    <w:rsid w:val="0060282B"/>
    <w:rsid w:val="00602A4A"/>
    <w:rsid w:val="00602A73"/>
    <w:rsid w:val="00602B2B"/>
    <w:rsid w:val="00602B6E"/>
    <w:rsid w:val="00602B82"/>
    <w:rsid w:val="00602D1E"/>
    <w:rsid w:val="00602F45"/>
    <w:rsid w:val="00603061"/>
    <w:rsid w:val="0060307A"/>
    <w:rsid w:val="00603189"/>
    <w:rsid w:val="0060319E"/>
    <w:rsid w:val="00603258"/>
    <w:rsid w:val="00603481"/>
    <w:rsid w:val="006034E1"/>
    <w:rsid w:val="006037AC"/>
    <w:rsid w:val="006037B8"/>
    <w:rsid w:val="0060382A"/>
    <w:rsid w:val="0060393C"/>
    <w:rsid w:val="00603A25"/>
    <w:rsid w:val="00603D30"/>
    <w:rsid w:val="006040E1"/>
    <w:rsid w:val="006041DD"/>
    <w:rsid w:val="006043E8"/>
    <w:rsid w:val="0060460E"/>
    <w:rsid w:val="006047A3"/>
    <w:rsid w:val="00604826"/>
    <w:rsid w:val="00604A40"/>
    <w:rsid w:val="00604C40"/>
    <w:rsid w:val="00604F89"/>
    <w:rsid w:val="0060500F"/>
    <w:rsid w:val="00605162"/>
    <w:rsid w:val="006053A9"/>
    <w:rsid w:val="00605504"/>
    <w:rsid w:val="0060563E"/>
    <w:rsid w:val="00605660"/>
    <w:rsid w:val="006057A4"/>
    <w:rsid w:val="006057AB"/>
    <w:rsid w:val="006058FE"/>
    <w:rsid w:val="006059C3"/>
    <w:rsid w:val="00605A6B"/>
    <w:rsid w:val="00605BE8"/>
    <w:rsid w:val="00605C89"/>
    <w:rsid w:val="00605CC3"/>
    <w:rsid w:val="00605E42"/>
    <w:rsid w:val="00605EE3"/>
    <w:rsid w:val="00605F32"/>
    <w:rsid w:val="00606066"/>
    <w:rsid w:val="006061B2"/>
    <w:rsid w:val="006062B7"/>
    <w:rsid w:val="006064A2"/>
    <w:rsid w:val="006066F4"/>
    <w:rsid w:val="0060671A"/>
    <w:rsid w:val="006067CD"/>
    <w:rsid w:val="00606852"/>
    <w:rsid w:val="00606AD2"/>
    <w:rsid w:val="00606C80"/>
    <w:rsid w:val="00606CE4"/>
    <w:rsid w:val="00606CEA"/>
    <w:rsid w:val="00606DC9"/>
    <w:rsid w:val="00606F79"/>
    <w:rsid w:val="00607106"/>
    <w:rsid w:val="00607143"/>
    <w:rsid w:val="006073E2"/>
    <w:rsid w:val="00607578"/>
    <w:rsid w:val="00607689"/>
    <w:rsid w:val="006077D5"/>
    <w:rsid w:val="006078C6"/>
    <w:rsid w:val="006078CA"/>
    <w:rsid w:val="00607C75"/>
    <w:rsid w:val="00607D51"/>
    <w:rsid w:val="00607D58"/>
    <w:rsid w:val="00607E2E"/>
    <w:rsid w:val="00607FE9"/>
    <w:rsid w:val="00610283"/>
    <w:rsid w:val="006102CF"/>
    <w:rsid w:val="006103BA"/>
    <w:rsid w:val="00610469"/>
    <w:rsid w:val="00610480"/>
    <w:rsid w:val="0061061E"/>
    <w:rsid w:val="00610776"/>
    <w:rsid w:val="0061077A"/>
    <w:rsid w:val="00610884"/>
    <w:rsid w:val="00610C92"/>
    <w:rsid w:val="00610EAE"/>
    <w:rsid w:val="0061106F"/>
    <w:rsid w:val="006111A4"/>
    <w:rsid w:val="0061129D"/>
    <w:rsid w:val="00611359"/>
    <w:rsid w:val="006113BD"/>
    <w:rsid w:val="0061146C"/>
    <w:rsid w:val="0061161E"/>
    <w:rsid w:val="00611755"/>
    <w:rsid w:val="006117A5"/>
    <w:rsid w:val="006117EE"/>
    <w:rsid w:val="006118EA"/>
    <w:rsid w:val="00611B85"/>
    <w:rsid w:val="00611DA9"/>
    <w:rsid w:val="00611F6B"/>
    <w:rsid w:val="0061222A"/>
    <w:rsid w:val="0061244D"/>
    <w:rsid w:val="00612578"/>
    <w:rsid w:val="00612617"/>
    <w:rsid w:val="006126EF"/>
    <w:rsid w:val="0061275C"/>
    <w:rsid w:val="006127F0"/>
    <w:rsid w:val="0061286A"/>
    <w:rsid w:val="006128A1"/>
    <w:rsid w:val="00612B5B"/>
    <w:rsid w:val="00612DDA"/>
    <w:rsid w:val="00612DFB"/>
    <w:rsid w:val="00612E16"/>
    <w:rsid w:val="00612F2A"/>
    <w:rsid w:val="006133A3"/>
    <w:rsid w:val="006134D8"/>
    <w:rsid w:val="006134FC"/>
    <w:rsid w:val="0061376C"/>
    <w:rsid w:val="006137C7"/>
    <w:rsid w:val="00613808"/>
    <w:rsid w:val="00613B04"/>
    <w:rsid w:val="00613FE3"/>
    <w:rsid w:val="0061400A"/>
    <w:rsid w:val="006140B8"/>
    <w:rsid w:val="0061417E"/>
    <w:rsid w:val="00614230"/>
    <w:rsid w:val="00614294"/>
    <w:rsid w:val="0061436F"/>
    <w:rsid w:val="006143A6"/>
    <w:rsid w:val="00614548"/>
    <w:rsid w:val="00614631"/>
    <w:rsid w:val="0061473C"/>
    <w:rsid w:val="0061474E"/>
    <w:rsid w:val="00614848"/>
    <w:rsid w:val="00614853"/>
    <w:rsid w:val="0061498E"/>
    <w:rsid w:val="006149D9"/>
    <w:rsid w:val="00614C4C"/>
    <w:rsid w:val="00614EE6"/>
    <w:rsid w:val="00615144"/>
    <w:rsid w:val="00615453"/>
    <w:rsid w:val="006154ED"/>
    <w:rsid w:val="0061550D"/>
    <w:rsid w:val="00615516"/>
    <w:rsid w:val="006156D9"/>
    <w:rsid w:val="006157DF"/>
    <w:rsid w:val="006158C9"/>
    <w:rsid w:val="00615CBD"/>
    <w:rsid w:val="00615CE4"/>
    <w:rsid w:val="00615DA3"/>
    <w:rsid w:val="00615EB9"/>
    <w:rsid w:val="00615FA7"/>
    <w:rsid w:val="0061619A"/>
    <w:rsid w:val="0061651D"/>
    <w:rsid w:val="00616556"/>
    <w:rsid w:val="006165A0"/>
    <w:rsid w:val="00616612"/>
    <w:rsid w:val="006166BB"/>
    <w:rsid w:val="006167F2"/>
    <w:rsid w:val="00616800"/>
    <w:rsid w:val="0061689C"/>
    <w:rsid w:val="00616B7E"/>
    <w:rsid w:val="00616C7A"/>
    <w:rsid w:val="00616CF7"/>
    <w:rsid w:val="00617038"/>
    <w:rsid w:val="006171B8"/>
    <w:rsid w:val="00617426"/>
    <w:rsid w:val="006174DA"/>
    <w:rsid w:val="00617654"/>
    <w:rsid w:val="006176D2"/>
    <w:rsid w:val="00617753"/>
    <w:rsid w:val="00617957"/>
    <w:rsid w:val="00617B29"/>
    <w:rsid w:val="00617D45"/>
    <w:rsid w:val="00617D7E"/>
    <w:rsid w:val="00617E14"/>
    <w:rsid w:val="00617E86"/>
    <w:rsid w:val="0061F0A3"/>
    <w:rsid w:val="00620002"/>
    <w:rsid w:val="00620834"/>
    <w:rsid w:val="00620915"/>
    <w:rsid w:val="00620929"/>
    <w:rsid w:val="00620B79"/>
    <w:rsid w:val="00620D09"/>
    <w:rsid w:val="00620D5F"/>
    <w:rsid w:val="00620E11"/>
    <w:rsid w:val="0062123B"/>
    <w:rsid w:val="0062135A"/>
    <w:rsid w:val="0062153D"/>
    <w:rsid w:val="006215E3"/>
    <w:rsid w:val="0062178D"/>
    <w:rsid w:val="0062186C"/>
    <w:rsid w:val="00621C53"/>
    <w:rsid w:val="00621FAC"/>
    <w:rsid w:val="00622199"/>
    <w:rsid w:val="0062219D"/>
    <w:rsid w:val="00622345"/>
    <w:rsid w:val="00622454"/>
    <w:rsid w:val="006226D0"/>
    <w:rsid w:val="00622842"/>
    <w:rsid w:val="006228CA"/>
    <w:rsid w:val="0062290B"/>
    <w:rsid w:val="006229F9"/>
    <w:rsid w:val="00622A28"/>
    <w:rsid w:val="00622B00"/>
    <w:rsid w:val="00622B77"/>
    <w:rsid w:val="00622C3A"/>
    <w:rsid w:val="00622C5C"/>
    <w:rsid w:val="00622D42"/>
    <w:rsid w:val="00622E48"/>
    <w:rsid w:val="00622F58"/>
    <w:rsid w:val="00623144"/>
    <w:rsid w:val="0062316F"/>
    <w:rsid w:val="006236E4"/>
    <w:rsid w:val="00623765"/>
    <w:rsid w:val="006239C3"/>
    <w:rsid w:val="00623A0D"/>
    <w:rsid w:val="00623C76"/>
    <w:rsid w:val="00623D96"/>
    <w:rsid w:val="00623F0C"/>
    <w:rsid w:val="00623F39"/>
    <w:rsid w:val="006240E5"/>
    <w:rsid w:val="006242F4"/>
    <w:rsid w:val="0062445B"/>
    <w:rsid w:val="006248B6"/>
    <w:rsid w:val="00624B44"/>
    <w:rsid w:val="00624EAB"/>
    <w:rsid w:val="006250E1"/>
    <w:rsid w:val="00625303"/>
    <w:rsid w:val="0062532B"/>
    <w:rsid w:val="006253A8"/>
    <w:rsid w:val="006253BE"/>
    <w:rsid w:val="00625464"/>
    <w:rsid w:val="0062583C"/>
    <w:rsid w:val="006258D2"/>
    <w:rsid w:val="0062599E"/>
    <w:rsid w:val="006259BB"/>
    <w:rsid w:val="00625B8E"/>
    <w:rsid w:val="00625CD6"/>
    <w:rsid w:val="00625DC8"/>
    <w:rsid w:val="00625F43"/>
    <w:rsid w:val="00625FE9"/>
    <w:rsid w:val="00626053"/>
    <w:rsid w:val="00626142"/>
    <w:rsid w:val="0062619D"/>
    <w:rsid w:val="0062634D"/>
    <w:rsid w:val="0062647E"/>
    <w:rsid w:val="006264F1"/>
    <w:rsid w:val="0062656F"/>
    <w:rsid w:val="00626635"/>
    <w:rsid w:val="006267D4"/>
    <w:rsid w:val="00626898"/>
    <w:rsid w:val="006268B6"/>
    <w:rsid w:val="00626955"/>
    <w:rsid w:val="00626C6F"/>
    <w:rsid w:val="00626D9D"/>
    <w:rsid w:val="00626E1F"/>
    <w:rsid w:val="00626E2C"/>
    <w:rsid w:val="00626F15"/>
    <w:rsid w:val="00627061"/>
    <w:rsid w:val="00627138"/>
    <w:rsid w:val="006274AD"/>
    <w:rsid w:val="006275A8"/>
    <w:rsid w:val="006277DB"/>
    <w:rsid w:val="006279E7"/>
    <w:rsid w:val="006279F5"/>
    <w:rsid w:val="00627A24"/>
    <w:rsid w:val="00627B66"/>
    <w:rsid w:val="00627D92"/>
    <w:rsid w:val="00627E1C"/>
    <w:rsid w:val="00627EA1"/>
    <w:rsid w:val="00627EC4"/>
    <w:rsid w:val="00627F1F"/>
    <w:rsid w:val="00627F22"/>
    <w:rsid w:val="00627F2D"/>
    <w:rsid w:val="0063001E"/>
    <w:rsid w:val="00630050"/>
    <w:rsid w:val="0063037A"/>
    <w:rsid w:val="006305C0"/>
    <w:rsid w:val="006305D8"/>
    <w:rsid w:val="00630678"/>
    <w:rsid w:val="006306AC"/>
    <w:rsid w:val="006306F6"/>
    <w:rsid w:val="00630A52"/>
    <w:rsid w:val="00630BE3"/>
    <w:rsid w:val="00630DB4"/>
    <w:rsid w:val="00630FDA"/>
    <w:rsid w:val="00630FFF"/>
    <w:rsid w:val="006310E9"/>
    <w:rsid w:val="006312CE"/>
    <w:rsid w:val="00631795"/>
    <w:rsid w:val="00631905"/>
    <w:rsid w:val="006319C0"/>
    <w:rsid w:val="00631B1D"/>
    <w:rsid w:val="00631B45"/>
    <w:rsid w:val="00631B86"/>
    <w:rsid w:val="00631DF2"/>
    <w:rsid w:val="00631E27"/>
    <w:rsid w:val="006320C9"/>
    <w:rsid w:val="006320FD"/>
    <w:rsid w:val="00632106"/>
    <w:rsid w:val="006321EE"/>
    <w:rsid w:val="00632266"/>
    <w:rsid w:val="0063230E"/>
    <w:rsid w:val="006325B2"/>
    <w:rsid w:val="00632621"/>
    <w:rsid w:val="00632655"/>
    <w:rsid w:val="00632797"/>
    <w:rsid w:val="00632800"/>
    <w:rsid w:val="00632980"/>
    <w:rsid w:val="00632A4C"/>
    <w:rsid w:val="00632B63"/>
    <w:rsid w:val="00632BDB"/>
    <w:rsid w:val="00632E56"/>
    <w:rsid w:val="00632FAA"/>
    <w:rsid w:val="00633370"/>
    <w:rsid w:val="0063339F"/>
    <w:rsid w:val="006334C4"/>
    <w:rsid w:val="0063366F"/>
    <w:rsid w:val="00633876"/>
    <w:rsid w:val="00633930"/>
    <w:rsid w:val="00633AEB"/>
    <w:rsid w:val="00633AF7"/>
    <w:rsid w:val="00633BDF"/>
    <w:rsid w:val="00633C29"/>
    <w:rsid w:val="00633DA7"/>
    <w:rsid w:val="00633DCD"/>
    <w:rsid w:val="0063424D"/>
    <w:rsid w:val="006346B7"/>
    <w:rsid w:val="006348FF"/>
    <w:rsid w:val="006349E3"/>
    <w:rsid w:val="00634B67"/>
    <w:rsid w:val="00634B95"/>
    <w:rsid w:val="00634C30"/>
    <w:rsid w:val="00634D7A"/>
    <w:rsid w:val="00634D7B"/>
    <w:rsid w:val="00634E06"/>
    <w:rsid w:val="00634E1A"/>
    <w:rsid w:val="00634F2F"/>
    <w:rsid w:val="00634FAE"/>
    <w:rsid w:val="0063532A"/>
    <w:rsid w:val="0063548D"/>
    <w:rsid w:val="0063556B"/>
    <w:rsid w:val="00635756"/>
    <w:rsid w:val="006357EC"/>
    <w:rsid w:val="0063588E"/>
    <w:rsid w:val="006358A5"/>
    <w:rsid w:val="006358DD"/>
    <w:rsid w:val="00635941"/>
    <w:rsid w:val="00635963"/>
    <w:rsid w:val="00635A52"/>
    <w:rsid w:val="00635D24"/>
    <w:rsid w:val="00635EC4"/>
    <w:rsid w:val="00635EC9"/>
    <w:rsid w:val="00635F16"/>
    <w:rsid w:val="0063627F"/>
    <w:rsid w:val="00636309"/>
    <w:rsid w:val="006363F6"/>
    <w:rsid w:val="006364BC"/>
    <w:rsid w:val="00636506"/>
    <w:rsid w:val="0063654E"/>
    <w:rsid w:val="00636604"/>
    <w:rsid w:val="00636919"/>
    <w:rsid w:val="00636ADB"/>
    <w:rsid w:val="00636BA6"/>
    <w:rsid w:val="00636BFC"/>
    <w:rsid w:val="00636C14"/>
    <w:rsid w:val="00636DAD"/>
    <w:rsid w:val="00636E7E"/>
    <w:rsid w:val="00637102"/>
    <w:rsid w:val="0063710A"/>
    <w:rsid w:val="00637140"/>
    <w:rsid w:val="00637210"/>
    <w:rsid w:val="0063725B"/>
    <w:rsid w:val="00637370"/>
    <w:rsid w:val="0063747F"/>
    <w:rsid w:val="006376B6"/>
    <w:rsid w:val="00637724"/>
    <w:rsid w:val="00637846"/>
    <w:rsid w:val="0063786A"/>
    <w:rsid w:val="006378C4"/>
    <w:rsid w:val="0063799F"/>
    <w:rsid w:val="00637A49"/>
    <w:rsid w:val="00637B09"/>
    <w:rsid w:val="00637BAC"/>
    <w:rsid w:val="00637CFB"/>
    <w:rsid w:val="00637D4B"/>
    <w:rsid w:val="00637FF4"/>
    <w:rsid w:val="0064003F"/>
    <w:rsid w:val="006400C2"/>
    <w:rsid w:val="00640408"/>
    <w:rsid w:val="00640539"/>
    <w:rsid w:val="00640987"/>
    <w:rsid w:val="00640F7F"/>
    <w:rsid w:val="00640FAC"/>
    <w:rsid w:val="00641045"/>
    <w:rsid w:val="006410FD"/>
    <w:rsid w:val="0064173B"/>
    <w:rsid w:val="00641775"/>
    <w:rsid w:val="006417A2"/>
    <w:rsid w:val="00641838"/>
    <w:rsid w:val="00641880"/>
    <w:rsid w:val="006418DB"/>
    <w:rsid w:val="00641A29"/>
    <w:rsid w:val="00641E92"/>
    <w:rsid w:val="00641FDE"/>
    <w:rsid w:val="00642155"/>
    <w:rsid w:val="00642406"/>
    <w:rsid w:val="00642414"/>
    <w:rsid w:val="006424D5"/>
    <w:rsid w:val="00642654"/>
    <w:rsid w:val="006427B4"/>
    <w:rsid w:val="006429B4"/>
    <w:rsid w:val="00642AB8"/>
    <w:rsid w:val="00642AC3"/>
    <w:rsid w:val="00642BA1"/>
    <w:rsid w:val="00642C7E"/>
    <w:rsid w:val="00642D0C"/>
    <w:rsid w:val="00642DFD"/>
    <w:rsid w:val="0064304E"/>
    <w:rsid w:val="006430ED"/>
    <w:rsid w:val="00643195"/>
    <w:rsid w:val="006432E3"/>
    <w:rsid w:val="00643321"/>
    <w:rsid w:val="006435C8"/>
    <w:rsid w:val="00643623"/>
    <w:rsid w:val="00643769"/>
    <w:rsid w:val="006437F0"/>
    <w:rsid w:val="00643849"/>
    <w:rsid w:val="006438CE"/>
    <w:rsid w:val="00643962"/>
    <w:rsid w:val="006439E4"/>
    <w:rsid w:val="00643A18"/>
    <w:rsid w:val="00643A9E"/>
    <w:rsid w:val="00643C3A"/>
    <w:rsid w:val="00643C6E"/>
    <w:rsid w:val="00643DDB"/>
    <w:rsid w:val="00643F26"/>
    <w:rsid w:val="00643F95"/>
    <w:rsid w:val="00643FF3"/>
    <w:rsid w:val="0064402B"/>
    <w:rsid w:val="00644146"/>
    <w:rsid w:val="0064427D"/>
    <w:rsid w:val="006444D9"/>
    <w:rsid w:val="00644657"/>
    <w:rsid w:val="00644671"/>
    <w:rsid w:val="006446A2"/>
    <w:rsid w:val="006446F0"/>
    <w:rsid w:val="00644808"/>
    <w:rsid w:val="00644834"/>
    <w:rsid w:val="00644916"/>
    <w:rsid w:val="00644C33"/>
    <w:rsid w:val="00644C38"/>
    <w:rsid w:val="00644C9E"/>
    <w:rsid w:val="00644CE8"/>
    <w:rsid w:val="00644E4C"/>
    <w:rsid w:val="00644EAA"/>
    <w:rsid w:val="00644FC0"/>
    <w:rsid w:val="00645049"/>
    <w:rsid w:val="00645255"/>
    <w:rsid w:val="0064534D"/>
    <w:rsid w:val="006455EA"/>
    <w:rsid w:val="00645676"/>
    <w:rsid w:val="006457AD"/>
    <w:rsid w:val="00645AE5"/>
    <w:rsid w:val="00645B47"/>
    <w:rsid w:val="00645B77"/>
    <w:rsid w:val="00645F30"/>
    <w:rsid w:val="00645F9C"/>
    <w:rsid w:val="00646070"/>
    <w:rsid w:val="0064614B"/>
    <w:rsid w:val="006461E1"/>
    <w:rsid w:val="006464DA"/>
    <w:rsid w:val="00646514"/>
    <w:rsid w:val="00646519"/>
    <w:rsid w:val="00646523"/>
    <w:rsid w:val="00646532"/>
    <w:rsid w:val="0064654F"/>
    <w:rsid w:val="0064659D"/>
    <w:rsid w:val="006465EB"/>
    <w:rsid w:val="00646618"/>
    <w:rsid w:val="00646718"/>
    <w:rsid w:val="00646757"/>
    <w:rsid w:val="00646AF8"/>
    <w:rsid w:val="00646B8A"/>
    <w:rsid w:val="00646C3C"/>
    <w:rsid w:val="00646D81"/>
    <w:rsid w:val="00646F7E"/>
    <w:rsid w:val="00647036"/>
    <w:rsid w:val="006471D5"/>
    <w:rsid w:val="006472F6"/>
    <w:rsid w:val="00647381"/>
    <w:rsid w:val="006474BE"/>
    <w:rsid w:val="0064786C"/>
    <w:rsid w:val="00647BC9"/>
    <w:rsid w:val="00647D42"/>
    <w:rsid w:val="00647FD8"/>
    <w:rsid w:val="006502A0"/>
    <w:rsid w:val="00650495"/>
    <w:rsid w:val="00650508"/>
    <w:rsid w:val="0065051A"/>
    <w:rsid w:val="00650EA5"/>
    <w:rsid w:val="00651828"/>
    <w:rsid w:val="00651840"/>
    <w:rsid w:val="006518A0"/>
    <w:rsid w:val="006518D7"/>
    <w:rsid w:val="00651940"/>
    <w:rsid w:val="00651BDF"/>
    <w:rsid w:val="00651DD3"/>
    <w:rsid w:val="00651E15"/>
    <w:rsid w:val="006521C4"/>
    <w:rsid w:val="006522B0"/>
    <w:rsid w:val="006523EC"/>
    <w:rsid w:val="0065249B"/>
    <w:rsid w:val="0065249D"/>
    <w:rsid w:val="00652644"/>
    <w:rsid w:val="0065281E"/>
    <w:rsid w:val="0065284B"/>
    <w:rsid w:val="006528C8"/>
    <w:rsid w:val="00652A47"/>
    <w:rsid w:val="00652BAF"/>
    <w:rsid w:val="00652C82"/>
    <w:rsid w:val="00652CA5"/>
    <w:rsid w:val="00652F2F"/>
    <w:rsid w:val="00652FA5"/>
    <w:rsid w:val="0065329D"/>
    <w:rsid w:val="00653357"/>
    <w:rsid w:val="00653589"/>
    <w:rsid w:val="006537D2"/>
    <w:rsid w:val="0065381C"/>
    <w:rsid w:val="00653AC5"/>
    <w:rsid w:val="00653C5C"/>
    <w:rsid w:val="00653C99"/>
    <w:rsid w:val="00653CE4"/>
    <w:rsid w:val="00653DB5"/>
    <w:rsid w:val="00653EF3"/>
    <w:rsid w:val="00654037"/>
    <w:rsid w:val="006541C7"/>
    <w:rsid w:val="00654427"/>
    <w:rsid w:val="00654498"/>
    <w:rsid w:val="0065474A"/>
    <w:rsid w:val="006547A2"/>
    <w:rsid w:val="00654838"/>
    <w:rsid w:val="00654978"/>
    <w:rsid w:val="006549D6"/>
    <w:rsid w:val="00654B1B"/>
    <w:rsid w:val="00654B58"/>
    <w:rsid w:val="00654BA4"/>
    <w:rsid w:val="00654C85"/>
    <w:rsid w:val="00654D3E"/>
    <w:rsid w:val="00654F1B"/>
    <w:rsid w:val="00654F27"/>
    <w:rsid w:val="00654FCC"/>
    <w:rsid w:val="006554D1"/>
    <w:rsid w:val="00655834"/>
    <w:rsid w:val="00655904"/>
    <w:rsid w:val="00655A35"/>
    <w:rsid w:val="00655A93"/>
    <w:rsid w:val="00655C0F"/>
    <w:rsid w:val="00655E37"/>
    <w:rsid w:val="00656113"/>
    <w:rsid w:val="006561C6"/>
    <w:rsid w:val="006562AB"/>
    <w:rsid w:val="00656633"/>
    <w:rsid w:val="00656794"/>
    <w:rsid w:val="00656CC6"/>
    <w:rsid w:val="00656D82"/>
    <w:rsid w:val="00656E19"/>
    <w:rsid w:val="00656F67"/>
    <w:rsid w:val="006570E8"/>
    <w:rsid w:val="0065726A"/>
    <w:rsid w:val="0065768F"/>
    <w:rsid w:val="0065777A"/>
    <w:rsid w:val="006577A2"/>
    <w:rsid w:val="006578BD"/>
    <w:rsid w:val="006579B7"/>
    <w:rsid w:val="00657B21"/>
    <w:rsid w:val="00657B28"/>
    <w:rsid w:val="00657BC8"/>
    <w:rsid w:val="00657F31"/>
    <w:rsid w:val="0065E9A8"/>
    <w:rsid w:val="00660102"/>
    <w:rsid w:val="006602A0"/>
    <w:rsid w:val="006604E4"/>
    <w:rsid w:val="006605F3"/>
    <w:rsid w:val="0066070C"/>
    <w:rsid w:val="006607C0"/>
    <w:rsid w:val="00660AF7"/>
    <w:rsid w:val="00660BA6"/>
    <w:rsid w:val="00660BC5"/>
    <w:rsid w:val="00660EC1"/>
    <w:rsid w:val="00661390"/>
    <w:rsid w:val="006613D3"/>
    <w:rsid w:val="006614AA"/>
    <w:rsid w:val="0066151D"/>
    <w:rsid w:val="006617E0"/>
    <w:rsid w:val="00661A96"/>
    <w:rsid w:val="00661AB4"/>
    <w:rsid w:val="00661D67"/>
    <w:rsid w:val="00661DCE"/>
    <w:rsid w:val="006621B8"/>
    <w:rsid w:val="0066287E"/>
    <w:rsid w:val="00662D60"/>
    <w:rsid w:val="00663029"/>
    <w:rsid w:val="006632E1"/>
    <w:rsid w:val="0066339A"/>
    <w:rsid w:val="00663477"/>
    <w:rsid w:val="006634F5"/>
    <w:rsid w:val="00663683"/>
    <w:rsid w:val="006636E9"/>
    <w:rsid w:val="006638A4"/>
    <w:rsid w:val="00663953"/>
    <w:rsid w:val="00663A55"/>
    <w:rsid w:val="00663BAD"/>
    <w:rsid w:val="00663BB9"/>
    <w:rsid w:val="00663D15"/>
    <w:rsid w:val="00663EAE"/>
    <w:rsid w:val="00663F35"/>
    <w:rsid w:val="00664042"/>
    <w:rsid w:val="00664059"/>
    <w:rsid w:val="0066408F"/>
    <w:rsid w:val="006644FF"/>
    <w:rsid w:val="0066452C"/>
    <w:rsid w:val="0066460F"/>
    <w:rsid w:val="00664653"/>
    <w:rsid w:val="00664966"/>
    <w:rsid w:val="00664A49"/>
    <w:rsid w:val="00664A5C"/>
    <w:rsid w:val="00664A88"/>
    <w:rsid w:val="00664B05"/>
    <w:rsid w:val="00664B5E"/>
    <w:rsid w:val="00664C0E"/>
    <w:rsid w:val="00664CC3"/>
    <w:rsid w:val="00664EE4"/>
    <w:rsid w:val="00665164"/>
    <w:rsid w:val="00665336"/>
    <w:rsid w:val="0066543B"/>
    <w:rsid w:val="00665500"/>
    <w:rsid w:val="0066574E"/>
    <w:rsid w:val="00665A1D"/>
    <w:rsid w:val="00665C84"/>
    <w:rsid w:val="00665E08"/>
    <w:rsid w:val="00665E7A"/>
    <w:rsid w:val="00665EE8"/>
    <w:rsid w:val="00666223"/>
    <w:rsid w:val="006667FD"/>
    <w:rsid w:val="00666818"/>
    <w:rsid w:val="00666C1E"/>
    <w:rsid w:val="00666D3A"/>
    <w:rsid w:val="00666F2F"/>
    <w:rsid w:val="00667078"/>
    <w:rsid w:val="00667083"/>
    <w:rsid w:val="006672EA"/>
    <w:rsid w:val="006672FA"/>
    <w:rsid w:val="006673D4"/>
    <w:rsid w:val="0066747D"/>
    <w:rsid w:val="00667676"/>
    <w:rsid w:val="00667829"/>
    <w:rsid w:val="0066788E"/>
    <w:rsid w:val="0066791C"/>
    <w:rsid w:val="00667DDF"/>
    <w:rsid w:val="00667E30"/>
    <w:rsid w:val="00667F83"/>
    <w:rsid w:val="00670098"/>
    <w:rsid w:val="00670160"/>
    <w:rsid w:val="006701B4"/>
    <w:rsid w:val="00670460"/>
    <w:rsid w:val="0067054D"/>
    <w:rsid w:val="00670552"/>
    <w:rsid w:val="0067077B"/>
    <w:rsid w:val="006708BD"/>
    <w:rsid w:val="006709E0"/>
    <w:rsid w:val="00670A8E"/>
    <w:rsid w:val="00670B5E"/>
    <w:rsid w:val="00670D84"/>
    <w:rsid w:val="00670DF6"/>
    <w:rsid w:val="00671183"/>
    <w:rsid w:val="00671245"/>
    <w:rsid w:val="00671345"/>
    <w:rsid w:val="006715B6"/>
    <w:rsid w:val="00671631"/>
    <w:rsid w:val="00671632"/>
    <w:rsid w:val="006716A1"/>
    <w:rsid w:val="006716A3"/>
    <w:rsid w:val="006716A4"/>
    <w:rsid w:val="006716A5"/>
    <w:rsid w:val="0067176B"/>
    <w:rsid w:val="00671879"/>
    <w:rsid w:val="00671884"/>
    <w:rsid w:val="006718F7"/>
    <w:rsid w:val="006719E9"/>
    <w:rsid w:val="00671A4D"/>
    <w:rsid w:val="00671A82"/>
    <w:rsid w:val="00671B00"/>
    <w:rsid w:val="00671BCB"/>
    <w:rsid w:val="00671D5F"/>
    <w:rsid w:val="00671D64"/>
    <w:rsid w:val="00671DBE"/>
    <w:rsid w:val="00671FB1"/>
    <w:rsid w:val="00672018"/>
    <w:rsid w:val="00672114"/>
    <w:rsid w:val="0067214F"/>
    <w:rsid w:val="006721DB"/>
    <w:rsid w:val="00672236"/>
    <w:rsid w:val="00672367"/>
    <w:rsid w:val="00672373"/>
    <w:rsid w:val="0067252E"/>
    <w:rsid w:val="00672588"/>
    <w:rsid w:val="006725B2"/>
    <w:rsid w:val="006725C9"/>
    <w:rsid w:val="006725E6"/>
    <w:rsid w:val="00672764"/>
    <w:rsid w:val="00672822"/>
    <w:rsid w:val="00672847"/>
    <w:rsid w:val="006728DB"/>
    <w:rsid w:val="00672ACD"/>
    <w:rsid w:val="00672AD3"/>
    <w:rsid w:val="00672B92"/>
    <w:rsid w:val="00672C30"/>
    <w:rsid w:val="00672CC1"/>
    <w:rsid w:val="00672E0D"/>
    <w:rsid w:val="00673023"/>
    <w:rsid w:val="00673081"/>
    <w:rsid w:val="006736EC"/>
    <w:rsid w:val="00673798"/>
    <w:rsid w:val="006737CD"/>
    <w:rsid w:val="00673A92"/>
    <w:rsid w:val="00673C4E"/>
    <w:rsid w:val="00673CAB"/>
    <w:rsid w:val="00673EA8"/>
    <w:rsid w:val="00673F9D"/>
    <w:rsid w:val="006742AD"/>
    <w:rsid w:val="0067446E"/>
    <w:rsid w:val="006746B4"/>
    <w:rsid w:val="00674845"/>
    <w:rsid w:val="0067496B"/>
    <w:rsid w:val="006750E8"/>
    <w:rsid w:val="006750F7"/>
    <w:rsid w:val="0067543D"/>
    <w:rsid w:val="00675440"/>
    <w:rsid w:val="00675514"/>
    <w:rsid w:val="00675591"/>
    <w:rsid w:val="0067579B"/>
    <w:rsid w:val="006759AB"/>
    <w:rsid w:val="00675D54"/>
    <w:rsid w:val="0067603F"/>
    <w:rsid w:val="00676199"/>
    <w:rsid w:val="006762CF"/>
    <w:rsid w:val="006762EE"/>
    <w:rsid w:val="00676308"/>
    <w:rsid w:val="0067632F"/>
    <w:rsid w:val="006769EA"/>
    <w:rsid w:val="00676A75"/>
    <w:rsid w:val="00676B91"/>
    <w:rsid w:val="00676CA6"/>
    <w:rsid w:val="00676CE6"/>
    <w:rsid w:val="00676D52"/>
    <w:rsid w:val="00676F37"/>
    <w:rsid w:val="00676F51"/>
    <w:rsid w:val="00676FFF"/>
    <w:rsid w:val="00677034"/>
    <w:rsid w:val="006771A1"/>
    <w:rsid w:val="00677287"/>
    <w:rsid w:val="0067737D"/>
    <w:rsid w:val="006773BC"/>
    <w:rsid w:val="006773F6"/>
    <w:rsid w:val="006775DD"/>
    <w:rsid w:val="006777DA"/>
    <w:rsid w:val="006777F0"/>
    <w:rsid w:val="0067793D"/>
    <w:rsid w:val="00677ACB"/>
    <w:rsid w:val="00677C63"/>
    <w:rsid w:val="00677C70"/>
    <w:rsid w:val="00677E0C"/>
    <w:rsid w:val="00677F2B"/>
    <w:rsid w:val="00680070"/>
    <w:rsid w:val="006801A9"/>
    <w:rsid w:val="00680214"/>
    <w:rsid w:val="006803D0"/>
    <w:rsid w:val="006804B3"/>
    <w:rsid w:val="0068056D"/>
    <w:rsid w:val="006805FF"/>
    <w:rsid w:val="006806FB"/>
    <w:rsid w:val="0068075F"/>
    <w:rsid w:val="0068079E"/>
    <w:rsid w:val="00680A9C"/>
    <w:rsid w:val="00680C2D"/>
    <w:rsid w:val="00680D27"/>
    <w:rsid w:val="00680DE0"/>
    <w:rsid w:val="00680E67"/>
    <w:rsid w:val="00680EE9"/>
    <w:rsid w:val="00681297"/>
    <w:rsid w:val="006812FC"/>
    <w:rsid w:val="00681377"/>
    <w:rsid w:val="00681419"/>
    <w:rsid w:val="00681444"/>
    <w:rsid w:val="006814DC"/>
    <w:rsid w:val="006814FA"/>
    <w:rsid w:val="00681596"/>
    <w:rsid w:val="00681687"/>
    <w:rsid w:val="0068176E"/>
    <w:rsid w:val="00681794"/>
    <w:rsid w:val="006818F1"/>
    <w:rsid w:val="00681CEF"/>
    <w:rsid w:val="00681D58"/>
    <w:rsid w:val="00682101"/>
    <w:rsid w:val="006821EF"/>
    <w:rsid w:val="00682359"/>
    <w:rsid w:val="006823DE"/>
    <w:rsid w:val="006825A3"/>
    <w:rsid w:val="0068278B"/>
    <w:rsid w:val="0068296A"/>
    <w:rsid w:val="00682AC9"/>
    <w:rsid w:val="00682FD0"/>
    <w:rsid w:val="006831F8"/>
    <w:rsid w:val="00683235"/>
    <w:rsid w:val="006833BD"/>
    <w:rsid w:val="00683527"/>
    <w:rsid w:val="0068353F"/>
    <w:rsid w:val="00683566"/>
    <w:rsid w:val="006835AE"/>
    <w:rsid w:val="006836CF"/>
    <w:rsid w:val="00683785"/>
    <w:rsid w:val="006837C5"/>
    <w:rsid w:val="006837E7"/>
    <w:rsid w:val="006837F0"/>
    <w:rsid w:val="006838E6"/>
    <w:rsid w:val="00683BAA"/>
    <w:rsid w:val="00683C3E"/>
    <w:rsid w:val="00683C75"/>
    <w:rsid w:val="00683C8D"/>
    <w:rsid w:val="00683D5B"/>
    <w:rsid w:val="00683DD4"/>
    <w:rsid w:val="00683F9D"/>
    <w:rsid w:val="00683FFE"/>
    <w:rsid w:val="006840E6"/>
    <w:rsid w:val="00684110"/>
    <w:rsid w:val="00684254"/>
    <w:rsid w:val="00684287"/>
    <w:rsid w:val="00684364"/>
    <w:rsid w:val="0068444C"/>
    <w:rsid w:val="006844A7"/>
    <w:rsid w:val="006844EA"/>
    <w:rsid w:val="0068467D"/>
    <w:rsid w:val="00684692"/>
    <w:rsid w:val="00684989"/>
    <w:rsid w:val="00684A33"/>
    <w:rsid w:val="00684AF8"/>
    <w:rsid w:val="00684B0C"/>
    <w:rsid w:val="00684DA4"/>
    <w:rsid w:val="00685299"/>
    <w:rsid w:val="006853E7"/>
    <w:rsid w:val="00685453"/>
    <w:rsid w:val="00685468"/>
    <w:rsid w:val="00685480"/>
    <w:rsid w:val="00685746"/>
    <w:rsid w:val="006857B6"/>
    <w:rsid w:val="00685D10"/>
    <w:rsid w:val="00685D99"/>
    <w:rsid w:val="00685E20"/>
    <w:rsid w:val="00685EFE"/>
    <w:rsid w:val="006860C7"/>
    <w:rsid w:val="00686159"/>
    <w:rsid w:val="006861C9"/>
    <w:rsid w:val="00686253"/>
    <w:rsid w:val="0068626B"/>
    <w:rsid w:val="006865B9"/>
    <w:rsid w:val="00686681"/>
    <w:rsid w:val="0068682A"/>
    <w:rsid w:val="0068683C"/>
    <w:rsid w:val="00686B5A"/>
    <w:rsid w:val="00686BC5"/>
    <w:rsid w:val="00686D8A"/>
    <w:rsid w:val="00686ED5"/>
    <w:rsid w:val="00686F26"/>
    <w:rsid w:val="00686F4D"/>
    <w:rsid w:val="006870E9"/>
    <w:rsid w:val="00687170"/>
    <w:rsid w:val="00687215"/>
    <w:rsid w:val="006873DD"/>
    <w:rsid w:val="006874EB"/>
    <w:rsid w:val="00687648"/>
    <w:rsid w:val="006876E0"/>
    <w:rsid w:val="006878EC"/>
    <w:rsid w:val="00687C5A"/>
    <w:rsid w:val="00687E66"/>
    <w:rsid w:val="006900BA"/>
    <w:rsid w:val="00690240"/>
    <w:rsid w:val="00690270"/>
    <w:rsid w:val="006902B1"/>
    <w:rsid w:val="0069037E"/>
    <w:rsid w:val="0069053D"/>
    <w:rsid w:val="0069061A"/>
    <w:rsid w:val="006906F7"/>
    <w:rsid w:val="006907AC"/>
    <w:rsid w:val="006908AE"/>
    <w:rsid w:val="006908B7"/>
    <w:rsid w:val="00690B11"/>
    <w:rsid w:val="00690D11"/>
    <w:rsid w:val="00690DF3"/>
    <w:rsid w:val="00690F25"/>
    <w:rsid w:val="00690FC4"/>
    <w:rsid w:val="00691040"/>
    <w:rsid w:val="00691070"/>
    <w:rsid w:val="0069142F"/>
    <w:rsid w:val="00691595"/>
    <w:rsid w:val="00691677"/>
    <w:rsid w:val="00691696"/>
    <w:rsid w:val="006917E5"/>
    <w:rsid w:val="00691854"/>
    <w:rsid w:val="006918AB"/>
    <w:rsid w:val="0069191C"/>
    <w:rsid w:val="006919E8"/>
    <w:rsid w:val="00691C35"/>
    <w:rsid w:val="00691C62"/>
    <w:rsid w:val="00692069"/>
    <w:rsid w:val="0069226F"/>
    <w:rsid w:val="006922DA"/>
    <w:rsid w:val="00692382"/>
    <w:rsid w:val="00692448"/>
    <w:rsid w:val="0069248E"/>
    <w:rsid w:val="006924DD"/>
    <w:rsid w:val="00692543"/>
    <w:rsid w:val="00692AA5"/>
    <w:rsid w:val="00692B28"/>
    <w:rsid w:val="00692C3C"/>
    <w:rsid w:val="00692C71"/>
    <w:rsid w:val="00692D87"/>
    <w:rsid w:val="00692F7A"/>
    <w:rsid w:val="006930D3"/>
    <w:rsid w:val="00693167"/>
    <w:rsid w:val="0069318F"/>
    <w:rsid w:val="006932EA"/>
    <w:rsid w:val="006933E2"/>
    <w:rsid w:val="00693462"/>
    <w:rsid w:val="0069347A"/>
    <w:rsid w:val="00693485"/>
    <w:rsid w:val="006934E5"/>
    <w:rsid w:val="006936FA"/>
    <w:rsid w:val="00693726"/>
    <w:rsid w:val="00693DC9"/>
    <w:rsid w:val="00693DCF"/>
    <w:rsid w:val="00693F80"/>
    <w:rsid w:val="0069452C"/>
    <w:rsid w:val="006945FE"/>
    <w:rsid w:val="0069466B"/>
    <w:rsid w:val="00694EAF"/>
    <w:rsid w:val="00695060"/>
    <w:rsid w:val="006950A6"/>
    <w:rsid w:val="0069530C"/>
    <w:rsid w:val="00695550"/>
    <w:rsid w:val="0069556E"/>
    <w:rsid w:val="0069564F"/>
    <w:rsid w:val="006957D1"/>
    <w:rsid w:val="00695997"/>
    <w:rsid w:val="00695A53"/>
    <w:rsid w:val="00695A5A"/>
    <w:rsid w:val="00695BA5"/>
    <w:rsid w:val="00695C73"/>
    <w:rsid w:val="00695CEB"/>
    <w:rsid w:val="00695E0F"/>
    <w:rsid w:val="00695E9D"/>
    <w:rsid w:val="00696087"/>
    <w:rsid w:val="00696381"/>
    <w:rsid w:val="00696543"/>
    <w:rsid w:val="00696875"/>
    <w:rsid w:val="00696CEC"/>
    <w:rsid w:val="006972F0"/>
    <w:rsid w:val="006974A4"/>
    <w:rsid w:val="006978CE"/>
    <w:rsid w:val="00697935"/>
    <w:rsid w:val="00697949"/>
    <w:rsid w:val="00697BE5"/>
    <w:rsid w:val="00697C4F"/>
    <w:rsid w:val="00697D40"/>
    <w:rsid w:val="00697D4D"/>
    <w:rsid w:val="006A02B7"/>
    <w:rsid w:val="006A02CB"/>
    <w:rsid w:val="006A0798"/>
    <w:rsid w:val="006A08D0"/>
    <w:rsid w:val="006A091B"/>
    <w:rsid w:val="006A0AB7"/>
    <w:rsid w:val="006A0B22"/>
    <w:rsid w:val="006A0CE1"/>
    <w:rsid w:val="006A0D1A"/>
    <w:rsid w:val="006A0F88"/>
    <w:rsid w:val="006A0FEA"/>
    <w:rsid w:val="006A104A"/>
    <w:rsid w:val="006A125B"/>
    <w:rsid w:val="006A12D1"/>
    <w:rsid w:val="006A1417"/>
    <w:rsid w:val="006A180B"/>
    <w:rsid w:val="006A1AAA"/>
    <w:rsid w:val="006A1AF4"/>
    <w:rsid w:val="006A1C2D"/>
    <w:rsid w:val="006A1D9A"/>
    <w:rsid w:val="006A201D"/>
    <w:rsid w:val="006A2364"/>
    <w:rsid w:val="006A24ED"/>
    <w:rsid w:val="006A26AF"/>
    <w:rsid w:val="006A26EE"/>
    <w:rsid w:val="006A2912"/>
    <w:rsid w:val="006A2996"/>
    <w:rsid w:val="006A29DA"/>
    <w:rsid w:val="006A2C31"/>
    <w:rsid w:val="006A2DDE"/>
    <w:rsid w:val="006A3068"/>
    <w:rsid w:val="006A325C"/>
    <w:rsid w:val="006A36B4"/>
    <w:rsid w:val="006A36B8"/>
    <w:rsid w:val="006A3757"/>
    <w:rsid w:val="006A3D8E"/>
    <w:rsid w:val="006A3E4C"/>
    <w:rsid w:val="006A40CD"/>
    <w:rsid w:val="006A419C"/>
    <w:rsid w:val="006A41E4"/>
    <w:rsid w:val="006A42CF"/>
    <w:rsid w:val="006A4339"/>
    <w:rsid w:val="006A4413"/>
    <w:rsid w:val="006A48CB"/>
    <w:rsid w:val="006A49A0"/>
    <w:rsid w:val="006A49FC"/>
    <w:rsid w:val="006A4B59"/>
    <w:rsid w:val="006A4BCB"/>
    <w:rsid w:val="006A4C9C"/>
    <w:rsid w:val="006A4DAA"/>
    <w:rsid w:val="006A4EAA"/>
    <w:rsid w:val="006A4EAC"/>
    <w:rsid w:val="006A50FD"/>
    <w:rsid w:val="006A521A"/>
    <w:rsid w:val="006A5355"/>
    <w:rsid w:val="006A5386"/>
    <w:rsid w:val="006A5433"/>
    <w:rsid w:val="006A54C4"/>
    <w:rsid w:val="006A5511"/>
    <w:rsid w:val="006A55D0"/>
    <w:rsid w:val="006A5766"/>
    <w:rsid w:val="006A582F"/>
    <w:rsid w:val="006A59E8"/>
    <w:rsid w:val="006A5A8E"/>
    <w:rsid w:val="006A5BE2"/>
    <w:rsid w:val="006A5D6A"/>
    <w:rsid w:val="006A5ED8"/>
    <w:rsid w:val="006A5F8D"/>
    <w:rsid w:val="006A6043"/>
    <w:rsid w:val="006A60BF"/>
    <w:rsid w:val="006A615E"/>
    <w:rsid w:val="006A627D"/>
    <w:rsid w:val="006A6348"/>
    <w:rsid w:val="006A64FA"/>
    <w:rsid w:val="006A6535"/>
    <w:rsid w:val="006A65DB"/>
    <w:rsid w:val="006A66F9"/>
    <w:rsid w:val="006A67BA"/>
    <w:rsid w:val="006A689E"/>
    <w:rsid w:val="006A6CDC"/>
    <w:rsid w:val="006A70F5"/>
    <w:rsid w:val="006A7543"/>
    <w:rsid w:val="006A78CD"/>
    <w:rsid w:val="006A7B1E"/>
    <w:rsid w:val="006A7BD5"/>
    <w:rsid w:val="006A7CDC"/>
    <w:rsid w:val="006A7E51"/>
    <w:rsid w:val="006A7E55"/>
    <w:rsid w:val="006A7E5D"/>
    <w:rsid w:val="006B0058"/>
    <w:rsid w:val="006B036D"/>
    <w:rsid w:val="006B0411"/>
    <w:rsid w:val="006B04D4"/>
    <w:rsid w:val="006B0635"/>
    <w:rsid w:val="006B0669"/>
    <w:rsid w:val="006B0784"/>
    <w:rsid w:val="006B0A2E"/>
    <w:rsid w:val="006B0A4D"/>
    <w:rsid w:val="006B0B50"/>
    <w:rsid w:val="006B0BAF"/>
    <w:rsid w:val="006B0D14"/>
    <w:rsid w:val="006B0EDB"/>
    <w:rsid w:val="006B1043"/>
    <w:rsid w:val="006B12F2"/>
    <w:rsid w:val="006B12FF"/>
    <w:rsid w:val="006B13E4"/>
    <w:rsid w:val="006B1405"/>
    <w:rsid w:val="006B140C"/>
    <w:rsid w:val="006B141D"/>
    <w:rsid w:val="006B1438"/>
    <w:rsid w:val="006B1462"/>
    <w:rsid w:val="006B1741"/>
    <w:rsid w:val="006B178D"/>
    <w:rsid w:val="006B1935"/>
    <w:rsid w:val="006B19A1"/>
    <w:rsid w:val="006B1A3D"/>
    <w:rsid w:val="006B1A43"/>
    <w:rsid w:val="006B1AEF"/>
    <w:rsid w:val="006B1B5F"/>
    <w:rsid w:val="006B1BA8"/>
    <w:rsid w:val="006B1F6D"/>
    <w:rsid w:val="006B200B"/>
    <w:rsid w:val="006B2089"/>
    <w:rsid w:val="006B20F7"/>
    <w:rsid w:val="006B2215"/>
    <w:rsid w:val="006B22D8"/>
    <w:rsid w:val="006B231F"/>
    <w:rsid w:val="006B2364"/>
    <w:rsid w:val="006B23D7"/>
    <w:rsid w:val="006B2548"/>
    <w:rsid w:val="006B2680"/>
    <w:rsid w:val="006B2863"/>
    <w:rsid w:val="006B28A6"/>
    <w:rsid w:val="006B2906"/>
    <w:rsid w:val="006B2922"/>
    <w:rsid w:val="006B2A63"/>
    <w:rsid w:val="006B2BCD"/>
    <w:rsid w:val="006B2BFB"/>
    <w:rsid w:val="006B2CE5"/>
    <w:rsid w:val="006B2CF0"/>
    <w:rsid w:val="006B2DF5"/>
    <w:rsid w:val="006B2E8C"/>
    <w:rsid w:val="006B30F9"/>
    <w:rsid w:val="006B323E"/>
    <w:rsid w:val="006B333C"/>
    <w:rsid w:val="006B3377"/>
    <w:rsid w:val="006B3701"/>
    <w:rsid w:val="006B386C"/>
    <w:rsid w:val="006B3A61"/>
    <w:rsid w:val="006B3E45"/>
    <w:rsid w:val="006B3F3F"/>
    <w:rsid w:val="006B4049"/>
    <w:rsid w:val="006B4562"/>
    <w:rsid w:val="006B4667"/>
    <w:rsid w:val="006B4901"/>
    <w:rsid w:val="006B4B01"/>
    <w:rsid w:val="006B4B9B"/>
    <w:rsid w:val="006B4C2C"/>
    <w:rsid w:val="006B4DD2"/>
    <w:rsid w:val="006B4EEB"/>
    <w:rsid w:val="006B4FEA"/>
    <w:rsid w:val="006B5127"/>
    <w:rsid w:val="006B52AE"/>
    <w:rsid w:val="006B530B"/>
    <w:rsid w:val="006B547F"/>
    <w:rsid w:val="006B56E8"/>
    <w:rsid w:val="006B5751"/>
    <w:rsid w:val="006B588E"/>
    <w:rsid w:val="006B5917"/>
    <w:rsid w:val="006B5941"/>
    <w:rsid w:val="006B599B"/>
    <w:rsid w:val="006B5DF1"/>
    <w:rsid w:val="006B5E33"/>
    <w:rsid w:val="006B5E63"/>
    <w:rsid w:val="006B5F39"/>
    <w:rsid w:val="006B5F9A"/>
    <w:rsid w:val="006B6034"/>
    <w:rsid w:val="006B6079"/>
    <w:rsid w:val="006B6125"/>
    <w:rsid w:val="006B6138"/>
    <w:rsid w:val="006B63D3"/>
    <w:rsid w:val="006B650E"/>
    <w:rsid w:val="006B6981"/>
    <w:rsid w:val="006B698C"/>
    <w:rsid w:val="006B69C8"/>
    <w:rsid w:val="006B6A7C"/>
    <w:rsid w:val="006B6B5F"/>
    <w:rsid w:val="006B6E8D"/>
    <w:rsid w:val="006B70DE"/>
    <w:rsid w:val="006B72AC"/>
    <w:rsid w:val="006B72CC"/>
    <w:rsid w:val="006B72CD"/>
    <w:rsid w:val="006B7615"/>
    <w:rsid w:val="006B77AA"/>
    <w:rsid w:val="006B79BB"/>
    <w:rsid w:val="006B7A91"/>
    <w:rsid w:val="006B7B9F"/>
    <w:rsid w:val="006B7C3F"/>
    <w:rsid w:val="006B7DD1"/>
    <w:rsid w:val="006B7E07"/>
    <w:rsid w:val="006B7F79"/>
    <w:rsid w:val="006B7FDA"/>
    <w:rsid w:val="006C01C0"/>
    <w:rsid w:val="006C03BA"/>
    <w:rsid w:val="006C03D9"/>
    <w:rsid w:val="006C043B"/>
    <w:rsid w:val="006C07C6"/>
    <w:rsid w:val="006C0D8A"/>
    <w:rsid w:val="006C0F05"/>
    <w:rsid w:val="006C0FF9"/>
    <w:rsid w:val="006C1118"/>
    <w:rsid w:val="006C11DC"/>
    <w:rsid w:val="006C143B"/>
    <w:rsid w:val="006C1458"/>
    <w:rsid w:val="006C14B0"/>
    <w:rsid w:val="006C161A"/>
    <w:rsid w:val="006C170E"/>
    <w:rsid w:val="006C18A5"/>
    <w:rsid w:val="006C1D22"/>
    <w:rsid w:val="006C1EF0"/>
    <w:rsid w:val="006C266F"/>
    <w:rsid w:val="006C28BC"/>
    <w:rsid w:val="006C2A30"/>
    <w:rsid w:val="006C2AAD"/>
    <w:rsid w:val="006C2AE4"/>
    <w:rsid w:val="006C2B0F"/>
    <w:rsid w:val="006C30F3"/>
    <w:rsid w:val="006C3306"/>
    <w:rsid w:val="006C331B"/>
    <w:rsid w:val="006C3381"/>
    <w:rsid w:val="006C34CF"/>
    <w:rsid w:val="006C3765"/>
    <w:rsid w:val="006C38C0"/>
    <w:rsid w:val="006C390F"/>
    <w:rsid w:val="006C3B24"/>
    <w:rsid w:val="006C402D"/>
    <w:rsid w:val="006C432E"/>
    <w:rsid w:val="006C437A"/>
    <w:rsid w:val="006C453D"/>
    <w:rsid w:val="006C4573"/>
    <w:rsid w:val="006C4596"/>
    <w:rsid w:val="006C45E7"/>
    <w:rsid w:val="006C46D6"/>
    <w:rsid w:val="006C4716"/>
    <w:rsid w:val="006C486D"/>
    <w:rsid w:val="006C498A"/>
    <w:rsid w:val="006C4AAD"/>
    <w:rsid w:val="006C4CD4"/>
    <w:rsid w:val="006C4EC5"/>
    <w:rsid w:val="006C4F7D"/>
    <w:rsid w:val="006C505E"/>
    <w:rsid w:val="006C515D"/>
    <w:rsid w:val="006C525C"/>
    <w:rsid w:val="006C52F0"/>
    <w:rsid w:val="006C540D"/>
    <w:rsid w:val="006C5563"/>
    <w:rsid w:val="006C563E"/>
    <w:rsid w:val="006C5795"/>
    <w:rsid w:val="006C5856"/>
    <w:rsid w:val="006C5EF7"/>
    <w:rsid w:val="006C5F8C"/>
    <w:rsid w:val="006C620E"/>
    <w:rsid w:val="006C6265"/>
    <w:rsid w:val="006C62B6"/>
    <w:rsid w:val="006C6384"/>
    <w:rsid w:val="006C6619"/>
    <w:rsid w:val="006C682A"/>
    <w:rsid w:val="006C68C7"/>
    <w:rsid w:val="006C690A"/>
    <w:rsid w:val="006C6964"/>
    <w:rsid w:val="006C6A71"/>
    <w:rsid w:val="006C6B5C"/>
    <w:rsid w:val="006C6BF5"/>
    <w:rsid w:val="006C6EE9"/>
    <w:rsid w:val="006C7010"/>
    <w:rsid w:val="006C707F"/>
    <w:rsid w:val="006C724C"/>
    <w:rsid w:val="006C7289"/>
    <w:rsid w:val="006C7498"/>
    <w:rsid w:val="006C74B7"/>
    <w:rsid w:val="006C74EB"/>
    <w:rsid w:val="006C761D"/>
    <w:rsid w:val="006C76CF"/>
    <w:rsid w:val="006C783D"/>
    <w:rsid w:val="006C799A"/>
    <w:rsid w:val="006C79A5"/>
    <w:rsid w:val="006C7ABA"/>
    <w:rsid w:val="006C7C14"/>
    <w:rsid w:val="006C7C29"/>
    <w:rsid w:val="006C7CFF"/>
    <w:rsid w:val="006C7E1C"/>
    <w:rsid w:val="006C7E35"/>
    <w:rsid w:val="006C7E96"/>
    <w:rsid w:val="006D01FF"/>
    <w:rsid w:val="006D031D"/>
    <w:rsid w:val="006D07D0"/>
    <w:rsid w:val="006D07F1"/>
    <w:rsid w:val="006D09D0"/>
    <w:rsid w:val="006D0B7C"/>
    <w:rsid w:val="006D0BA5"/>
    <w:rsid w:val="006D0C24"/>
    <w:rsid w:val="006D0ECD"/>
    <w:rsid w:val="006D1055"/>
    <w:rsid w:val="006D138C"/>
    <w:rsid w:val="006D13B2"/>
    <w:rsid w:val="006D1438"/>
    <w:rsid w:val="006D151C"/>
    <w:rsid w:val="006D1647"/>
    <w:rsid w:val="006D19C1"/>
    <w:rsid w:val="006D1B45"/>
    <w:rsid w:val="006D1D4F"/>
    <w:rsid w:val="006D1DBF"/>
    <w:rsid w:val="006D1FAA"/>
    <w:rsid w:val="006D2158"/>
    <w:rsid w:val="006D21A0"/>
    <w:rsid w:val="006D23B0"/>
    <w:rsid w:val="006D23C4"/>
    <w:rsid w:val="006D2498"/>
    <w:rsid w:val="006D2592"/>
    <w:rsid w:val="006D27D8"/>
    <w:rsid w:val="006D286D"/>
    <w:rsid w:val="006D2B21"/>
    <w:rsid w:val="006D2F79"/>
    <w:rsid w:val="006D301E"/>
    <w:rsid w:val="006D339E"/>
    <w:rsid w:val="006D375D"/>
    <w:rsid w:val="006D37FE"/>
    <w:rsid w:val="006D3879"/>
    <w:rsid w:val="006D3A77"/>
    <w:rsid w:val="006D3D7B"/>
    <w:rsid w:val="006D3F90"/>
    <w:rsid w:val="006D3FA6"/>
    <w:rsid w:val="006D4545"/>
    <w:rsid w:val="006D45C5"/>
    <w:rsid w:val="006D47F4"/>
    <w:rsid w:val="006D4989"/>
    <w:rsid w:val="006D49F2"/>
    <w:rsid w:val="006D4A67"/>
    <w:rsid w:val="006D501A"/>
    <w:rsid w:val="006D521F"/>
    <w:rsid w:val="006D5305"/>
    <w:rsid w:val="006D5357"/>
    <w:rsid w:val="006D53FB"/>
    <w:rsid w:val="006D5709"/>
    <w:rsid w:val="006D5D21"/>
    <w:rsid w:val="006D5ECA"/>
    <w:rsid w:val="006D60A7"/>
    <w:rsid w:val="006D6287"/>
    <w:rsid w:val="006D62A5"/>
    <w:rsid w:val="006D64CA"/>
    <w:rsid w:val="006D67EC"/>
    <w:rsid w:val="006D682C"/>
    <w:rsid w:val="006D69EB"/>
    <w:rsid w:val="006D6BCC"/>
    <w:rsid w:val="006D6F76"/>
    <w:rsid w:val="006D70BD"/>
    <w:rsid w:val="006D734E"/>
    <w:rsid w:val="006D75D3"/>
    <w:rsid w:val="006D768A"/>
    <w:rsid w:val="006D770C"/>
    <w:rsid w:val="006D7777"/>
    <w:rsid w:val="006D77BC"/>
    <w:rsid w:val="006D7884"/>
    <w:rsid w:val="006D7933"/>
    <w:rsid w:val="006D7ABC"/>
    <w:rsid w:val="006D7AF7"/>
    <w:rsid w:val="006D7B4C"/>
    <w:rsid w:val="006D7B95"/>
    <w:rsid w:val="006D7C5C"/>
    <w:rsid w:val="006D7C9B"/>
    <w:rsid w:val="006D7F10"/>
    <w:rsid w:val="006D7FB7"/>
    <w:rsid w:val="006DC8CB"/>
    <w:rsid w:val="006E000D"/>
    <w:rsid w:val="006E02FE"/>
    <w:rsid w:val="006E05A8"/>
    <w:rsid w:val="006E06AE"/>
    <w:rsid w:val="006E06FF"/>
    <w:rsid w:val="006E072C"/>
    <w:rsid w:val="006E0792"/>
    <w:rsid w:val="006E0A46"/>
    <w:rsid w:val="006E0B36"/>
    <w:rsid w:val="006E0C48"/>
    <w:rsid w:val="006E0D3A"/>
    <w:rsid w:val="006E0D75"/>
    <w:rsid w:val="006E0D8B"/>
    <w:rsid w:val="006E0DDE"/>
    <w:rsid w:val="006E13F5"/>
    <w:rsid w:val="006E14DC"/>
    <w:rsid w:val="006E14E2"/>
    <w:rsid w:val="006E16AE"/>
    <w:rsid w:val="006E16FA"/>
    <w:rsid w:val="006E18B3"/>
    <w:rsid w:val="006E19C0"/>
    <w:rsid w:val="006E1AE4"/>
    <w:rsid w:val="006E1B69"/>
    <w:rsid w:val="006E1C26"/>
    <w:rsid w:val="006E1C31"/>
    <w:rsid w:val="006E1E4C"/>
    <w:rsid w:val="006E1EF1"/>
    <w:rsid w:val="006E1F4D"/>
    <w:rsid w:val="006E1FA5"/>
    <w:rsid w:val="006E2064"/>
    <w:rsid w:val="006E2094"/>
    <w:rsid w:val="006E24BD"/>
    <w:rsid w:val="006E258C"/>
    <w:rsid w:val="006E285C"/>
    <w:rsid w:val="006E2A61"/>
    <w:rsid w:val="006E2A6D"/>
    <w:rsid w:val="006E2B0D"/>
    <w:rsid w:val="006E2B66"/>
    <w:rsid w:val="006E2C8A"/>
    <w:rsid w:val="006E3359"/>
    <w:rsid w:val="006E3366"/>
    <w:rsid w:val="006E336C"/>
    <w:rsid w:val="006E3510"/>
    <w:rsid w:val="006E35E7"/>
    <w:rsid w:val="006E36F2"/>
    <w:rsid w:val="006E3C6D"/>
    <w:rsid w:val="006E40A1"/>
    <w:rsid w:val="006E4120"/>
    <w:rsid w:val="006E41C5"/>
    <w:rsid w:val="006E420D"/>
    <w:rsid w:val="006E44A7"/>
    <w:rsid w:val="006E44C4"/>
    <w:rsid w:val="006E4585"/>
    <w:rsid w:val="006E4A33"/>
    <w:rsid w:val="006E4B90"/>
    <w:rsid w:val="006E4E57"/>
    <w:rsid w:val="006E4E5D"/>
    <w:rsid w:val="006E5064"/>
    <w:rsid w:val="006E50B9"/>
    <w:rsid w:val="006E5245"/>
    <w:rsid w:val="006E52A0"/>
    <w:rsid w:val="006E536D"/>
    <w:rsid w:val="006E54DA"/>
    <w:rsid w:val="006E562F"/>
    <w:rsid w:val="006E5640"/>
    <w:rsid w:val="006E58FD"/>
    <w:rsid w:val="006E59FD"/>
    <w:rsid w:val="006E5B1D"/>
    <w:rsid w:val="006E5C18"/>
    <w:rsid w:val="006E5F92"/>
    <w:rsid w:val="006E6038"/>
    <w:rsid w:val="006E6173"/>
    <w:rsid w:val="006E61CF"/>
    <w:rsid w:val="006E620B"/>
    <w:rsid w:val="006E6221"/>
    <w:rsid w:val="006E6372"/>
    <w:rsid w:val="006E6513"/>
    <w:rsid w:val="006E6621"/>
    <w:rsid w:val="006E66EB"/>
    <w:rsid w:val="006E68A9"/>
    <w:rsid w:val="006E6A48"/>
    <w:rsid w:val="006E6B52"/>
    <w:rsid w:val="006E6BE7"/>
    <w:rsid w:val="006E6E78"/>
    <w:rsid w:val="006E6ECE"/>
    <w:rsid w:val="006E6EDE"/>
    <w:rsid w:val="006E6F17"/>
    <w:rsid w:val="006E6F38"/>
    <w:rsid w:val="006E7108"/>
    <w:rsid w:val="006E72AC"/>
    <w:rsid w:val="006E72AD"/>
    <w:rsid w:val="006E75C0"/>
    <w:rsid w:val="006E763D"/>
    <w:rsid w:val="006E7770"/>
    <w:rsid w:val="006E78EF"/>
    <w:rsid w:val="006E7957"/>
    <w:rsid w:val="006E7A30"/>
    <w:rsid w:val="006E7B13"/>
    <w:rsid w:val="006E7F01"/>
    <w:rsid w:val="006F0006"/>
    <w:rsid w:val="006F00CB"/>
    <w:rsid w:val="006F0254"/>
    <w:rsid w:val="006F0305"/>
    <w:rsid w:val="006F0310"/>
    <w:rsid w:val="006F0370"/>
    <w:rsid w:val="006F0421"/>
    <w:rsid w:val="006F04CB"/>
    <w:rsid w:val="006F04DD"/>
    <w:rsid w:val="006F07A3"/>
    <w:rsid w:val="006F0841"/>
    <w:rsid w:val="006F0851"/>
    <w:rsid w:val="006F09AA"/>
    <w:rsid w:val="006F09B0"/>
    <w:rsid w:val="006F0C79"/>
    <w:rsid w:val="006F0D67"/>
    <w:rsid w:val="006F0DE4"/>
    <w:rsid w:val="006F0E64"/>
    <w:rsid w:val="006F13F5"/>
    <w:rsid w:val="006F1518"/>
    <w:rsid w:val="006F1659"/>
    <w:rsid w:val="006F176C"/>
    <w:rsid w:val="006F17B6"/>
    <w:rsid w:val="006F1897"/>
    <w:rsid w:val="006F196A"/>
    <w:rsid w:val="006F1A2B"/>
    <w:rsid w:val="006F1BD4"/>
    <w:rsid w:val="006F1C6D"/>
    <w:rsid w:val="006F1E26"/>
    <w:rsid w:val="006F1E54"/>
    <w:rsid w:val="006F1E56"/>
    <w:rsid w:val="006F1F15"/>
    <w:rsid w:val="006F1F85"/>
    <w:rsid w:val="006F201E"/>
    <w:rsid w:val="006F2190"/>
    <w:rsid w:val="006F2554"/>
    <w:rsid w:val="006F27B9"/>
    <w:rsid w:val="006F2AC1"/>
    <w:rsid w:val="006F2B45"/>
    <w:rsid w:val="006F2BC9"/>
    <w:rsid w:val="006F2E04"/>
    <w:rsid w:val="006F2E36"/>
    <w:rsid w:val="006F2F20"/>
    <w:rsid w:val="006F311B"/>
    <w:rsid w:val="006F3198"/>
    <w:rsid w:val="006F32F9"/>
    <w:rsid w:val="006F3302"/>
    <w:rsid w:val="006F3349"/>
    <w:rsid w:val="006F3364"/>
    <w:rsid w:val="006F3392"/>
    <w:rsid w:val="006F3814"/>
    <w:rsid w:val="006F397A"/>
    <w:rsid w:val="006F3AF6"/>
    <w:rsid w:val="006F3BAB"/>
    <w:rsid w:val="006F3BD7"/>
    <w:rsid w:val="006F3DAE"/>
    <w:rsid w:val="006F3EEA"/>
    <w:rsid w:val="006F3EFE"/>
    <w:rsid w:val="006F4110"/>
    <w:rsid w:val="006F4167"/>
    <w:rsid w:val="006F457A"/>
    <w:rsid w:val="006F4681"/>
    <w:rsid w:val="006F4742"/>
    <w:rsid w:val="006F4769"/>
    <w:rsid w:val="006F476B"/>
    <w:rsid w:val="006F4916"/>
    <w:rsid w:val="006F4B02"/>
    <w:rsid w:val="006F4C8F"/>
    <w:rsid w:val="006F4D74"/>
    <w:rsid w:val="006F50C2"/>
    <w:rsid w:val="006F5354"/>
    <w:rsid w:val="006F5435"/>
    <w:rsid w:val="006F548F"/>
    <w:rsid w:val="006F55A7"/>
    <w:rsid w:val="006F560A"/>
    <w:rsid w:val="006F5645"/>
    <w:rsid w:val="006F566A"/>
    <w:rsid w:val="006F5DC0"/>
    <w:rsid w:val="006F6196"/>
    <w:rsid w:val="006F6255"/>
    <w:rsid w:val="006F6379"/>
    <w:rsid w:val="006F63D5"/>
    <w:rsid w:val="006F6605"/>
    <w:rsid w:val="006F66EC"/>
    <w:rsid w:val="006F67A7"/>
    <w:rsid w:val="006F6A5D"/>
    <w:rsid w:val="006F6CBC"/>
    <w:rsid w:val="006F6F5C"/>
    <w:rsid w:val="006F70FF"/>
    <w:rsid w:val="006F7A40"/>
    <w:rsid w:val="006F7AEC"/>
    <w:rsid w:val="006F7B1E"/>
    <w:rsid w:val="006F7B2C"/>
    <w:rsid w:val="006F7D90"/>
    <w:rsid w:val="006F7EBD"/>
    <w:rsid w:val="006F7F19"/>
    <w:rsid w:val="006F7F1D"/>
    <w:rsid w:val="006F7FBA"/>
    <w:rsid w:val="006FD624"/>
    <w:rsid w:val="00700157"/>
    <w:rsid w:val="00700184"/>
    <w:rsid w:val="00700299"/>
    <w:rsid w:val="007002C5"/>
    <w:rsid w:val="007003B2"/>
    <w:rsid w:val="007003C4"/>
    <w:rsid w:val="00700510"/>
    <w:rsid w:val="00700554"/>
    <w:rsid w:val="0070056E"/>
    <w:rsid w:val="0070084A"/>
    <w:rsid w:val="007009D9"/>
    <w:rsid w:val="00700A74"/>
    <w:rsid w:val="00700ABE"/>
    <w:rsid w:val="00700CA2"/>
    <w:rsid w:val="00700D05"/>
    <w:rsid w:val="00700E17"/>
    <w:rsid w:val="00700E66"/>
    <w:rsid w:val="00701046"/>
    <w:rsid w:val="007010AF"/>
    <w:rsid w:val="007011F9"/>
    <w:rsid w:val="0070133C"/>
    <w:rsid w:val="007015CE"/>
    <w:rsid w:val="007015F5"/>
    <w:rsid w:val="007015FE"/>
    <w:rsid w:val="00701698"/>
    <w:rsid w:val="0070188E"/>
    <w:rsid w:val="00701926"/>
    <w:rsid w:val="00701932"/>
    <w:rsid w:val="00701B7B"/>
    <w:rsid w:val="00701C27"/>
    <w:rsid w:val="00701C33"/>
    <w:rsid w:val="00701E89"/>
    <w:rsid w:val="00701EC3"/>
    <w:rsid w:val="00701EC9"/>
    <w:rsid w:val="0070214C"/>
    <w:rsid w:val="007024AF"/>
    <w:rsid w:val="0070262B"/>
    <w:rsid w:val="00702653"/>
    <w:rsid w:val="00702665"/>
    <w:rsid w:val="00702675"/>
    <w:rsid w:val="007026B4"/>
    <w:rsid w:val="007028B3"/>
    <w:rsid w:val="0070292F"/>
    <w:rsid w:val="00702B2C"/>
    <w:rsid w:val="00702BAA"/>
    <w:rsid w:val="00702D46"/>
    <w:rsid w:val="00702DD6"/>
    <w:rsid w:val="00702F5A"/>
    <w:rsid w:val="00703121"/>
    <w:rsid w:val="00703240"/>
    <w:rsid w:val="007033F9"/>
    <w:rsid w:val="00703503"/>
    <w:rsid w:val="00703615"/>
    <w:rsid w:val="00703885"/>
    <w:rsid w:val="0070394A"/>
    <w:rsid w:val="007039E9"/>
    <w:rsid w:val="00703B31"/>
    <w:rsid w:val="00703B68"/>
    <w:rsid w:val="00703CE8"/>
    <w:rsid w:val="00703D2B"/>
    <w:rsid w:val="00703E80"/>
    <w:rsid w:val="00703EAD"/>
    <w:rsid w:val="00703F83"/>
    <w:rsid w:val="0070401E"/>
    <w:rsid w:val="0070422F"/>
    <w:rsid w:val="00704315"/>
    <w:rsid w:val="00704386"/>
    <w:rsid w:val="00704684"/>
    <w:rsid w:val="00704741"/>
    <w:rsid w:val="00704973"/>
    <w:rsid w:val="00704A23"/>
    <w:rsid w:val="00704A63"/>
    <w:rsid w:val="00704B34"/>
    <w:rsid w:val="00704B8B"/>
    <w:rsid w:val="00704C13"/>
    <w:rsid w:val="00704DA1"/>
    <w:rsid w:val="00704F43"/>
    <w:rsid w:val="007054F5"/>
    <w:rsid w:val="007056BA"/>
    <w:rsid w:val="0070570C"/>
    <w:rsid w:val="007057D8"/>
    <w:rsid w:val="00705879"/>
    <w:rsid w:val="0070588F"/>
    <w:rsid w:val="007059BF"/>
    <w:rsid w:val="00705B18"/>
    <w:rsid w:val="00705B76"/>
    <w:rsid w:val="00705D6D"/>
    <w:rsid w:val="00705DB1"/>
    <w:rsid w:val="00705EDF"/>
    <w:rsid w:val="00706154"/>
    <w:rsid w:val="00706482"/>
    <w:rsid w:val="007064B2"/>
    <w:rsid w:val="007064D9"/>
    <w:rsid w:val="00706598"/>
    <w:rsid w:val="00706960"/>
    <w:rsid w:val="00706B5B"/>
    <w:rsid w:val="00706BE7"/>
    <w:rsid w:val="0070749F"/>
    <w:rsid w:val="00707578"/>
    <w:rsid w:val="00707650"/>
    <w:rsid w:val="0070769F"/>
    <w:rsid w:val="0070774A"/>
    <w:rsid w:val="00707961"/>
    <w:rsid w:val="00707A75"/>
    <w:rsid w:val="00707BE8"/>
    <w:rsid w:val="00707CA0"/>
    <w:rsid w:val="00707D0E"/>
    <w:rsid w:val="00707F6E"/>
    <w:rsid w:val="00707FC4"/>
    <w:rsid w:val="007101C4"/>
    <w:rsid w:val="0071020B"/>
    <w:rsid w:val="0071023A"/>
    <w:rsid w:val="00710366"/>
    <w:rsid w:val="00710410"/>
    <w:rsid w:val="00710607"/>
    <w:rsid w:val="0071086F"/>
    <w:rsid w:val="0071098E"/>
    <w:rsid w:val="00710AAD"/>
    <w:rsid w:val="0071102B"/>
    <w:rsid w:val="007110A8"/>
    <w:rsid w:val="0071136F"/>
    <w:rsid w:val="00711412"/>
    <w:rsid w:val="00711448"/>
    <w:rsid w:val="00711598"/>
    <w:rsid w:val="00711877"/>
    <w:rsid w:val="00711960"/>
    <w:rsid w:val="007119B4"/>
    <w:rsid w:val="007119CA"/>
    <w:rsid w:val="00711DF6"/>
    <w:rsid w:val="007120AF"/>
    <w:rsid w:val="007121B7"/>
    <w:rsid w:val="0071232A"/>
    <w:rsid w:val="007123C0"/>
    <w:rsid w:val="007124E8"/>
    <w:rsid w:val="00712597"/>
    <w:rsid w:val="00712755"/>
    <w:rsid w:val="00712777"/>
    <w:rsid w:val="00712813"/>
    <w:rsid w:val="00712896"/>
    <w:rsid w:val="00712B31"/>
    <w:rsid w:val="00712B7B"/>
    <w:rsid w:val="00712D7F"/>
    <w:rsid w:val="00712FF2"/>
    <w:rsid w:val="0071302C"/>
    <w:rsid w:val="007131E2"/>
    <w:rsid w:val="007132CE"/>
    <w:rsid w:val="0071347D"/>
    <w:rsid w:val="007135B6"/>
    <w:rsid w:val="00713627"/>
    <w:rsid w:val="007137C8"/>
    <w:rsid w:val="0071394A"/>
    <w:rsid w:val="00713A7F"/>
    <w:rsid w:val="00713BC7"/>
    <w:rsid w:val="00713D6B"/>
    <w:rsid w:val="00713D77"/>
    <w:rsid w:val="00713E14"/>
    <w:rsid w:val="00713E8A"/>
    <w:rsid w:val="00713FB8"/>
    <w:rsid w:val="007141FC"/>
    <w:rsid w:val="00714282"/>
    <w:rsid w:val="007146D5"/>
    <w:rsid w:val="00714933"/>
    <w:rsid w:val="00714CFB"/>
    <w:rsid w:val="00714E0F"/>
    <w:rsid w:val="00714ECC"/>
    <w:rsid w:val="00714F68"/>
    <w:rsid w:val="00715015"/>
    <w:rsid w:val="007150BC"/>
    <w:rsid w:val="00715170"/>
    <w:rsid w:val="0071579E"/>
    <w:rsid w:val="0071590E"/>
    <w:rsid w:val="00715AB8"/>
    <w:rsid w:val="00715BC3"/>
    <w:rsid w:val="00715F6A"/>
    <w:rsid w:val="0071606A"/>
    <w:rsid w:val="007160FC"/>
    <w:rsid w:val="00716161"/>
    <w:rsid w:val="00716421"/>
    <w:rsid w:val="0071663C"/>
    <w:rsid w:val="00716642"/>
    <w:rsid w:val="007168CA"/>
    <w:rsid w:val="007168FF"/>
    <w:rsid w:val="00716992"/>
    <w:rsid w:val="00716B25"/>
    <w:rsid w:val="00716B36"/>
    <w:rsid w:val="00716BF5"/>
    <w:rsid w:val="00716C67"/>
    <w:rsid w:val="00716D62"/>
    <w:rsid w:val="00716D6F"/>
    <w:rsid w:val="00716E0E"/>
    <w:rsid w:val="007175BA"/>
    <w:rsid w:val="00717A40"/>
    <w:rsid w:val="00717AD2"/>
    <w:rsid w:val="00717AFE"/>
    <w:rsid w:val="00717B6E"/>
    <w:rsid w:val="00717BD6"/>
    <w:rsid w:val="00717D14"/>
    <w:rsid w:val="00717D17"/>
    <w:rsid w:val="007204C8"/>
    <w:rsid w:val="00720AD1"/>
    <w:rsid w:val="00720CBA"/>
    <w:rsid w:val="00720DD2"/>
    <w:rsid w:val="00721019"/>
    <w:rsid w:val="007210FD"/>
    <w:rsid w:val="007211B4"/>
    <w:rsid w:val="007211EA"/>
    <w:rsid w:val="00721203"/>
    <w:rsid w:val="00721378"/>
    <w:rsid w:val="007213E5"/>
    <w:rsid w:val="0072140B"/>
    <w:rsid w:val="00721B31"/>
    <w:rsid w:val="00721DDA"/>
    <w:rsid w:val="00721EA1"/>
    <w:rsid w:val="0072205F"/>
    <w:rsid w:val="00722133"/>
    <w:rsid w:val="007223FC"/>
    <w:rsid w:val="00722448"/>
    <w:rsid w:val="00722548"/>
    <w:rsid w:val="0072257F"/>
    <w:rsid w:val="0072276A"/>
    <w:rsid w:val="0072279E"/>
    <w:rsid w:val="007227FD"/>
    <w:rsid w:val="007229B2"/>
    <w:rsid w:val="00722DEE"/>
    <w:rsid w:val="00722E4E"/>
    <w:rsid w:val="00722F34"/>
    <w:rsid w:val="00722FAA"/>
    <w:rsid w:val="0072303A"/>
    <w:rsid w:val="0072313C"/>
    <w:rsid w:val="00723167"/>
    <w:rsid w:val="00723195"/>
    <w:rsid w:val="007234AF"/>
    <w:rsid w:val="0072355A"/>
    <w:rsid w:val="00723772"/>
    <w:rsid w:val="0072379B"/>
    <w:rsid w:val="00723836"/>
    <w:rsid w:val="00723850"/>
    <w:rsid w:val="00723978"/>
    <w:rsid w:val="00723F17"/>
    <w:rsid w:val="00724052"/>
    <w:rsid w:val="0072420C"/>
    <w:rsid w:val="00724219"/>
    <w:rsid w:val="00724264"/>
    <w:rsid w:val="00724383"/>
    <w:rsid w:val="007244AF"/>
    <w:rsid w:val="007245DB"/>
    <w:rsid w:val="00724679"/>
    <w:rsid w:val="00724830"/>
    <w:rsid w:val="0072496D"/>
    <w:rsid w:val="00724A1B"/>
    <w:rsid w:val="00724B80"/>
    <w:rsid w:val="00724B8E"/>
    <w:rsid w:val="00724BB3"/>
    <w:rsid w:val="00724BCE"/>
    <w:rsid w:val="00724C03"/>
    <w:rsid w:val="00724C5A"/>
    <w:rsid w:val="00724D37"/>
    <w:rsid w:val="00724E62"/>
    <w:rsid w:val="00724EF8"/>
    <w:rsid w:val="00724FEA"/>
    <w:rsid w:val="00725160"/>
    <w:rsid w:val="00725215"/>
    <w:rsid w:val="0072532F"/>
    <w:rsid w:val="0072584C"/>
    <w:rsid w:val="0072591F"/>
    <w:rsid w:val="00725ABC"/>
    <w:rsid w:val="00725AE4"/>
    <w:rsid w:val="00725C2E"/>
    <w:rsid w:val="00725E42"/>
    <w:rsid w:val="00725EB4"/>
    <w:rsid w:val="0072605B"/>
    <w:rsid w:val="00726141"/>
    <w:rsid w:val="0072653A"/>
    <w:rsid w:val="007269B1"/>
    <w:rsid w:val="007269E5"/>
    <w:rsid w:val="00726A08"/>
    <w:rsid w:val="00726F63"/>
    <w:rsid w:val="0072701C"/>
    <w:rsid w:val="007271A4"/>
    <w:rsid w:val="007271B9"/>
    <w:rsid w:val="007273F0"/>
    <w:rsid w:val="00727661"/>
    <w:rsid w:val="007278F3"/>
    <w:rsid w:val="00727A8A"/>
    <w:rsid w:val="00727BC0"/>
    <w:rsid w:val="00727DD7"/>
    <w:rsid w:val="00727E20"/>
    <w:rsid w:val="00727FB1"/>
    <w:rsid w:val="0073001A"/>
    <w:rsid w:val="00730176"/>
    <w:rsid w:val="00730178"/>
    <w:rsid w:val="007303C6"/>
    <w:rsid w:val="007303D4"/>
    <w:rsid w:val="007305B4"/>
    <w:rsid w:val="007305E0"/>
    <w:rsid w:val="0073063A"/>
    <w:rsid w:val="0073066E"/>
    <w:rsid w:val="00730685"/>
    <w:rsid w:val="00730826"/>
    <w:rsid w:val="00730857"/>
    <w:rsid w:val="0073092D"/>
    <w:rsid w:val="007309FD"/>
    <w:rsid w:val="00730A24"/>
    <w:rsid w:val="00730BA9"/>
    <w:rsid w:val="00730BB0"/>
    <w:rsid w:val="00730CB2"/>
    <w:rsid w:val="00730CD6"/>
    <w:rsid w:val="00730D10"/>
    <w:rsid w:val="00730D86"/>
    <w:rsid w:val="00730E0C"/>
    <w:rsid w:val="00730F49"/>
    <w:rsid w:val="0073100F"/>
    <w:rsid w:val="0073121F"/>
    <w:rsid w:val="00731357"/>
    <w:rsid w:val="0073147D"/>
    <w:rsid w:val="0073178B"/>
    <w:rsid w:val="007318EC"/>
    <w:rsid w:val="00731A9D"/>
    <w:rsid w:val="00731AEA"/>
    <w:rsid w:val="00731B04"/>
    <w:rsid w:val="00731DB3"/>
    <w:rsid w:val="00731E49"/>
    <w:rsid w:val="0073207F"/>
    <w:rsid w:val="007325CF"/>
    <w:rsid w:val="00732785"/>
    <w:rsid w:val="007327BB"/>
    <w:rsid w:val="00732A03"/>
    <w:rsid w:val="00732A90"/>
    <w:rsid w:val="00732B33"/>
    <w:rsid w:val="00732B60"/>
    <w:rsid w:val="00732BFD"/>
    <w:rsid w:val="00732C85"/>
    <w:rsid w:val="00732D89"/>
    <w:rsid w:val="00732D9F"/>
    <w:rsid w:val="00732DBA"/>
    <w:rsid w:val="00732E63"/>
    <w:rsid w:val="00732EB1"/>
    <w:rsid w:val="00733014"/>
    <w:rsid w:val="007330F6"/>
    <w:rsid w:val="007331A3"/>
    <w:rsid w:val="00733218"/>
    <w:rsid w:val="007332EB"/>
    <w:rsid w:val="00733520"/>
    <w:rsid w:val="007336A9"/>
    <w:rsid w:val="007336EA"/>
    <w:rsid w:val="00733A9C"/>
    <w:rsid w:val="00733BC6"/>
    <w:rsid w:val="00733D73"/>
    <w:rsid w:val="00733ECA"/>
    <w:rsid w:val="0073402E"/>
    <w:rsid w:val="00734042"/>
    <w:rsid w:val="00734260"/>
    <w:rsid w:val="0073431F"/>
    <w:rsid w:val="0073435D"/>
    <w:rsid w:val="0073452A"/>
    <w:rsid w:val="00734578"/>
    <w:rsid w:val="00734628"/>
    <w:rsid w:val="0073473B"/>
    <w:rsid w:val="0073477D"/>
    <w:rsid w:val="0073482B"/>
    <w:rsid w:val="00734966"/>
    <w:rsid w:val="0073498F"/>
    <w:rsid w:val="007349E3"/>
    <w:rsid w:val="00734A0E"/>
    <w:rsid w:val="00734AB9"/>
    <w:rsid w:val="00734D7D"/>
    <w:rsid w:val="00734F5C"/>
    <w:rsid w:val="0073530F"/>
    <w:rsid w:val="0073542E"/>
    <w:rsid w:val="00735716"/>
    <w:rsid w:val="0073587C"/>
    <w:rsid w:val="00735944"/>
    <w:rsid w:val="00735A0E"/>
    <w:rsid w:val="00735BF2"/>
    <w:rsid w:val="00735CFC"/>
    <w:rsid w:val="00735E9A"/>
    <w:rsid w:val="0073618C"/>
    <w:rsid w:val="007361EB"/>
    <w:rsid w:val="007361F7"/>
    <w:rsid w:val="007363A3"/>
    <w:rsid w:val="00736419"/>
    <w:rsid w:val="0073651C"/>
    <w:rsid w:val="0073680F"/>
    <w:rsid w:val="0073689E"/>
    <w:rsid w:val="0073690E"/>
    <w:rsid w:val="00736A8B"/>
    <w:rsid w:val="00736C0B"/>
    <w:rsid w:val="00736DB6"/>
    <w:rsid w:val="00736EE0"/>
    <w:rsid w:val="00736F0E"/>
    <w:rsid w:val="00737208"/>
    <w:rsid w:val="00737227"/>
    <w:rsid w:val="00737298"/>
    <w:rsid w:val="0073732A"/>
    <w:rsid w:val="00737493"/>
    <w:rsid w:val="00737548"/>
    <w:rsid w:val="0073760E"/>
    <w:rsid w:val="00737720"/>
    <w:rsid w:val="007378CB"/>
    <w:rsid w:val="007379B5"/>
    <w:rsid w:val="007379D5"/>
    <w:rsid w:val="00737D1C"/>
    <w:rsid w:val="0074014D"/>
    <w:rsid w:val="00740252"/>
    <w:rsid w:val="00740382"/>
    <w:rsid w:val="00740483"/>
    <w:rsid w:val="007404D4"/>
    <w:rsid w:val="00740608"/>
    <w:rsid w:val="00740737"/>
    <w:rsid w:val="00740C19"/>
    <w:rsid w:val="00740E95"/>
    <w:rsid w:val="00740EE0"/>
    <w:rsid w:val="00740FD5"/>
    <w:rsid w:val="00740FF0"/>
    <w:rsid w:val="0074121A"/>
    <w:rsid w:val="00741220"/>
    <w:rsid w:val="007412B4"/>
    <w:rsid w:val="007412C1"/>
    <w:rsid w:val="007414FF"/>
    <w:rsid w:val="0074152D"/>
    <w:rsid w:val="007415C2"/>
    <w:rsid w:val="007415D1"/>
    <w:rsid w:val="007416C7"/>
    <w:rsid w:val="007417D2"/>
    <w:rsid w:val="0074192F"/>
    <w:rsid w:val="007419A4"/>
    <w:rsid w:val="00741B62"/>
    <w:rsid w:val="00741DAC"/>
    <w:rsid w:val="007421D8"/>
    <w:rsid w:val="007421E2"/>
    <w:rsid w:val="007423B5"/>
    <w:rsid w:val="007424E3"/>
    <w:rsid w:val="00742502"/>
    <w:rsid w:val="00742541"/>
    <w:rsid w:val="00742549"/>
    <w:rsid w:val="00742CA8"/>
    <w:rsid w:val="00742E9C"/>
    <w:rsid w:val="00742F46"/>
    <w:rsid w:val="00742F7A"/>
    <w:rsid w:val="007431F4"/>
    <w:rsid w:val="00743333"/>
    <w:rsid w:val="00743366"/>
    <w:rsid w:val="007433AD"/>
    <w:rsid w:val="007435B4"/>
    <w:rsid w:val="00743699"/>
    <w:rsid w:val="00743977"/>
    <w:rsid w:val="00743F3B"/>
    <w:rsid w:val="00743FE4"/>
    <w:rsid w:val="007445BB"/>
    <w:rsid w:val="007447F1"/>
    <w:rsid w:val="007449BD"/>
    <w:rsid w:val="007449DD"/>
    <w:rsid w:val="00744B24"/>
    <w:rsid w:val="00744BC1"/>
    <w:rsid w:val="00744C24"/>
    <w:rsid w:val="00744CA6"/>
    <w:rsid w:val="00744CCA"/>
    <w:rsid w:val="00744CD4"/>
    <w:rsid w:val="00744EAF"/>
    <w:rsid w:val="00744F83"/>
    <w:rsid w:val="00744F84"/>
    <w:rsid w:val="00745278"/>
    <w:rsid w:val="007454A0"/>
    <w:rsid w:val="00745585"/>
    <w:rsid w:val="007455A0"/>
    <w:rsid w:val="007456D7"/>
    <w:rsid w:val="00745769"/>
    <w:rsid w:val="00745790"/>
    <w:rsid w:val="007458EB"/>
    <w:rsid w:val="00745979"/>
    <w:rsid w:val="00745C74"/>
    <w:rsid w:val="00745CBD"/>
    <w:rsid w:val="00745D72"/>
    <w:rsid w:val="00745E00"/>
    <w:rsid w:val="00745E44"/>
    <w:rsid w:val="00745F35"/>
    <w:rsid w:val="00745F57"/>
    <w:rsid w:val="0074616A"/>
    <w:rsid w:val="007461B7"/>
    <w:rsid w:val="0074630B"/>
    <w:rsid w:val="0074650E"/>
    <w:rsid w:val="007465B7"/>
    <w:rsid w:val="0074661B"/>
    <w:rsid w:val="007467CC"/>
    <w:rsid w:val="007467F5"/>
    <w:rsid w:val="00746828"/>
    <w:rsid w:val="00746901"/>
    <w:rsid w:val="00746C5D"/>
    <w:rsid w:val="007473A8"/>
    <w:rsid w:val="0074754B"/>
    <w:rsid w:val="00747852"/>
    <w:rsid w:val="0074798B"/>
    <w:rsid w:val="00747A57"/>
    <w:rsid w:val="00747CF9"/>
    <w:rsid w:val="00747D1A"/>
    <w:rsid w:val="00747D52"/>
    <w:rsid w:val="00747D8A"/>
    <w:rsid w:val="00747E02"/>
    <w:rsid w:val="00747E79"/>
    <w:rsid w:val="0075008C"/>
    <w:rsid w:val="00750188"/>
    <w:rsid w:val="00750249"/>
    <w:rsid w:val="00750521"/>
    <w:rsid w:val="0075054A"/>
    <w:rsid w:val="007505EC"/>
    <w:rsid w:val="0075060E"/>
    <w:rsid w:val="0075080F"/>
    <w:rsid w:val="00750850"/>
    <w:rsid w:val="0075095F"/>
    <w:rsid w:val="007509F1"/>
    <w:rsid w:val="00750A17"/>
    <w:rsid w:val="00750A7B"/>
    <w:rsid w:val="00750BFA"/>
    <w:rsid w:val="00750F0C"/>
    <w:rsid w:val="00750F44"/>
    <w:rsid w:val="00750F76"/>
    <w:rsid w:val="00751118"/>
    <w:rsid w:val="00751169"/>
    <w:rsid w:val="00751174"/>
    <w:rsid w:val="0075121B"/>
    <w:rsid w:val="0075131A"/>
    <w:rsid w:val="007515E7"/>
    <w:rsid w:val="0075163E"/>
    <w:rsid w:val="007516FE"/>
    <w:rsid w:val="00751909"/>
    <w:rsid w:val="00751A72"/>
    <w:rsid w:val="00751A90"/>
    <w:rsid w:val="00751B94"/>
    <w:rsid w:val="00751CF6"/>
    <w:rsid w:val="00751D3E"/>
    <w:rsid w:val="00751D9A"/>
    <w:rsid w:val="00751ECE"/>
    <w:rsid w:val="00751F2D"/>
    <w:rsid w:val="00751F2E"/>
    <w:rsid w:val="00751FCA"/>
    <w:rsid w:val="00752010"/>
    <w:rsid w:val="0075204E"/>
    <w:rsid w:val="00752227"/>
    <w:rsid w:val="00752309"/>
    <w:rsid w:val="007524A1"/>
    <w:rsid w:val="007526CD"/>
    <w:rsid w:val="007526CF"/>
    <w:rsid w:val="007528B9"/>
    <w:rsid w:val="00752959"/>
    <w:rsid w:val="00752A6F"/>
    <w:rsid w:val="00752B99"/>
    <w:rsid w:val="00752BE1"/>
    <w:rsid w:val="00752C92"/>
    <w:rsid w:val="00752D2F"/>
    <w:rsid w:val="00753034"/>
    <w:rsid w:val="007530B8"/>
    <w:rsid w:val="0075319E"/>
    <w:rsid w:val="00753206"/>
    <w:rsid w:val="00753235"/>
    <w:rsid w:val="0075326F"/>
    <w:rsid w:val="00753421"/>
    <w:rsid w:val="00753429"/>
    <w:rsid w:val="007534E1"/>
    <w:rsid w:val="00753539"/>
    <w:rsid w:val="007537EC"/>
    <w:rsid w:val="007537F4"/>
    <w:rsid w:val="007538CB"/>
    <w:rsid w:val="00753925"/>
    <w:rsid w:val="00753B09"/>
    <w:rsid w:val="00753B31"/>
    <w:rsid w:val="00753B32"/>
    <w:rsid w:val="00753B53"/>
    <w:rsid w:val="00753C1C"/>
    <w:rsid w:val="00753D7F"/>
    <w:rsid w:val="00753E8F"/>
    <w:rsid w:val="00753FCB"/>
    <w:rsid w:val="0075410C"/>
    <w:rsid w:val="007541CE"/>
    <w:rsid w:val="00754205"/>
    <w:rsid w:val="007542AF"/>
    <w:rsid w:val="007544EF"/>
    <w:rsid w:val="0075450E"/>
    <w:rsid w:val="00754558"/>
    <w:rsid w:val="007545A1"/>
    <w:rsid w:val="00754682"/>
    <w:rsid w:val="007546FD"/>
    <w:rsid w:val="0075480C"/>
    <w:rsid w:val="00754869"/>
    <w:rsid w:val="007548B5"/>
    <w:rsid w:val="00754A10"/>
    <w:rsid w:val="00754AD1"/>
    <w:rsid w:val="00754BF7"/>
    <w:rsid w:val="00754C67"/>
    <w:rsid w:val="00754D96"/>
    <w:rsid w:val="0075503B"/>
    <w:rsid w:val="0075512E"/>
    <w:rsid w:val="007551E0"/>
    <w:rsid w:val="0075527E"/>
    <w:rsid w:val="007554A4"/>
    <w:rsid w:val="007556BC"/>
    <w:rsid w:val="007556CC"/>
    <w:rsid w:val="00755890"/>
    <w:rsid w:val="00755B65"/>
    <w:rsid w:val="007560FD"/>
    <w:rsid w:val="00756219"/>
    <w:rsid w:val="0075628C"/>
    <w:rsid w:val="00756732"/>
    <w:rsid w:val="0075674E"/>
    <w:rsid w:val="007567A8"/>
    <w:rsid w:val="00756815"/>
    <w:rsid w:val="00756A7D"/>
    <w:rsid w:val="00756A8D"/>
    <w:rsid w:val="00756C0B"/>
    <w:rsid w:val="00756C76"/>
    <w:rsid w:val="00756DC4"/>
    <w:rsid w:val="00756E00"/>
    <w:rsid w:val="00756E1A"/>
    <w:rsid w:val="00756F0D"/>
    <w:rsid w:val="007570F6"/>
    <w:rsid w:val="00757324"/>
    <w:rsid w:val="00757596"/>
    <w:rsid w:val="007575A8"/>
    <w:rsid w:val="00757ADA"/>
    <w:rsid w:val="00757B65"/>
    <w:rsid w:val="00757D1B"/>
    <w:rsid w:val="00757D39"/>
    <w:rsid w:val="00757DC0"/>
    <w:rsid w:val="00757FAB"/>
    <w:rsid w:val="00760367"/>
    <w:rsid w:val="00760494"/>
    <w:rsid w:val="00760756"/>
    <w:rsid w:val="0076094D"/>
    <w:rsid w:val="00760A12"/>
    <w:rsid w:val="00760C15"/>
    <w:rsid w:val="00760CF4"/>
    <w:rsid w:val="00760DC8"/>
    <w:rsid w:val="00760DCB"/>
    <w:rsid w:val="00760EB1"/>
    <w:rsid w:val="00760F11"/>
    <w:rsid w:val="00760F2C"/>
    <w:rsid w:val="00760FC9"/>
    <w:rsid w:val="007611DC"/>
    <w:rsid w:val="007612EC"/>
    <w:rsid w:val="007613F3"/>
    <w:rsid w:val="0076157E"/>
    <w:rsid w:val="0076165F"/>
    <w:rsid w:val="0076176E"/>
    <w:rsid w:val="0076186C"/>
    <w:rsid w:val="00761873"/>
    <w:rsid w:val="00761886"/>
    <w:rsid w:val="007618E9"/>
    <w:rsid w:val="0076195C"/>
    <w:rsid w:val="00761B2D"/>
    <w:rsid w:val="00761BDF"/>
    <w:rsid w:val="00761BE3"/>
    <w:rsid w:val="00761C38"/>
    <w:rsid w:val="00761DA5"/>
    <w:rsid w:val="00761ECB"/>
    <w:rsid w:val="00762025"/>
    <w:rsid w:val="0076206D"/>
    <w:rsid w:val="007623A1"/>
    <w:rsid w:val="00762659"/>
    <w:rsid w:val="00762782"/>
    <w:rsid w:val="00762815"/>
    <w:rsid w:val="00762880"/>
    <w:rsid w:val="00762916"/>
    <w:rsid w:val="007629A9"/>
    <w:rsid w:val="00762A81"/>
    <w:rsid w:val="00762B13"/>
    <w:rsid w:val="00762B50"/>
    <w:rsid w:val="00762B7E"/>
    <w:rsid w:val="00762C73"/>
    <w:rsid w:val="00762E1F"/>
    <w:rsid w:val="00762EF8"/>
    <w:rsid w:val="00762F2C"/>
    <w:rsid w:val="007631A9"/>
    <w:rsid w:val="00763291"/>
    <w:rsid w:val="00763357"/>
    <w:rsid w:val="0076341E"/>
    <w:rsid w:val="00763865"/>
    <w:rsid w:val="007639F3"/>
    <w:rsid w:val="00763AD4"/>
    <w:rsid w:val="00763C53"/>
    <w:rsid w:val="00763CA2"/>
    <w:rsid w:val="00763CA8"/>
    <w:rsid w:val="00763CF3"/>
    <w:rsid w:val="00763D23"/>
    <w:rsid w:val="00763D3B"/>
    <w:rsid w:val="00763D73"/>
    <w:rsid w:val="00763F96"/>
    <w:rsid w:val="0076402A"/>
    <w:rsid w:val="007641C6"/>
    <w:rsid w:val="00764244"/>
    <w:rsid w:val="007642AD"/>
    <w:rsid w:val="007645C5"/>
    <w:rsid w:val="007645E4"/>
    <w:rsid w:val="00764689"/>
    <w:rsid w:val="007648C0"/>
    <w:rsid w:val="00764A91"/>
    <w:rsid w:val="00764AEC"/>
    <w:rsid w:val="00764DB5"/>
    <w:rsid w:val="00764DF6"/>
    <w:rsid w:val="00764F35"/>
    <w:rsid w:val="00764F86"/>
    <w:rsid w:val="00765022"/>
    <w:rsid w:val="00765419"/>
    <w:rsid w:val="0076547C"/>
    <w:rsid w:val="00765488"/>
    <w:rsid w:val="007654B0"/>
    <w:rsid w:val="00765581"/>
    <w:rsid w:val="007657E0"/>
    <w:rsid w:val="0076596C"/>
    <w:rsid w:val="00765A8B"/>
    <w:rsid w:val="00765C20"/>
    <w:rsid w:val="00765E05"/>
    <w:rsid w:val="007660BD"/>
    <w:rsid w:val="00766283"/>
    <w:rsid w:val="00766498"/>
    <w:rsid w:val="007664B1"/>
    <w:rsid w:val="00766517"/>
    <w:rsid w:val="00766585"/>
    <w:rsid w:val="0076664C"/>
    <w:rsid w:val="00766707"/>
    <w:rsid w:val="00766781"/>
    <w:rsid w:val="0076694B"/>
    <w:rsid w:val="00766A2B"/>
    <w:rsid w:val="00766AB7"/>
    <w:rsid w:val="00766B75"/>
    <w:rsid w:val="00766D95"/>
    <w:rsid w:val="00766F0E"/>
    <w:rsid w:val="007670CA"/>
    <w:rsid w:val="0076722A"/>
    <w:rsid w:val="0076732C"/>
    <w:rsid w:val="00767427"/>
    <w:rsid w:val="0076752C"/>
    <w:rsid w:val="00767640"/>
    <w:rsid w:val="007676C5"/>
    <w:rsid w:val="007677BD"/>
    <w:rsid w:val="00767B85"/>
    <w:rsid w:val="00767D8B"/>
    <w:rsid w:val="00767D94"/>
    <w:rsid w:val="00767E52"/>
    <w:rsid w:val="00768260"/>
    <w:rsid w:val="007700FD"/>
    <w:rsid w:val="007701C8"/>
    <w:rsid w:val="007701F9"/>
    <w:rsid w:val="0077050C"/>
    <w:rsid w:val="007705F4"/>
    <w:rsid w:val="00770776"/>
    <w:rsid w:val="00770882"/>
    <w:rsid w:val="00770952"/>
    <w:rsid w:val="00770998"/>
    <w:rsid w:val="00770A12"/>
    <w:rsid w:val="00770AB3"/>
    <w:rsid w:val="00770ACA"/>
    <w:rsid w:val="00770B36"/>
    <w:rsid w:val="00770C8D"/>
    <w:rsid w:val="00770D22"/>
    <w:rsid w:val="007711A5"/>
    <w:rsid w:val="00771607"/>
    <w:rsid w:val="0077182F"/>
    <w:rsid w:val="007718D8"/>
    <w:rsid w:val="00771A9C"/>
    <w:rsid w:val="00771C2A"/>
    <w:rsid w:val="00771DC9"/>
    <w:rsid w:val="0077210E"/>
    <w:rsid w:val="00772147"/>
    <w:rsid w:val="0077231A"/>
    <w:rsid w:val="00772623"/>
    <w:rsid w:val="0077277F"/>
    <w:rsid w:val="007728D0"/>
    <w:rsid w:val="00772908"/>
    <w:rsid w:val="00772A50"/>
    <w:rsid w:val="00772C2A"/>
    <w:rsid w:val="00772C2F"/>
    <w:rsid w:val="00772C38"/>
    <w:rsid w:val="00772C8F"/>
    <w:rsid w:val="00772CD7"/>
    <w:rsid w:val="00772D24"/>
    <w:rsid w:val="00772E5C"/>
    <w:rsid w:val="00772F4B"/>
    <w:rsid w:val="00773052"/>
    <w:rsid w:val="00773336"/>
    <w:rsid w:val="0077335E"/>
    <w:rsid w:val="0077349C"/>
    <w:rsid w:val="0077358B"/>
    <w:rsid w:val="007739E4"/>
    <w:rsid w:val="00773A55"/>
    <w:rsid w:val="00773B96"/>
    <w:rsid w:val="00773C9C"/>
    <w:rsid w:val="007740A5"/>
    <w:rsid w:val="00774311"/>
    <w:rsid w:val="00774482"/>
    <w:rsid w:val="00774586"/>
    <w:rsid w:val="007745E6"/>
    <w:rsid w:val="00774633"/>
    <w:rsid w:val="00774838"/>
    <w:rsid w:val="00774B62"/>
    <w:rsid w:val="00774B81"/>
    <w:rsid w:val="00774B8C"/>
    <w:rsid w:val="00774B9B"/>
    <w:rsid w:val="00774C62"/>
    <w:rsid w:val="00774DC5"/>
    <w:rsid w:val="00774F64"/>
    <w:rsid w:val="00774FC7"/>
    <w:rsid w:val="00775097"/>
    <w:rsid w:val="007750F9"/>
    <w:rsid w:val="00775232"/>
    <w:rsid w:val="007753F4"/>
    <w:rsid w:val="0077543A"/>
    <w:rsid w:val="0077586A"/>
    <w:rsid w:val="00775B85"/>
    <w:rsid w:val="00775D18"/>
    <w:rsid w:val="0077640D"/>
    <w:rsid w:val="00776542"/>
    <w:rsid w:val="0077665E"/>
    <w:rsid w:val="00776665"/>
    <w:rsid w:val="0077687C"/>
    <w:rsid w:val="00776CDC"/>
    <w:rsid w:val="00776D38"/>
    <w:rsid w:val="00776E16"/>
    <w:rsid w:val="00776FA5"/>
    <w:rsid w:val="00776FBC"/>
    <w:rsid w:val="007776E0"/>
    <w:rsid w:val="00777A9A"/>
    <w:rsid w:val="00777AB7"/>
    <w:rsid w:val="00777BC2"/>
    <w:rsid w:val="00777C70"/>
    <w:rsid w:val="00777DD1"/>
    <w:rsid w:val="007802C8"/>
    <w:rsid w:val="0078057C"/>
    <w:rsid w:val="007806A1"/>
    <w:rsid w:val="0078071A"/>
    <w:rsid w:val="00780905"/>
    <w:rsid w:val="0078096A"/>
    <w:rsid w:val="00780A5F"/>
    <w:rsid w:val="00780AFF"/>
    <w:rsid w:val="00780B59"/>
    <w:rsid w:val="00780BA6"/>
    <w:rsid w:val="00780DA1"/>
    <w:rsid w:val="00780E63"/>
    <w:rsid w:val="00780F23"/>
    <w:rsid w:val="00780F4C"/>
    <w:rsid w:val="00780F9A"/>
    <w:rsid w:val="007810CA"/>
    <w:rsid w:val="007813E6"/>
    <w:rsid w:val="00781435"/>
    <w:rsid w:val="007815C2"/>
    <w:rsid w:val="00781692"/>
    <w:rsid w:val="007817E9"/>
    <w:rsid w:val="00781911"/>
    <w:rsid w:val="0078194E"/>
    <w:rsid w:val="00781B12"/>
    <w:rsid w:val="00781B16"/>
    <w:rsid w:val="00781B1B"/>
    <w:rsid w:val="00781B24"/>
    <w:rsid w:val="00781B7A"/>
    <w:rsid w:val="00781EEF"/>
    <w:rsid w:val="00782152"/>
    <w:rsid w:val="0078217E"/>
    <w:rsid w:val="007822DE"/>
    <w:rsid w:val="00782360"/>
    <w:rsid w:val="00782437"/>
    <w:rsid w:val="00782517"/>
    <w:rsid w:val="00782675"/>
    <w:rsid w:val="00782F3E"/>
    <w:rsid w:val="00782FE9"/>
    <w:rsid w:val="00783298"/>
    <w:rsid w:val="00783318"/>
    <w:rsid w:val="007837FB"/>
    <w:rsid w:val="0078382F"/>
    <w:rsid w:val="00783865"/>
    <w:rsid w:val="00783C1A"/>
    <w:rsid w:val="00783D49"/>
    <w:rsid w:val="00784162"/>
    <w:rsid w:val="00784229"/>
    <w:rsid w:val="0078484C"/>
    <w:rsid w:val="0078488E"/>
    <w:rsid w:val="007849E6"/>
    <w:rsid w:val="00784D9F"/>
    <w:rsid w:val="00784EBB"/>
    <w:rsid w:val="00784FFD"/>
    <w:rsid w:val="00785459"/>
    <w:rsid w:val="00785518"/>
    <w:rsid w:val="00785856"/>
    <w:rsid w:val="00785AC6"/>
    <w:rsid w:val="00785B1F"/>
    <w:rsid w:val="00785B58"/>
    <w:rsid w:val="00785BEA"/>
    <w:rsid w:val="00785C23"/>
    <w:rsid w:val="00786316"/>
    <w:rsid w:val="007863ED"/>
    <w:rsid w:val="007864E6"/>
    <w:rsid w:val="007865B7"/>
    <w:rsid w:val="007866FF"/>
    <w:rsid w:val="0078670A"/>
    <w:rsid w:val="007867D9"/>
    <w:rsid w:val="0078683B"/>
    <w:rsid w:val="0078704A"/>
    <w:rsid w:val="00787060"/>
    <w:rsid w:val="007870DA"/>
    <w:rsid w:val="007872CB"/>
    <w:rsid w:val="007875A0"/>
    <w:rsid w:val="00787930"/>
    <w:rsid w:val="00787A49"/>
    <w:rsid w:val="00787AA9"/>
    <w:rsid w:val="00787AB2"/>
    <w:rsid w:val="00787BBB"/>
    <w:rsid w:val="00787BFD"/>
    <w:rsid w:val="00787CD0"/>
    <w:rsid w:val="00787F1E"/>
    <w:rsid w:val="00787F76"/>
    <w:rsid w:val="00787FB4"/>
    <w:rsid w:val="0079029C"/>
    <w:rsid w:val="00790336"/>
    <w:rsid w:val="0079039F"/>
    <w:rsid w:val="007904C8"/>
    <w:rsid w:val="0079060F"/>
    <w:rsid w:val="007906A1"/>
    <w:rsid w:val="00790786"/>
    <w:rsid w:val="00790828"/>
    <w:rsid w:val="00790C65"/>
    <w:rsid w:val="00790D5E"/>
    <w:rsid w:val="00791181"/>
    <w:rsid w:val="0079123A"/>
    <w:rsid w:val="00791287"/>
    <w:rsid w:val="0079138F"/>
    <w:rsid w:val="007917A3"/>
    <w:rsid w:val="007917D8"/>
    <w:rsid w:val="007919E2"/>
    <w:rsid w:val="00791B0F"/>
    <w:rsid w:val="00791B42"/>
    <w:rsid w:val="00791B72"/>
    <w:rsid w:val="00791D71"/>
    <w:rsid w:val="00791F8D"/>
    <w:rsid w:val="00792013"/>
    <w:rsid w:val="00792169"/>
    <w:rsid w:val="00792538"/>
    <w:rsid w:val="0079259C"/>
    <w:rsid w:val="007928BA"/>
    <w:rsid w:val="007928C6"/>
    <w:rsid w:val="00792A05"/>
    <w:rsid w:val="00792C1F"/>
    <w:rsid w:val="00792C8C"/>
    <w:rsid w:val="00792D74"/>
    <w:rsid w:val="00792E46"/>
    <w:rsid w:val="00792E97"/>
    <w:rsid w:val="00792E9F"/>
    <w:rsid w:val="00792F3A"/>
    <w:rsid w:val="007930E5"/>
    <w:rsid w:val="00793137"/>
    <w:rsid w:val="007932F0"/>
    <w:rsid w:val="0079330C"/>
    <w:rsid w:val="0079333F"/>
    <w:rsid w:val="0079354C"/>
    <w:rsid w:val="00793814"/>
    <w:rsid w:val="007938F7"/>
    <w:rsid w:val="00793981"/>
    <w:rsid w:val="00793A98"/>
    <w:rsid w:val="00793C0A"/>
    <w:rsid w:val="00793D8F"/>
    <w:rsid w:val="00793EF7"/>
    <w:rsid w:val="00794065"/>
    <w:rsid w:val="0079415D"/>
    <w:rsid w:val="0079425E"/>
    <w:rsid w:val="0079434E"/>
    <w:rsid w:val="00794401"/>
    <w:rsid w:val="00794543"/>
    <w:rsid w:val="0079459A"/>
    <w:rsid w:val="0079480B"/>
    <w:rsid w:val="00794903"/>
    <w:rsid w:val="0079490F"/>
    <w:rsid w:val="00794A68"/>
    <w:rsid w:val="00794B2C"/>
    <w:rsid w:val="00794D77"/>
    <w:rsid w:val="00794DDF"/>
    <w:rsid w:val="00794E59"/>
    <w:rsid w:val="00794EC3"/>
    <w:rsid w:val="00794F31"/>
    <w:rsid w:val="00794F85"/>
    <w:rsid w:val="00794FAC"/>
    <w:rsid w:val="007950F4"/>
    <w:rsid w:val="0079515D"/>
    <w:rsid w:val="0079524E"/>
    <w:rsid w:val="0079527C"/>
    <w:rsid w:val="007952C2"/>
    <w:rsid w:val="007954D4"/>
    <w:rsid w:val="007957F2"/>
    <w:rsid w:val="007958B3"/>
    <w:rsid w:val="007959F1"/>
    <w:rsid w:val="00795DDE"/>
    <w:rsid w:val="00795F19"/>
    <w:rsid w:val="00795F27"/>
    <w:rsid w:val="007962A7"/>
    <w:rsid w:val="007962F0"/>
    <w:rsid w:val="00796594"/>
    <w:rsid w:val="0079673B"/>
    <w:rsid w:val="007967D2"/>
    <w:rsid w:val="0079695B"/>
    <w:rsid w:val="0079695C"/>
    <w:rsid w:val="00796A66"/>
    <w:rsid w:val="00796BED"/>
    <w:rsid w:val="00796C01"/>
    <w:rsid w:val="00796FB6"/>
    <w:rsid w:val="00797298"/>
    <w:rsid w:val="0079741A"/>
    <w:rsid w:val="0079745F"/>
    <w:rsid w:val="00797640"/>
    <w:rsid w:val="00797788"/>
    <w:rsid w:val="007977A3"/>
    <w:rsid w:val="00797910"/>
    <w:rsid w:val="00797A33"/>
    <w:rsid w:val="00797A46"/>
    <w:rsid w:val="00797C10"/>
    <w:rsid w:val="00797DF1"/>
    <w:rsid w:val="007A00AA"/>
    <w:rsid w:val="007A00C3"/>
    <w:rsid w:val="007A00E3"/>
    <w:rsid w:val="007A035E"/>
    <w:rsid w:val="007A0438"/>
    <w:rsid w:val="007A050A"/>
    <w:rsid w:val="007A06A6"/>
    <w:rsid w:val="007A0917"/>
    <w:rsid w:val="007A09EF"/>
    <w:rsid w:val="007A09F2"/>
    <w:rsid w:val="007A0B9D"/>
    <w:rsid w:val="007A0CDE"/>
    <w:rsid w:val="007A0CF7"/>
    <w:rsid w:val="007A0F2B"/>
    <w:rsid w:val="007A0FE4"/>
    <w:rsid w:val="007A1096"/>
    <w:rsid w:val="007A116B"/>
    <w:rsid w:val="007A1175"/>
    <w:rsid w:val="007A11C8"/>
    <w:rsid w:val="007A1200"/>
    <w:rsid w:val="007A13AC"/>
    <w:rsid w:val="007A14C7"/>
    <w:rsid w:val="007A1527"/>
    <w:rsid w:val="007A1808"/>
    <w:rsid w:val="007A1865"/>
    <w:rsid w:val="007A1920"/>
    <w:rsid w:val="007A1C25"/>
    <w:rsid w:val="007A1C47"/>
    <w:rsid w:val="007A1CD0"/>
    <w:rsid w:val="007A1E64"/>
    <w:rsid w:val="007A1EC1"/>
    <w:rsid w:val="007A1F3D"/>
    <w:rsid w:val="007A1FB3"/>
    <w:rsid w:val="007A2288"/>
    <w:rsid w:val="007A2315"/>
    <w:rsid w:val="007A2334"/>
    <w:rsid w:val="007A2353"/>
    <w:rsid w:val="007A2400"/>
    <w:rsid w:val="007A2425"/>
    <w:rsid w:val="007A248F"/>
    <w:rsid w:val="007A25B6"/>
    <w:rsid w:val="007A2685"/>
    <w:rsid w:val="007A27FF"/>
    <w:rsid w:val="007A2903"/>
    <w:rsid w:val="007A2912"/>
    <w:rsid w:val="007A2A4D"/>
    <w:rsid w:val="007A2A63"/>
    <w:rsid w:val="007A2C69"/>
    <w:rsid w:val="007A2C76"/>
    <w:rsid w:val="007A2D1C"/>
    <w:rsid w:val="007A2F82"/>
    <w:rsid w:val="007A3309"/>
    <w:rsid w:val="007A3315"/>
    <w:rsid w:val="007A3386"/>
    <w:rsid w:val="007A3564"/>
    <w:rsid w:val="007A39FF"/>
    <w:rsid w:val="007A3A49"/>
    <w:rsid w:val="007A3BFA"/>
    <w:rsid w:val="007A3CCF"/>
    <w:rsid w:val="007A3D85"/>
    <w:rsid w:val="007A3F4A"/>
    <w:rsid w:val="007A3FB1"/>
    <w:rsid w:val="007A406A"/>
    <w:rsid w:val="007A40FB"/>
    <w:rsid w:val="007A4190"/>
    <w:rsid w:val="007A41D4"/>
    <w:rsid w:val="007A41DC"/>
    <w:rsid w:val="007A432B"/>
    <w:rsid w:val="007A45F6"/>
    <w:rsid w:val="007A4674"/>
    <w:rsid w:val="007A492A"/>
    <w:rsid w:val="007A4B39"/>
    <w:rsid w:val="007A4B84"/>
    <w:rsid w:val="007A4C07"/>
    <w:rsid w:val="007A4E21"/>
    <w:rsid w:val="007A4E5E"/>
    <w:rsid w:val="007A503D"/>
    <w:rsid w:val="007A511F"/>
    <w:rsid w:val="007A51B6"/>
    <w:rsid w:val="007A5505"/>
    <w:rsid w:val="007A5695"/>
    <w:rsid w:val="007A56AE"/>
    <w:rsid w:val="007A57E3"/>
    <w:rsid w:val="007A585E"/>
    <w:rsid w:val="007A5AD4"/>
    <w:rsid w:val="007A5C5A"/>
    <w:rsid w:val="007A5C7D"/>
    <w:rsid w:val="007A5E19"/>
    <w:rsid w:val="007A5E79"/>
    <w:rsid w:val="007A5F14"/>
    <w:rsid w:val="007A604C"/>
    <w:rsid w:val="007A62DB"/>
    <w:rsid w:val="007A6322"/>
    <w:rsid w:val="007A6382"/>
    <w:rsid w:val="007A6429"/>
    <w:rsid w:val="007A6434"/>
    <w:rsid w:val="007A6443"/>
    <w:rsid w:val="007A6654"/>
    <w:rsid w:val="007A6808"/>
    <w:rsid w:val="007A6811"/>
    <w:rsid w:val="007A6850"/>
    <w:rsid w:val="007A698D"/>
    <w:rsid w:val="007A6C2E"/>
    <w:rsid w:val="007A6F81"/>
    <w:rsid w:val="007A708E"/>
    <w:rsid w:val="007A73C1"/>
    <w:rsid w:val="007A74FC"/>
    <w:rsid w:val="007A7569"/>
    <w:rsid w:val="007A7727"/>
    <w:rsid w:val="007A77B7"/>
    <w:rsid w:val="007A7887"/>
    <w:rsid w:val="007A7AA8"/>
    <w:rsid w:val="007A7B0E"/>
    <w:rsid w:val="007A7B7B"/>
    <w:rsid w:val="007A7DFE"/>
    <w:rsid w:val="007A7E7C"/>
    <w:rsid w:val="007A7FA5"/>
    <w:rsid w:val="007B028D"/>
    <w:rsid w:val="007B0403"/>
    <w:rsid w:val="007B0466"/>
    <w:rsid w:val="007B0794"/>
    <w:rsid w:val="007B07C0"/>
    <w:rsid w:val="007B0A84"/>
    <w:rsid w:val="007B0B00"/>
    <w:rsid w:val="007B0BCC"/>
    <w:rsid w:val="007B0DA0"/>
    <w:rsid w:val="007B0EE5"/>
    <w:rsid w:val="007B1075"/>
    <w:rsid w:val="007B1476"/>
    <w:rsid w:val="007B14BD"/>
    <w:rsid w:val="007B15A6"/>
    <w:rsid w:val="007B1679"/>
    <w:rsid w:val="007B1788"/>
    <w:rsid w:val="007B17E5"/>
    <w:rsid w:val="007B192E"/>
    <w:rsid w:val="007B1D25"/>
    <w:rsid w:val="007B2029"/>
    <w:rsid w:val="007B2039"/>
    <w:rsid w:val="007B218C"/>
    <w:rsid w:val="007B2276"/>
    <w:rsid w:val="007B2442"/>
    <w:rsid w:val="007B2460"/>
    <w:rsid w:val="007B24E0"/>
    <w:rsid w:val="007B25D7"/>
    <w:rsid w:val="007B26C4"/>
    <w:rsid w:val="007B2741"/>
    <w:rsid w:val="007B2763"/>
    <w:rsid w:val="007B28BD"/>
    <w:rsid w:val="007B29A8"/>
    <w:rsid w:val="007B2B98"/>
    <w:rsid w:val="007B2BE5"/>
    <w:rsid w:val="007B2C2A"/>
    <w:rsid w:val="007B31E7"/>
    <w:rsid w:val="007B3773"/>
    <w:rsid w:val="007B381A"/>
    <w:rsid w:val="007B3CBA"/>
    <w:rsid w:val="007B3D1B"/>
    <w:rsid w:val="007B3DB7"/>
    <w:rsid w:val="007B3E4C"/>
    <w:rsid w:val="007B4068"/>
    <w:rsid w:val="007B4379"/>
    <w:rsid w:val="007B4640"/>
    <w:rsid w:val="007B46E4"/>
    <w:rsid w:val="007B48DB"/>
    <w:rsid w:val="007B490D"/>
    <w:rsid w:val="007B49F0"/>
    <w:rsid w:val="007B4BAB"/>
    <w:rsid w:val="007B4C26"/>
    <w:rsid w:val="007B4C38"/>
    <w:rsid w:val="007B4CB4"/>
    <w:rsid w:val="007B4F99"/>
    <w:rsid w:val="007B5026"/>
    <w:rsid w:val="007B53A0"/>
    <w:rsid w:val="007B575C"/>
    <w:rsid w:val="007B5899"/>
    <w:rsid w:val="007B58B1"/>
    <w:rsid w:val="007B58FE"/>
    <w:rsid w:val="007B590E"/>
    <w:rsid w:val="007B5D54"/>
    <w:rsid w:val="007B5DBD"/>
    <w:rsid w:val="007B5DCE"/>
    <w:rsid w:val="007B5DFE"/>
    <w:rsid w:val="007B5E34"/>
    <w:rsid w:val="007B5E7D"/>
    <w:rsid w:val="007B5F7C"/>
    <w:rsid w:val="007B62CF"/>
    <w:rsid w:val="007B64ED"/>
    <w:rsid w:val="007B66CA"/>
    <w:rsid w:val="007B678B"/>
    <w:rsid w:val="007B6ACB"/>
    <w:rsid w:val="007B6B45"/>
    <w:rsid w:val="007B6C7E"/>
    <w:rsid w:val="007B6FD9"/>
    <w:rsid w:val="007B7222"/>
    <w:rsid w:val="007B7302"/>
    <w:rsid w:val="007B7303"/>
    <w:rsid w:val="007B731B"/>
    <w:rsid w:val="007B73A4"/>
    <w:rsid w:val="007B73BC"/>
    <w:rsid w:val="007B73E4"/>
    <w:rsid w:val="007B743C"/>
    <w:rsid w:val="007B755F"/>
    <w:rsid w:val="007B787E"/>
    <w:rsid w:val="007B7C82"/>
    <w:rsid w:val="007B7EE8"/>
    <w:rsid w:val="007C02B3"/>
    <w:rsid w:val="007C0361"/>
    <w:rsid w:val="007C03D2"/>
    <w:rsid w:val="007C043A"/>
    <w:rsid w:val="007C062A"/>
    <w:rsid w:val="007C0655"/>
    <w:rsid w:val="007C0762"/>
    <w:rsid w:val="007C07B6"/>
    <w:rsid w:val="007C0825"/>
    <w:rsid w:val="007C0A89"/>
    <w:rsid w:val="007C0C2B"/>
    <w:rsid w:val="007C0D6F"/>
    <w:rsid w:val="007C0E37"/>
    <w:rsid w:val="007C0E93"/>
    <w:rsid w:val="007C10E3"/>
    <w:rsid w:val="007C1112"/>
    <w:rsid w:val="007C1119"/>
    <w:rsid w:val="007C15AE"/>
    <w:rsid w:val="007C162F"/>
    <w:rsid w:val="007C16DF"/>
    <w:rsid w:val="007C180A"/>
    <w:rsid w:val="007C197D"/>
    <w:rsid w:val="007C1B3D"/>
    <w:rsid w:val="007C1B3F"/>
    <w:rsid w:val="007C1B6F"/>
    <w:rsid w:val="007C1EFA"/>
    <w:rsid w:val="007C2108"/>
    <w:rsid w:val="007C220D"/>
    <w:rsid w:val="007C2240"/>
    <w:rsid w:val="007C2540"/>
    <w:rsid w:val="007C26AA"/>
    <w:rsid w:val="007C27A2"/>
    <w:rsid w:val="007C27D0"/>
    <w:rsid w:val="007C29B5"/>
    <w:rsid w:val="007C2A70"/>
    <w:rsid w:val="007C2AA2"/>
    <w:rsid w:val="007C32F5"/>
    <w:rsid w:val="007C35D4"/>
    <w:rsid w:val="007C35E4"/>
    <w:rsid w:val="007C3670"/>
    <w:rsid w:val="007C387A"/>
    <w:rsid w:val="007C3E2C"/>
    <w:rsid w:val="007C4290"/>
    <w:rsid w:val="007C44BD"/>
    <w:rsid w:val="007C48B8"/>
    <w:rsid w:val="007C4906"/>
    <w:rsid w:val="007C4A72"/>
    <w:rsid w:val="007C4B2D"/>
    <w:rsid w:val="007C4DCD"/>
    <w:rsid w:val="007C5605"/>
    <w:rsid w:val="007C56CB"/>
    <w:rsid w:val="007C5747"/>
    <w:rsid w:val="007C58B9"/>
    <w:rsid w:val="007C597D"/>
    <w:rsid w:val="007C59D8"/>
    <w:rsid w:val="007C5A77"/>
    <w:rsid w:val="007C5A82"/>
    <w:rsid w:val="007C5B84"/>
    <w:rsid w:val="007C5F6D"/>
    <w:rsid w:val="007C601D"/>
    <w:rsid w:val="007C6252"/>
    <w:rsid w:val="007C632E"/>
    <w:rsid w:val="007C6330"/>
    <w:rsid w:val="007C645B"/>
    <w:rsid w:val="007C6468"/>
    <w:rsid w:val="007C64B2"/>
    <w:rsid w:val="007C6542"/>
    <w:rsid w:val="007C66D9"/>
    <w:rsid w:val="007C67AF"/>
    <w:rsid w:val="007C68F0"/>
    <w:rsid w:val="007C6977"/>
    <w:rsid w:val="007C6A4D"/>
    <w:rsid w:val="007C6AB8"/>
    <w:rsid w:val="007C6C06"/>
    <w:rsid w:val="007C6DE9"/>
    <w:rsid w:val="007C6EE4"/>
    <w:rsid w:val="007C6F3B"/>
    <w:rsid w:val="007C704E"/>
    <w:rsid w:val="007C7064"/>
    <w:rsid w:val="007C7165"/>
    <w:rsid w:val="007C71E2"/>
    <w:rsid w:val="007C7305"/>
    <w:rsid w:val="007C73DB"/>
    <w:rsid w:val="007C74CA"/>
    <w:rsid w:val="007C7551"/>
    <w:rsid w:val="007C761E"/>
    <w:rsid w:val="007C7724"/>
    <w:rsid w:val="007C79D1"/>
    <w:rsid w:val="007C7ABD"/>
    <w:rsid w:val="007C7C0B"/>
    <w:rsid w:val="007C7C28"/>
    <w:rsid w:val="007C7DC8"/>
    <w:rsid w:val="007C7FCF"/>
    <w:rsid w:val="007D02E1"/>
    <w:rsid w:val="007D03F4"/>
    <w:rsid w:val="007D04FC"/>
    <w:rsid w:val="007D054A"/>
    <w:rsid w:val="007D06E2"/>
    <w:rsid w:val="007D0896"/>
    <w:rsid w:val="007D0B07"/>
    <w:rsid w:val="007D0C2A"/>
    <w:rsid w:val="007D0DF9"/>
    <w:rsid w:val="007D0EBF"/>
    <w:rsid w:val="007D11F4"/>
    <w:rsid w:val="007D1219"/>
    <w:rsid w:val="007D14FC"/>
    <w:rsid w:val="007D14FF"/>
    <w:rsid w:val="007D164E"/>
    <w:rsid w:val="007D1747"/>
    <w:rsid w:val="007D17C4"/>
    <w:rsid w:val="007D1A92"/>
    <w:rsid w:val="007D1DC4"/>
    <w:rsid w:val="007D1DF6"/>
    <w:rsid w:val="007D1EE1"/>
    <w:rsid w:val="007D1F3D"/>
    <w:rsid w:val="007D2038"/>
    <w:rsid w:val="007D2278"/>
    <w:rsid w:val="007D2297"/>
    <w:rsid w:val="007D245C"/>
    <w:rsid w:val="007D2727"/>
    <w:rsid w:val="007D27B6"/>
    <w:rsid w:val="007D28C3"/>
    <w:rsid w:val="007D2AF9"/>
    <w:rsid w:val="007D2C47"/>
    <w:rsid w:val="007D2CA8"/>
    <w:rsid w:val="007D2CD7"/>
    <w:rsid w:val="007D2DEA"/>
    <w:rsid w:val="007D2FD5"/>
    <w:rsid w:val="007D30E6"/>
    <w:rsid w:val="007D3184"/>
    <w:rsid w:val="007D31C4"/>
    <w:rsid w:val="007D329F"/>
    <w:rsid w:val="007D3459"/>
    <w:rsid w:val="007D353D"/>
    <w:rsid w:val="007D3700"/>
    <w:rsid w:val="007D3707"/>
    <w:rsid w:val="007D37F4"/>
    <w:rsid w:val="007D3A2D"/>
    <w:rsid w:val="007D3A73"/>
    <w:rsid w:val="007D3E91"/>
    <w:rsid w:val="007D4166"/>
    <w:rsid w:val="007D4239"/>
    <w:rsid w:val="007D4271"/>
    <w:rsid w:val="007D429B"/>
    <w:rsid w:val="007D4331"/>
    <w:rsid w:val="007D437A"/>
    <w:rsid w:val="007D438D"/>
    <w:rsid w:val="007D455A"/>
    <w:rsid w:val="007D45E3"/>
    <w:rsid w:val="007D4865"/>
    <w:rsid w:val="007D4DA6"/>
    <w:rsid w:val="007D4E8A"/>
    <w:rsid w:val="007D4F65"/>
    <w:rsid w:val="007D51AE"/>
    <w:rsid w:val="007D5408"/>
    <w:rsid w:val="007D541E"/>
    <w:rsid w:val="007D5499"/>
    <w:rsid w:val="007D56D4"/>
    <w:rsid w:val="007D5BBD"/>
    <w:rsid w:val="007D5C71"/>
    <w:rsid w:val="007D5CFA"/>
    <w:rsid w:val="007D630B"/>
    <w:rsid w:val="007D6B3C"/>
    <w:rsid w:val="007D6C0E"/>
    <w:rsid w:val="007D6DCF"/>
    <w:rsid w:val="007D6E1B"/>
    <w:rsid w:val="007D6EAC"/>
    <w:rsid w:val="007D723C"/>
    <w:rsid w:val="007D724D"/>
    <w:rsid w:val="007D788A"/>
    <w:rsid w:val="007D7C75"/>
    <w:rsid w:val="007D7E2C"/>
    <w:rsid w:val="007D7F74"/>
    <w:rsid w:val="007E0113"/>
    <w:rsid w:val="007E029E"/>
    <w:rsid w:val="007E03FC"/>
    <w:rsid w:val="007E07E0"/>
    <w:rsid w:val="007E093C"/>
    <w:rsid w:val="007E0CB5"/>
    <w:rsid w:val="007E0D85"/>
    <w:rsid w:val="007E0F85"/>
    <w:rsid w:val="007E1707"/>
    <w:rsid w:val="007E1845"/>
    <w:rsid w:val="007E18C7"/>
    <w:rsid w:val="007E1D18"/>
    <w:rsid w:val="007E1E57"/>
    <w:rsid w:val="007E1EE9"/>
    <w:rsid w:val="007E1F3F"/>
    <w:rsid w:val="007E21A4"/>
    <w:rsid w:val="007E244B"/>
    <w:rsid w:val="007E24F9"/>
    <w:rsid w:val="007E260D"/>
    <w:rsid w:val="007E27A5"/>
    <w:rsid w:val="007E27B8"/>
    <w:rsid w:val="007E2877"/>
    <w:rsid w:val="007E29D8"/>
    <w:rsid w:val="007E2CD3"/>
    <w:rsid w:val="007E2DB0"/>
    <w:rsid w:val="007E3113"/>
    <w:rsid w:val="007E31E1"/>
    <w:rsid w:val="007E34AA"/>
    <w:rsid w:val="007E350D"/>
    <w:rsid w:val="007E39B9"/>
    <w:rsid w:val="007E3E06"/>
    <w:rsid w:val="007E3ECA"/>
    <w:rsid w:val="007E3F9D"/>
    <w:rsid w:val="007E4223"/>
    <w:rsid w:val="007E439E"/>
    <w:rsid w:val="007E43A4"/>
    <w:rsid w:val="007E4533"/>
    <w:rsid w:val="007E457B"/>
    <w:rsid w:val="007E4591"/>
    <w:rsid w:val="007E46F1"/>
    <w:rsid w:val="007E4780"/>
    <w:rsid w:val="007E47C9"/>
    <w:rsid w:val="007E4851"/>
    <w:rsid w:val="007E4B62"/>
    <w:rsid w:val="007E4BBB"/>
    <w:rsid w:val="007E4C98"/>
    <w:rsid w:val="007E4CE9"/>
    <w:rsid w:val="007E4E3A"/>
    <w:rsid w:val="007E5186"/>
    <w:rsid w:val="007E5193"/>
    <w:rsid w:val="007E5264"/>
    <w:rsid w:val="007E5310"/>
    <w:rsid w:val="007E536D"/>
    <w:rsid w:val="007E5381"/>
    <w:rsid w:val="007E54CD"/>
    <w:rsid w:val="007E5543"/>
    <w:rsid w:val="007E5740"/>
    <w:rsid w:val="007E57B2"/>
    <w:rsid w:val="007E5A22"/>
    <w:rsid w:val="007E5A77"/>
    <w:rsid w:val="007E5AF4"/>
    <w:rsid w:val="007E5B24"/>
    <w:rsid w:val="007E5C56"/>
    <w:rsid w:val="007E64BC"/>
    <w:rsid w:val="007E6522"/>
    <w:rsid w:val="007E6534"/>
    <w:rsid w:val="007E6591"/>
    <w:rsid w:val="007E66AC"/>
    <w:rsid w:val="007E6A07"/>
    <w:rsid w:val="007E6CA1"/>
    <w:rsid w:val="007E6D4A"/>
    <w:rsid w:val="007E6D9F"/>
    <w:rsid w:val="007E6EAB"/>
    <w:rsid w:val="007E7118"/>
    <w:rsid w:val="007E7245"/>
    <w:rsid w:val="007E739C"/>
    <w:rsid w:val="007E73C5"/>
    <w:rsid w:val="007E740D"/>
    <w:rsid w:val="007E74E0"/>
    <w:rsid w:val="007E75FC"/>
    <w:rsid w:val="007E789B"/>
    <w:rsid w:val="007E7995"/>
    <w:rsid w:val="007E79F6"/>
    <w:rsid w:val="007E7A64"/>
    <w:rsid w:val="007E7C47"/>
    <w:rsid w:val="007E7E55"/>
    <w:rsid w:val="007E7E5E"/>
    <w:rsid w:val="007E7FCE"/>
    <w:rsid w:val="007F011F"/>
    <w:rsid w:val="007F0181"/>
    <w:rsid w:val="007F0187"/>
    <w:rsid w:val="007F0261"/>
    <w:rsid w:val="007F03E1"/>
    <w:rsid w:val="007F07DB"/>
    <w:rsid w:val="007F0809"/>
    <w:rsid w:val="007F0880"/>
    <w:rsid w:val="007F0886"/>
    <w:rsid w:val="007F08E1"/>
    <w:rsid w:val="007F0A92"/>
    <w:rsid w:val="007F0DA3"/>
    <w:rsid w:val="007F0DB9"/>
    <w:rsid w:val="007F0E62"/>
    <w:rsid w:val="007F0F03"/>
    <w:rsid w:val="007F0F5D"/>
    <w:rsid w:val="007F11CD"/>
    <w:rsid w:val="007F131B"/>
    <w:rsid w:val="007F14E4"/>
    <w:rsid w:val="007F167E"/>
    <w:rsid w:val="007F17F2"/>
    <w:rsid w:val="007F1CCD"/>
    <w:rsid w:val="007F1D00"/>
    <w:rsid w:val="007F1F51"/>
    <w:rsid w:val="007F2225"/>
    <w:rsid w:val="007F2248"/>
    <w:rsid w:val="007F23AB"/>
    <w:rsid w:val="007F2424"/>
    <w:rsid w:val="007F2685"/>
    <w:rsid w:val="007F28BA"/>
    <w:rsid w:val="007F2A10"/>
    <w:rsid w:val="007F2AA3"/>
    <w:rsid w:val="007F2EB9"/>
    <w:rsid w:val="007F2EBE"/>
    <w:rsid w:val="007F300E"/>
    <w:rsid w:val="007F30BC"/>
    <w:rsid w:val="007F3192"/>
    <w:rsid w:val="007F32C5"/>
    <w:rsid w:val="007F3472"/>
    <w:rsid w:val="007F3483"/>
    <w:rsid w:val="007F3532"/>
    <w:rsid w:val="007F357D"/>
    <w:rsid w:val="007F3652"/>
    <w:rsid w:val="007F3948"/>
    <w:rsid w:val="007F3D7C"/>
    <w:rsid w:val="007F3EDF"/>
    <w:rsid w:val="007F3F3D"/>
    <w:rsid w:val="007F404F"/>
    <w:rsid w:val="007F4182"/>
    <w:rsid w:val="007F4369"/>
    <w:rsid w:val="007F4398"/>
    <w:rsid w:val="007F44B5"/>
    <w:rsid w:val="007F44E9"/>
    <w:rsid w:val="007F4679"/>
    <w:rsid w:val="007F46F7"/>
    <w:rsid w:val="007F47A6"/>
    <w:rsid w:val="007F4A31"/>
    <w:rsid w:val="007F4B29"/>
    <w:rsid w:val="007F4B9C"/>
    <w:rsid w:val="007F4D50"/>
    <w:rsid w:val="007F4DF1"/>
    <w:rsid w:val="007F4F95"/>
    <w:rsid w:val="007F5000"/>
    <w:rsid w:val="007F5027"/>
    <w:rsid w:val="007F5146"/>
    <w:rsid w:val="007F51A6"/>
    <w:rsid w:val="007F5478"/>
    <w:rsid w:val="007F55C8"/>
    <w:rsid w:val="007F5646"/>
    <w:rsid w:val="007F564A"/>
    <w:rsid w:val="007F576F"/>
    <w:rsid w:val="007F5A08"/>
    <w:rsid w:val="007F5EE1"/>
    <w:rsid w:val="007F5F2B"/>
    <w:rsid w:val="007F5F2D"/>
    <w:rsid w:val="007F614F"/>
    <w:rsid w:val="007F624E"/>
    <w:rsid w:val="007F655D"/>
    <w:rsid w:val="007F6750"/>
    <w:rsid w:val="007F68ED"/>
    <w:rsid w:val="007F6A44"/>
    <w:rsid w:val="007F6A95"/>
    <w:rsid w:val="007F6FFF"/>
    <w:rsid w:val="007F7095"/>
    <w:rsid w:val="007F7238"/>
    <w:rsid w:val="007F761F"/>
    <w:rsid w:val="007F777A"/>
    <w:rsid w:val="007F7B97"/>
    <w:rsid w:val="007F7BFB"/>
    <w:rsid w:val="007F7C44"/>
    <w:rsid w:val="007F7C6E"/>
    <w:rsid w:val="007F7C98"/>
    <w:rsid w:val="007F7CDD"/>
    <w:rsid w:val="007F7EFE"/>
    <w:rsid w:val="007F7F10"/>
    <w:rsid w:val="00800073"/>
    <w:rsid w:val="008000B0"/>
    <w:rsid w:val="00800122"/>
    <w:rsid w:val="00800199"/>
    <w:rsid w:val="008001C8"/>
    <w:rsid w:val="008003BE"/>
    <w:rsid w:val="0080066D"/>
    <w:rsid w:val="008008FC"/>
    <w:rsid w:val="00800A57"/>
    <w:rsid w:val="00800ADA"/>
    <w:rsid w:val="00800C53"/>
    <w:rsid w:val="00800D19"/>
    <w:rsid w:val="00800E1B"/>
    <w:rsid w:val="00801199"/>
    <w:rsid w:val="008013B1"/>
    <w:rsid w:val="00801403"/>
    <w:rsid w:val="008015B4"/>
    <w:rsid w:val="00801910"/>
    <w:rsid w:val="00801D3B"/>
    <w:rsid w:val="00801D57"/>
    <w:rsid w:val="00801FA8"/>
    <w:rsid w:val="00802063"/>
    <w:rsid w:val="00802236"/>
    <w:rsid w:val="0080228F"/>
    <w:rsid w:val="0080250E"/>
    <w:rsid w:val="008025EB"/>
    <w:rsid w:val="00802638"/>
    <w:rsid w:val="0080269B"/>
    <w:rsid w:val="008026EF"/>
    <w:rsid w:val="008027FB"/>
    <w:rsid w:val="008028B1"/>
    <w:rsid w:val="008028BD"/>
    <w:rsid w:val="00802A2D"/>
    <w:rsid w:val="00802ACE"/>
    <w:rsid w:val="00802B31"/>
    <w:rsid w:val="00802C97"/>
    <w:rsid w:val="00802D11"/>
    <w:rsid w:val="00802D3C"/>
    <w:rsid w:val="00802E42"/>
    <w:rsid w:val="00802EB4"/>
    <w:rsid w:val="00803075"/>
    <w:rsid w:val="008034A5"/>
    <w:rsid w:val="008035AC"/>
    <w:rsid w:val="00803886"/>
    <w:rsid w:val="008038A2"/>
    <w:rsid w:val="008039FC"/>
    <w:rsid w:val="00803AC8"/>
    <w:rsid w:val="00803BAF"/>
    <w:rsid w:val="00803F81"/>
    <w:rsid w:val="008040D4"/>
    <w:rsid w:val="0080438F"/>
    <w:rsid w:val="008043A6"/>
    <w:rsid w:val="008043CB"/>
    <w:rsid w:val="00804570"/>
    <w:rsid w:val="00804573"/>
    <w:rsid w:val="00804644"/>
    <w:rsid w:val="0080468D"/>
    <w:rsid w:val="008046A0"/>
    <w:rsid w:val="00804701"/>
    <w:rsid w:val="008047A9"/>
    <w:rsid w:val="00804A32"/>
    <w:rsid w:val="00804C23"/>
    <w:rsid w:val="00804C98"/>
    <w:rsid w:val="0080502A"/>
    <w:rsid w:val="00805191"/>
    <w:rsid w:val="008053B9"/>
    <w:rsid w:val="00805590"/>
    <w:rsid w:val="00805638"/>
    <w:rsid w:val="0080574B"/>
    <w:rsid w:val="00805BA0"/>
    <w:rsid w:val="00805DB4"/>
    <w:rsid w:val="00805FF6"/>
    <w:rsid w:val="00806014"/>
    <w:rsid w:val="008060ED"/>
    <w:rsid w:val="008061CB"/>
    <w:rsid w:val="00806294"/>
    <w:rsid w:val="0080684C"/>
    <w:rsid w:val="00806879"/>
    <w:rsid w:val="00806951"/>
    <w:rsid w:val="00806B7F"/>
    <w:rsid w:val="00806BE0"/>
    <w:rsid w:val="00806C0A"/>
    <w:rsid w:val="00806C87"/>
    <w:rsid w:val="00806F28"/>
    <w:rsid w:val="00807053"/>
    <w:rsid w:val="0080722E"/>
    <w:rsid w:val="0080731C"/>
    <w:rsid w:val="008073C7"/>
    <w:rsid w:val="0080749C"/>
    <w:rsid w:val="00807631"/>
    <w:rsid w:val="008076B3"/>
    <w:rsid w:val="008076B4"/>
    <w:rsid w:val="00807723"/>
    <w:rsid w:val="008079DA"/>
    <w:rsid w:val="00807A4D"/>
    <w:rsid w:val="00807C46"/>
    <w:rsid w:val="00807D5C"/>
    <w:rsid w:val="00807FA8"/>
    <w:rsid w:val="00810073"/>
    <w:rsid w:val="0081019C"/>
    <w:rsid w:val="008103C7"/>
    <w:rsid w:val="00810434"/>
    <w:rsid w:val="008104E9"/>
    <w:rsid w:val="00810558"/>
    <w:rsid w:val="0081065B"/>
    <w:rsid w:val="0081074C"/>
    <w:rsid w:val="00810846"/>
    <w:rsid w:val="0081086E"/>
    <w:rsid w:val="00810993"/>
    <w:rsid w:val="00810A37"/>
    <w:rsid w:val="00810D49"/>
    <w:rsid w:val="00810D96"/>
    <w:rsid w:val="00810D9C"/>
    <w:rsid w:val="00810E20"/>
    <w:rsid w:val="00810E73"/>
    <w:rsid w:val="00810F0D"/>
    <w:rsid w:val="0081100E"/>
    <w:rsid w:val="00811104"/>
    <w:rsid w:val="008111FE"/>
    <w:rsid w:val="0081135C"/>
    <w:rsid w:val="008117B9"/>
    <w:rsid w:val="00811A66"/>
    <w:rsid w:val="00811BAA"/>
    <w:rsid w:val="00811DE4"/>
    <w:rsid w:val="00812015"/>
    <w:rsid w:val="00812035"/>
    <w:rsid w:val="00812063"/>
    <w:rsid w:val="00812148"/>
    <w:rsid w:val="00812197"/>
    <w:rsid w:val="008123DA"/>
    <w:rsid w:val="0081273A"/>
    <w:rsid w:val="0081281D"/>
    <w:rsid w:val="0081293C"/>
    <w:rsid w:val="0081294E"/>
    <w:rsid w:val="00812998"/>
    <w:rsid w:val="00812A14"/>
    <w:rsid w:val="00812A8A"/>
    <w:rsid w:val="00812BAF"/>
    <w:rsid w:val="00812CFE"/>
    <w:rsid w:val="00812D1E"/>
    <w:rsid w:val="00812DA7"/>
    <w:rsid w:val="00812FF4"/>
    <w:rsid w:val="0081316A"/>
    <w:rsid w:val="008131CF"/>
    <w:rsid w:val="0081334F"/>
    <w:rsid w:val="008133D3"/>
    <w:rsid w:val="00813482"/>
    <w:rsid w:val="008134A8"/>
    <w:rsid w:val="0081351E"/>
    <w:rsid w:val="00813605"/>
    <w:rsid w:val="00813678"/>
    <w:rsid w:val="00813794"/>
    <w:rsid w:val="00813AEC"/>
    <w:rsid w:val="00813B3D"/>
    <w:rsid w:val="00813B41"/>
    <w:rsid w:val="00813C0F"/>
    <w:rsid w:val="00813CAF"/>
    <w:rsid w:val="00813D26"/>
    <w:rsid w:val="00813EA8"/>
    <w:rsid w:val="00813F7C"/>
    <w:rsid w:val="008141CB"/>
    <w:rsid w:val="008143F6"/>
    <w:rsid w:val="0081442E"/>
    <w:rsid w:val="00814661"/>
    <w:rsid w:val="008147E5"/>
    <w:rsid w:val="008149F0"/>
    <w:rsid w:val="00814BA0"/>
    <w:rsid w:val="00814C9C"/>
    <w:rsid w:val="00814F38"/>
    <w:rsid w:val="0081505C"/>
    <w:rsid w:val="00815116"/>
    <w:rsid w:val="0081514F"/>
    <w:rsid w:val="008151D9"/>
    <w:rsid w:val="00815324"/>
    <w:rsid w:val="0081533C"/>
    <w:rsid w:val="00815362"/>
    <w:rsid w:val="00815374"/>
    <w:rsid w:val="0081542C"/>
    <w:rsid w:val="0081551C"/>
    <w:rsid w:val="00815596"/>
    <w:rsid w:val="008157E2"/>
    <w:rsid w:val="00815870"/>
    <w:rsid w:val="008158FC"/>
    <w:rsid w:val="00815906"/>
    <w:rsid w:val="00815A10"/>
    <w:rsid w:val="00815A5E"/>
    <w:rsid w:val="00815D95"/>
    <w:rsid w:val="00815F3D"/>
    <w:rsid w:val="00816061"/>
    <w:rsid w:val="00816242"/>
    <w:rsid w:val="00816282"/>
    <w:rsid w:val="008167D6"/>
    <w:rsid w:val="00816876"/>
    <w:rsid w:val="00816997"/>
    <w:rsid w:val="00816AC6"/>
    <w:rsid w:val="00816DCF"/>
    <w:rsid w:val="00816E89"/>
    <w:rsid w:val="00816E8F"/>
    <w:rsid w:val="00816F47"/>
    <w:rsid w:val="0081704D"/>
    <w:rsid w:val="008170AB"/>
    <w:rsid w:val="008170D2"/>
    <w:rsid w:val="0081728C"/>
    <w:rsid w:val="008173FD"/>
    <w:rsid w:val="00817477"/>
    <w:rsid w:val="008174B8"/>
    <w:rsid w:val="00817938"/>
    <w:rsid w:val="00817963"/>
    <w:rsid w:val="00817B44"/>
    <w:rsid w:val="00817BE7"/>
    <w:rsid w:val="00817F45"/>
    <w:rsid w:val="00817F59"/>
    <w:rsid w:val="00817F7D"/>
    <w:rsid w:val="00817FDC"/>
    <w:rsid w:val="00820045"/>
    <w:rsid w:val="0082007C"/>
    <w:rsid w:val="008200D5"/>
    <w:rsid w:val="00820201"/>
    <w:rsid w:val="008203E1"/>
    <w:rsid w:val="00820449"/>
    <w:rsid w:val="00820478"/>
    <w:rsid w:val="00820487"/>
    <w:rsid w:val="008204D8"/>
    <w:rsid w:val="008206A8"/>
    <w:rsid w:val="00820753"/>
    <w:rsid w:val="00820798"/>
    <w:rsid w:val="00820864"/>
    <w:rsid w:val="008208DD"/>
    <w:rsid w:val="00820A1E"/>
    <w:rsid w:val="00820AB8"/>
    <w:rsid w:val="00820B4E"/>
    <w:rsid w:val="00820D8E"/>
    <w:rsid w:val="00820EE6"/>
    <w:rsid w:val="008210FC"/>
    <w:rsid w:val="00821174"/>
    <w:rsid w:val="00821218"/>
    <w:rsid w:val="0082126E"/>
    <w:rsid w:val="008212CB"/>
    <w:rsid w:val="0082138E"/>
    <w:rsid w:val="008214E6"/>
    <w:rsid w:val="00821515"/>
    <w:rsid w:val="00821786"/>
    <w:rsid w:val="00821B78"/>
    <w:rsid w:val="00821C3D"/>
    <w:rsid w:val="00821E0A"/>
    <w:rsid w:val="008221F4"/>
    <w:rsid w:val="00822210"/>
    <w:rsid w:val="00822452"/>
    <w:rsid w:val="00822470"/>
    <w:rsid w:val="00822939"/>
    <w:rsid w:val="008229C2"/>
    <w:rsid w:val="00822C02"/>
    <w:rsid w:val="00822F5B"/>
    <w:rsid w:val="00823115"/>
    <w:rsid w:val="00823399"/>
    <w:rsid w:val="008233B2"/>
    <w:rsid w:val="0082343C"/>
    <w:rsid w:val="00823582"/>
    <w:rsid w:val="0082363D"/>
    <w:rsid w:val="0082364B"/>
    <w:rsid w:val="008236BD"/>
    <w:rsid w:val="00823783"/>
    <w:rsid w:val="008238E8"/>
    <w:rsid w:val="0082394B"/>
    <w:rsid w:val="00823A0D"/>
    <w:rsid w:val="00823A16"/>
    <w:rsid w:val="00823A48"/>
    <w:rsid w:val="00823D06"/>
    <w:rsid w:val="00823D66"/>
    <w:rsid w:val="00823E8B"/>
    <w:rsid w:val="00823EBA"/>
    <w:rsid w:val="0082421B"/>
    <w:rsid w:val="008243B5"/>
    <w:rsid w:val="00824404"/>
    <w:rsid w:val="00824ABB"/>
    <w:rsid w:val="00824BD5"/>
    <w:rsid w:val="00824C28"/>
    <w:rsid w:val="00824C4F"/>
    <w:rsid w:val="00824C98"/>
    <w:rsid w:val="00824D58"/>
    <w:rsid w:val="00824DD5"/>
    <w:rsid w:val="00824EA2"/>
    <w:rsid w:val="00824EC5"/>
    <w:rsid w:val="00824F1A"/>
    <w:rsid w:val="00824FE3"/>
    <w:rsid w:val="00825181"/>
    <w:rsid w:val="008252B6"/>
    <w:rsid w:val="00825313"/>
    <w:rsid w:val="00825321"/>
    <w:rsid w:val="008254EE"/>
    <w:rsid w:val="00825B92"/>
    <w:rsid w:val="00825ED9"/>
    <w:rsid w:val="00825F86"/>
    <w:rsid w:val="008260A5"/>
    <w:rsid w:val="008260D0"/>
    <w:rsid w:val="00826490"/>
    <w:rsid w:val="00826712"/>
    <w:rsid w:val="00826760"/>
    <w:rsid w:val="008268EA"/>
    <w:rsid w:val="00826A89"/>
    <w:rsid w:val="00826E50"/>
    <w:rsid w:val="00826E97"/>
    <w:rsid w:val="0082707C"/>
    <w:rsid w:val="00827349"/>
    <w:rsid w:val="00827401"/>
    <w:rsid w:val="008274E7"/>
    <w:rsid w:val="008275F0"/>
    <w:rsid w:val="0082765D"/>
    <w:rsid w:val="008276A7"/>
    <w:rsid w:val="00827726"/>
    <w:rsid w:val="00827792"/>
    <w:rsid w:val="008277F1"/>
    <w:rsid w:val="00827840"/>
    <w:rsid w:val="008278AC"/>
    <w:rsid w:val="00827A2F"/>
    <w:rsid w:val="00827A33"/>
    <w:rsid w:val="00827C2A"/>
    <w:rsid w:val="00827DB2"/>
    <w:rsid w:val="00827FB0"/>
    <w:rsid w:val="008301FA"/>
    <w:rsid w:val="008302C4"/>
    <w:rsid w:val="00830306"/>
    <w:rsid w:val="00830321"/>
    <w:rsid w:val="00830524"/>
    <w:rsid w:val="008305DF"/>
    <w:rsid w:val="0083065C"/>
    <w:rsid w:val="00830A53"/>
    <w:rsid w:val="00830AB7"/>
    <w:rsid w:val="00830B53"/>
    <w:rsid w:val="00830BC6"/>
    <w:rsid w:val="00830BEB"/>
    <w:rsid w:val="00830C27"/>
    <w:rsid w:val="00830DDE"/>
    <w:rsid w:val="00830E71"/>
    <w:rsid w:val="008313E5"/>
    <w:rsid w:val="00831781"/>
    <w:rsid w:val="008319A1"/>
    <w:rsid w:val="00831A37"/>
    <w:rsid w:val="00831B51"/>
    <w:rsid w:val="00831B96"/>
    <w:rsid w:val="00831CCC"/>
    <w:rsid w:val="00831D6F"/>
    <w:rsid w:val="00831DA6"/>
    <w:rsid w:val="00831F7D"/>
    <w:rsid w:val="00832321"/>
    <w:rsid w:val="00832351"/>
    <w:rsid w:val="00832965"/>
    <w:rsid w:val="00832F26"/>
    <w:rsid w:val="00833343"/>
    <w:rsid w:val="00833447"/>
    <w:rsid w:val="008335C6"/>
    <w:rsid w:val="008337B7"/>
    <w:rsid w:val="00833961"/>
    <w:rsid w:val="00833A06"/>
    <w:rsid w:val="00833A2D"/>
    <w:rsid w:val="00833C5A"/>
    <w:rsid w:val="00833E00"/>
    <w:rsid w:val="00833E9C"/>
    <w:rsid w:val="00833FD8"/>
    <w:rsid w:val="00834070"/>
    <w:rsid w:val="00834087"/>
    <w:rsid w:val="0083410B"/>
    <w:rsid w:val="0083410E"/>
    <w:rsid w:val="00834176"/>
    <w:rsid w:val="008345EF"/>
    <w:rsid w:val="00834713"/>
    <w:rsid w:val="008348D8"/>
    <w:rsid w:val="00834A9E"/>
    <w:rsid w:val="00834AE8"/>
    <w:rsid w:val="00834D9E"/>
    <w:rsid w:val="00834DF2"/>
    <w:rsid w:val="00834E18"/>
    <w:rsid w:val="00834F73"/>
    <w:rsid w:val="00835035"/>
    <w:rsid w:val="0083526E"/>
    <w:rsid w:val="0083558F"/>
    <w:rsid w:val="00835633"/>
    <w:rsid w:val="0083564D"/>
    <w:rsid w:val="00835A2E"/>
    <w:rsid w:val="00835CDB"/>
    <w:rsid w:val="00835D69"/>
    <w:rsid w:val="00835E48"/>
    <w:rsid w:val="00835F64"/>
    <w:rsid w:val="00835FA8"/>
    <w:rsid w:val="008361A6"/>
    <w:rsid w:val="0083627D"/>
    <w:rsid w:val="0083637C"/>
    <w:rsid w:val="008365B8"/>
    <w:rsid w:val="00836772"/>
    <w:rsid w:val="008367A9"/>
    <w:rsid w:val="0083685F"/>
    <w:rsid w:val="008369B6"/>
    <w:rsid w:val="00836C02"/>
    <w:rsid w:val="00836C54"/>
    <w:rsid w:val="00836D45"/>
    <w:rsid w:val="00836EA8"/>
    <w:rsid w:val="00836F0F"/>
    <w:rsid w:val="00836FFE"/>
    <w:rsid w:val="0083705B"/>
    <w:rsid w:val="008376D9"/>
    <w:rsid w:val="00837922"/>
    <w:rsid w:val="00837A3F"/>
    <w:rsid w:val="00837AB7"/>
    <w:rsid w:val="00837ABB"/>
    <w:rsid w:val="00837BFA"/>
    <w:rsid w:val="00837C1A"/>
    <w:rsid w:val="00837CC0"/>
    <w:rsid w:val="00837D76"/>
    <w:rsid w:val="00837E4C"/>
    <w:rsid w:val="00837F39"/>
    <w:rsid w:val="00840098"/>
    <w:rsid w:val="0084010D"/>
    <w:rsid w:val="008401CD"/>
    <w:rsid w:val="0084029E"/>
    <w:rsid w:val="0084036A"/>
    <w:rsid w:val="008404E9"/>
    <w:rsid w:val="00840524"/>
    <w:rsid w:val="00840637"/>
    <w:rsid w:val="008406FA"/>
    <w:rsid w:val="008408E4"/>
    <w:rsid w:val="0084093E"/>
    <w:rsid w:val="00840B32"/>
    <w:rsid w:val="00840C7B"/>
    <w:rsid w:val="00840DAE"/>
    <w:rsid w:val="008410A0"/>
    <w:rsid w:val="00841165"/>
    <w:rsid w:val="0084119B"/>
    <w:rsid w:val="008411F1"/>
    <w:rsid w:val="0084169C"/>
    <w:rsid w:val="00841950"/>
    <w:rsid w:val="00841A80"/>
    <w:rsid w:val="00841E5F"/>
    <w:rsid w:val="00841F83"/>
    <w:rsid w:val="0084205F"/>
    <w:rsid w:val="0084215E"/>
    <w:rsid w:val="00842278"/>
    <w:rsid w:val="00842381"/>
    <w:rsid w:val="008423D3"/>
    <w:rsid w:val="008423DB"/>
    <w:rsid w:val="0084251A"/>
    <w:rsid w:val="00842522"/>
    <w:rsid w:val="008425F7"/>
    <w:rsid w:val="00842606"/>
    <w:rsid w:val="008428FC"/>
    <w:rsid w:val="00842923"/>
    <w:rsid w:val="00842978"/>
    <w:rsid w:val="00842A46"/>
    <w:rsid w:val="00842A7E"/>
    <w:rsid w:val="00842BB9"/>
    <w:rsid w:val="00842D58"/>
    <w:rsid w:val="00843063"/>
    <w:rsid w:val="008430FD"/>
    <w:rsid w:val="00843389"/>
    <w:rsid w:val="0084347A"/>
    <w:rsid w:val="008436DB"/>
    <w:rsid w:val="00843724"/>
    <w:rsid w:val="00843974"/>
    <w:rsid w:val="00843BCD"/>
    <w:rsid w:val="00843C2E"/>
    <w:rsid w:val="00843D8A"/>
    <w:rsid w:val="00843F99"/>
    <w:rsid w:val="0084402C"/>
    <w:rsid w:val="008440D3"/>
    <w:rsid w:val="00844382"/>
    <w:rsid w:val="008446A1"/>
    <w:rsid w:val="00844789"/>
    <w:rsid w:val="008447BE"/>
    <w:rsid w:val="0084485E"/>
    <w:rsid w:val="00844ACC"/>
    <w:rsid w:val="00844B3E"/>
    <w:rsid w:val="00844DD7"/>
    <w:rsid w:val="00844F9F"/>
    <w:rsid w:val="0084505D"/>
    <w:rsid w:val="00845194"/>
    <w:rsid w:val="00845209"/>
    <w:rsid w:val="008453E6"/>
    <w:rsid w:val="00845429"/>
    <w:rsid w:val="00845589"/>
    <w:rsid w:val="00845827"/>
    <w:rsid w:val="008458B3"/>
    <w:rsid w:val="008458E2"/>
    <w:rsid w:val="00845B5C"/>
    <w:rsid w:val="00845DEE"/>
    <w:rsid w:val="00845E67"/>
    <w:rsid w:val="00846012"/>
    <w:rsid w:val="0084608F"/>
    <w:rsid w:val="008460E4"/>
    <w:rsid w:val="008461E2"/>
    <w:rsid w:val="00846309"/>
    <w:rsid w:val="00846343"/>
    <w:rsid w:val="00846461"/>
    <w:rsid w:val="0084648C"/>
    <w:rsid w:val="008465FB"/>
    <w:rsid w:val="008467B1"/>
    <w:rsid w:val="008467D0"/>
    <w:rsid w:val="0084698E"/>
    <w:rsid w:val="008469CD"/>
    <w:rsid w:val="00846A8A"/>
    <w:rsid w:val="00846C6A"/>
    <w:rsid w:val="00846CA3"/>
    <w:rsid w:val="00846F89"/>
    <w:rsid w:val="008471D4"/>
    <w:rsid w:val="008471E9"/>
    <w:rsid w:val="008472AA"/>
    <w:rsid w:val="008475B7"/>
    <w:rsid w:val="008476FA"/>
    <w:rsid w:val="00847912"/>
    <w:rsid w:val="00847919"/>
    <w:rsid w:val="008479E3"/>
    <w:rsid w:val="008479EF"/>
    <w:rsid w:val="00847AE5"/>
    <w:rsid w:val="00847B5D"/>
    <w:rsid w:val="00847C00"/>
    <w:rsid w:val="00847C31"/>
    <w:rsid w:val="00847CEE"/>
    <w:rsid w:val="00847D4A"/>
    <w:rsid w:val="00847F41"/>
    <w:rsid w:val="0085011C"/>
    <w:rsid w:val="008504B8"/>
    <w:rsid w:val="008507EA"/>
    <w:rsid w:val="0085094A"/>
    <w:rsid w:val="00850AD7"/>
    <w:rsid w:val="00850B4E"/>
    <w:rsid w:val="00850BB2"/>
    <w:rsid w:val="00850CBC"/>
    <w:rsid w:val="00850D1E"/>
    <w:rsid w:val="00850E50"/>
    <w:rsid w:val="00850E98"/>
    <w:rsid w:val="00851007"/>
    <w:rsid w:val="0085133F"/>
    <w:rsid w:val="008513E0"/>
    <w:rsid w:val="00851834"/>
    <w:rsid w:val="0085185D"/>
    <w:rsid w:val="00851967"/>
    <w:rsid w:val="008519E1"/>
    <w:rsid w:val="00851A90"/>
    <w:rsid w:val="00851B0D"/>
    <w:rsid w:val="00851D1B"/>
    <w:rsid w:val="00851DC0"/>
    <w:rsid w:val="00851E61"/>
    <w:rsid w:val="00851FA2"/>
    <w:rsid w:val="00851FB8"/>
    <w:rsid w:val="008522D4"/>
    <w:rsid w:val="00852638"/>
    <w:rsid w:val="0085263C"/>
    <w:rsid w:val="00852679"/>
    <w:rsid w:val="008528E4"/>
    <w:rsid w:val="00852964"/>
    <w:rsid w:val="008529CD"/>
    <w:rsid w:val="00852A5A"/>
    <w:rsid w:val="00852E24"/>
    <w:rsid w:val="00852E9A"/>
    <w:rsid w:val="00852F6F"/>
    <w:rsid w:val="0085318F"/>
    <w:rsid w:val="00853530"/>
    <w:rsid w:val="008535A1"/>
    <w:rsid w:val="00853638"/>
    <w:rsid w:val="008536AC"/>
    <w:rsid w:val="0085381A"/>
    <w:rsid w:val="00853906"/>
    <w:rsid w:val="00853952"/>
    <w:rsid w:val="00853A4D"/>
    <w:rsid w:val="00853BC9"/>
    <w:rsid w:val="00853DEF"/>
    <w:rsid w:val="00854063"/>
    <w:rsid w:val="0085410E"/>
    <w:rsid w:val="00854236"/>
    <w:rsid w:val="00854644"/>
    <w:rsid w:val="008546A6"/>
    <w:rsid w:val="008546EF"/>
    <w:rsid w:val="008548DC"/>
    <w:rsid w:val="008549C7"/>
    <w:rsid w:val="008549DB"/>
    <w:rsid w:val="00854A28"/>
    <w:rsid w:val="00854BBA"/>
    <w:rsid w:val="00854C8C"/>
    <w:rsid w:val="00854CDA"/>
    <w:rsid w:val="00854D09"/>
    <w:rsid w:val="00854D77"/>
    <w:rsid w:val="00854EE5"/>
    <w:rsid w:val="00855037"/>
    <w:rsid w:val="008551E9"/>
    <w:rsid w:val="0085531A"/>
    <w:rsid w:val="008553E5"/>
    <w:rsid w:val="008553F2"/>
    <w:rsid w:val="008554A9"/>
    <w:rsid w:val="008554C9"/>
    <w:rsid w:val="008557D2"/>
    <w:rsid w:val="00855831"/>
    <w:rsid w:val="0085587B"/>
    <w:rsid w:val="00855908"/>
    <w:rsid w:val="00855ABE"/>
    <w:rsid w:val="00855CB6"/>
    <w:rsid w:val="00855EA7"/>
    <w:rsid w:val="00855FF1"/>
    <w:rsid w:val="00855FFA"/>
    <w:rsid w:val="008560D4"/>
    <w:rsid w:val="0085632C"/>
    <w:rsid w:val="0085640E"/>
    <w:rsid w:val="00856423"/>
    <w:rsid w:val="008564C2"/>
    <w:rsid w:val="008565E0"/>
    <w:rsid w:val="0085665D"/>
    <w:rsid w:val="00856A14"/>
    <w:rsid w:val="00856B7B"/>
    <w:rsid w:val="00856BA1"/>
    <w:rsid w:val="00856BA2"/>
    <w:rsid w:val="00856C22"/>
    <w:rsid w:val="00857119"/>
    <w:rsid w:val="008572CA"/>
    <w:rsid w:val="00857440"/>
    <w:rsid w:val="00857448"/>
    <w:rsid w:val="00857562"/>
    <w:rsid w:val="00857598"/>
    <w:rsid w:val="008575FA"/>
    <w:rsid w:val="00857958"/>
    <w:rsid w:val="00857B27"/>
    <w:rsid w:val="00860151"/>
    <w:rsid w:val="0086038E"/>
    <w:rsid w:val="00860484"/>
    <w:rsid w:val="0086048B"/>
    <w:rsid w:val="0086073F"/>
    <w:rsid w:val="00860D50"/>
    <w:rsid w:val="00860D8F"/>
    <w:rsid w:val="0086131D"/>
    <w:rsid w:val="00861561"/>
    <w:rsid w:val="008615E4"/>
    <w:rsid w:val="0086184E"/>
    <w:rsid w:val="00861896"/>
    <w:rsid w:val="008619D0"/>
    <w:rsid w:val="008619DB"/>
    <w:rsid w:val="00861A8D"/>
    <w:rsid w:val="00861ACD"/>
    <w:rsid w:val="00861CBE"/>
    <w:rsid w:val="00861E10"/>
    <w:rsid w:val="00861E1B"/>
    <w:rsid w:val="00861EED"/>
    <w:rsid w:val="00861FAF"/>
    <w:rsid w:val="00861FFC"/>
    <w:rsid w:val="00862014"/>
    <w:rsid w:val="00862339"/>
    <w:rsid w:val="00862362"/>
    <w:rsid w:val="008624AB"/>
    <w:rsid w:val="008624E1"/>
    <w:rsid w:val="00862647"/>
    <w:rsid w:val="008627E4"/>
    <w:rsid w:val="00862964"/>
    <w:rsid w:val="0086299C"/>
    <w:rsid w:val="008629CC"/>
    <w:rsid w:val="008629E7"/>
    <w:rsid w:val="00862B97"/>
    <w:rsid w:val="00862CBA"/>
    <w:rsid w:val="00862FAE"/>
    <w:rsid w:val="00862FB1"/>
    <w:rsid w:val="008631E4"/>
    <w:rsid w:val="008632D3"/>
    <w:rsid w:val="00863347"/>
    <w:rsid w:val="00863507"/>
    <w:rsid w:val="00863623"/>
    <w:rsid w:val="008636FC"/>
    <w:rsid w:val="0086373B"/>
    <w:rsid w:val="0086388A"/>
    <w:rsid w:val="008638D6"/>
    <w:rsid w:val="00863B26"/>
    <w:rsid w:val="00863B52"/>
    <w:rsid w:val="0086401B"/>
    <w:rsid w:val="008640C9"/>
    <w:rsid w:val="008641FB"/>
    <w:rsid w:val="00864286"/>
    <w:rsid w:val="008642F9"/>
    <w:rsid w:val="0086443B"/>
    <w:rsid w:val="008644A1"/>
    <w:rsid w:val="0086487D"/>
    <w:rsid w:val="00864A26"/>
    <w:rsid w:val="00864ABA"/>
    <w:rsid w:val="00864B0E"/>
    <w:rsid w:val="00864B86"/>
    <w:rsid w:val="00864E39"/>
    <w:rsid w:val="00864FEC"/>
    <w:rsid w:val="0086513A"/>
    <w:rsid w:val="008651FA"/>
    <w:rsid w:val="00865459"/>
    <w:rsid w:val="008654BB"/>
    <w:rsid w:val="00865530"/>
    <w:rsid w:val="0086553A"/>
    <w:rsid w:val="008656FD"/>
    <w:rsid w:val="00865863"/>
    <w:rsid w:val="0086587F"/>
    <w:rsid w:val="00865919"/>
    <w:rsid w:val="0086595A"/>
    <w:rsid w:val="00865C31"/>
    <w:rsid w:val="00865C5F"/>
    <w:rsid w:val="00865E12"/>
    <w:rsid w:val="00865E2B"/>
    <w:rsid w:val="00865FB5"/>
    <w:rsid w:val="00866029"/>
    <w:rsid w:val="008660CA"/>
    <w:rsid w:val="0086624D"/>
    <w:rsid w:val="008667E7"/>
    <w:rsid w:val="008668BD"/>
    <w:rsid w:val="00866910"/>
    <w:rsid w:val="00866C08"/>
    <w:rsid w:val="00866E95"/>
    <w:rsid w:val="00866EA6"/>
    <w:rsid w:val="00867235"/>
    <w:rsid w:val="008672E2"/>
    <w:rsid w:val="00867308"/>
    <w:rsid w:val="008674DD"/>
    <w:rsid w:val="00867521"/>
    <w:rsid w:val="0086787B"/>
    <w:rsid w:val="00867893"/>
    <w:rsid w:val="008678B4"/>
    <w:rsid w:val="0086790A"/>
    <w:rsid w:val="00867A6F"/>
    <w:rsid w:val="00867ADE"/>
    <w:rsid w:val="00867AED"/>
    <w:rsid w:val="00867B60"/>
    <w:rsid w:val="00867B90"/>
    <w:rsid w:val="00867E2B"/>
    <w:rsid w:val="00867E79"/>
    <w:rsid w:val="00867F13"/>
    <w:rsid w:val="008700AC"/>
    <w:rsid w:val="0087011D"/>
    <w:rsid w:val="00870245"/>
    <w:rsid w:val="00870484"/>
    <w:rsid w:val="00870490"/>
    <w:rsid w:val="008704B2"/>
    <w:rsid w:val="008705AA"/>
    <w:rsid w:val="008705C0"/>
    <w:rsid w:val="00870674"/>
    <w:rsid w:val="008706AD"/>
    <w:rsid w:val="008706E0"/>
    <w:rsid w:val="008708DB"/>
    <w:rsid w:val="008709B3"/>
    <w:rsid w:val="00870D5F"/>
    <w:rsid w:val="00870EEE"/>
    <w:rsid w:val="00870FEF"/>
    <w:rsid w:val="0087111C"/>
    <w:rsid w:val="00871243"/>
    <w:rsid w:val="008712AB"/>
    <w:rsid w:val="0087136D"/>
    <w:rsid w:val="00871419"/>
    <w:rsid w:val="008714C2"/>
    <w:rsid w:val="008714F7"/>
    <w:rsid w:val="008715D9"/>
    <w:rsid w:val="008715F6"/>
    <w:rsid w:val="008715FF"/>
    <w:rsid w:val="00871605"/>
    <w:rsid w:val="00871778"/>
    <w:rsid w:val="00871AA8"/>
    <w:rsid w:val="00871B7A"/>
    <w:rsid w:val="00871C23"/>
    <w:rsid w:val="00871C83"/>
    <w:rsid w:val="00871CFA"/>
    <w:rsid w:val="00871E70"/>
    <w:rsid w:val="00871ED1"/>
    <w:rsid w:val="00872038"/>
    <w:rsid w:val="0087215B"/>
    <w:rsid w:val="008721E6"/>
    <w:rsid w:val="00872222"/>
    <w:rsid w:val="00872303"/>
    <w:rsid w:val="008725D6"/>
    <w:rsid w:val="008727DC"/>
    <w:rsid w:val="008727FF"/>
    <w:rsid w:val="0087282D"/>
    <w:rsid w:val="0087284B"/>
    <w:rsid w:val="00872940"/>
    <w:rsid w:val="00872A3C"/>
    <w:rsid w:val="00872A45"/>
    <w:rsid w:val="00872A7C"/>
    <w:rsid w:val="00872B26"/>
    <w:rsid w:val="00872C71"/>
    <w:rsid w:val="0087309D"/>
    <w:rsid w:val="0087309F"/>
    <w:rsid w:val="008730AB"/>
    <w:rsid w:val="008730B1"/>
    <w:rsid w:val="0087343C"/>
    <w:rsid w:val="00873596"/>
    <w:rsid w:val="008738E6"/>
    <w:rsid w:val="00873997"/>
    <w:rsid w:val="00873C43"/>
    <w:rsid w:val="00873DD7"/>
    <w:rsid w:val="00873F3D"/>
    <w:rsid w:val="0087401E"/>
    <w:rsid w:val="00874053"/>
    <w:rsid w:val="008740A0"/>
    <w:rsid w:val="008740B7"/>
    <w:rsid w:val="008740CF"/>
    <w:rsid w:val="008744D3"/>
    <w:rsid w:val="00874550"/>
    <w:rsid w:val="00874735"/>
    <w:rsid w:val="00874AFA"/>
    <w:rsid w:val="00874C91"/>
    <w:rsid w:val="00874EC4"/>
    <w:rsid w:val="00874F0A"/>
    <w:rsid w:val="00875071"/>
    <w:rsid w:val="00875074"/>
    <w:rsid w:val="008751AC"/>
    <w:rsid w:val="00875233"/>
    <w:rsid w:val="00875252"/>
    <w:rsid w:val="0087545A"/>
    <w:rsid w:val="00875723"/>
    <w:rsid w:val="008757B1"/>
    <w:rsid w:val="00875827"/>
    <w:rsid w:val="00875843"/>
    <w:rsid w:val="00875921"/>
    <w:rsid w:val="00875A4A"/>
    <w:rsid w:val="00875C65"/>
    <w:rsid w:val="00875F08"/>
    <w:rsid w:val="00875FBD"/>
    <w:rsid w:val="00875FC6"/>
    <w:rsid w:val="008760AF"/>
    <w:rsid w:val="008763CA"/>
    <w:rsid w:val="008763DF"/>
    <w:rsid w:val="008763F2"/>
    <w:rsid w:val="008764D2"/>
    <w:rsid w:val="00876693"/>
    <w:rsid w:val="0087669F"/>
    <w:rsid w:val="008766E2"/>
    <w:rsid w:val="008767CF"/>
    <w:rsid w:val="00876802"/>
    <w:rsid w:val="00876BA8"/>
    <w:rsid w:val="00876D68"/>
    <w:rsid w:val="00876D86"/>
    <w:rsid w:val="00876F33"/>
    <w:rsid w:val="00876F48"/>
    <w:rsid w:val="008772A0"/>
    <w:rsid w:val="00877354"/>
    <w:rsid w:val="00877503"/>
    <w:rsid w:val="0087761B"/>
    <w:rsid w:val="0087764D"/>
    <w:rsid w:val="008777A4"/>
    <w:rsid w:val="00877A56"/>
    <w:rsid w:val="00877ADF"/>
    <w:rsid w:val="00877B37"/>
    <w:rsid w:val="00877B64"/>
    <w:rsid w:val="00877BAC"/>
    <w:rsid w:val="00877C49"/>
    <w:rsid w:val="00877D1A"/>
    <w:rsid w:val="00877D2D"/>
    <w:rsid w:val="00877F51"/>
    <w:rsid w:val="00877FF2"/>
    <w:rsid w:val="00880045"/>
    <w:rsid w:val="008801C0"/>
    <w:rsid w:val="0088038F"/>
    <w:rsid w:val="008803D3"/>
    <w:rsid w:val="0088046F"/>
    <w:rsid w:val="00880474"/>
    <w:rsid w:val="0088072B"/>
    <w:rsid w:val="00880736"/>
    <w:rsid w:val="00880EED"/>
    <w:rsid w:val="00880F9C"/>
    <w:rsid w:val="0088109E"/>
    <w:rsid w:val="008813D1"/>
    <w:rsid w:val="00881494"/>
    <w:rsid w:val="00881510"/>
    <w:rsid w:val="008815CE"/>
    <w:rsid w:val="0088162D"/>
    <w:rsid w:val="0088176B"/>
    <w:rsid w:val="00881794"/>
    <w:rsid w:val="0088191E"/>
    <w:rsid w:val="00881A63"/>
    <w:rsid w:val="00881C76"/>
    <w:rsid w:val="00881CC1"/>
    <w:rsid w:val="00881D9D"/>
    <w:rsid w:val="00881DA2"/>
    <w:rsid w:val="00881E0D"/>
    <w:rsid w:val="00882259"/>
    <w:rsid w:val="008822C0"/>
    <w:rsid w:val="00882392"/>
    <w:rsid w:val="00882609"/>
    <w:rsid w:val="008827BE"/>
    <w:rsid w:val="008828A7"/>
    <w:rsid w:val="008828FE"/>
    <w:rsid w:val="00882967"/>
    <w:rsid w:val="00882A74"/>
    <w:rsid w:val="00882D23"/>
    <w:rsid w:val="00882FAA"/>
    <w:rsid w:val="008830E9"/>
    <w:rsid w:val="0088324F"/>
    <w:rsid w:val="008836A8"/>
    <w:rsid w:val="0088391F"/>
    <w:rsid w:val="008839EE"/>
    <w:rsid w:val="00883A9B"/>
    <w:rsid w:val="00883B93"/>
    <w:rsid w:val="00883BEF"/>
    <w:rsid w:val="00883C7A"/>
    <w:rsid w:val="00883D88"/>
    <w:rsid w:val="00883E7A"/>
    <w:rsid w:val="00884019"/>
    <w:rsid w:val="0088423F"/>
    <w:rsid w:val="008842BF"/>
    <w:rsid w:val="00884303"/>
    <w:rsid w:val="00884420"/>
    <w:rsid w:val="008846F2"/>
    <w:rsid w:val="008847E1"/>
    <w:rsid w:val="008847E4"/>
    <w:rsid w:val="008853AE"/>
    <w:rsid w:val="00885465"/>
    <w:rsid w:val="0088547E"/>
    <w:rsid w:val="0088567B"/>
    <w:rsid w:val="00885778"/>
    <w:rsid w:val="00885A57"/>
    <w:rsid w:val="00885C0E"/>
    <w:rsid w:val="00885DAB"/>
    <w:rsid w:val="00885E28"/>
    <w:rsid w:val="00885FBF"/>
    <w:rsid w:val="00886010"/>
    <w:rsid w:val="00886126"/>
    <w:rsid w:val="008861D0"/>
    <w:rsid w:val="0088628E"/>
    <w:rsid w:val="008867BD"/>
    <w:rsid w:val="008868A4"/>
    <w:rsid w:val="008868AF"/>
    <w:rsid w:val="00886ABE"/>
    <w:rsid w:val="00886B86"/>
    <w:rsid w:val="00886C2F"/>
    <w:rsid w:val="00886CA1"/>
    <w:rsid w:val="00886F02"/>
    <w:rsid w:val="00886F99"/>
    <w:rsid w:val="00886FD8"/>
    <w:rsid w:val="0088704A"/>
    <w:rsid w:val="008871C4"/>
    <w:rsid w:val="008873AC"/>
    <w:rsid w:val="008874C1"/>
    <w:rsid w:val="00887582"/>
    <w:rsid w:val="0088764C"/>
    <w:rsid w:val="0088785E"/>
    <w:rsid w:val="008878B6"/>
    <w:rsid w:val="0088794E"/>
    <w:rsid w:val="008879DF"/>
    <w:rsid w:val="00887A86"/>
    <w:rsid w:val="00887C40"/>
    <w:rsid w:val="00887DA5"/>
    <w:rsid w:val="00887DC1"/>
    <w:rsid w:val="00887DD6"/>
    <w:rsid w:val="00887E8E"/>
    <w:rsid w:val="00887EC8"/>
    <w:rsid w:val="00887F84"/>
    <w:rsid w:val="00890091"/>
    <w:rsid w:val="00890170"/>
    <w:rsid w:val="00890335"/>
    <w:rsid w:val="00890398"/>
    <w:rsid w:val="008904F6"/>
    <w:rsid w:val="00890685"/>
    <w:rsid w:val="008908D1"/>
    <w:rsid w:val="008909EB"/>
    <w:rsid w:val="00890A1D"/>
    <w:rsid w:val="00890A4B"/>
    <w:rsid w:val="00890D92"/>
    <w:rsid w:val="00890DC2"/>
    <w:rsid w:val="00890DD2"/>
    <w:rsid w:val="008910CA"/>
    <w:rsid w:val="008913CF"/>
    <w:rsid w:val="008915A7"/>
    <w:rsid w:val="008915B3"/>
    <w:rsid w:val="008916FA"/>
    <w:rsid w:val="008918C9"/>
    <w:rsid w:val="008919C2"/>
    <w:rsid w:val="00891B62"/>
    <w:rsid w:val="00891DB6"/>
    <w:rsid w:val="0089201F"/>
    <w:rsid w:val="00892338"/>
    <w:rsid w:val="0089236E"/>
    <w:rsid w:val="00892427"/>
    <w:rsid w:val="008924A3"/>
    <w:rsid w:val="0089275F"/>
    <w:rsid w:val="00892881"/>
    <w:rsid w:val="008928D7"/>
    <w:rsid w:val="008929FD"/>
    <w:rsid w:val="00892D9F"/>
    <w:rsid w:val="00892E17"/>
    <w:rsid w:val="0089308A"/>
    <w:rsid w:val="008931F5"/>
    <w:rsid w:val="0089333E"/>
    <w:rsid w:val="00893495"/>
    <w:rsid w:val="00893850"/>
    <w:rsid w:val="008939DD"/>
    <w:rsid w:val="00893F33"/>
    <w:rsid w:val="008940D8"/>
    <w:rsid w:val="008941A5"/>
    <w:rsid w:val="008942E2"/>
    <w:rsid w:val="00894303"/>
    <w:rsid w:val="00894557"/>
    <w:rsid w:val="00894765"/>
    <w:rsid w:val="00894A24"/>
    <w:rsid w:val="00894A34"/>
    <w:rsid w:val="00894AE2"/>
    <w:rsid w:val="00894AF6"/>
    <w:rsid w:val="00894B28"/>
    <w:rsid w:val="00894B7E"/>
    <w:rsid w:val="00894C85"/>
    <w:rsid w:val="00894C93"/>
    <w:rsid w:val="00894D43"/>
    <w:rsid w:val="00894D7F"/>
    <w:rsid w:val="00894F93"/>
    <w:rsid w:val="00895225"/>
    <w:rsid w:val="0089523D"/>
    <w:rsid w:val="00895621"/>
    <w:rsid w:val="0089576F"/>
    <w:rsid w:val="008957E3"/>
    <w:rsid w:val="00895925"/>
    <w:rsid w:val="00895951"/>
    <w:rsid w:val="00895B84"/>
    <w:rsid w:val="00895F23"/>
    <w:rsid w:val="00895FAD"/>
    <w:rsid w:val="0089602D"/>
    <w:rsid w:val="0089607F"/>
    <w:rsid w:val="008960CE"/>
    <w:rsid w:val="008961BC"/>
    <w:rsid w:val="008961E3"/>
    <w:rsid w:val="008962FE"/>
    <w:rsid w:val="00896302"/>
    <w:rsid w:val="00896314"/>
    <w:rsid w:val="0089643E"/>
    <w:rsid w:val="00896458"/>
    <w:rsid w:val="00896582"/>
    <w:rsid w:val="008965E8"/>
    <w:rsid w:val="008966FA"/>
    <w:rsid w:val="00896BD6"/>
    <w:rsid w:val="00896C7C"/>
    <w:rsid w:val="00896D83"/>
    <w:rsid w:val="00896D88"/>
    <w:rsid w:val="00896DCC"/>
    <w:rsid w:val="00896DE5"/>
    <w:rsid w:val="00896FF1"/>
    <w:rsid w:val="00897102"/>
    <w:rsid w:val="00897108"/>
    <w:rsid w:val="008971AE"/>
    <w:rsid w:val="008971CA"/>
    <w:rsid w:val="0089720C"/>
    <w:rsid w:val="00897245"/>
    <w:rsid w:val="0089730A"/>
    <w:rsid w:val="008973FA"/>
    <w:rsid w:val="00897433"/>
    <w:rsid w:val="008974AB"/>
    <w:rsid w:val="008975B9"/>
    <w:rsid w:val="008975E7"/>
    <w:rsid w:val="00897949"/>
    <w:rsid w:val="00897A47"/>
    <w:rsid w:val="00897A48"/>
    <w:rsid w:val="00897C60"/>
    <w:rsid w:val="00897D68"/>
    <w:rsid w:val="008A0198"/>
    <w:rsid w:val="008A02BD"/>
    <w:rsid w:val="008A036D"/>
    <w:rsid w:val="008A0472"/>
    <w:rsid w:val="008A047F"/>
    <w:rsid w:val="008A04CB"/>
    <w:rsid w:val="008A072A"/>
    <w:rsid w:val="008A0752"/>
    <w:rsid w:val="008A077C"/>
    <w:rsid w:val="008A07CA"/>
    <w:rsid w:val="008A097A"/>
    <w:rsid w:val="008A0A3A"/>
    <w:rsid w:val="008A0C86"/>
    <w:rsid w:val="008A0E96"/>
    <w:rsid w:val="008A0F1B"/>
    <w:rsid w:val="008A1130"/>
    <w:rsid w:val="008A14D2"/>
    <w:rsid w:val="008A1639"/>
    <w:rsid w:val="008A1733"/>
    <w:rsid w:val="008A1F81"/>
    <w:rsid w:val="008A224E"/>
    <w:rsid w:val="008A22A6"/>
    <w:rsid w:val="008A243E"/>
    <w:rsid w:val="008A258C"/>
    <w:rsid w:val="008A25C8"/>
    <w:rsid w:val="008A2630"/>
    <w:rsid w:val="008A2634"/>
    <w:rsid w:val="008A2717"/>
    <w:rsid w:val="008A2B00"/>
    <w:rsid w:val="008A2B63"/>
    <w:rsid w:val="008A2C3B"/>
    <w:rsid w:val="008A2C6A"/>
    <w:rsid w:val="008A2F0E"/>
    <w:rsid w:val="008A2FDD"/>
    <w:rsid w:val="008A313F"/>
    <w:rsid w:val="008A33A4"/>
    <w:rsid w:val="008A33D4"/>
    <w:rsid w:val="008A33ED"/>
    <w:rsid w:val="008A355C"/>
    <w:rsid w:val="008A359B"/>
    <w:rsid w:val="008A35A4"/>
    <w:rsid w:val="008A3873"/>
    <w:rsid w:val="008A38BE"/>
    <w:rsid w:val="008A38D0"/>
    <w:rsid w:val="008A399A"/>
    <w:rsid w:val="008A3B4B"/>
    <w:rsid w:val="008A4237"/>
    <w:rsid w:val="008A42FB"/>
    <w:rsid w:val="008A45C8"/>
    <w:rsid w:val="008A47A6"/>
    <w:rsid w:val="008A483E"/>
    <w:rsid w:val="008A4920"/>
    <w:rsid w:val="008A4E37"/>
    <w:rsid w:val="008A5001"/>
    <w:rsid w:val="008A50F3"/>
    <w:rsid w:val="008A5116"/>
    <w:rsid w:val="008A5225"/>
    <w:rsid w:val="008A5254"/>
    <w:rsid w:val="008A537D"/>
    <w:rsid w:val="008A5442"/>
    <w:rsid w:val="008A5493"/>
    <w:rsid w:val="008A5691"/>
    <w:rsid w:val="008A5859"/>
    <w:rsid w:val="008A5A13"/>
    <w:rsid w:val="008A5A34"/>
    <w:rsid w:val="008A5B8C"/>
    <w:rsid w:val="008A5C12"/>
    <w:rsid w:val="008A5C8D"/>
    <w:rsid w:val="008A5CCA"/>
    <w:rsid w:val="008A5F9B"/>
    <w:rsid w:val="008A5FE8"/>
    <w:rsid w:val="008A6001"/>
    <w:rsid w:val="008A6096"/>
    <w:rsid w:val="008A630E"/>
    <w:rsid w:val="008A63BE"/>
    <w:rsid w:val="008A6520"/>
    <w:rsid w:val="008A6561"/>
    <w:rsid w:val="008A65A5"/>
    <w:rsid w:val="008A66F3"/>
    <w:rsid w:val="008A67D0"/>
    <w:rsid w:val="008A6B51"/>
    <w:rsid w:val="008A6C8B"/>
    <w:rsid w:val="008A6CEB"/>
    <w:rsid w:val="008A6D95"/>
    <w:rsid w:val="008A6EDE"/>
    <w:rsid w:val="008A701D"/>
    <w:rsid w:val="008A70CD"/>
    <w:rsid w:val="008A72A2"/>
    <w:rsid w:val="008A7554"/>
    <w:rsid w:val="008A76F3"/>
    <w:rsid w:val="008A79A0"/>
    <w:rsid w:val="008A7A61"/>
    <w:rsid w:val="008A7C6C"/>
    <w:rsid w:val="008A7D9E"/>
    <w:rsid w:val="008A7F6E"/>
    <w:rsid w:val="008B0107"/>
    <w:rsid w:val="008B01FB"/>
    <w:rsid w:val="008B0350"/>
    <w:rsid w:val="008B0360"/>
    <w:rsid w:val="008B0396"/>
    <w:rsid w:val="008B04A2"/>
    <w:rsid w:val="008B04B3"/>
    <w:rsid w:val="008B0572"/>
    <w:rsid w:val="008B08AB"/>
    <w:rsid w:val="008B0984"/>
    <w:rsid w:val="008B098A"/>
    <w:rsid w:val="008B0994"/>
    <w:rsid w:val="008B0A7E"/>
    <w:rsid w:val="008B0AC3"/>
    <w:rsid w:val="008B0C86"/>
    <w:rsid w:val="008B0C9B"/>
    <w:rsid w:val="008B0CCC"/>
    <w:rsid w:val="008B0D3E"/>
    <w:rsid w:val="008B0E12"/>
    <w:rsid w:val="008B0F8D"/>
    <w:rsid w:val="008B0FC3"/>
    <w:rsid w:val="008B1018"/>
    <w:rsid w:val="008B10DE"/>
    <w:rsid w:val="008B11FD"/>
    <w:rsid w:val="008B13ED"/>
    <w:rsid w:val="008B151C"/>
    <w:rsid w:val="008B1615"/>
    <w:rsid w:val="008B1643"/>
    <w:rsid w:val="008B165D"/>
    <w:rsid w:val="008B1A60"/>
    <w:rsid w:val="008B1B5C"/>
    <w:rsid w:val="008B1BAD"/>
    <w:rsid w:val="008B1E83"/>
    <w:rsid w:val="008B1EF8"/>
    <w:rsid w:val="008B1FEF"/>
    <w:rsid w:val="008B2130"/>
    <w:rsid w:val="008B2251"/>
    <w:rsid w:val="008B2308"/>
    <w:rsid w:val="008B23DE"/>
    <w:rsid w:val="008B23F1"/>
    <w:rsid w:val="008B250A"/>
    <w:rsid w:val="008B2623"/>
    <w:rsid w:val="008B26B5"/>
    <w:rsid w:val="008B2706"/>
    <w:rsid w:val="008B2730"/>
    <w:rsid w:val="008B27FC"/>
    <w:rsid w:val="008B2D24"/>
    <w:rsid w:val="008B2D60"/>
    <w:rsid w:val="008B3037"/>
    <w:rsid w:val="008B3205"/>
    <w:rsid w:val="008B3215"/>
    <w:rsid w:val="008B33B0"/>
    <w:rsid w:val="008B343B"/>
    <w:rsid w:val="008B354D"/>
    <w:rsid w:val="008B35DA"/>
    <w:rsid w:val="008B3670"/>
    <w:rsid w:val="008B39A9"/>
    <w:rsid w:val="008B3ABA"/>
    <w:rsid w:val="008B3C4A"/>
    <w:rsid w:val="008B3D1A"/>
    <w:rsid w:val="008B3F1B"/>
    <w:rsid w:val="008B3FA3"/>
    <w:rsid w:val="008B42FC"/>
    <w:rsid w:val="008B43D8"/>
    <w:rsid w:val="008B43E2"/>
    <w:rsid w:val="008B43E3"/>
    <w:rsid w:val="008B44D8"/>
    <w:rsid w:val="008B450A"/>
    <w:rsid w:val="008B472B"/>
    <w:rsid w:val="008B48ED"/>
    <w:rsid w:val="008B494A"/>
    <w:rsid w:val="008B4AF8"/>
    <w:rsid w:val="008B4C86"/>
    <w:rsid w:val="008B4D20"/>
    <w:rsid w:val="008B4E02"/>
    <w:rsid w:val="008B4F0F"/>
    <w:rsid w:val="008B5103"/>
    <w:rsid w:val="008B5197"/>
    <w:rsid w:val="008B5372"/>
    <w:rsid w:val="008B5382"/>
    <w:rsid w:val="008B53AA"/>
    <w:rsid w:val="008B55AC"/>
    <w:rsid w:val="008B570F"/>
    <w:rsid w:val="008B578D"/>
    <w:rsid w:val="008B5A43"/>
    <w:rsid w:val="008B5A54"/>
    <w:rsid w:val="008B5EA6"/>
    <w:rsid w:val="008B5FAA"/>
    <w:rsid w:val="008B60BC"/>
    <w:rsid w:val="008B6158"/>
    <w:rsid w:val="008B630A"/>
    <w:rsid w:val="008B63B0"/>
    <w:rsid w:val="008B645F"/>
    <w:rsid w:val="008B64A1"/>
    <w:rsid w:val="008B6554"/>
    <w:rsid w:val="008B657C"/>
    <w:rsid w:val="008B6582"/>
    <w:rsid w:val="008B6602"/>
    <w:rsid w:val="008B67AA"/>
    <w:rsid w:val="008B6A8E"/>
    <w:rsid w:val="008B6C8F"/>
    <w:rsid w:val="008B6D91"/>
    <w:rsid w:val="008B7008"/>
    <w:rsid w:val="008B70B2"/>
    <w:rsid w:val="008B7412"/>
    <w:rsid w:val="008B75B6"/>
    <w:rsid w:val="008B778B"/>
    <w:rsid w:val="008B7830"/>
    <w:rsid w:val="008B7A01"/>
    <w:rsid w:val="008B7B57"/>
    <w:rsid w:val="008B7C38"/>
    <w:rsid w:val="008B7E91"/>
    <w:rsid w:val="008B7ECF"/>
    <w:rsid w:val="008C0193"/>
    <w:rsid w:val="008C0582"/>
    <w:rsid w:val="008C0858"/>
    <w:rsid w:val="008C0890"/>
    <w:rsid w:val="008C0AFE"/>
    <w:rsid w:val="008C0DFD"/>
    <w:rsid w:val="008C0F9F"/>
    <w:rsid w:val="008C0FF3"/>
    <w:rsid w:val="008C0FFA"/>
    <w:rsid w:val="008C12BA"/>
    <w:rsid w:val="008C153E"/>
    <w:rsid w:val="008C1584"/>
    <w:rsid w:val="008C161A"/>
    <w:rsid w:val="008C190D"/>
    <w:rsid w:val="008C1960"/>
    <w:rsid w:val="008C1CF4"/>
    <w:rsid w:val="008C1E71"/>
    <w:rsid w:val="008C1F13"/>
    <w:rsid w:val="008C21F8"/>
    <w:rsid w:val="008C223B"/>
    <w:rsid w:val="008C2342"/>
    <w:rsid w:val="008C242C"/>
    <w:rsid w:val="008C2515"/>
    <w:rsid w:val="008C254D"/>
    <w:rsid w:val="008C256A"/>
    <w:rsid w:val="008C29ED"/>
    <w:rsid w:val="008C29F2"/>
    <w:rsid w:val="008C2A07"/>
    <w:rsid w:val="008C2AD7"/>
    <w:rsid w:val="008C2CDB"/>
    <w:rsid w:val="008C2F7F"/>
    <w:rsid w:val="008C313E"/>
    <w:rsid w:val="008C32F8"/>
    <w:rsid w:val="008C337C"/>
    <w:rsid w:val="008C342D"/>
    <w:rsid w:val="008C349F"/>
    <w:rsid w:val="008C3519"/>
    <w:rsid w:val="008C3967"/>
    <w:rsid w:val="008C3B41"/>
    <w:rsid w:val="008C3B90"/>
    <w:rsid w:val="008C3C3E"/>
    <w:rsid w:val="008C3C62"/>
    <w:rsid w:val="008C3ECC"/>
    <w:rsid w:val="008C4055"/>
    <w:rsid w:val="008C4248"/>
    <w:rsid w:val="008C4436"/>
    <w:rsid w:val="008C463B"/>
    <w:rsid w:val="008C4C19"/>
    <w:rsid w:val="008C4CF2"/>
    <w:rsid w:val="008C5029"/>
    <w:rsid w:val="008C5470"/>
    <w:rsid w:val="008C561B"/>
    <w:rsid w:val="008C5715"/>
    <w:rsid w:val="008C598C"/>
    <w:rsid w:val="008C5ABE"/>
    <w:rsid w:val="008C5FFD"/>
    <w:rsid w:val="008C6194"/>
    <w:rsid w:val="008C61D6"/>
    <w:rsid w:val="008C650D"/>
    <w:rsid w:val="008C68BE"/>
    <w:rsid w:val="008C69AB"/>
    <w:rsid w:val="008C6BA5"/>
    <w:rsid w:val="008C6BFC"/>
    <w:rsid w:val="008C6D31"/>
    <w:rsid w:val="008C6D8A"/>
    <w:rsid w:val="008C6DD5"/>
    <w:rsid w:val="008C6F23"/>
    <w:rsid w:val="008C71D2"/>
    <w:rsid w:val="008C730F"/>
    <w:rsid w:val="008C73DF"/>
    <w:rsid w:val="008C75B7"/>
    <w:rsid w:val="008C76AE"/>
    <w:rsid w:val="008C7747"/>
    <w:rsid w:val="008C7A0C"/>
    <w:rsid w:val="008C7D89"/>
    <w:rsid w:val="008D0080"/>
    <w:rsid w:val="008D030E"/>
    <w:rsid w:val="008D03E1"/>
    <w:rsid w:val="008D0532"/>
    <w:rsid w:val="008D0869"/>
    <w:rsid w:val="008D0929"/>
    <w:rsid w:val="008D0969"/>
    <w:rsid w:val="008D0A59"/>
    <w:rsid w:val="008D0CF4"/>
    <w:rsid w:val="008D0DAB"/>
    <w:rsid w:val="008D12C6"/>
    <w:rsid w:val="008D134B"/>
    <w:rsid w:val="008D13E8"/>
    <w:rsid w:val="008D148D"/>
    <w:rsid w:val="008D15C5"/>
    <w:rsid w:val="008D15E4"/>
    <w:rsid w:val="008D1808"/>
    <w:rsid w:val="008D1963"/>
    <w:rsid w:val="008D1E64"/>
    <w:rsid w:val="008D1EB5"/>
    <w:rsid w:val="008D20B7"/>
    <w:rsid w:val="008D21C6"/>
    <w:rsid w:val="008D231A"/>
    <w:rsid w:val="008D254F"/>
    <w:rsid w:val="008D2602"/>
    <w:rsid w:val="008D26B2"/>
    <w:rsid w:val="008D26DB"/>
    <w:rsid w:val="008D2747"/>
    <w:rsid w:val="008D2ED4"/>
    <w:rsid w:val="008D3011"/>
    <w:rsid w:val="008D3149"/>
    <w:rsid w:val="008D3164"/>
    <w:rsid w:val="008D32D8"/>
    <w:rsid w:val="008D3435"/>
    <w:rsid w:val="008D35A7"/>
    <w:rsid w:val="008D36AE"/>
    <w:rsid w:val="008D36B1"/>
    <w:rsid w:val="008D37D5"/>
    <w:rsid w:val="008D391A"/>
    <w:rsid w:val="008D3BD5"/>
    <w:rsid w:val="008D3CD1"/>
    <w:rsid w:val="008D3D01"/>
    <w:rsid w:val="008D3D96"/>
    <w:rsid w:val="008D3E84"/>
    <w:rsid w:val="008D3F73"/>
    <w:rsid w:val="008D4104"/>
    <w:rsid w:val="008D4244"/>
    <w:rsid w:val="008D430C"/>
    <w:rsid w:val="008D4348"/>
    <w:rsid w:val="008D490F"/>
    <w:rsid w:val="008D4D88"/>
    <w:rsid w:val="008D4DCA"/>
    <w:rsid w:val="008D530F"/>
    <w:rsid w:val="008D551B"/>
    <w:rsid w:val="008D5671"/>
    <w:rsid w:val="008D5759"/>
    <w:rsid w:val="008D586B"/>
    <w:rsid w:val="008D598B"/>
    <w:rsid w:val="008D5B3C"/>
    <w:rsid w:val="008D5BEF"/>
    <w:rsid w:val="008D5CA8"/>
    <w:rsid w:val="008D5D78"/>
    <w:rsid w:val="008D5F9E"/>
    <w:rsid w:val="008D60B0"/>
    <w:rsid w:val="008D615E"/>
    <w:rsid w:val="008D629E"/>
    <w:rsid w:val="008D6548"/>
    <w:rsid w:val="008D669F"/>
    <w:rsid w:val="008D67A7"/>
    <w:rsid w:val="008D67F8"/>
    <w:rsid w:val="008D68DD"/>
    <w:rsid w:val="008D6C5D"/>
    <w:rsid w:val="008D6F74"/>
    <w:rsid w:val="008D6FFC"/>
    <w:rsid w:val="008D7064"/>
    <w:rsid w:val="008D715C"/>
    <w:rsid w:val="008D71E9"/>
    <w:rsid w:val="008D768C"/>
    <w:rsid w:val="008D776F"/>
    <w:rsid w:val="008D7875"/>
    <w:rsid w:val="008D7AD5"/>
    <w:rsid w:val="008D7B30"/>
    <w:rsid w:val="008D7DFA"/>
    <w:rsid w:val="008D7F87"/>
    <w:rsid w:val="008D7FA4"/>
    <w:rsid w:val="008E0070"/>
    <w:rsid w:val="008E059E"/>
    <w:rsid w:val="008E0735"/>
    <w:rsid w:val="008E07A4"/>
    <w:rsid w:val="008E0960"/>
    <w:rsid w:val="008E0993"/>
    <w:rsid w:val="008E0AB0"/>
    <w:rsid w:val="008E0B88"/>
    <w:rsid w:val="008E0BCC"/>
    <w:rsid w:val="008E0D89"/>
    <w:rsid w:val="008E0DAE"/>
    <w:rsid w:val="008E0EA7"/>
    <w:rsid w:val="008E0F9A"/>
    <w:rsid w:val="008E101F"/>
    <w:rsid w:val="008E1123"/>
    <w:rsid w:val="008E175B"/>
    <w:rsid w:val="008E1C28"/>
    <w:rsid w:val="008E1CD2"/>
    <w:rsid w:val="008E1E9D"/>
    <w:rsid w:val="008E1F02"/>
    <w:rsid w:val="008E1F0E"/>
    <w:rsid w:val="008E224A"/>
    <w:rsid w:val="008E247E"/>
    <w:rsid w:val="008E25BA"/>
    <w:rsid w:val="008E27E6"/>
    <w:rsid w:val="008E2951"/>
    <w:rsid w:val="008E2A20"/>
    <w:rsid w:val="008E2B85"/>
    <w:rsid w:val="008E2BEE"/>
    <w:rsid w:val="008E2E6F"/>
    <w:rsid w:val="008E32AB"/>
    <w:rsid w:val="008E3301"/>
    <w:rsid w:val="008E3325"/>
    <w:rsid w:val="008E3408"/>
    <w:rsid w:val="008E352D"/>
    <w:rsid w:val="008E35BB"/>
    <w:rsid w:val="008E3718"/>
    <w:rsid w:val="008E3C90"/>
    <w:rsid w:val="008E3DA4"/>
    <w:rsid w:val="008E3F09"/>
    <w:rsid w:val="008E43F6"/>
    <w:rsid w:val="008E441C"/>
    <w:rsid w:val="008E46F5"/>
    <w:rsid w:val="008E4716"/>
    <w:rsid w:val="008E4873"/>
    <w:rsid w:val="008E4986"/>
    <w:rsid w:val="008E4AFF"/>
    <w:rsid w:val="008E4BB6"/>
    <w:rsid w:val="008E4BBD"/>
    <w:rsid w:val="008E4BDF"/>
    <w:rsid w:val="008E4D9E"/>
    <w:rsid w:val="008E4E0E"/>
    <w:rsid w:val="008E4E76"/>
    <w:rsid w:val="008E4F9E"/>
    <w:rsid w:val="008E5117"/>
    <w:rsid w:val="008E5208"/>
    <w:rsid w:val="008E521B"/>
    <w:rsid w:val="008E5323"/>
    <w:rsid w:val="008E533D"/>
    <w:rsid w:val="008E54A4"/>
    <w:rsid w:val="008E54A5"/>
    <w:rsid w:val="008E54AB"/>
    <w:rsid w:val="008E559B"/>
    <w:rsid w:val="008E55B3"/>
    <w:rsid w:val="008E571F"/>
    <w:rsid w:val="008E5785"/>
    <w:rsid w:val="008E581A"/>
    <w:rsid w:val="008E5833"/>
    <w:rsid w:val="008E5A74"/>
    <w:rsid w:val="008E5AAC"/>
    <w:rsid w:val="008E5AC7"/>
    <w:rsid w:val="008E5B2A"/>
    <w:rsid w:val="008E5B8B"/>
    <w:rsid w:val="008E5D3A"/>
    <w:rsid w:val="008E5FE0"/>
    <w:rsid w:val="008E6025"/>
    <w:rsid w:val="008E613E"/>
    <w:rsid w:val="008E619E"/>
    <w:rsid w:val="008E61CC"/>
    <w:rsid w:val="008E62A0"/>
    <w:rsid w:val="008E62C5"/>
    <w:rsid w:val="008E6387"/>
    <w:rsid w:val="008E672B"/>
    <w:rsid w:val="008E6969"/>
    <w:rsid w:val="008E69FF"/>
    <w:rsid w:val="008E6A69"/>
    <w:rsid w:val="008E6B88"/>
    <w:rsid w:val="008E6C7C"/>
    <w:rsid w:val="008E6CBD"/>
    <w:rsid w:val="008E6D2E"/>
    <w:rsid w:val="008E6ED9"/>
    <w:rsid w:val="008E7279"/>
    <w:rsid w:val="008E758D"/>
    <w:rsid w:val="008E75FC"/>
    <w:rsid w:val="008E7816"/>
    <w:rsid w:val="008E78A0"/>
    <w:rsid w:val="008E78E9"/>
    <w:rsid w:val="008E7969"/>
    <w:rsid w:val="008E7B93"/>
    <w:rsid w:val="008E7D7D"/>
    <w:rsid w:val="008E7F89"/>
    <w:rsid w:val="008F0619"/>
    <w:rsid w:val="008F06AB"/>
    <w:rsid w:val="008F09DA"/>
    <w:rsid w:val="008F0BFD"/>
    <w:rsid w:val="008F0EEA"/>
    <w:rsid w:val="008F0F50"/>
    <w:rsid w:val="008F10C8"/>
    <w:rsid w:val="008F123F"/>
    <w:rsid w:val="008F1341"/>
    <w:rsid w:val="008F16D1"/>
    <w:rsid w:val="008F178B"/>
    <w:rsid w:val="008F1794"/>
    <w:rsid w:val="008F1F65"/>
    <w:rsid w:val="008F2225"/>
    <w:rsid w:val="008F223A"/>
    <w:rsid w:val="008F242E"/>
    <w:rsid w:val="008F24FD"/>
    <w:rsid w:val="008F2560"/>
    <w:rsid w:val="008F284F"/>
    <w:rsid w:val="008F2891"/>
    <w:rsid w:val="008F2994"/>
    <w:rsid w:val="008F2A25"/>
    <w:rsid w:val="008F2ACC"/>
    <w:rsid w:val="008F2BF9"/>
    <w:rsid w:val="008F2D80"/>
    <w:rsid w:val="008F2D8F"/>
    <w:rsid w:val="008F319B"/>
    <w:rsid w:val="008F332C"/>
    <w:rsid w:val="008F378F"/>
    <w:rsid w:val="008F381F"/>
    <w:rsid w:val="008F3C26"/>
    <w:rsid w:val="008F3DD1"/>
    <w:rsid w:val="008F3F1D"/>
    <w:rsid w:val="008F3FA0"/>
    <w:rsid w:val="008F40EC"/>
    <w:rsid w:val="008F41BA"/>
    <w:rsid w:val="008F41C2"/>
    <w:rsid w:val="008F424D"/>
    <w:rsid w:val="008F4443"/>
    <w:rsid w:val="008F4487"/>
    <w:rsid w:val="008F44C1"/>
    <w:rsid w:val="008F44EB"/>
    <w:rsid w:val="008F4596"/>
    <w:rsid w:val="008F46CE"/>
    <w:rsid w:val="008F46CF"/>
    <w:rsid w:val="008F474A"/>
    <w:rsid w:val="008F497D"/>
    <w:rsid w:val="008F4A6E"/>
    <w:rsid w:val="008F4AE4"/>
    <w:rsid w:val="008F4B0F"/>
    <w:rsid w:val="008F4B3E"/>
    <w:rsid w:val="008F4C03"/>
    <w:rsid w:val="008F4DAC"/>
    <w:rsid w:val="008F4FF7"/>
    <w:rsid w:val="008F5229"/>
    <w:rsid w:val="008F523D"/>
    <w:rsid w:val="008F542A"/>
    <w:rsid w:val="008F54BD"/>
    <w:rsid w:val="008F55B5"/>
    <w:rsid w:val="008F5874"/>
    <w:rsid w:val="008F593F"/>
    <w:rsid w:val="008F5F30"/>
    <w:rsid w:val="008F6200"/>
    <w:rsid w:val="008F63B4"/>
    <w:rsid w:val="008F66C4"/>
    <w:rsid w:val="008F6892"/>
    <w:rsid w:val="008F6A45"/>
    <w:rsid w:val="008F6B16"/>
    <w:rsid w:val="008F6E83"/>
    <w:rsid w:val="008F707B"/>
    <w:rsid w:val="008F708F"/>
    <w:rsid w:val="008F7168"/>
    <w:rsid w:val="008F7362"/>
    <w:rsid w:val="008F7398"/>
    <w:rsid w:val="008F73C9"/>
    <w:rsid w:val="008F743D"/>
    <w:rsid w:val="008F74B9"/>
    <w:rsid w:val="008F75A0"/>
    <w:rsid w:val="008F77F0"/>
    <w:rsid w:val="008F79C2"/>
    <w:rsid w:val="008F7AA2"/>
    <w:rsid w:val="008F7AE4"/>
    <w:rsid w:val="008F7D5E"/>
    <w:rsid w:val="008F7DA6"/>
    <w:rsid w:val="008F7E66"/>
    <w:rsid w:val="008F7E9B"/>
    <w:rsid w:val="00900021"/>
    <w:rsid w:val="0090006C"/>
    <w:rsid w:val="00900086"/>
    <w:rsid w:val="00900288"/>
    <w:rsid w:val="009003AE"/>
    <w:rsid w:val="00900472"/>
    <w:rsid w:val="009006B9"/>
    <w:rsid w:val="00900757"/>
    <w:rsid w:val="00900813"/>
    <w:rsid w:val="00900960"/>
    <w:rsid w:val="00900985"/>
    <w:rsid w:val="009009D6"/>
    <w:rsid w:val="00900BB0"/>
    <w:rsid w:val="00900C52"/>
    <w:rsid w:val="0090124C"/>
    <w:rsid w:val="00901277"/>
    <w:rsid w:val="009012F4"/>
    <w:rsid w:val="00901328"/>
    <w:rsid w:val="00901449"/>
    <w:rsid w:val="00901977"/>
    <w:rsid w:val="009019DC"/>
    <w:rsid w:val="00901BA0"/>
    <w:rsid w:val="00901E20"/>
    <w:rsid w:val="00901E3E"/>
    <w:rsid w:val="009021E8"/>
    <w:rsid w:val="009023A5"/>
    <w:rsid w:val="009024F6"/>
    <w:rsid w:val="009026A5"/>
    <w:rsid w:val="009026EF"/>
    <w:rsid w:val="00902788"/>
    <w:rsid w:val="009027C6"/>
    <w:rsid w:val="0090281E"/>
    <w:rsid w:val="0090293E"/>
    <w:rsid w:val="00902A8B"/>
    <w:rsid w:val="00902ED2"/>
    <w:rsid w:val="009030AD"/>
    <w:rsid w:val="00903359"/>
    <w:rsid w:val="0090335C"/>
    <w:rsid w:val="00903448"/>
    <w:rsid w:val="00903784"/>
    <w:rsid w:val="00903860"/>
    <w:rsid w:val="00903A6C"/>
    <w:rsid w:val="00903BBA"/>
    <w:rsid w:val="00903E61"/>
    <w:rsid w:val="00903F45"/>
    <w:rsid w:val="00904148"/>
    <w:rsid w:val="0090422F"/>
    <w:rsid w:val="0090452B"/>
    <w:rsid w:val="009046E4"/>
    <w:rsid w:val="0090482F"/>
    <w:rsid w:val="009049E3"/>
    <w:rsid w:val="00904A74"/>
    <w:rsid w:val="00904BD0"/>
    <w:rsid w:val="00904BE0"/>
    <w:rsid w:val="00904C98"/>
    <w:rsid w:val="00904DA4"/>
    <w:rsid w:val="00904E51"/>
    <w:rsid w:val="00904E67"/>
    <w:rsid w:val="00904F71"/>
    <w:rsid w:val="0090509E"/>
    <w:rsid w:val="009052DA"/>
    <w:rsid w:val="00905360"/>
    <w:rsid w:val="009054B0"/>
    <w:rsid w:val="00905831"/>
    <w:rsid w:val="00905F3D"/>
    <w:rsid w:val="00905FB6"/>
    <w:rsid w:val="00905FF5"/>
    <w:rsid w:val="00906084"/>
    <w:rsid w:val="009060D4"/>
    <w:rsid w:val="00906184"/>
    <w:rsid w:val="009061BB"/>
    <w:rsid w:val="00906428"/>
    <w:rsid w:val="00906536"/>
    <w:rsid w:val="00906637"/>
    <w:rsid w:val="00906680"/>
    <w:rsid w:val="0090677D"/>
    <w:rsid w:val="00906A2D"/>
    <w:rsid w:val="00906AFF"/>
    <w:rsid w:val="00906B7B"/>
    <w:rsid w:val="00906DC3"/>
    <w:rsid w:val="00906E87"/>
    <w:rsid w:val="00906E9F"/>
    <w:rsid w:val="00906F83"/>
    <w:rsid w:val="009070B4"/>
    <w:rsid w:val="009071AD"/>
    <w:rsid w:val="009072B6"/>
    <w:rsid w:val="009074BF"/>
    <w:rsid w:val="009077DB"/>
    <w:rsid w:val="00907844"/>
    <w:rsid w:val="009079D9"/>
    <w:rsid w:val="00907A55"/>
    <w:rsid w:val="00907BE1"/>
    <w:rsid w:val="00907CD2"/>
    <w:rsid w:val="00907D43"/>
    <w:rsid w:val="00910012"/>
    <w:rsid w:val="0091004D"/>
    <w:rsid w:val="00910431"/>
    <w:rsid w:val="00910518"/>
    <w:rsid w:val="009106B7"/>
    <w:rsid w:val="009107F4"/>
    <w:rsid w:val="00910844"/>
    <w:rsid w:val="009108D0"/>
    <w:rsid w:val="00910984"/>
    <w:rsid w:val="00910B33"/>
    <w:rsid w:val="00910CA4"/>
    <w:rsid w:val="00910D8F"/>
    <w:rsid w:val="00910F11"/>
    <w:rsid w:val="00910FA4"/>
    <w:rsid w:val="0091121A"/>
    <w:rsid w:val="009112DC"/>
    <w:rsid w:val="00911480"/>
    <w:rsid w:val="00911A1F"/>
    <w:rsid w:val="00911B4D"/>
    <w:rsid w:val="00911C84"/>
    <w:rsid w:val="00911D0A"/>
    <w:rsid w:val="00912074"/>
    <w:rsid w:val="00912234"/>
    <w:rsid w:val="0091229E"/>
    <w:rsid w:val="00912345"/>
    <w:rsid w:val="00912656"/>
    <w:rsid w:val="0091267D"/>
    <w:rsid w:val="00912944"/>
    <w:rsid w:val="00912AC1"/>
    <w:rsid w:val="00912AC6"/>
    <w:rsid w:val="00912BB6"/>
    <w:rsid w:val="00912E97"/>
    <w:rsid w:val="00912FBC"/>
    <w:rsid w:val="009130CB"/>
    <w:rsid w:val="009131D0"/>
    <w:rsid w:val="0091332C"/>
    <w:rsid w:val="0091338E"/>
    <w:rsid w:val="009134D3"/>
    <w:rsid w:val="0091352C"/>
    <w:rsid w:val="009136B5"/>
    <w:rsid w:val="00913797"/>
    <w:rsid w:val="0091383F"/>
    <w:rsid w:val="00913D4C"/>
    <w:rsid w:val="00913D89"/>
    <w:rsid w:val="00913FCB"/>
    <w:rsid w:val="00913FF4"/>
    <w:rsid w:val="0091425B"/>
    <w:rsid w:val="00914270"/>
    <w:rsid w:val="00914274"/>
    <w:rsid w:val="00914485"/>
    <w:rsid w:val="00914A0B"/>
    <w:rsid w:val="00914C2E"/>
    <w:rsid w:val="00914D56"/>
    <w:rsid w:val="00914F23"/>
    <w:rsid w:val="009151E8"/>
    <w:rsid w:val="00915232"/>
    <w:rsid w:val="00915506"/>
    <w:rsid w:val="00915538"/>
    <w:rsid w:val="00915659"/>
    <w:rsid w:val="009156BC"/>
    <w:rsid w:val="009156ED"/>
    <w:rsid w:val="0091580B"/>
    <w:rsid w:val="0091587C"/>
    <w:rsid w:val="00915938"/>
    <w:rsid w:val="00915A4F"/>
    <w:rsid w:val="00915B2A"/>
    <w:rsid w:val="00915C03"/>
    <w:rsid w:val="00915D91"/>
    <w:rsid w:val="00915EBE"/>
    <w:rsid w:val="00915EF7"/>
    <w:rsid w:val="00915F38"/>
    <w:rsid w:val="00916220"/>
    <w:rsid w:val="0091625D"/>
    <w:rsid w:val="0091643F"/>
    <w:rsid w:val="00916554"/>
    <w:rsid w:val="0091658E"/>
    <w:rsid w:val="009165EF"/>
    <w:rsid w:val="00916680"/>
    <w:rsid w:val="00916789"/>
    <w:rsid w:val="00916A3A"/>
    <w:rsid w:val="00916B8C"/>
    <w:rsid w:val="00916BCF"/>
    <w:rsid w:val="00916C89"/>
    <w:rsid w:val="00916CBB"/>
    <w:rsid w:val="00916D4C"/>
    <w:rsid w:val="00916EC7"/>
    <w:rsid w:val="00916F10"/>
    <w:rsid w:val="00916FB2"/>
    <w:rsid w:val="0091707A"/>
    <w:rsid w:val="00917286"/>
    <w:rsid w:val="009172D5"/>
    <w:rsid w:val="00917397"/>
    <w:rsid w:val="00917471"/>
    <w:rsid w:val="009175E8"/>
    <w:rsid w:val="00917853"/>
    <w:rsid w:val="00917AE2"/>
    <w:rsid w:val="00917B0D"/>
    <w:rsid w:val="00917CDB"/>
    <w:rsid w:val="00917CE7"/>
    <w:rsid w:val="00917E74"/>
    <w:rsid w:val="00917EC5"/>
    <w:rsid w:val="00917F7B"/>
    <w:rsid w:val="009200DE"/>
    <w:rsid w:val="00920164"/>
    <w:rsid w:val="0092033A"/>
    <w:rsid w:val="009203C9"/>
    <w:rsid w:val="00920622"/>
    <w:rsid w:val="0092068F"/>
    <w:rsid w:val="00920724"/>
    <w:rsid w:val="00920840"/>
    <w:rsid w:val="009209A9"/>
    <w:rsid w:val="00920A5B"/>
    <w:rsid w:val="00920AAD"/>
    <w:rsid w:val="00920C2C"/>
    <w:rsid w:val="00920CFC"/>
    <w:rsid w:val="00920D3B"/>
    <w:rsid w:val="00920F1F"/>
    <w:rsid w:val="0092152A"/>
    <w:rsid w:val="0092154F"/>
    <w:rsid w:val="009219B3"/>
    <w:rsid w:val="00921DA9"/>
    <w:rsid w:val="00921DBE"/>
    <w:rsid w:val="00921F63"/>
    <w:rsid w:val="00922291"/>
    <w:rsid w:val="009222FA"/>
    <w:rsid w:val="00922304"/>
    <w:rsid w:val="00922394"/>
    <w:rsid w:val="009224E0"/>
    <w:rsid w:val="009224E4"/>
    <w:rsid w:val="009225C5"/>
    <w:rsid w:val="00922692"/>
    <w:rsid w:val="0092290F"/>
    <w:rsid w:val="00922C28"/>
    <w:rsid w:val="00922C32"/>
    <w:rsid w:val="00922D8E"/>
    <w:rsid w:val="00922E06"/>
    <w:rsid w:val="00922FB7"/>
    <w:rsid w:val="0092301E"/>
    <w:rsid w:val="00923092"/>
    <w:rsid w:val="00923380"/>
    <w:rsid w:val="0092346D"/>
    <w:rsid w:val="0092372E"/>
    <w:rsid w:val="00923941"/>
    <w:rsid w:val="009239AD"/>
    <w:rsid w:val="00923A65"/>
    <w:rsid w:val="00923AC6"/>
    <w:rsid w:val="00923B40"/>
    <w:rsid w:val="00923CCF"/>
    <w:rsid w:val="00923F64"/>
    <w:rsid w:val="009242D1"/>
    <w:rsid w:val="00924325"/>
    <w:rsid w:val="009244CE"/>
    <w:rsid w:val="0092457C"/>
    <w:rsid w:val="00924756"/>
    <w:rsid w:val="00924999"/>
    <w:rsid w:val="00924A38"/>
    <w:rsid w:val="00924CF6"/>
    <w:rsid w:val="00924D01"/>
    <w:rsid w:val="00924E05"/>
    <w:rsid w:val="00924E0B"/>
    <w:rsid w:val="00924FA3"/>
    <w:rsid w:val="0092500C"/>
    <w:rsid w:val="00925451"/>
    <w:rsid w:val="009256BE"/>
    <w:rsid w:val="0092581F"/>
    <w:rsid w:val="00925970"/>
    <w:rsid w:val="00925B0B"/>
    <w:rsid w:val="00925C56"/>
    <w:rsid w:val="00925C7C"/>
    <w:rsid w:val="00925D07"/>
    <w:rsid w:val="00925F67"/>
    <w:rsid w:val="00925FD5"/>
    <w:rsid w:val="00926014"/>
    <w:rsid w:val="009260BD"/>
    <w:rsid w:val="00926140"/>
    <w:rsid w:val="0092622A"/>
    <w:rsid w:val="00926530"/>
    <w:rsid w:val="00926724"/>
    <w:rsid w:val="009269AE"/>
    <w:rsid w:val="009269E2"/>
    <w:rsid w:val="00926C1B"/>
    <w:rsid w:val="00926C97"/>
    <w:rsid w:val="00926C9F"/>
    <w:rsid w:val="00926DA7"/>
    <w:rsid w:val="00926DE3"/>
    <w:rsid w:val="009270A1"/>
    <w:rsid w:val="009270DC"/>
    <w:rsid w:val="00927177"/>
    <w:rsid w:val="0092718E"/>
    <w:rsid w:val="009272E0"/>
    <w:rsid w:val="0092750B"/>
    <w:rsid w:val="00927680"/>
    <w:rsid w:val="009276FC"/>
    <w:rsid w:val="00927735"/>
    <w:rsid w:val="00927BBE"/>
    <w:rsid w:val="00927C0B"/>
    <w:rsid w:val="0093021E"/>
    <w:rsid w:val="00930282"/>
    <w:rsid w:val="009303DA"/>
    <w:rsid w:val="00930531"/>
    <w:rsid w:val="00930629"/>
    <w:rsid w:val="00930656"/>
    <w:rsid w:val="00930661"/>
    <w:rsid w:val="009306F2"/>
    <w:rsid w:val="00930777"/>
    <w:rsid w:val="0093078B"/>
    <w:rsid w:val="00930938"/>
    <w:rsid w:val="00930946"/>
    <w:rsid w:val="00930973"/>
    <w:rsid w:val="00930D52"/>
    <w:rsid w:val="00931008"/>
    <w:rsid w:val="0093149A"/>
    <w:rsid w:val="009314E9"/>
    <w:rsid w:val="009315A1"/>
    <w:rsid w:val="00931962"/>
    <w:rsid w:val="0093197E"/>
    <w:rsid w:val="00931C96"/>
    <w:rsid w:val="00931CA2"/>
    <w:rsid w:val="00931DEB"/>
    <w:rsid w:val="00931E6B"/>
    <w:rsid w:val="00931F45"/>
    <w:rsid w:val="00931F46"/>
    <w:rsid w:val="0093216F"/>
    <w:rsid w:val="009321F2"/>
    <w:rsid w:val="0093229C"/>
    <w:rsid w:val="0093236C"/>
    <w:rsid w:val="0093265B"/>
    <w:rsid w:val="00932778"/>
    <w:rsid w:val="00932859"/>
    <w:rsid w:val="009328B8"/>
    <w:rsid w:val="00932A2A"/>
    <w:rsid w:val="00932CC0"/>
    <w:rsid w:val="00932CC1"/>
    <w:rsid w:val="00932E9E"/>
    <w:rsid w:val="00933045"/>
    <w:rsid w:val="009331D7"/>
    <w:rsid w:val="009337E0"/>
    <w:rsid w:val="00933806"/>
    <w:rsid w:val="009338A0"/>
    <w:rsid w:val="00933B7D"/>
    <w:rsid w:val="00933BC3"/>
    <w:rsid w:val="00933D40"/>
    <w:rsid w:val="00933DD3"/>
    <w:rsid w:val="00933ED4"/>
    <w:rsid w:val="00933F99"/>
    <w:rsid w:val="00934027"/>
    <w:rsid w:val="009341AE"/>
    <w:rsid w:val="00934237"/>
    <w:rsid w:val="009342A1"/>
    <w:rsid w:val="009343E9"/>
    <w:rsid w:val="00934495"/>
    <w:rsid w:val="009344E6"/>
    <w:rsid w:val="00934698"/>
    <w:rsid w:val="009346D3"/>
    <w:rsid w:val="00934902"/>
    <w:rsid w:val="00934934"/>
    <w:rsid w:val="00934A73"/>
    <w:rsid w:val="00934B53"/>
    <w:rsid w:val="00934E61"/>
    <w:rsid w:val="00934F96"/>
    <w:rsid w:val="00935093"/>
    <w:rsid w:val="009350A2"/>
    <w:rsid w:val="0093557A"/>
    <w:rsid w:val="00935647"/>
    <w:rsid w:val="009359D6"/>
    <w:rsid w:val="00935AA2"/>
    <w:rsid w:val="00935AE5"/>
    <w:rsid w:val="00935C35"/>
    <w:rsid w:val="00936558"/>
    <w:rsid w:val="00936743"/>
    <w:rsid w:val="009367B9"/>
    <w:rsid w:val="00936814"/>
    <w:rsid w:val="00936933"/>
    <w:rsid w:val="00936986"/>
    <w:rsid w:val="00936B41"/>
    <w:rsid w:val="00936B7C"/>
    <w:rsid w:val="00936E59"/>
    <w:rsid w:val="00936FCF"/>
    <w:rsid w:val="00936FE8"/>
    <w:rsid w:val="0093700A"/>
    <w:rsid w:val="009370D3"/>
    <w:rsid w:val="009371A1"/>
    <w:rsid w:val="009371CE"/>
    <w:rsid w:val="009374D9"/>
    <w:rsid w:val="00937691"/>
    <w:rsid w:val="00937700"/>
    <w:rsid w:val="00937750"/>
    <w:rsid w:val="009377A4"/>
    <w:rsid w:val="00937B30"/>
    <w:rsid w:val="00937D16"/>
    <w:rsid w:val="00937F63"/>
    <w:rsid w:val="00937F9B"/>
    <w:rsid w:val="009400D9"/>
    <w:rsid w:val="009400E9"/>
    <w:rsid w:val="00940198"/>
    <w:rsid w:val="009401D9"/>
    <w:rsid w:val="0094039C"/>
    <w:rsid w:val="00940A18"/>
    <w:rsid w:val="00940F9D"/>
    <w:rsid w:val="00941105"/>
    <w:rsid w:val="009411D6"/>
    <w:rsid w:val="009411E5"/>
    <w:rsid w:val="0094120D"/>
    <w:rsid w:val="00941295"/>
    <w:rsid w:val="0094146E"/>
    <w:rsid w:val="0094190B"/>
    <w:rsid w:val="00941911"/>
    <w:rsid w:val="00941B6F"/>
    <w:rsid w:val="00941C0A"/>
    <w:rsid w:val="00941C66"/>
    <w:rsid w:val="00941D6E"/>
    <w:rsid w:val="00941E76"/>
    <w:rsid w:val="00942073"/>
    <w:rsid w:val="00942130"/>
    <w:rsid w:val="00942401"/>
    <w:rsid w:val="0094240C"/>
    <w:rsid w:val="009424F5"/>
    <w:rsid w:val="0094255B"/>
    <w:rsid w:val="00942574"/>
    <w:rsid w:val="0094257C"/>
    <w:rsid w:val="009427ED"/>
    <w:rsid w:val="00942828"/>
    <w:rsid w:val="00942AB4"/>
    <w:rsid w:val="00942D14"/>
    <w:rsid w:val="00942D76"/>
    <w:rsid w:val="00942F87"/>
    <w:rsid w:val="009430BE"/>
    <w:rsid w:val="009431DE"/>
    <w:rsid w:val="009435B7"/>
    <w:rsid w:val="00943683"/>
    <w:rsid w:val="00943758"/>
    <w:rsid w:val="00943882"/>
    <w:rsid w:val="00943987"/>
    <w:rsid w:val="00943A94"/>
    <w:rsid w:val="00943B23"/>
    <w:rsid w:val="00943C8C"/>
    <w:rsid w:val="00943D1D"/>
    <w:rsid w:val="00943D78"/>
    <w:rsid w:val="00943E89"/>
    <w:rsid w:val="00943F05"/>
    <w:rsid w:val="00943FC3"/>
    <w:rsid w:val="00944081"/>
    <w:rsid w:val="009441D8"/>
    <w:rsid w:val="00944534"/>
    <w:rsid w:val="009445AE"/>
    <w:rsid w:val="00944773"/>
    <w:rsid w:val="009447B7"/>
    <w:rsid w:val="009448B5"/>
    <w:rsid w:val="00944A17"/>
    <w:rsid w:val="00944A5A"/>
    <w:rsid w:val="00944DCD"/>
    <w:rsid w:val="00944E54"/>
    <w:rsid w:val="009450DB"/>
    <w:rsid w:val="0094531D"/>
    <w:rsid w:val="009453E9"/>
    <w:rsid w:val="00945935"/>
    <w:rsid w:val="00945959"/>
    <w:rsid w:val="009459A3"/>
    <w:rsid w:val="00945B04"/>
    <w:rsid w:val="00945B99"/>
    <w:rsid w:val="00945E6E"/>
    <w:rsid w:val="00945F94"/>
    <w:rsid w:val="0094619A"/>
    <w:rsid w:val="0094620F"/>
    <w:rsid w:val="0094632B"/>
    <w:rsid w:val="00946394"/>
    <w:rsid w:val="0094656A"/>
    <w:rsid w:val="0094668B"/>
    <w:rsid w:val="009468A9"/>
    <w:rsid w:val="00946A28"/>
    <w:rsid w:val="00946F7E"/>
    <w:rsid w:val="00946F99"/>
    <w:rsid w:val="00946F9C"/>
    <w:rsid w:val="00946FB6"/>
    <w:rsid w:val="0094711A"/>
    <w:rsid w:val="00947234"/>
    <w:rsid w:val="00947294"/>
    <w:rsid w:val="00947474"/>
    <w:rsid w:val="00947A4C"/>
    <w:rsid w:val="00947E7F"/>
    <w:rsid w:val="00947E88"/>
    <w:rsid w:val="00947FC1"/>
    <w:rsid w:val="00947FE5"/>
    <w:rsid w:val="00950379"/>
    <w:rsid w:val="00950716"/>
    <w:rsid w:val="009508FB"/>
    <w:rsid w:val="009509A7"/>
    <w:rsid w:val="00950ADF"/>
    <w:rsid w:val="00950BBA"/>
    <w:rsid w:val="00950C62"/>
    <w:rsid w:val="00950E90"/>
    <w:rsid w:val="00951092"/>
    <w:rsid w:val="009510C9"/>
    <w:rsid w:val="009511B7"/>
    <w:rsid w:val="00951280"/>
    <w:rsid w:val="009515AD"/>
    <w:rsid w:val="009515E8"/>
    <w:rsid w:val="00951746"/>
    <w:rsid w:val="00951B3C"/>
    <w:rsid w:val="00951B8E"/>
    <w:rsid w:val="00951D7B"/>
    <w:rsid w:val="00951FC5"/>
    <w:rsid w:val="0095265E"/>
    <w:rsid w:val="009526D0"/>
    <w:rsid w:val="0095297B"/>
    <w:rsid w:val="009529B2"/>
    <w:rsid w:val="00952C94"/>
    <w:rsid w:val="00952D9D"/>
    <w:rsid w:val="00952DD7"/>
    <w:rsid w:val="00952F10"/>
    <w:rsid w:val="00953108"/>
    <w:rsid w:val="00953314"/>
    <w:rsid w:val="00953357"/>
    <w:rsid w:val="0095337B"/>
    <w:rsid w:val="00953468"/>
    <w:rsid w:val="009534B4"/>
    <w:rsid w:val="00953543"/>
    <w:rsid w:val="009537A5"/>
    <w:rsid w:val="00953816"/>
    <w:rsid w:val="0095384D"/>
    <w:rsid w:val="0095387D"/>
    <w:rsid w:val="009538DA"/>
    <w:rsid w:val="009538E7"/>
    <w:rsid w:val="00953D78"/>
    <w:rsid w:val="00953E8F"/>
    <w:rsid w:val="00953ECA"/>
    <w:rsid w:val="00953EE3"/>
    <w:rsid w:val="00953FE9"/>
    <w:rsid w:val="009540E9"/>
    <w:rsid w:val="0095412E"/>
    <w:rsid w:val="00954621"/>
    <w:rsid w:val="00954631"/>
    <w:rsid w:val="00954675"/>
    <w:rsid w:val="00954720"/>
    <w:rsid w:val="00954831"/>
    <w:rsid w:val="00954889"/>
    <w:rsid w:val="00954937"/>
    <w:rsid w:val="009549CC"/>
    <w:rsid w:val="009549E6"/>
    <w:rsid w:val="00954A74"/>
    <w:rsid w:val="00954C79"/>
    <w:rsid w:val="00954CDD"/>
    <w:rsid w:val="00954D71"/>
    <w:rsid w:val="00955053"/>
    <w:rsid w:val="00955509"/>
    <w:rsid w:val="009555F8"/>
    <w:rsid w:val="00955CB1"/>
    <w:rsid w:val="00955DE9"/>
    <w:rsid w:val="009565B4"/>
    <w:rsid w:val="009566AF"/>
    <w:rsid w:val="009568A8"/>
    <w:rsid w:val="009569C3"/>
    <w:rsid w:val="00956A84"/>
    <w:rsid w:val="00956A88"/>
    <w:rsid w:val="00956AD1"/>
    <w:rsid w:val="00956C13"/>
    <w:rsid w:val="00956D74"/>
    <w:rsid w:val="00956F34"/>
    <w:rsid w:val="00957177"/>
    <w:rsid w:val="009571B4"/>
    <w:rsid w:val="009573F1"/>
    <w:rsid w:val="00957461"/>
    <w:rsid w:val="009576BF"/>
    <w:rsid w:val="009578B6"/>
    <w:rsid w:val="00957AC3"/>
    <w:rsid w:val="00957ADF"/>
    <w:rsid w:val="00957CC6"/>
    <w:rsid w:val="00957D0A"/>
    <w:rsid w:val="00957D4E"/>
    <w:rsid w:val="00957D70"/>
    <w:rsid w:val="00957DED"/>
    <w:rsid w:val="00957F2C"/>
    <w:rsid w:val="009600FE"/>
    <w:rsid w:val="0096012E"/>
    <w:rsid w:val="0096013A"/>
    <w:rsid w:val="0096024B"/>
    <w:rsid w:val="00960366"/>
    <w:rsid w:val="009603E1"/>
    <w:rsid w:val="00960432"/>
    <w:rsid w:val="009605DD"/>
    <w:rsid w:val="00960799"/>
    <w:rsid w:val="00960801"/>
    <w:rsid w:val="00960A76"/>
    <w:rsid w:val="00960AC4"/>
    <w:rsid w:val="00960C50"/>
    <w:rsid w:val="00960D2B"/>
    <w:rsid w:val="00960E5D"/>
    <w:rsid w:val="00960EDF"/>
    <w:rsid w:val="00960F5D"/>
    <w:rsid w:val="00960FF3"/>
    <w:rsid w:val="00960FF4"/>
    <w:rsid w:val="00961043"/>
    <w:rsid w:val="009610A6"/>
    <w:rsid w:val="009610DA"/>
    <w:rsid w:val="00961181"/>
    <w:rsid w:val="009613D1"/>
    <w:rsid w:val="0096141D"/>
    <w:rsid w:val="009614BD"/>
    <w:rsid w:val="00961529"/>
    <w:rsid w:val="00961884"/>
    <w:rsid w:val="0096196B"/>
    <w:rsid w:val="00961C44"/>
    <w:rsid w:val="00961DE5"/>
    <w:rsid w:val="00961E31"/>
    <w:rsid w:val="00961ECC"/>
    <w:rsid w:val="0096208F"/>
    <w:rsid w:val="00962092"/>
    <w:rsid w:val="00962235"/>
    <w:rsid w:val="009622B5"/>
    <w:rsid w:val="009623A1"/>
    <w:rsid w:val="00962466"/>
    <w:rsid w:val="00962611"/>
    <w:rsid w:val="009626BE"/>
    <w:rsid w:val="0096270B"/>
    <w:rsid w:val="009627CE"/>
    <w:rsid w:val="009628A9"/>
    <w:rsid w:val="0096312C"/>
    <w:rsid w:val="00963352"/>
    <w:rsid w:val="0096346A"/>
    <w:rsid w:val="00963677"/>
    <w:rsid w:val="0096384B"/>
    <w:rsid w:val="0096397E"/>
    <w:rsid w:val="00963B59"/>
    <w:rsid w:val="00963E29"/>
    <w:rsid w:val="00963ED0"/>
    <w:rsid w:val="00963F43"/>
    <w:rsid w:val="00964027"/>
    <w:rsid w:val="00964045"/>
    <w:rsid w:val="009641C1"/>
    <w:rsid w:val="00964519"/>
    <w:rsid w:val="009645A9"/>
    <w:rsid w:val="0096475F"/>
    <w:rsid w:val="00964833"/>
    <w:rsid w:val="00964A2D"/>
    <w:rsid w:val="00964BE9"/>
    <w:rsid w:val="00964C73"/>
    <w:rsid w:val="00964CD3"/>
    <w:rsid w:val="00964D58"/>
    <w:rsid w:val="00964DA0"/>
    <w:rsid w:val="00964E1C"/>
    <w:rsid w:val="00964EBF"/>
    <w:rsid w:val="0096501C"/>
    <w:rsid w:val="009654BE"/>
    <w:rsid w:val="00965955"/>
    <w:rsid w:val="009659DB"/>
    <w:rsid w:val="00965AA9"/>
    <w:rsid w:val="00965AB0"/>
    <w:rsid w:val="00965ECD"/>
    <w:rsid w:val="00965F70"/>
    <w:rsid w:val="00965FB9"/>
    <w:rsid w:val="009661E9"/>
    <w:rsid w:val="0096625B"/>
    <w:rsid w:val="00966279"/>
    <w:rsid w:val="009663D8"/>
    <w:rsid w:val="009667AA"/>
    <w:rsid w:val="009668A4"/>
    <w:rsid w:val="00966A4D"/>
    <w:rsid w:val="00966E30"/>
    <w:rsid w:val="00966F5A"/>
    <w:rsid w:val="00966F76"/>
    <w:rsid w:val="00966FA5"/>
    <w:rsid w:val="00967154"/>
    <w:rsid w:val="00967206"/>
    <w:rsid w:val="00967234"/>
    <w:rsid w:val="009673BD"/>
    <w:rsid w:val="00967400"/>
    <w:rsid w:val="0096744C"/>
    <w:rsid w:val="009675CE"/>
    <w:rsid w:val="0096763C"/>
    <w:rsid w:val="009676FB"/>
    <w:rsid w:val="00967723"/>
    <w:rsid w:val="00967862"/>
    <w:rsid w:val="00967899"/>
    <w:rsid w:val="009679D3"/>
    <w:rsid w:val="00967A84"/>
    <w:rsid w:val="00967AD3"/>
    <w:rsid w:val="00967C2A"/>
    <w:rsid w:val="00967F90"/>
    <w:rsid w:val="009702E8"/>
    <w:rsid w:val="00970356"/>
    <w:rsid w:val="009703C7"/>
    <w:rsid w:val="00970454"/>
    <w:rsid w:val="00970567"/>
    <w:rsid w:val="009705E3"/>
    <w:rsid w:val="0097065F"/>
    <w:rsid w:val="009707F9"/>
    <w:rsid w:val="00970929"/>
    <w:rsid w:val="00970A0D"/>
    <w:rsid w:val="00970A28"/>
    <w:rsid w:val="00970E36"/>
    <w:rsid w:val="00970F12"/>
    <w:rsid w:val="0097114D"/>
    <w:rsid w:val="00971233"/>
    <w:rsid w:val="00971389"/>
    <w:rsid w:val="0097190D"/>
    <w:rsid w:val="00971917"/>
    <w:rsid w:val="00971AC2"/>
    <w:rsid w:val="00971B45"/>
    <w:rsid w:val="00971CFF"/>
    <w:rsid w:val="00971D34"/>
    <w:rsid w:val="00972088"/>
    <w:rsid w:val="009720E1"/>
    <w:rsid w:val="009721F9"/>
    <w:rsid w:val="009722A9"/>
    <w:rsid w:val="0097265B"/>
    <w:rsid w:val="0097272E"/>
    <w:rsid w:val="0097279F"/>
    <w:rsid w:val="009727CF"/>
    <w:rsid w:val="00972867"/>
    <w:rsid w:val="009729BC"/>
    <w:rsid w:val="00972BF0"/>
    <w:rsid w:val="00972DDD"/>
    <w:rsid w:val="00972E6E"/>
    <w:rsid w:val="00972EBB"/>
    <w:rsid w:val="00972F31"/>
    <w:rsid w:val="00972F48"/>
    <w:rsid w:val="009730F9"/>
    <w:rsid w:val="009733A6"/>
    <w:rsid w:val="009736CD"/>
    <w:rsid w:val="009738F4"/>
    <w:rsid w:val="00973917"/>
    <w:rsid w:val="00973D2D"/>
    <w:rsid w:val="00973EEB"/>
    <w:rsid w:val="009740C9"/>
    <w:rsid w:val="009740E0"/>
    <w:rsid w:val="00974276"/>
    <w:rsid w:val="009744B4"/>
    <w:rsid w:val="0097481D"/>
    <w:rsid w:val="00974984"/>
    <w:rsid w:val="00974B01"/>
    <w:rsid w:val="00974D42"/>
    <w:rsid w:val="00974E3B"/>
    <w:rsid w:val="00974F68"/>
    <w:rsid w:val="00974FDE"/>
    <w:rsid w:val="00974FE8"/>
    <w:rsid w:val="0097503D"/>
    <w:rsid w:val="009752BC"/>
    <w:rsid w:val="009752D1"/>
    <w:rsid w:val="00975313"/>
    <w:rsid w:val="009753F0"/>
    <w:rsid w:val="0097544B"/>
    <w:rsid w:val="0097545A"/>
    <w:rsid w:val="00975530"/>
    <w:rsid w:val="00975578"/>
    <w:rsid w:val="00975790"/>
    <w:rsid w:val="00975A48"/>
    <w:rsid w:val="00975B66"/>
    <w:rsid w:val="00975CE0"/>
    <w:rsid w:val="00975DFE"/>
    <w:rsid w:val="00975E54"/>
    <w:rsid w:val="00975EBC"/>
    <w:rsid w:val="009760E6"/>
    <w:rsid w:val="009763B5"/>
    <w:rsid w:val="00976761"/>
    <w:rsid w:val="00976928"/>
    <w:rsid w:val="0097699F"/>
    <w:rsid w:val="00976CD4"/>
    <w:rsid w:val="00976D98"/>
    <w:rsid w:val="00976D9C"/>
    <w:rsid w:val="00976F73"/>
    <w:rsid w:val="00976FF5"/>
    <w:rsid w:val="009771E1"/>
    <w:rsid w:val="009776D3"/>
    <w:rsid w:val="009776E4"/>
    <w:rsid w:val="00977713"/>
    <w:rsid w:val="009777C4"/>
    <w:rsid w:val="009777C5"/>
    <w:rsid w:val="00977844"/>
    <w:rsid w:val="00977A8B"/>
    <w:rsid w:val="00977B6E"/>
    <w:rsid w:val="00977B71"/>
    <w:rsid w:val="00977B98"/>
    <w:rsid w:val="00977C1B"/>
    <w:rsid w:val="00977CDB"/>
    <w:rsid w:val="00977DEA"/>
    <w:rsid w:val="00977F29"/>
    <w:rsid w:val="00977F6B"/>
    <w:rsid w:val="00977F8B"/>
    <w:rsid w:val="00980008"/>
    <w:rsid w:val="00980020"/>
    <w:rsid w:val="009801E8"/>
    <w:rsid w:val="00980234"/>
    <w:rsid w:val="009803DE"/>
    <w:rsid w:val="00980561"/>
    <w:rsid w:val="0098061C"/>
    <w:rsid w:val="009809B9"/>
    <w:rsid w:val="00980BD6"/>
    <w:rsid w:val="00980CF2"/>
    <w:rsid w:val="00980D43"/>
    <w:rsid w:val="00980F3F"/>
    <w:rsid w:val="0098102A"/>
    <w:rsid w:val="00981099"/>
    <w:rsid w:val="009810BC"/>
    <w:rsid w:val="00981146"/>
    <w:rsid w:val="0098128E"/>
    <w:rsid w:val="00981660"/>
    <w:rsid w:val="009816C4"/>
    <w:rsid w:val="0098174F"/>
    <w:rsid w:val="00981A7C"/>
    <w:rsid w:val="00981E3E"/>
    <w:rsid w:val="00981EFF"/>
    <w:rsid w:val="0098211E"/>
    <w:rsid w:val="00982163"/>
    <w:rsid w:val="00982241"/>
    <w:rsid w:val="009824E4"/>
    <w:rsid w:val="00982509"/>
    <w:rsid w:val="0098250F"/>
    <w:rsid w:val="009827B7"/>
    <w:rsid w:val="0098280D"/>
    <w:rsid w:val="0098295B"/>
    <w:rsid w:val="00982B77"/>
    <w:rsid w:val="00982B85"/>
    <w:rsid w:val="00982B90"/>
    <w:rsid w:val="00982BCD"/>
    <w:rsid w:val="00982C28"/>
    <w:rsid w:val="00982C8F"/>
    <w:rsid w:val="00982E96"/>
    <w:rsid w:val="00983395"/>
    <w:rsid w:val="00983449"/>
    <w:rsid w:val="0098354D"/>
    <w:rsid w:val="009838B5"/>
    <w:rsid w:val="00983914"/>
    <w:rsid w:val="00983923"/>
    <w:rsid w:val="00983A44"/>
    <w:rsid w:val="00983C9A"/>
    <w:rsid w:val="00983CC2"/>
    <w:rsid w:val="00983DFF"/>
    <w:rsid w:val="0098405B"/>
    <w:rsid w:val="009841BF"/>
    <w:rsid w:val="009843D3"/>
    <w:rsid w:val="009846F6"/>
    <w:rsid w:val="00984B8B"/>
    <w:rsid w:val="00984DB1"/>
    <w:rsid w:val="0098511A"/>
    <w:rsid w:val="0098541B"/>
    <w:rsid w:val="00985507"/>
    <w:rsid w:val="009856FE"/>
    <w:rsid w:val="0098570C"/>
    <w:rsid w:val="009857D8"/>
    <w:rsid w:val="00985BF3"/>
    <w:rsid w:val="00985D75"/>
    <w:rsid w:val="00985F4F"/>
    <w:rsid w:val="00986392"/>
    <w:rsid w:val="0098657C"/>
    <w:rsid w:val="00986663"/>
    <w:rsid w:val="00986793"/>
    <w:rsid w:val="00986914"/>
    <w:rsid w:val="00986AFA"/>
    <w:rsid w:val="00986C6E"/>
    <w:rsid w:val="00986C88"/>
    <w:rsid w:val="00986D45"/>
    <w:rsid w:val="00986EC9"/>
    <w:rsid w:val="0098715E"/>
    <w:rsid w:val="00987186"/>
    <w:rsid w:val="0098718C"/>
    <w:rsid w:val="00987341"/>
    <w:rsid w:val="009875B5"/>
    <w:rsid w:val="009876F2"/>
    <w:rsid w:val="009876F4"/>
    <w:rsid w:val="00987785"/>
    <w:rsid w:val="009879A2"/>
    <w:rsid w:val="009879A5"/>
    <w:rsid w:val="00987B7E"/>
    <w:rsid w:val="00987F11"/>
    <w:rsid w:val="00987F13"/>
    <w:rsid w:val="00990013"/>
    <w:rsid w:val="0099005F"/>
    <w:rsid w:val="00990074"/>
    <w:rsid w:val="00990228"/>
    <w:rsid w:val="009903F4"/>
    <w:rsid w:val="009906FA"/>
    <w:rsid w:val="00990745"/>
    <w:rsid w:val="009907C6"/>
    <w:rsid w:val="009908AA"/>
    <w:rsid w:val="00990CCD"/>
    <w:rsid w:val="00990D76"/>
    <w:rsid w:val="00990E53"/>
    <w:rsid w:val="00990EA5"/>
    <w:rsid w:val="00990F31"/>
    <w:rsid w:val="00991261"/>
    <w:rsid w:val="009912FC"/>
    <w:rsid w:val="00991545"/>
    <w:rsid w:val="009915E6"/>
    <w:rsid w:val="00991794"/>
    <w:rsid w:val="00991868"/>
    <w:rsid w:val="00991928"/>
    <w:rsid w:val="009919CB"/>
    <w:rsid w:val="009919EB"/>
    <w:rsid w:val="00991B08"/>
    <w:rsid w:val="00991F50"/>
    <w:rsid w:val="00992049"/>
    <w:rsid w:val="009920F2"/>
    <w:rsid w:val="00992160"/>
    <w:rsid w:val="009922BA"/>
    <w:rsid w:val="00992506"/>
    <w:rsid w:val="00992918"/>
    <w:rsid w:val="00992945"/>
    <w:rsid w:val="00992950"/>
    <w:rsid w:val="009929D1"/>
    <w:rsid w:val="00992A1B"/>
    <w:rsid w:val="00992B37"/>
    <w:rsid w:val="00992CDB"/>
    <w:rsid w:val="00992EB4"/>
    <w:rsid w:val="00992FA2"/>
    <w:rsid w:val="00993031"/>
    <w:rsid w:val="009930E8"/>
    <w:rsid w:val="00993103"/>
    <w:rsid w:val="0099315A"/>
    <w:rsid w:val="00993213"/>
    <w:rsid w:val="009932E5"/>
    <w:rsid w:val="009933F5"/>
    <w:rsid w:val="00993578"/>
    <w:rsid w:val="00993AD1"/>
    <w:rsid w:val="00993BE5"/>
    <w:rsid w:val="00993FA3"/>
    <w:rsid w:val="00993FFC"/>
    <w:rsid w:val="00994084"/>
    <w:rsid w:val="00994773"/>
    <w:rsid w:val="009947B8"/>
    <w:rsid w:val="009947E4"/>
    <w:rsid w:val="00994A69"/>
    <w:rsid w:val="00994B41"/>
    <w:rsid w:val="00994B8B"/>
    <w:rsid w:val="00994D9F"/>
    <w:rsid w:val="00994EEB"/>
    <w:rsid w:val="00995302"/>
    <w:rsid w:val="009955B5"/>
    <w:rsid w:val="009956C7"/>
    <w:rsid w:val="0099575C"/>
    <w:rsid w:val="00995884"/>
    <w:rsid w:val="0099589C"/>
    <w:rsid w:val="009958DB"/>
    <w:rsid w:val="009958ED"/>
    <w:rsid w:val="00995929"/>
    <w:rsid w:val="00995957"/>
    <w:rsid w:val="00995BFB"/>
    <w:rsid w:val="00995DB8"/>
    <w:rsid w:val="00995FBE"/>
    <w:rsid w:val="00995FC4"/>
    <w:rsid w:val="009961A6"/>
    <w:rsid w:val="009961B4"/>
    <w:rsid w:val="009962E8"/>
    <w:rsid w:val="00996694"/>
    <w:rsid w:val="00996714"/>
    <w:rsid w:val="00996744"/>
    <w:rsid w:val="0099677A"/>
    <w:rsid w:val="009969D8"/>
    <w:rsid w:val="00996C3B"/>
    <w:rsid w:val="00996C6E"/>
    <w:rsid w:val="00996E7E"/>
    <w:rsid w:val="0099703F"/>
    <w:rsid w:val="00997283"/>
    <w:rsid w:val="009972F5"/>
    <w:rsid w:val="00997352"/>
    <w:rsid w:val="0099738C"/>
    <w:rsid w:val="0099743D"/>
    <w:rsid w:val="0099749F"/>
    <w:rsid w:val="00997590"/>
    <w:rsid w:val="009976F6"/>
    <w:rsid w:val="009977D5"/>
    <w:rsid w:val="0099785B"/>
    <w:rsid w:val="00997875"/>
    <w:rsid w:val="009978F5"/>
    <w:rsid w:val="00997A8B"/>
    <w:rsid w:val="00997B08"/>
    <w:rsid w:val="00997BC4"/>
    <w:rsid w:val="00997DD2"/>
    <w:rsid w:val="00997E39"/>
    <w:rsid w:val="00997F56"/>
    <w:rsid w:val="009A0076"/>
    <w:rsid w:val="009A008C"/>
    <w:rsid w:val="009A0115"/>
    <w:rsid w:val="009A0498"/>
    <w:rsid w:val="009A060D"/>
    <w:rsid w:val="009A065A"/>
    <w:rsid w:val="009A07A9"/>
    <w:rsid w:val="009A07F9"/>
    <w:rsid w:val="009A090A"/>
    <w:rsid w:val="009A0A49"/>
    <w:rsid w:val="009A0BBF"/>
    <w:rsid w:val="009A0C28"/>
    <w:rsid w:val="009A0C3C"/>
    <w:rsid w:val="009A0CB8"/>
    <w:rsid w:val="009A0FFF"/>
    <w:rsid w:val="009A1176"/>
    <w:rsid w:val="009A1243"/>
    <w:rsid w:val="009A14CE"/>
    <w:rsid w:val="009A15E3"/>
    <w:rsid w:val="009A17D0"/>
    <w:rsid w:val="009A19C3"/>
    <w:rsid w:val="009A19F3"/>
    <w:rsid w:val="009A1A6B"/>
    <w:rsid w:val="009A1B23"/>
    <w:rsid w:val="009A1B8F"/>
    <w:rsid w:val="009A1CC6"/>
    <w:rsid w:val="009A1E1B"/>
    <w:rsid w:val="009A1F52"/>
    <w:rsid w:val="009A23E6"/>
    <w:rsid w:val="009A24C1"/>
    <w:rsid w:val="009A2523"/>
    <w:rsid w:val="009A2552"/>
    <w:rsid w:val="009A25B6"/>
    <w:rsid w:val="009A27E4"/>
    <w:rsid w:val="009A2802"/>
    <w:rsid w:val="009A28B4"/>
    <w:rsid w:val="009A28D7"/>
    <w:rsid w:val="009A2BDF"/>
    <w:rsid w:val="009A2D56"/>
    <w:rsid w:val="009A2ECF"/>
    <w:rsid w:val="009A3000"/>
    <w:rsid w:val="009A317D"/>
    <w:rsid w:val="009A33BA"/>
    <w:rsid w:val="009A33C7"/>
    <w:rsid w:val="009A3407"/>
    <w:rsid w:val="009A3447"/>
    <w:rsid w:val="009A34EE"/>
    <w:rsid w:val="009A3692"/>
    <w:rsid w:val="009A377E"/>
    <w:rsid w:val="009A37EB"/>
    <w:rsid w:val="009A3A8C"/>
    <w:rsid w:val="009A3AAE"/>
    <w:rsid w:val="009A3BA0"/>
    <w:rsid w:val="009A47E8"/>
    <w:rsid w:val="009A485C"/>
    <w:rsid w:val="009A49E6"/>
    <w:rsid w:val="009A4B7D"/>
    <w:rsid w:val="009A4CAC"/>
    <w:rsid w:val="009A4E09"/>
    <w:rsid w:val="009A4F14"/>
    <w:rsid w:val="009A4FD1"/>
    <w:rsid w:val="009A50D2"/>
    <w:rsid w:val="009A50DC"/>
    <w:rsid w:val="009A5426"/>
    <w:rsid w:val="009A5485"/>
    <w:rsid w:val="009A5E2B"/>
    <w:rsid w:val="009A5FC5"/>
    <w:rsid w:val="009A60EE"/>
    <w:rsid w:val="009A60FF"/>
    <w:rsid w:val="009A62E0"/>
    <w:rsid w:val="009A6336"/>
    <w:rsid w:val="009A63FD"/>
    <w:rsid w:val="009A6439"/>
    <w:rsid w:val="009A6447"/>
    <w:rsid w:val="009A6B98"/>
    <w:rsid w:val="009A6C85"/>
    <w:rsid w:val="009A6DB4"/>
    <w:rsid w:val="009A7289"/>
    <w:rsid w:val="009A72EB"/>
    <w:rsid w:val="009A74FF"/>
    <w:rsid w:val="009A7987"/>
    <w:rsid w:val="009A7A43"/>
    <w:rsid w:val="009A7AD3"/>
    <w:rsid w:val="009A7AEE"/>
    <w:rsid w:val="009B04B8"/>
    <w:rsid w:val="009B0517"/>
    <w:rsid w:val="009B075E"/>
    <w:rsid w:val="009B0988"/>
    <w:rsid w:val="009B0A8C"/>
    <w:rsid w:val="009B0B0D"/>
    <w:rsid w:val="009B0DD4"/>
    <w:rsid w:val="009B0E24"/>
    <w:rsid w:val="009B0F10"/>
    <w:rsid w:val="009B103B"/>
    <w:rsid w:val="009B13FC"/>
    <w:rsid w:val="009B1829"/>
    <w:rsid w:val="009B1B31"/>
    <w:rsid w:val="009B1D98"/>
    <w:rsid w:val="009B1ED9"/>
    <w:rsid w:val="009B20EA"/>
    <w:rsid w:val="009B26DA"/>
    <w:rsid w:val="009B2A04"/>
    <w:rsid w:val="009B2AFB"/>
    <w:rsid w:val="009B2B5A"/>
    <w:rsid w:val="009B2C1D"/>
    <w:rsid w:val="009B2C43"/>
    <w:rsid w:val="009B2C46"/>
    <w:rsid w:val="009B2CB9"/>
    <w:rsid w:val="009B2D3C"/>
    <w:rsid w:val="009B309F"/>
    <w:rsid w:val="009B3183"/>
    <w:rsid w:val="009B3413"/>
    <w:rsid w:val="009B34C5"/>
    <w:rsid w:val="009B35C7"/>
    <w:rsid w:val="009B365A"/>
    <w:rsid w:val="009B3982"/>
    <w:rsid w:val="009B3B43"/>
    <w:rsid w:val="009B3B73"/>
    <w:rsid w:val="009B3B7C"/>
    <w:rsid w:val="009B3C8F"/>
    <w:rsid w:val="009B3D03"/>
    <w:rsid w:val="009B3EB6"/>
    <w:rsid w:val="009B4127"/>
    <w:rsid w:val="009B4250"/>
    <w:rsid w:val="009B4267"/>
    <w:rsid w:val="009B430B"/>
    <w:rsid w:val="009B432E"/>
    <w:rsid w:val="009B43BB"/>
    <w:rsid w:val="009B4553"/>
    <w:rsid w:val="009B4619"/>
    <w:rsid w:val="009B47E3"/>
    <w:rsid w:val="009B497C"/>
    <w:rsid w:val="009B49C3"/>
    <w:rsid w:val="009B4A38"/>
    <w:rsid w:val="009B4AA8"/>
    <w:rsid w:val="009B4AAF"/>
    <w:rsid w:val="009B4ADC"/>
    <w:rsid w:val="009B4B34"/>
    <w:rsid w:val="009B4B43"/>
    <w:rsid w:val="009B4CB1"/>
    <w:rsid w:val="009B4EB9"/>
    <w:rsid w:val="009B4F20"/>
    <w:rsid w:val="009B5040"/>
    <w:rsid w:val="009B5132"/>
    <w:rsid w:val="009B513D"/>
    <w:rsid w:val="009B5373"/>
    <w:rsid w:val="009B5485"/>
    <w:rsid w:val="009B5553"/>
    <w:rsid w:val="009B5571"/>
    <w:rsid w:val="009B56B6"/>
    <w:rsid w:val="009B57B6"/>
    <w:rsid w:val="009B589A"/>
    <w:rsid w:val="009B58B6"/>
    <w:rsid w:val="009B5A50"/>
    <w:rsid w:val="009B5B03"/>
    <w:rsid w:val="009B5B8D"/>
    <w:rsid w:val="009B5CFC"/>
    <w:rsid w:val="009B5D9B"/>
    <w:rsid w:val="009B6058"/>
    <w:rsid w:val="009B610E"/>
    <w:rsid w:val="009B626B"/>
    <w:rsid w:val="009B6440"/>
    <w:rsid w:val="009B6490"/>
    <w:rsid w:val="009B655F"/>
    <w:rsid w:val="009B6575"/>
    <w:rsid w:val="009B66B8"/>
    <w:rsid w:val="009B6A46"/>
    <w:rsid w:val="009B6B9A"/>
    <w:rsid w:val="009B6C01"/>
    <w:rsid w:val="009B6D6B"/>
    <w:rsid w:val="009B6E0A"/>
    <w:rsid w:val="009B7028"/>
    <w:rsid w:val="009B7047"/>
    <w:rsid w:val="009B70CA"/>
    <w:rsid w:val="009B7137"/>
    <w:rsid w:val="009B71F9"/>
    <w:rsid w:val="009B73CE"/>
    <w:rsid w:val="009B73E7"/>
    <w:rsid w:val="009B76AA"/>
    <w:rsid w:val="009B7A1F"/>
    <w:rsid w:val="009B7A37"/>
    <w:rsid w:val="009B7A39"/>
    <w:rsid w:val="009B7A58"/>
    <w:rsid w:val="009B7E65"/>
    <w:rsid w:val="009B7F00"/>
    <w:rsid w:val="009B7F3E"/>
    <w:rsid w:val="009C009A"/>
    <w:rsid w:val="009C01A3"/>
    <w:rsid w:val="009C070F"/>
    <w:rsid w:val="009C076C"/>
    <w:rsid w:val="009C081E"/>
    <w:rsid w:val="009C0906"/>
    <w:rsid w:val="009C0A4D"/>
    <w:rsid w:val="009C0B04"/>
    <w:rsid w:val="009C0CF6"/>
    <w:rsid w:val="009C0E18"/>
    <w:rsid w:val="009C0E65"/>
    <w:rsid w:val="009C129D"/>
    <w:rsid w:val="009C163E"/>
    <w:rsid w:val="009C1654"/>
    <w:rsid w:val="009C1703"/>
    <w:rsid w:val="009C181E"/>
    <w:rsid w:val="009C1852"/>
    <w:rsid w:val="009C19F8"/>
    <w:rsid w:val="009C1A3D"/>
    <w:rsid w:val="009C1A83"/>
    <w:rsid w:val="009C1B7B"/>
    <w:rsid w:val="009C1F83"/>
    <w:rsid w:val="009C218C"/>
    <w:rsid w:val="009C224B"/>
    <w:rsid w:val="009C277E"/>
    <w:rsid w:val="009C28EE"/>
    <w:rsid w:val="009C2904"/>
    <w:rsid w:val="009C2918"/>
    <w:rsid w:val="009C292C"/>
    <w:rsid w:val="009C2A2E"/>
    <w:rsid w:val="009C2A5E"/>
    <w:rsid w:val="009C2D16"/>
    <w:rsid w:val="009C2F65"/>
    <w:rsid w:val="009C2FA3"/>
    <w:rsid w:val="009C2FBD"/>
    <w:rsid w:val="009C3238"/>
    <w:rsid w:val="009C3567"/>
    <w:rsid w:val="009C3580"/>
    <w:rsid w:val="009C3706"/>
    <w:rsid w:val="009C3BE7"/>
    <w:rsid w:val="009C3C1F"/>
    <w:rsid w:val="009C3C38"/>
    <w:rsid w:val="009C3F56"/>
    <w:rsid w:val="009C41E8"/>
    <w:rsid w:val="009C4225"/>
    <w:rsid w:val="009C4374"/>
    <w:rsid w:val="009C4434"/>
    <w:rsid w:val="009C44CA"/>
    <w:rsid w:val="009C4B78"/>
    <w:rsid w:val="009C4F29"/>
    <w:rsid w:val="009C50AB"/>
    <w:rsid w:val="009C513D"/>
    <w:rsid w:val="009C52CC"/>
    <w:rsid w:val="009C5410"/>
    <w:rsid w:val="009C5574"/>
    <w:rsid w:val="009C56A3"/>
    <w:rsid w:val="009C579E"/>
    <w:rsid w:val="009C580B"/>
    <w:rsid w:val="009C5820"/>
    <w:rsid w:val="009C5836"/>
    <w:rsid w:val="009C5883"/>
    <w:rsid w:val="009C5A06"/>
    <w:rsid w:val="009C5AA5"/>
    <w:rsid w:val="009C5C04"/>
    <w:rsid w:val="009C5CB8"/>
    <w:rsid w:val="009C5D18"/>
    <w:rsid w:val="009C5D27"/>
    <w:rsid w:val="009C5EAE"/>
    <w:rsid w:val="009C5ED2"/>
    <w:rsid w:val="009C5F39"/>
    <w:rsid w:val="009C62CA"/>
    <w:rsid w:val="009C63C7"/>
    <w:rsid w:val="009C63E7"/>
    <w:rsid w:val="009C6426"/>
    <w:rsid w:val="009C654B"/>
    <w:rsid w:val="009C6645"/>
    <w:rsid w:val="009C6755"/>
    <w:rsid w:val="009C67DB"/>
    <w:rsid w:val="009C6E7C"/>
    <w:rsid w:val="009C6F73"/>
    <w:rsid w:val="009C6F80"/>
    <w:rsid w:val="009C6F8B"/>
    <w:rsid w:val="009C7040"/>
    <w:rsid w:val="009C70FA"/>
    <w:rsid w:val="009C75B9"/>
    <w:rsid w:val="009C7676"/>
    <w:rsid w:val="009C77A4"/>
    <w:rsid w:val="009C7810"/>
    <w:rsid w:val="009C78B2"/>
    <w:rsid w:val="009C7AC2"/>
    <w:rsid w:val="009C7ACB"/>
    <w:rsid w:val="009C7E17"/>
    <w:rsid w:val="009D0395"/>
    <w:rsid w:val="009D041A"/>
    <w:rsid w:val="009D0428"/>
    <w:rsid w:val="009D0479"/>
    <w:rsid w:val="009D0B3E"/>
    <w:rsid w:val="009D0D58"/>
    <w:rsid w:val="009D0DA8"/>
    <w:rsid w:val="009D0E17"/>
    <w:rsid w:val="009D1142"/>
    <w:rsid w:val="009D128C"/>
    <w:rsid w:val="009D1399"/>
    <w:rsid w:val="009D14B1"/>
    <w:rsid w:val="009D15F4"/>
    <w:rsid w:val="009D1765"/>
    <w:rsid w:val="009D188A"/>
    <w:rsid w:val="009D18B8"/>
    <w:rsid w:val="009D19A2"/>
    <w:rsid w:val="009D1A03"/>
    <w:rsid w:val="009D1A17"/>
    <w:rsid w:val="009D1BD7"/>
    <w:rsid w:val="009D1D60"/>
    <w:rsid w:val="009D1E6D"/>
    <w:rsid w:val="009D2135"/>
    <w:rsid w:val="009D25A0"/>
    <w:rsid w:val="009D2638"/>
    <w:rsid w:val="009D2689"/>
    <w:rsid w:val="009D291D"/>
    <w:rsid w:val="009D2B32"/>
    <w:rsid w:val="009D2BCB"/>
    <w:rsid w:val="009D2C6D"/>
    <w:rsid w:val="009D2E2A"/>
    <w:rsid w:val="009D2E5D"/>
    <w:rsid w:val="009D320A"/>
    <w:rsid w:val="009D32D5"/>
    <w:rsid w:val="009D347B"/>
    <w:rsid w:val="009D36A0"/>
    <w:rsid w:val="009D38BD"/>
    <w:rsid w:val="009D3A08"/>
    <w:rsid w:val="009D3A29"/>
    <w:rsid w:val="009D3C99"/>
    <w:rsid w:val="009D3CB5"/>
    <w:rsid w:val="009D3CD9"/>
    <w:rsid w:val="009D41FA"/>
    <w:rsid w:val="009D4395"/>
    <w:rsid w:val="009D4539"/>
    <w:rsid w:val="009D468A"/>
    <w:rsid w:val="009D4875"/>
    <w:rsid w:val="009D4B90"/>
    <w:rsid w:val="009D4C7C"/>
    <w:rsid w:val="009D52FD"/>
    <w:rsid w:val="009D5401"/>
    <w:rsid w:val="009D5488"/>
    <w:rsid w:val="009D54AD"/>
    <w:rsid w:val="009D58E6"/>
    <w:rsid w:val="009D5A1A"/>
    <w:rsid w:val="009D5DB0"/>
    <w:rsid w:val="009D5DB4"/>
    <w:rsid w:val="009D5FEB"/>
    <w:rsid w:val="009D61CE"/>
    <w:rsid w:val="009D6339"/>
    <w:rsid w:val="009D6455"/>
    <w:rsid w:val="009D6510"/>
    <w:rsid w:val="009D6613"/>
    <w:rsid w:val="009D696F"/>
    <w:rsid w:val="009D69D8"/>
    <w:rsid w:val="009D69EB"/>
    <w:rsid w:val="009D6A63"/>
    <w:rsid w:val="009D6AEA"/>
    <w:rsid w:val="009D6B14"/>
    <w:rsid w:val="009D6C66"/>
    <w:rsid w:val="009D6C87"/>
    <w:rsid w:val="009D6CA6"/>
    <w:rsid w:val="009D70E4"/>
    <w:rsid w:val="009D76DB"/>
    <w:rsid w:val="009D7720"/>
    <w:rsid w:val="009D7793"/>
    <w:rsid w:val="009D7951"/>
    <w:rsid w:val="009D7997"/>
    <w:rsid w:val="009D7A90"/>
    <w:rsid w:val="009D7BFF"/>
    <w:rsid w:val="009D7D45"/>
    <w:rsid w:val="009D7D9A"/>
    <w:rsid w:val="009D7E3A"/>
    <w:rsid w:val="009D7FD7"/>
    <w:rsid w:val="009D80AC"/>
    <w:rsid w:val="009E009D"/>
    <w:rsid w:val="009E02C9"/>
    <w:rsid w:val="009E0454"/>
    <w:rsid w:val="009E04A9"/>
    <w:rsid w:val="009E0641"/>
    <w:rsid w:val="009E0896"/>
    <w:rsid w:val="009E0A1D"/>
    <w:rsid w:val="009E0C35"/>
    <w:rsid w:val="009E0C5A"/>
    <w:rsid w:val="009E0DCB"/>
    <w:rsid w:val="009E1156"/>
    <w:rsid w:val="009E1238"/>
    <w:rsid w:val="009E12D0"/>
    <w:rsid w:val="009E1387"/>
    <w:rsid w:val="009E13A6"/>
    <w:rsid w:val="009E1737"/>
    <w:rsid w:val="009E1780"/>
    <w:rsid w:val="009E1879"/>
    <w:rsid w:val="009E187B"/>
    <w:rsid w:val="009E1A04"/>
    <w:rsid w:val="009E1A38"/>
    <w:rsid w:val="009E1A79"/>
    <w:rsid w:val="009E1ADF"/>
    <w:rsid w:val="009E1B58"/>
    <w:rsid w:val="009E1C4B"/>
    <w:rsid w:val="009E1CC2"/>
    <w:rsid w:val="009E1D29"/>
    <w:rsid w:val="009E1FEB"/>
    <w:rsid w:val="009E200E"/>
    <w:rsid w:val="009E2072"/>
    <w:rsid w:val="009E20EB"/>
    <w:rsid w:val="009E229A"/>
    <w:rsid w:val="009E23B5"/>
    <w:rsid w:val="009E2532"/>
    <w:rsid w:val="009E263B"/>
    <w:rsid w:val="009E2692"/>
    <w:rsid w:val="009E2696"/>
    <w:rsid w:val="009E2744"/>
    <w:rsid w:val="009E2789"/>
    <w:rsid w:val="009E2B64"/>
    <w:rsid w:val="009E2CAB"/>
    <w:rsid w:val="009E2D1F"/>
    <w:rsid w:val="009E2EA9"/>
    <w:rsid w:val="009E2F49"/>
    <w:rsid w:val="009E3139"/>
    <w:rsid w:val="009E3212"/>
    <w:rsid w:val="009E3253"/>
    <w:rsid w:val="009E333D"/>
    <w:rsid w:val="009E3343"/>
    <w:rsid w:val="009E34F6"/>
    <w:rsid w:val="009E35D5"/>
    <w:rsid w:val="009E3699"/>
    <w:rsid w:val="009E36AE"/>
    <w:rsid w:val="009E3A38"/>
    <w:rsid w:val="009E3B03"/>
    <w:rsid w:val="009E3C3E"/>
    <w:rsid w:val="009E3E1E"/>
    <w:rsid w:val="009E40C0"/>
    <w:rsid w:val="009E43C4"/>
    <w:rsid w:val="009E4434"/>
    <w:rsid w:val="009E453F"/>
    <w:rsid w:val="009E4832"/>
    <w:rsid w:val="009E483A"/>
    <w:rsid w:val="009E4929"/>
    <w:rsid w:val="009E499B"/>
    <w:rsid w:val="009E49CE"/>
    <w:rsid w:val="009E4A29"/>
    <w:rsid w:val="009E4B3C"/>
    <w:rsid w:val="009E4E0C"/>
    <w:rsid w:val="009E4E1F"/>
    <w:rsid w:val="009E4E98"/>
    <w:rsid w:val="009E4ED5"/>
    <w:rsid w:val="009E4F11"/>
    <w:rsid w:val="009E519B"/>
    <w:rsid w:val="009E5287"/>
    <w:rsid w:val="009E52FA"/>
    <w:rsid w:val="009E53EA"/>
    <w:rsid w:val="009E5596"/>
    <w:rsid w:val="009E579E"/>
    <w:rsid w:val="009E5873"/>
    <w:rsid w:val="009E58D1"/>
    <w:rsid w:val="009E5964"/>
    <w:rsid w:val="009E5BF5"/>
    <w:rsid w:val="009E5C02"/>
    <w:rsid w:val="009E5D90"/>
    <w:rsid w:val="009E6028"/>
    <w:rsid w:val="009E616A"/>
    <w:rsid w:val="009E619E"/>
    <w:rsid w:val="009E621C"/>
    <w:rsid w:val="009E627B"/>
    <w:rsid w:val="009E63B1"/>
    <w:rsid w:val="009E63E1"/>
    <w:rsid w:val="009E64EB"/>
    <w:rsid w:val="009E66B9"/>
    <w:rsid w:val="009E67EF"/>
    <w:rsid w:val="009E68A0"/>
    <w:rsid w:val="009E69E1"/>
    <w:rsid w:val="009E6AAD"/>
    <w:rsid w:val="009E6BAA"/>
    <w:rsid w:val="009E6C74"/>
    <w:rsid w:val="009E6D42"/>
    <w:rsid w:val="009E6D64"/>
    <w:rsid w:val="009E70D1"/>
    <w:rsid w:val="009E70E7"/>
    <w:rsid w:val="009E71E3"/>
    <w:rsid w:val="009E74CB"/>
    <w:rsid w:val="009E7845"/>
    <w:rsid w:val="009E7855"/>
    <w:rsid w:val="009E7CA6"/>
    <w:rsid w:val="009E7FC9"/>
    <w:rsid w:val="009F0142"/>
    <w:rsid w:val="009F054F"/>
    <w:rsid w:val="009F05CD"/>
    <w:rsid w:val="009F0B05"/>
    <w:rsid w:val="009F0DD6"/>
    <w:rsid w:val="009F12AE"/>
    <w:rsid w:val="009F13E7"/>
    <w:rsid w:val="009F14A0"/>
    <w:rsid w:val="009F1542"/>
    <w:rsid w:val="009F176D"/>
    <w:rsid w:val="009F1872"/>
    <w:rsid w:val="009F19D1"/>
    <w:rsid w:val="009F1A84"/>
    <w:rsid w:val="009F1BF2"/>
    <w:rsid w:val="009F1CB5"/>
    <w:rsid w:val="009F1F72"/>
    <w:rsid w:val="009F1FB4"/>
    <w:rsid w:val="009F2028"/>
    <w:rsid w:val="009F20DE"/>
    <w:rsid w:val="009F2140"/>
    <w:rsid w:val="009F2297"/>
    <w:rsid w:val="009F244F"/>
    <w:rsid w:val="009F2470"/>
    <w:rsid w:val="009F25BA"/>
    <w:rsid w:val="009F26A8"/>
    <w:rsid w:val="009F27C6"/>
    <w:rsid w:val="009F2B6E"/>
    <w:rsid w:val="009F2BF5"/>
    <w:rsid w:val="009F2EE2"/>
    <w:rsid w:val="009F3020"/>
    <w:rsid w:val="009F36F3"/>
    <w:rsid w:val="009F39FB"/>
    <w:rsid w:val="009F3A35"/>
    <w:rsid w:val="009F3AA8"/>
    <w:rsid w:val="009F3B81"/>
    <w:rsid w:val="009F3B8E"/>
    <w:rsid w:val="009F3C06"/>
    <w:rsid w:val="009F3C7D"/>
    <w:rsid w:val="009F3D19"/>
    <w:rsid w:val="009F3D1D"/>
    <w:rsid w:val="009F3D70"/>
    <w:rsid w:val="009F3DE7"/>
    <w:rsid w:val="009F3E41"/>
    <w:rsid w:val="009F40A8"/>
    <w:rsid w:val="009F413B"/>
    <w:rsid w:val="009F4332"/>
    <w:rsid w:val="009F499A"/>
    <w:rsid w:val="009F49BB"/>
    <w:rsid w:val="009F4CC0"/>
    <w:rsid w:val="009F4F47"/>
    <w:rsid w:val="009F4F84"/>
    <w:rsid w:val="009F5402"/>
    <w:rsid w:val="009F5622"/>
    <w:rsid w:val="009F57C4"/>
    <w:rsid w:val="009F589D"/>
    <w:rsid w:val="009F58E2"/>
    <w:rsid w:val="009F595F"/>
    <w:rsid w:val="009F599C"/>
    <w:rsid w:val="009F5D38"/>
    <w:rsid w:val="009F5F0B"/>
    <w:rsid w:val="009F609C"/>
    <w:rsid w:val="009F60C6"/>
    <w:rsid w:val="009F61A7"/>
    <w:rsid w:val="009F641E"/>
    <w:rsid w:val="009F655D"/>
    <w:rsid w:val="009F660C"/>
    <w:rsid w:val="009F6674"/>
    <w:rsid w:val="009F6805"/>
    <w:rsid w:val="009F69DC"/>
    <w:rsid w:val="009F6AD5"/>
    <w:rsid w:val="009F6C25"/>
    <w:rsid w:val="009F6EBA"/>
    <w:rsid w:val="009F771A"/>
    <w:rsid w:val="009F789F"/>
    <w:rsid w:val="009F78FD"/>
    <w:rsid w:val="009F7958"/>
    <w:rsid w:val="009F7BB2"/>
    <w:rsid w:val="009F7BD0"/>
    <w:rsid w:val="009F7BE3"/>
    <w:rsid w:val="009F7C32"/>
    <w:rsid w:val="009F7C82"/>
    <w:rsid w:val="00A00226"/>
    <w:rsid w:val="00A0033B"/>
    <w:rsid w:val="00A0046A"/>
    <w:rsid w:val="00A004B8"/>
    <w:rsid w:val="00A00B21"/>
    <w:rsid w:val="00A00BB0"/>
    <w:rsid w:val="00A00C44"/>
    <w:rsid w:val="00A00C4E"/>
    <w:rsid w:val="00A00F03"/>
    <w:rsid w:val="00A00F36"/>
    <w:rsid w:val="00A00F89"/>
    <w:rsid w:val="00A01069"/>
    <w:rsid w:val="00A01086"/>
    <w:rsid w:val="00A011A3"/>
    <w:rsid w:val="00A011EF"/>
    <w:rsid w:val="00A012D1"/>
    <w:rsid w:val="00A0157F"/>
    <w:rsid w:val="00A01598"/>
    <w:rsid w:val="00A01792"/>
    <w:rsid w:val="00A017C8"/>
    <w:rsid w:val="00A0184F"/>
    <w:rsid w:val="00A01916"/>
    <w:rsid w:val="00A0197A"/>
    <w:rsid w:val="00A01ACA"/>
    <w:rsid w:val="00A01AFD"/>
    <w:rsid w:val="00A01B66"/>
    <w:rsid w:val="00A01DA1"/>
    <w:rsid w:val="00A01EBC"/>
    <w:rsid w:val="00A01F12"/>
    <w:rsid w:val="00A024BC"/>
    <w:rsid w:val="00A02654"/>
    <w:rsid w:val="00A026A8"/>
    <w:rsid w:val="00A0279D"/>
    <w:rsid w:val="00A028F2"/>
    <w:rsid w:val="00A02A10"/>
    <w:rsid w:val="00A02B36"/>
    <w:rsid w:val="00A02C11"/>
    <w:rsid w:val="00A02C8A"/>
    <w:rsid w:val="00A02D36"/>
    <w:rsid w:val="00A02DE7"/>
    <w:rsid w:val="00A02EEB"/>
    <w:rsid w:val="00A02F0D"/>
    <w:rsid w:val="00A02F92"/>
    <w:rsid w:val="00A030E4"/>
    <w:rsid w:val="00A03705"/>
    <w:rsid w:val="00A03890"/>
    <w:rsid w:val="00A038AF"/>
    <w:rsid w:val="00A039B7"/>
    <w:rsid w:val="00A03F55"/>
    <w:rsid w:val="00A040F3"/>
    <w:rsid w:val="00A04390"/>
    <w:rsid w:val="00A04462"/>
    <w:rsid w:val="00A044D6"/>
    <w:rsid w:val="00A046CC"/>
    <w:rsid w:val="00A0478A"/>
    <w:rsid w:val="00A04918"/>
    <w:rsid w:val="00A04948"/>
    <w:rsid w:val="00A04A99"/>
    <w:rsid w:val="00A04DD6"/>
    <w:rsid w:val="00A04EDE"/>
    <w:rsid w:val="00A04F4E"/>
    <w:rsid w:val="00A04FC5"/>
    <w:rsid w:val="00A050EE"/>
    <w:rsid w:val="00A05100"/>
    <w:rsid w:val="00A05110"/>
    <w:rsid w:val="00A051E8"/>
    <w:rsid w:val="00A05376"/>
    <w:rsid w:val="00A053BB"/>
    <w:rsid w:val="00A05505"/>
    <w:rsid w:val="00A05A57"/>
    <w:rsid w:val="00A05AFB"/>
    <w:rsid w:val="00A05C3D"/>
    <w:rsid w:val="00A05CD4"/>
    <w:rsid w:val="00A06023"/>
    <w:rsid w:val="00A0620B"/>
    <w:rsid w:val="00A0624A"/>
    <w:rsid w:val="00A0626D"/>
    <w:rsid w:val="00A0653F"/>
    <w:rsid w:val="00A06A4E"/>
    <w:rsid w:val="00A06AEE"/>
    <w:rsid w:val="00A06C75"/>
    <w:rsid w:val="00A06CFA"/>
    <w:rsid w:val="00A06D8A"/>
    <w:rsid w:val="00A06E26"/>
    <w:rsid w:val="00A06EAA"/>
    <w:rsid w:val="00A070E4"/>
    <w:rsid w:val="00A0715F"/>
    <w:rsid w:val="00A072A8"/>
    <w:rsid w:val="00A072F4"/>
    <w:rsid w:val="00A0735A"/>
    <w:rsid w:val="00A0737E"/>
    <w:rsid w:val="00A07510"/>
    <w:rsid w:val="00A0756B"/>
    <w:rsid w:val="00A075B1"/>
    <w:rsid w:val="00A075F0"/>
    <w:rsid w:val="00A07691"/>
    <w:rsid w:val="00A076A1"/>
    <w:rsid w:val="00A07751"/>
    <w:rsid w:val="00A07754"/>
    <w:rsid w:val="00A07856"/>
    <w:rsid w:val="00A07A4C"/>
    <w:rsid w:val="00A07A7B"/>
    <w:rsid w:val="00A07AE5"/>
    <w:rsid w:val="00A07AFD"/>
    <w:rsid w:val="00A07EE7"/>
    <w:rsid w:val="00A07F87"/>
    <w:rsid w:val="00A07FE2"/>
    <w:rsid w:val="00A10206"/>
    <w:rsid w:val="00A10284"/>
    <w:rsid w:val="00A1051D"/>
    <w:rsid w:val="00A10892"/>
    <w:rsid w:val="00A108DA"/>
    <w:rsid w:val="00A10CA8"/>
    <w:rsid w:val="00A10CDE"/>
    <w:rsid w:val="00A10D47"/>
    <w:rsid w:val="00A10DEA"/>
    <w:rsid w:val="00A10EE4"/>
    <w:rsid w:val="00A10FF7"/>
    <w:rsid w:val="00A11008"/>
    <w:rsid w:val="00A114A7"/>
    <w:rsid w:val="00A115C1"/>
    <w:rsid w:val="00A119C2"/>
    <w:rsid w:val="00A119D9"/>
    <w:rsid w:val="00A11A83"/>
    <w:rsid w:val="00A11BD8"/>
    <w:rsid w:val="00A11D88"/>
    <w:rsid w:val="00A11DC5"/>
    <w:rsid w:val="00A11EAC"/>
    <w:rsid w:val="00A11F26"/>
    <w:rsid w:val="00A11FCC"/>
    <w:rsid w:val="00A11FE0"/>
    <w:rsid w:val="00A121A4"/>
    <w:rsid w:val="00A12249"/>
    <w:rsid w:val="00A12346"/>
    <w:rsid w:val="00A12476"/>
    <w:rsid w:val="00A12676"/>
    <w:rsid w:val="00A1272E"/>
    <w:rsid w:val="00A12778"/>
    <w:rsid w:val="00A1278E"/>
    <w:rsid w:val="00A128BA"/>
    <w:rsid w:val="00A12B50"/>
    <w:rsid w:val="00A12BDE"/>
    <w:rsid w:val="00A12C73"/>
    <w:rsid w:val="00A12C76"/>
    <w:rsid w:val="00A12CCB"/>
    <w:rsid w:val="00A12D1E"/>
    <w:rsid w:val="00A12E4E"/>
    <w:rsid w:val="00A12E5F"/>
    <w:rsid w:val="00A12FF3"/>
    <w:rsid w:val="00A13040"/>
    <w:rsid w:val="00A130B4"/>
    <w:rsid w:val="00A1319D"/>
    <w:rsid w:val="00A13274"/>
    <w:rsid w:val="00A132C6"/>
    <w:rsid w:val="00A133A5"/>
    <w:rsid w:val="00A13429"/>
    <w:rsid w:val="00A134B9"/>
    <w:rsid w:val="00A137E2"/>
    <w:rsid w:val="00A13869"/>
    <w:rsid w:val="00A139E8"/>
    <w:rsid w:val="00A13BF2"/>
    <w:rsid w:val="00A13ED1"/>
    <w:rsid w:val="00A13F7A"/>
    <w:rsid w:val="00A13F88"/>
    <w:rsid w:val="00A14268"/>
    <w:rsid w:val="00A14315"/>
    <w:rsid w:val="00A14375"/>
    <w:rsid w:val="00A143F7"/>
    <w:rsid w:val="00A1447A"/>
    <w:rsid w:val="00A144BE"/>
    <w:rsid w:val="00A14597"/>
    <w:rsid w:val="00A14693"/>
    <w:rsid w:val="00A1497C"/>
    <w:rsid w:val="00A14A52"/>
    <w:rsid w:val="00A14B77"/>
    <w:rsid w:val="00A14D56"/>
    <w:rsid w:val="00A150E3"/>
    <w:rsid w:val="00A150E4"/>
    <w:rsid w:val="00A152E3"/>
    <w:rsid w:val="00A15384"/>
    <w:rsid w:val="00A15562"/>
    <w:rsid w:val="00A1559C"/>
    <w:rsid w:val="00A155F1"/>
    <w:rsid w:val="00A15754"/>
    <w:rsid w:val="00A15808"/>
    <w:rsid w:val="00A15851"/>
    <w:rsid w:val="00A15A5E"/>
    <w:rsid w:val="00A15B49"/>
    <w:rsid w:val="00A15B63"/>
    <w:rsid w:val="00A15B7B"/>
    <w:rsid w:val="00A15C3F"/>
    <w:rsid w:val="00A15CD7"/>
    <w:rsid w:val="00A15DBC"/>
    <w:rsid w:val="00A15DD2"/>
    <w:rsid w:val="00A15DDA"/>
    <w:rsid w:val="00A15F54"/>
    <w:rsid w:val="00A15FE2"/>
    <w:rsid w:val="00A1614B"/>
    <w:rsid w:val="00A16216"/>
    <w:rsid w:val="00A16565"/>
    <w:rsid w:val="00A16685"/>
    <w:rsid w:val="00A167CC"/>
    <w:rsid w:val="00A1688E"/>
    <w:rsid w:val="00A168BE"/>
    <w:rsid w:val="00A169EC"/>
    <w:rsid w:val="00A16BC5"/>
    <w:rsid w:val="00A16D07"/>
    <w:rsid w:val="00A16D33"/>
    <w:rsid w:val="00A16EAB"/>
    <w:rsid w:val="00A16ED6"/>
    <w:rsid w:val="00A17303"/>
    <w:rsid w:val="00A1730E"/>
    <w:rsid w:val="00A17540"/>
    <w:rsid w:val="00A176BC"/>
    <w:rsid w:val="00A1790F"/>
    <w:rsid w:val="00A1793B"/>
    <w:rsid w:val="00A1797D"/>
    <w:rsid w:val="00A17B8A"/>
    <w:rsid w:val="00A17D86"/>
    <w:rsid w:val="00A2007A"/>
    <w:rsid w:val="00A200DF"/>
    <w:rsid w:val="00A201CB"/>
    <w:rsid w:val="00A20510"/>
    <w:rsid w:val="00A205F3"/>
    <w:rsid w:val="00A20A9B"/>
    <w:rsid w:val="00A20C10"/>
    <w:rsid w:val="00A20D72"/>
    <w:rsid w:val="00A20E07"/>
    <w:rsid w:val="00A2104C"/>
    <w:rsid w:val="00A210F4"/>
    <w:rsid w:val="00A21186"/>
    <w:rsid w:val="00A21204"/>
    <w:rsid w:val="00A21326"/>
    <w:rsid w:val="00A2157E"/>
    <w:rsid w:val="00A215C4"/>
    <w:rsid w:val="00A21690"/>
    <w:rsid w:val="00A21A38"/>
    <w:rsid w:val="00A21A68"/>
    <w:rsid w:val="00A21C13"/>
    <w:rsid w:val="00A21C1F"/>
    <w:rsid w:val="00A21EC6"/>
    <w:rsid w:val="00A21F9F"/>
    <w:rsid w:val="00A22024"/>
    <w:rsid w:val="00A22154"/>
    <w:rsid w:val="00A22220"/>
    <w:rsid w:val="00A22236"/>
    <w:rsid w:val="00A2231B"/>
    <w:rsid w:val="00A22347"/>
    <w:rsid w:val="00A22474"/>
    <w:rsid w:val="00A22566"/>
    <w:rsid w:val="00A2271D"/>
    <w:rsid w:val="00A22739"/>
    <w:rsid w:val="00A22859"/>
    <w:rsid w:val="00A228AD"/>
    <w:rsid w:val="00A229EF"/>
    <w:rsid w:val="00A22C96"/>
    <w:rsid w:val="00A22CC9"/>
    <w:rsid w:val="00A22DCD"/>
    <w:rsid w:val="00A22E22"/>
    <w:rsid w:val="00A22F07"/>
    <w:rsid w:val="00A23101"/>
    <w:rsid w:val="00A2316C"/>
    <w:rsid w:val="00A234EF"/>
    <w:rsid w:val="00A235AA"/>
    <w:rsid w:val="00A235F5"/>
    <w:rsid w:val="00A236E2"/>
    <w:rsid w:val="00A2371D"/>
    <w:rsid w:val="00A23B67"/>
    <w:rsid w:val="00A23C99"/>
    <w:rsid w:val="00A24468"/>
    <w:rsid w:val="00A244CF"/>
    <w:rsid w:val="00A2495B"/>
    <w:rsid w:val="00A24B58"/>
    <w:rsid w:val="00A25005"/>
    <w:rsid w:val="00A25021"/>
    <w:rsid w:val="00A25071"/>
    <w:rsid w:val="00A251C2"/>
    <w:rsid w:val="00A251FB"/>
    <w:rsid w:val="00A25324"/>
    <w:rsid w:val="00A2538B"/>
    <w:rsid w:val="00A2544E"/>
    <w:rsid w:val="00A25A31"/>
    <w:rsid w:val="00A25A38"/>
    <w:rsid w:val="00A25C9A"/>
    <w:rsid w:val="00A25D24"/>
    <w:rsid w:val="00A25D2C"/>
    <w:rsid w:val="00A25FD5"/>
    <w:rsid w:val="00A26135"/>
    <w:rsid w:val="00A26452"/>
    <w:rsid w:val="00A26477"/>
    <w:rsid w:val="00A265E8"/>
    <w:rsid w:val="00A2666B"/>
    <w:rsid w:val="00A2680C"/>
    <w:rsid w:val="00A26874"/>
    <w:rsid w:val="00A268FA"/>
    <w:rsid w:val="00A269EA"/>
    <w:rsid w:val="00A26B2A"/>
    <w:rsid w:val="00A26C9C"/>
    <w:rsid w:val="00A26CF1"/>
    <w:rsid w:val="00A26D99"/>
    <w:rsid w:val="00A26DA4"/>
    <w:rsid w:val="00A26DC0"/>
    <w:rsid w:val="00A26E4B"/>
    <w:rsid w:val="00A272B4"/>
    <w:rsid w:val="00A27329"/>
    <w:rsid w:val="00A27354"/>
    <w:rsid w:val="00A273ED"/>
    <w:rsid w:val="00A2757C"/>
    <w:rsid w:val="00A27626"/>
    <w:rsid w:val="00A27658"/>
    <w:rsid w:val="00A277FB"/>
    <w:rsid w:val="00A279DB"/>
    <w:rsid w:val="00A27A9B"/>
    <w:rsid w:val="00A27C3C"/>
    <w:rsid w:val="00A27EF0"/>
    <w:rsid w:val="00A27F7B"/>
    <w:rsid w:val="00A27FBF"/>
    <w:rsid w:val="00A300EB"/>
    <w:rsid w:val="00A303DE"/>
    <w:rsid w:val="00A304E3"/>
    <w:rsid w:val="00A3067C"/>
    <w:rsid w:val="00A30748"/>
    <w:rsid w:val="00A309D9"/>
    <w:rsid w:val="00A309FC"/>
    <w:rsid w:val="00A30A4A"/>
    <w:rsid w:val="00A30BEA"/>
    <w:rsid w:val="00A30C0B"/>
    <w:rsid w:val="00A30CF1"/>
    <w:rsid w:val="00A30E56"/>
    <w:rsid w:val="00A30F6A"/>
    <w:rsid w:val="00A31074"/>
    <w:rsid w:val="00A31272"/>
    <w:rsid w:val="00A31442"/>
    <w:rsid w:val="00A31495"/>
    <w:rsid w:val="00A314FE"/>
    <w:rsid w:val="00A315E6"/>
    <w:rsid w:val="00A31764"/>
    <w:rsid w:val="00A31977"/>
    <w:rsid w:val="00A31A77"/>
    <w:rsid w:val="00A31BC4"/>
    <w:rsid w:val="00A31CA9"/>
    <w:rsid w:val="00A31D83"/>
    <w:rsid w:val="00A31E34"/>
    <w:rsid w:val="00A31F7E"/>
    <w:rsid w:val="00A3209D"/>
    <w:rsid w:val="00A32175"/>
    <w:rsid w:val="00A32340"/>
    <w:rsid w:val="00A32343"/>
    <w:rsid w:val="00A3247F"/>
    <w:rsid w:val="00A324BF"/>
    <w:rsid w:val="00A3254B"/>
    <w:rsid w:val="00A32563"/>
    <w:rsid w:val="00A32745"/>
    <w:rsid w:val="00A32751"/>
    <w:rsid w:val="00A32788"/>
    <w:rsid w:val="00A32C07"/>
    <w:rsid w:val="00A32D4E"/>
    <w:rsid w:val="00A33141"/>
    <w:rsid w:val="00A331ED"/>
    <w:rsid w:val="00A331F6"/>
    <w:rsid w:val="00A334D2"/>
    <w:rsid w:val="00A3359F"/>
    <w:rsid w:val="00A3367F"/>
    <w:rsid w:val="00A336AC"/>
    <w:rsid w:val="00A3392F"/>
    <w:rsid w:val="00A33968"/>
    <w:rsid w:val="00A3398C"/>
    <w:rsid w:val="00A33AF7"/>
    <w:rsid w:val="00A33B18"/>
    <w:rsid w:val="00A33B2F"/>
    <w:rsid w:val="00A33B93"/>
    <w:rsid w:val="00A33E97"/>
    <w:rsid w:val="00A33FF5"/>
    <w:rsid w:val="00A3400D"/>
    <w:rsid w:val="00A34589"/>
    <w:rsid w:val="00A345CC"/>
    <w:rsid w:val="00A348AA"/>
    <w:rsid w:val="00A349C0"/>
    <w:rsid w:val="00A34A4C"/>
    <w:rsid w:val="00A34C9A"/>
    <w:rsid w:val="00A34F1B"/>
    <w:rsid w:val="00A34FF4"/>
    <w:rsid w:val="00A350BA"/>
    <w:rsid w:val="00A3512E"/>
    <w:rsid w:val="00A356A7"/>
    <w:rsid w:val="00A3581E"/>
    <w:rsid w:val="00A35834"/>
    <w:rsid w:val="00A358A4"/>
    <w:rsid w:val="00A35CC7"/>
    <w:rsid w:val="00A35ECF"/>
    <w:rsid w:val="00A3609F"/>
    <w:rsid w:val="00A360E2"/>
    <w:rsid w:val="00A3614F"/>
    <w:rsid w:val="00A361D7"/>
    <w:rsid w:val="00A362D9"/>
    <w:rsid w:val="00A3631B"/>
    <w:rsid w:val="00A3638F"/>
    <w:rsid w:val="00A36668"/>
    <w:rsid w:val="00A3684E"/>
    <w:rsid w:val="00A36C6B"/>
    <w:rsid w:val="00A36E64"/>
    <w:rsid w:val="00A37401"/>
    <w:rsid w:val="00A374D2"/>
    <w:rsid w:val="00A37A81"/>
    <w:rsid w:val="00A37AA8"/>
    <w:rsid w:val="00A37AD3"/>
    <w:rsid w:val="00A37B6D"/>
    <w:rsid w:val="00A37BAA"/>
    <w:rsid w:val="00A37D89"/>
    <w:rsid w:val="00A4019B"/>
    <w:rsid w:val="00A401A7"/>
    <w:rsid w:val="00A4032E"/>
    <w:rsid w:val="00A40753"/>
    <w:rsid w:val="00A408AE"/>
    <w:rsid w:val="00A4092E"/>
    <w:rsid w:val="00A409AF"/>
    <w:rsid w:val="00A40B0F"/>
    <w:rsid w:val="00A40BC9"/>
    <w:rsid w:val="00A40C4B"/>
    <w:rsid w:val="00A40CEC"/>
    <w:rsid w:val="00A40CF8"/>
    <w:rsid w:val="00A40CFE"/>
    <w:rsid w:val="00A40D78"/>
    <w:rsid w:val="00A40E5B"/>
    <w:rsid w:val="00A41202"/>
    <w:rsid w:val="00A41224"/>
    <w:rsid w:val="00A413D0"/>
    <w:rsid w:val="00A4143F"/>
    <w:rsid w:val="00A41580"/>
    <w:rsid w:val="00A417A0"/>
    <w:rsid w:val="00A417E2"/>
    <w:rsid w:val="00A41935"/>
    <w:rsid w:val="00A41AD6"/>
    <w:rsid w:val="00A41AEF"/>
    <w:rsid w:val="00A41BB3"/>
    <w:rsid w:val="00A42095"/>
    <w:rsid w:val="00A42194"/>
    <w:rsid w:val="00A42353"/>
    <w:rsid w:val="00A42540"/>
    <w:rsid w:val="00A425C4"/>
    <w:rsid w:val="00A42AA4"/>
    <w:rsid w:val="00A42E50"/>
    <w:rsid w:val="00A42EEB"/>
    <w:rsid w:val="00A42FBE"/>
    <w:rsid w:val="00A431F5"/>
    <w:rsid w:val="00A43205"/>
    <w:rsid w:val="00A4339C"/>
    <w:rsid w:val="00A433B8"/>
    <w:rsid w:val="00A43454"/>
    <w:rsid w:val="00A435A7"/>
    <w:rsid w:val="00A435DB"/>
    <w:rsid w:val="00A435F5"/>
    <w:rsid w:val="00A435F9"/>
    <w:rsid w:val="00A43762"/>
    <w:rsid w:val="00A437BD"/>
    <w:rsid w:val="00A43AB3"/>
    <w:rsid w:val="00A43BE7"/>
    <w:rsid w:val="00A43F3F"/>
    <w:rsid w:val="00A43F80"/>
    <w:rsid w:val="00A44245"/>
    <w:rsid w:val="00A444B4"/>
    <w:rsid w:val="00A445DB"/>
    <w:rsid w:val="00A44673"/>
    <w:rsid w:val="00A446E6"/>
    <w:rsid w:val="00A44843"/>
    <w:rsid w:val="00A44920"/>
    <w:rsid w:val="00A44936"/>
    <w:rsid w:val="00A449E7"/>
    <w:rsid w:val="00A44AF3"/>
    <w:rsid w:val="00A44B02"/>
    <w:rsid w:val="00A44B07"/>
    <w:rsid w:val="00A44CA2"/>
    <w:rsid w:val="00A44D47"/>
    <w:rsid w:val="00A44D91"/>
    <w:rsid w:val="00A44D93"/>
    <w:rsid w:val="00A44DD5"/>
    <w:rsid w:val="00A44E66"/>
    <w:rsid w:val="00A44F3E"/>
    <w:rsid w:val="00A4512C"/>
    <w:rsid w:val="00A45148"/>
    <w:rsid w:val="00A453E9"/>
    <w:rsid w:val="00A45420"/>
    <w:rsid w:val="00A454F1"/>
    <w:rsid w:val="00A45A31"/>
    <w:rsid w:val="00A45AC1"/>
    <w:rsid w:val="00A45BD8"/>
    <w:rsid w:val="00A45EE2"/>
    <w:rsid w:val="00A45FEE"/>
    <w:rsid w:val="00A46003"/>
    <w:rsid w:val="00A4602E"/>
    <w:rsid w:val="00A461CE"/>
    <w:rsid w:val="00A462A6"/>
    <w:rsid w:val="00A462D9"/>
    <w:rsid w:val="00A464C2"/>
    <w:rsid w:val="00A465E2"/>
    <w:rsid w:val="00A46863"/>
    <w:rsid w:val="00A46A4F"/>
    <w:rsid w:val="00A46A63"/>
    <w:rsid w:val="00A46AB1"/>
    <w:rsid w:val="00A46EF3"/>
    <w:rsid w:val="00A46FA3"/>
    <w:rsid w:val="00A4725C"/>
    <w:rsid w:val="00A4756E"/>
    <w:rsid w:val="00A47646"/>
    <w:rsid w:val="00A47A33"/>
    <w:rsid w:val="00A47C64"/>
    <w:rsid w:val="00A47D03"/>
    <w:rsid w:val="00A47DFD"/>
    <w:rsid w:val="00A47FA2"/>
    <w:rsid w:val="00A50135"/>
    <w:rsid w:val="00A501D0"/>
    <w:rsid w:val="00A50217"/>
    <w:rsid w:val="00A50566"/>
    <w:rsid w:val="00A506BB"/>
    <w:rsid w:val="00A508CF"/>
    <w:rsid w:val="00A509CD"/>
    <w:rsid w:val="00A50A0E"/>
    <w:rsid w:val="00A50B68"/>
    <w:rsid w:val="00A50BF6"/>
    <w:rsid w:val="00A50D0F"/>
    <w:rsid w:val="00A50FC0"/>
    <w:rsid w:val="00A51157"/>
    <w:rsid w:val="00A5132A"/>
    <w:rsid w:val="00A51389"/>
    <w:rsid w:val="00A5158F"/>
    <w:rsid w:val="00A51695"/>
    <w:rsid w:val="00A51743"/>
    <w:rsid w:val="00A518BD"/>
    <w:rsid w:val="00A518D6"/>
    <w:rsid w:val="00A519C6"/>
    <w:rsid w:val="00A51A14"/>
    <w:rsid w:val="00A51A33"/>
    <w:rsid w:val="00A51A5F"/>
    <w:rsid w:val="00A51ADF"/>
    <w:rsid w:val="00A51D14"/>
    <w:rsid w:val="00A51E68"/>
    <w:rsid w:val="00A52409"/>
    <w:rsid w:val="00A5242C"/>
    <w:rsid w:val="00A52528"/>
    <w:rsid w:val="00A52766"/>
    <w:rsid w:val="00A52771"/>
    <w:rsid w:val="00A5286B"/>
    <w:rsid w:val="00A52AAF"/>
    <w:rsid w:val="00A52C69"/>
    <w:rsid w:val="00A52CBE"/>
    <w:rsid w:val="00A52F8D"/>
    <w:rsid w:val="00A52F8E"/>
    <w:rsid w:val="00A530F9"/>
    <w:rsid w:val="00A53152"/>
    <w:rsid w:val="00A531A7"/>
    <w:rsid w:val="00A531FF"/>
    <w:rsid w:val="00A532DA"/>
    <w:rsid w:val="00A532ED"/>
    <w:rsid w:val="00A53451"/>
    <w:rsid w:val="00A537F4"/>
    <w:rsid w:val="00A53A8D"/>
    <w:rsid w:val="00A53E4F"/>
    <w:rsid w:val="00A53EC8"/>
    <w:rsid w:val="00A53F28"/>
    <w:rsid w:val="00A53F71"/>
    <w:rsid w:val="00A541AD"/>
    <w:rsid w:val="00A5439C"/>
    <w:rsid w:val="00A544A4"/>
    <w:rsid w:val="00A54888"/>
    <w:rsid w:val="00A549E8"/>
    <w:rsid w:val="00A54B5F"/>
    <w:rsid w:val="00A54B7B"/>
    <w:rsid w:val="00A54B97"/>
    <w:rsid w:val="00A54BA3"/>
    <w:rsid w:val="00A54C50"/>
    <w:rsid w:val="00A54D6D"/>
    <w:rsid w:val="00A54D90"/>
    <w:rsid w:val="00A54DA7"/>
    <w:rsid w:val="00A54DE1"/>
    <w:rsid w:val="00A54E1B"/>
    <w:rsid w:val="00A54E5E"/>
    <w:rsid w:val="00A54FE8"/>
    <w:rsid w:val="00A5501F"/>
    <w:rsid w:val="00A55098"/>
    <w:rsid w:val="00A55214"/>
    <w:rsid w:val="00A5524F"/>
    <w:rsid w:val="00A55485"/>
    <w:rsid w:val="00A55591"/>
    <w:rsid w:val="00A555BD"/>
    <w:rsid w:val="00A555D3"/>
    <w:rsid w:val="00A558BD"/>
    <w:rsid w:val="00A55A81"/>
    <w:rsid w:val="00A55AF9"/>
    <w:rsid w:val="00A55C35"/>
    <w:rsid w:val="00A55D35"/>
    <w:rsid w:val="00A55D62"/>
    <w:rsid w:val="00A562EF"/>
    <w:rsid w:val="00A564CA"/>
    <w:rsid w:val="00A564D7"/>
    <w:rsid w:val="00A5651E"/>
    <w:rsid w:val="00A565BD"/>
    <w:rsid w:val="00A56738"/>
    <w:rsid w:val="00A567B1"/>
    <w:rsid w:val="00A567C8"/>
    <w:rsid w:val="00A5694C"/>
    <w:rsid w:val="00A56AC0"/>
    <w:rsid w:val="00A56C17"/>
    <w:rsid w:val="00A56C20"/>
    <w:rsid w:val="00A56C89"/>
    <w:rsid w:val="00A56CF7"/>
    <w:rsid w:val="00A56EC2"/>
    <w:rsid w:val="00A56EE4"/>
    <w:rsid w:val="00A57061"/>
    <w:rsid w:val="00A57303"/>
    <w:rsid w:val="00A57364"/>
    <w:rsid w:val="00A574C2"/>
    <w:rsid w:val="00A57673"/>
    <w:rsid w:val="00A576E2"/>
    <w:rsid w:val="00A577C1"/>
    <w:rsid w:val="00A578A2"/>
    <w:rsid w:val="00A5794A"/>
    <w:rsid w:val="00A57A05"/>
    <w:rsid w:val="00A57BB6"/>
    <w:rsid w:val="00A57C54"/>
    <w:rsid w:val="00A57DB3"/>
    <w:rsid w:val="00A57EFA"/>
    <w:rsid w:val="00A57F36"/>
    <w:rsid w:val="00A57F8E"/>
    <w:rsid w:val="00A6001C"/>
    <w:rsid w:val="00A60050"/>
    <w:rsid w:val="00A60083"/>
    <w:rsid w:val="00A6018D"/>
    <w:rsid w:val="00A602E5"/>
    <w:rsid w:val="00A60519"/>
    <w:rsid w:val="00A606C4"/>
    <w:rsid w:val="00A6075F"/>
    <w:rsid w:val="00A607BD"/>
    <w:rsid w:val="00A608E5"/>
    <w:rsid w:val="00A60D1D"/>
    <w:rsid w:val="00A60EDB"/>
    <w:rsid w:val="00A60F15"/>
    <w:rsid w:val="00A61108"/>
    <w:rsid w:val="00A6150B"/>
    <w:rsid w:val="00A61516"/>
    <w:rsid w:val="00A615FE"/>
    <w:rsid w:val="00A6179B"/>
    <w:rsid w:val="00A617E3"/>
    <w:rsid w:val="00A61AA6"/>
    <w:rsid w:val="00A61AD3"/>
    <w:rsid w:val="00A61C2D"/>
    <w:rsid w:val="00A61D25"/>
    <w:rsid w:val="00A61DBC"/>
    <w:rsid w:val="00A61E4F"/>
    <w:rsid w:val="00A61EA6"/>
    <w:rsid w:val="00A62151"/>
    <w:rsid w:val="00A62223"/>
    <w:rsid w:val="00A62618"/>
    <w:rsid w:val="00A62799"/>
    <w:rsid w:val="00A62828"/>
    <w:rsid w:val="00A62E94"/>
    <w:rsid w:val="00A62F34"/>
    <w:rsid w:val="00A631CE"/>
    <w:rsid w:val="00A633C3"/>
    <w:rsid w:val="00A63532"/>
    <w:rsid w:val="00A63601"/>
    <w:rsid w:val="00A63719"/>
    <w:rsid w:val="00A6380A"/>
    <w:rsid w:val="00A63A05"/>
    <w:rsid w:val="00A63B8C"/>
    <w:rsid w:val="00A63DC7"/>
    <w:rsid w:val="00A63F91"/>
    <w:rsid w:val="00A63FCE"/>
    <w:rsid w:val="00A63FFA"/>
    <w:rsid w:val="00A6412B"/>
    <w:rsid w:val="00A64145"/>
    <w:rsid w:val="00A64182"/>
    <w:rsid w:val="00A641C6"/>
    <w:rsid w:val="00A641E2"/>
    <w:rsid w:val="00A641FE"/>
    <w:rsid w:val="00A64662"/>
    <w:rsid w:val="00A6471E"/>
    <w:rsid w:val="00A6475E"/>
    <w:rsid w:val="00A64A6F"/>
    <w:rsid w:val="00A64AFD"/>
    <w:rsid w:val="00A64B36"/>
    <w:rsid w:val="00A64D97"/>
    <w:rsid w:val="00A64EF3"/>
    <w:rsid w:val="00A65280"/>
    <w:rsid w:val="00A65410"/>
    <w:rsid w:val="00A65600"/>
    <w:rsid w:val="00A656C2"/>
    <w:rsid w:val="00A65795"/>
    <w:rsid w:val="00A6590D"/>
    <w:rsid w:val="00A659EE"/>
    <w:rsid w:val="00A65B79"/>
    <w:rsid w:val="00A65BBC"/>
    <w:rsid w:val="00A65BD5"/>
    <w:rsid w:val="00A65CB3"/>
    <w:rsid w:val="00A65CC4"/>
    <w:rsid w:val="00A65CD8"/>
    <w:rsid w:val="00A65D6A"/>
    <w:rsid w:val="00A65D6C"/>
    <w:rsid w:val="00A65ED4"/>
    <w:rsid w:val="00A65FEE"/>
    <w:rsid w:val="00A66016"/>
    <w:rsid w:val="00A66173"/>
    <w:rsid w:val="00A6625A"/>
    <w:rsid w:val="00A66305"/>
    <w:rsid w:val="00A6645E"/>
    <w:rsid w:val="00A66591"/>
    <w:rsid w:val="00A667BD"/>
    <w:rsid w:val="00A668DF"/>
    <w:rsid w:val="00A668F1"/>
    <w:rsid w:val="00A66ADE"/>
    <w:rsid w:val="00A66B7C"/>
    <w:rsid w:val="00A66BAB"/>
    <w:rsid w:val="00A66EDF"/>
    <w:rsid w:val="00A671FC"/>
    <w:rsid w:val="00A67253"/>
    <w:rsid w:val="00A67338"/>
    <w:rsid w:val="00A674AF"/>
    <w:rsid w:val="00A67589"/>
    <w:rsid w:val="00A67616"/>
    <w:rsid w:val="00A6762F"/>
    <w:rsid w:val="00A67664"/>
    <w:rsid w:val="00A676DB"/>
    <w:rsid w:val="00A67776"/>
    <w:rsid w:val="00A677AC"/>
    <w:rsid w:val="00A678F7"/>
    <w:rsid w:val="00A67964"/>
    <w:rsid w:val="00A67A20"/>
    <w:rsid w:val="00A67A85"/>
    <w:rsid w:val="00A67B51"/>
    <w:rsid w:val="00A67B95"/>
    <w:rsid w:val="00A67CFF"/>
    <w:rsid w:val="00A67E7E"/>
    <w:rsid w:val="00A67EE4"/>
    <w:rsid w:val="00A67F04"/>
    <w:rsid w:val="00A700E2"/>
    <w:rsid w:val="00A701EF"/>
    <w:rsid w:val="00A702DB"/>
    <w:rsid w:val="00A7052E"/>
    <w:rsid w:val="00A7053B"/>
    <w:rsid w:val="00A707A9"/>
    <w:rsid w:val="00A709AE"/>
    <w:rsid w:val="00A70A00"/>
    <w:rsid w:val="00A70B1F"/>
    <w:rsid w:val="00A70C01"/>
    <w:rsid w:val="00A70CFE"/>
    <w:rsid w:val="00A70DE8"/>
    <w:rsid w:val="00A71241"/>
    <w:rsid w:val="00A713AD"/>
    <w:rsid w:val="00A716B4"/>
    <w:rsid w:val="00A716CE"/>
    <w:rsid w:val="00A71872"/>
    <w:rsid w:val="00A71A3A"/>
    <w:rsid w:val="00A71B3E"/>
    <w:rsid w:val="00A71BE2"/>
    <w:rsid w:val="00A71C70"/>
    <w:rsid w:val="00A71DDF"/>
    <w:rsid w:val="00A71EE2"/>
    <w:rsid w:val="00A71F44"/>
    <w:rsid w:val="00A71F79"/>
    <w:rsid w:val="00A71F88"/>
    <w:rsid w:val="00A7223E"/>
    <w:rsid w:val="00A7225B"/>
    <w:rsid w:val="00A72455"/>
    <w:rsid w:val="00A729BB"/>
    <w:rsid w:val="00A729C0"/>
    <w:rsid w:val="00A72A7E"/>
    <w:rsid w:val="00A72AB6"/>
    <w:rsid w:val="00A72B6D"/>
    <w:rsid w:val="00A72CA6"/>
    <w:rsid w:val="00A72D0C"/>
    <w:rsid w:val="00A72E33"/>
    <w:rsid w:val="00A72EFD"/>
    <w:rsid w:val="00A7302E"/>
    <w:rsid w:val="00A7304C"/>
    <w:rsid w:val="00A73310"/>
    <w:rsid w:val="00A733E7"/>
    <w:rsid w:val="00A7359E"/>
    <w:rsid w:val="00A73A06"/>
    <w:rsid w:val="00A73B6B"/>
    <w:rsid w:val="00A73C49"/>
    <w:rsid w:val="00A73CC8"/>
    <w:rsid w:val="00A73F8A"/>
    <w:rsid w:val="00A73FE4"/>
    <w:rsid w:val="00A7420D"/>
    <w:rsid w:val="00A74280"/>
    <w:rsid w:val="00A742A2"/>
    <w:rsid w:val="00A743FF"/>
    <w:rsid w:val="00A74674"/>
    <w:rsid w:val="00A746A7"/>
    <w:rsid w:val="00A74917"/>
    <w:rsid w:val="00A74990"/>
    <w:rsid w:val="00A74A48"/>
    <w:rsid w:val="00A74B1A"/>
    <w:rsid w:val="00A74B5D"/>
    <w:rsid w:val="00A74BC3"/>
    <w:rsid w:val="00A74BE8"/>
    <w:rsid w:val="00A751AA"/>
    <w:rsid w:val="00A7528B"/>
    <w:rsid w:val="00A75382"/>
    <w:rsid w:val="00A7538E"/>
    <w:rsid w:val="00A7548A"/>
    <w:rsid w:val="00A7598F"/>
    <w:rsid w:val="00A75CA1"/>
    <w:rsid w:val="00A75DA2"/>
    <w:rsid w:val="00A75E00"/>
    <w:rsid w:val="00A7609D"/>
    <w:rsid w:val="00A7610E"/>
    <w:rsid w:val="00A76248"/>
    <w:rsid w:val="00A76312"/>
    <w:rsid w:val="00A76351"/>
    <w:rsid w:val="00A76361"/>
    <w:rsid w:val="00A76449"/>
    <w:rsid w:val="00A76697"/>
    <w:rsid w:val="00A768AE"/>
    <w:rsid w:val="00A76927"/>
    <w:rsid w:val="00A7693E"/>
    <w:rsid w:val="00A769D4"/>
    <w:rsid w:val="00A76AA9"/>
    <w:rsid w:val="00A76AF4"/>
    <w:rsid w:val="00A76EB5"/>
    <w:rsid w:val="00A77298"/>
    <w:rsid w:val="00A7731C"/>
    <w:rsid w:val="00A774BA"/>
    <w:rsid w:val="00A776A7"/>
    <w:rsid w:val="00A77712"/>
    <w:rsid w:val="00A77985"/>
    <w:rsid w:val="00A77A29"/>
    <w:rsid w:val="00A77E0F"/>
    <w:rsid w:val="00A800ED"/>
    <w:rsid w:val="00A800F0"/>
    <w:rsid w:val="00A8037E"/>
    <w:rsid w:val="00A803D3"/>
    <w:rsid w:val="00A80448"/>
    <w:rsid w:val="00A80461"/>
    <w:rsid w:val="00A8083D"/>
    <w:rsid w:val="00A80880"/>
    <w:rsid w:val="00A808E1"/>
    <w:rsid w:val="00A80B75"/>
    <w:rsid w:val="00A80C82"/>
    <w:rsid w:val="00A80CC3"/>
    <w:rsid w:val="00A80DCF"/>
    <w:rsid w:val="00A80ED4"/>
    <w:rsid w:val="00A810D1"/>
    <w:rsid w:val="00A81255"/>
    <w:rsid w:val="00A814FF"/>
    <w:rsid w:val="00A81698"/>
    <w:rsid w:val="00A817D6"/>
    <w:rsid w:val="00A81912"/>
    <w:rsid w:val="00A81A59"/>
    <w:rsid w:val="00A81E20"/>
    <w:rsid w:val="00A81E6B"/>
    <w:rsid w:val="00A81F37"/>
    <w:rsid w:val="00A8222F"/>
    <w:rsid w:val="00A8257A"/>
    <w:rsid w:val="00A82A5F"/>
    <w:rsid w:val="00A82C69"/>
    <w:rsid w:val="00A82E98"/>
    <w:rsid w:val="00A82F11"/>
    <w:rsid w:val="00A8311F"/>
    <w:rsid w:val="00A831C2"/>
    <w:rsid w:val="00A83278"/>
    <w:rsid w:val="00A83296"/>
    <w:rsid w:val="00A8342A"/>
    <w:rsid w:val="00A835E6"/>
    <w:rsid w:val="00A8378A"/>
    <w:rsid w:val="00A837A8"/>
    <w:rsid w:val="00A83823"/>
    <w:rsid w:val="00A838E7"/>
    <w:rsid w:val="00A83915"/>
    <w:rsid w:val="00A839CD"/>
    <w:rsid w:val="00A83A30"/>
    <w:rsid w:val="00A83BD7"/>
    <w:rsid w:val="00A83BF9"/>
    <w:rsid w:val="00A83C75"/>
    <w:rsid w:val="00A83CA9"/>
    <w:rsid w:val="00A83D14"/>
    <w:rsid w:val="00A83D7C"/>
    <w:rsid w:val="00A83DF5"/>
    <w:rsid w:val="00A83E90"/>
    <w:rsid w:val="00A83F50"/>
    <w:rsid w:val="00A840FC"/>
    <w:rsid w:val="00A8411F"/>
    <w:rsid w:val="00A84178"/>
    <w:rsid w:val="00A841B6"/>
    <w:rsid w:val="00A842D9"/>
    <w:rsid w:val="00A8430A"/>
    <w:rsid w:val="00A84435"/>
    <w:rsid w:val="00A8461E"/>
    <w:rsid w:val="00A846E4"/>
    <w:rsid w:val="00A84A65"/>
    <w:rsid w:val="00A84AA1"/>
    <w:rsid w:val="00A84AE4"/>
    <w:rsid w:val="00A84B79"/>
    <w:rsid w:val="00A84C5C"/>
    <w:rsid w:val="00A84CF4"/>
    <w:rsid w:val="00A84E77"/>
    <w:rsid w:val="00A85003"/>
    <w:rsid w:val="00A8502B"/>
    <w:rsid w:val="00A8503F"/>
    <w:rsid w:val="00A8512B"/>
    <w:rsid w:val="00A8554B"/>
    <w:rsid w:val="00A856DE"/>
    <w:rsid w:val="00A85AA8"/>
    <w:rsid w:val="00A85B6F"/>
    <w:rsid w:val="00A85BC4"/>
    <w:rsid w:val="00A85D5D"/>
    <w:rsid w:val="00A85E03"/>
    <w:rsid w:val="00A8618B"/>
    <w:rsid w:val="00A861D6"/>
    <w:rsid w:val="00A863DD"/>
    <w:rsid w:val="00A864BB"/>
    <w:rsid w:val="00A868A3"/>
    <w:rsid w:val="00A86923"/>
    <w:rsid w:val="00A86958"/>
    <w:rsid w:val="00A86C5B"/>
    <w:rsid w:val="00A86C77"/>
    <w:rsid w:val="00A86C92"/>
    <w:rsid w:val="00A86DE6"/>
    <w:rsid w:val="00A86E29"/>
    <w:rsid w:val="00A86ED1"/>
    <w:rsid w:val="00A86F19"/>
    <w:rsid w:val="00A87138"/>
    <w:rsid w:val="00A8715E"/>
    <w:rsid w:val="00A8735C"/>
    <w:rsid w:val="00A8743D"/>
    <w:rsid w:val="00A8749B"/>
    <w:rsid w:val="00A875D2"/>
    <w:rsid w:val="00A87607"/>
    <w:rsid w:val="00A8762B"/>
    <w:rsid w:val="00A8774D"/>
    <w:rsid w:val="00A87832"/>
    <w:rsid w:val="00A87B98"/>
    <w:rsid w:val="00A87D72"/>
    <w:rsid w:val="00A87D81"/>
    <w:rsid w:val="00A87DEB"/>
    <w:rsid w:val="00A87FE1"/>
    <w:rsid w:val="00A90003"/>
    <w:rsid w:val="00A90135"/>
    <w:rsid w:val="00A90172"/>
    <w:rsid w:val="00A903F8"/>
    <w:rsid w:val="00A904D8"/>
    <w:rsid w:val="00A90525"/>
    <w:rsid w:val="00A9069A"/>
    <w:rsid w:val="00A906C4"/>
    <w:rsid w:val="00A90747"/>
    <w:rsid w:val="00A907E1"/>
    <w:rsid w:val="00A909A8"/>
    <w:rsid w:val="00A90AD0"/>
    <w:rsid w:val="00A90C5E"/>
    <w:rsid w:val="00A90CDC"/>
    <w:rsid w:val="00A90F86"/>
    <w:rsid w:val="00A913A3"/>
    <w:rsid w:val="00A91448"/>
    <w:rsid w:val="00A91602"/>
    <w:rsid w:val="00A91885"/>
    <w:rsid w:val="00A9193D"/>
    <w:rsid w:val="00A91A96"/>
    <w:rsid w:val="00A91B9F"/>
    <w:rsid w:val="00A91BF3"/>
    <w:rsid w:val="00A91CA5"/>
    <w:rsid w:val="00A91FB1"/>
    <w:rsid w:val="00A91FFE"/>
    <w:rsid w:val="00A92105"/>
    <w:rsid w:val="00A921FE"/>
    <w:rsid w:val="00A92220"/>
    <w:rsid w:val="00A9235E"/>
    <w:rsid w:val="00A9240A"/>
    <w:rsid w:val="00A92545"/>
    <w:rsid w:val="00A925C6"/>
    <w:rsid w:val="00A925D0"/>
    <w:rsid w:val="00A927C1"/>
    <w:rsid w:val="00A928D5"/>
    <w:rsid w:val="00A928F4"/>
    <w:rsid w:val="00A92906"/>
    <w:rsid w:val="00A9293D"/>
    <w:rsid w:val="00A92948"/>
    <w:rsid w:val="00A92A05"/>
    <w:rsid w:val="00A92B1C"/>
    <w:rsid w:val="00A92B6E"/>
    <w:rsid w:val="00A92CB1"/>
    <w:rsid w:val="00A92F2A"/>
    <w:rsid w:val="00A9304A"/>
    <w:rsid w:val="00A932A6"/>
    <w:rsid w:val="00A93318"/>
    <w:rsid w:val="00A9348F"/>
    <w:rsid w:val="00A93D93"/>
    <w:rsid w:val="00A93E2E"/>
    <w:rsid w:val="00A93FF1"/>
    <w:rsid w:val="00A9431D"/>
    <w:rsid w:val="00A94378"/>
    <w:rsid w:val="00A94677"/>
    <w:rsid w:val="00A94678"/>
    <w:rsid w:val="00A947FE"/>
    <w:rsid w:val="00A9482A"/>
    <w:rsid w:val="00A94866"/>
    <w:rsid w:val="00A94897"/>
    <w:rsid w:val="00A948C7"/>
    <w:rsid w:val="00A94A00"/>
    <w:rsid w:val="00A94BF9"/>
    <w:rsid w:val="00A94D22"/>
    <w:rsid w:val="00A94E67"/>
    <w:rsid w:val="00A950A6"/>
    <w:rsid w:val="00A950D7"/>
    <w:rsid w:val="00A952EB"/>
    <w:rsid w:val="00A953B0"/>
    <w:rsid w:val="00A953D7"/>
    <w:rsid w:val="00A954CA"/>
    <w:rsid w:val="00A95597"/>
    <w:rsid w:val="00A95605"/>
    <w:rsid w:val="00A957B3"/>
    <w:rsid w:val="00A95837"/>
    <w:rsid w:val="00A95A15"/>
    <w:rsid w:val="00A95EE1"/>
    <w:rsid w:val="00A960F1"/>
    <w:rsid w:val="00A96110"/>
    <w:rsid w:val="00A9612E"/>
    <w:rsid w:val="00A9621D"/>
    <w:rsid w:val="00A963A5"/>
    <w:rsid w:val="00A963EC"/>
    <w:rsid w:val="00A9653E"/>
    <w:rsid w:val="00A965B7"/>
    <w:rsid w:val="00A96615"/>
    <w:rsid w:val="00A96618"/>
    <w:rsid w:val="00A96D46"/>
    <w:rsid w:val="00A96DDA"/>
    <w:rsid w:val="00A96E56"/>
    <w:rsid w:val="00A96F61"/>
    <w:rsid w:val="00A971C2"/>
    <w:rsid w:val="00A972FE"/>
    <w:rsid w:val="00A973B9"/>
    <w:rsid w:val="00A97671"/>
    <w:rsid w:val="00A97719"/>
    <w:rsid w:val="00A9774B"/>
    <w:rsid w:val="00A9785D"/>
    <w:rsid w:val="00A97886"/>
    <w:rsid w:val="00A978BC"/>
    <w:rsid w:val="00A97AA3"/>
    <w:rsid w:val="00A97E17"/>
    <w:rsid w:val="00A97E24"/>
    <w:rsid w:val="00A97E28"/>
    <w:rsid w:val="00A97F91"/>
    <w:rsid w:val="00A97F98"/>
    <w:rsid w:val="00AA0039"/>
    <w:rsid w:val="00AA019B"/>
    <w:rsid w:val="00AA036B"/>
    <w:rsid w:val="00AA0409"/>
    <w:rsid w:val="00AA0494"/>
    <w:rsid w:val="00AA0586"/>
    <w:rsid w:val="00AA0732"/>
    <w:rsid w:val="00AA0A3E"/>
    <w:rsid w:val="00AA0AAA"/>
    <w:rsid w:val="00AA0D3E"/>
    <w:rsid w:val="00AA0DAD"/>
    <w:rsid w:val="00AA0F8B"/>
    <w:rsid w:val="00AA10A8"/>
    <w:rsid w:val="00AA1374"/>
    <w:rsid w:val="00AA15E3"/>
    <w:rsid w:val="00AA166D"/>
    <w:rsid w:val="00AA16CF"/>
    <w:rsid w:val="00AA171A"/>
    <w:rsid w:val="00AA1793"/>
    <w:rsid w:val="00AA18A3"/>
    <w:rsid w:val="00AA1A24"/>
    <w:rsid w:val="00AA1A72"/>
    <w:rsid w:val="00AA1BF5"/>
    <w:rsid w:val="00AA1C66"/>
    <w:rsid w:val="00AA1CDF"/>
    <w:rsid w:val="00AA1CEB"/>
    <w:rsid w:val="00AA1EA8"/>
    <w:rsid w:val="00AA1EFD"/>
    <w:rsid w:val="00AA21AB"/>
    <w:rsid w:val="00AA21B4"/>
    <w:rsid w:val="00AA22DC"/>
    <w:rsid w:val="00AA2649"/>
    <w:rsid w:val="00AA27A5"/>
    <w:rsid w:val="00AA28E0"/>
    <w:rsid w:val="00AA2946"/>
    <w:rsid w:val="00AA2A3D"/>
    <w:rsid w:val="00AA2B4F"/>
    <w:rsid w:val="00AA2C1C"/>
    <w:rsid w:val="00AA2D1D"/>
    <w:rsid w:val="00AA2DA3"/>
    <w:rsid w:val="00AA2E8A"/>
    <w:rsid w:val="00AA2EEB"/>
    <w:rsid w:val="00AA300B"/>
    <w:rsid w:val="00AA305E"/>
    <w:rsid w:val="00AA3466"/>
    <w:rsid w:val="00AA35F1"/>
    <w:rsid w:val="00AA3608"/>
    <w:rsid w:val="00AA368C"/>
    <w:rsid w:val="00AA3796"/>
    <w:rsid w:val="00AA38D3"/>
    <w:rsid w:val="00AA38E9"/>
    <w:rsid w:val="00AA3A62"/>
    <w:rsid w:val="00AA3A77"/>
    <w:rsid w:val="00AA3B6F"/>
    <w:rsid w:val="00AA3BF0"/>
    <w:rsid w:val="00AA3BFA"/>
    <w:rsid w:val="00AA41EF"/>
    <w:rsid w:val="00AA4213"/>
    <w:rsid w:val="00AA424A"/>
    <w:rsid w:val="00AA4486"/>
    <w:rsid w:val="00AA4690"/>
    <w:rsid w:val="00AA4714"/>
    <w:rsid w:val="00AA475F"/>
    <w:rsid w:val="00AA477F"/>
    <w:rsid w:val="00AA4BA3"/>
    <w:rsid w:val="00AA4D1C"/>
    <w:rsid w:val="00AA4E20"/>
    <w:rsid w:val="00AA4F0C"/>
    <w:rsid w:val="00AA4F19"/>
    <w:rsid w:val="00AA502B"/>
    <w:rsid w:val="00AA5092"/>
    <w:rsid w:val="00AA50CA"/>
    <w:rsid w:val="00AA52B6"/>
    <w:rsid w:val="00AA5374"/>
    <w:rsid w:val="00AA5607"/>
    <w:rsid w:val="00AA5659"/>
    <w:rsid w:val="00AA5872"/>
    <w:rsid w:val="00AA5A09"/>
    <w:rsid w:val="00AA5B49"/>
    <w:rsid w:val="00AA5BB9"/>
    <w:rsid w:val="00AA5BCF"/>
    <w:rsid w:val="00AA5D63"/>
    <w:rsid w:val="00AA5DD9"/>
    <w:rsid w:val="00AA5EA2"/>
    <w:rsid w:val="00AA5ED5"/>
    <w:rsid w:val="00AA5F1F"/>
    <w:rsid w:val="00AA5F7F"/>
    <w:rsid w:val="00AA6384"/>
    <w:rsid w:val="00AA63EF"/>
    <w:rsid w:val="00AA66A8"/>
    <w:rsid w:val="00AA66AB"/>
    <w:rsid w:val="00AA68ED"/>
    <w:rsid w:val="00AA69C6"/>
    <w:rsid w:val="00AA6A71"/>
    <w:rsid w:val="00AA6C68"/>
    <w:rsid w:val="00AA6FA1"/>
    <w:rsid w:val="00AA7129"/>
    <w:rsid w:val="00AA72CF"/>
    <w:rsid w:val="00AA7329"/>
    <w:rsid w:val="00AA7715"/>
    <w:rsid w:val="00AA78C4"/>
    <w:rsid w:val="00AA7DA1"/>
    <w:rsid w:val="00AB00AB"/>
    <w:rsid w:val="00AB02B9"/>
    <w:rsid w:val="00AB060A"/>
    <w:rsid w:val="00AB06A7"/>
    <w:rsid w:val="00AB0824"/>
    <w:rsid w:val="00AB0B40"/>
    <w:rsid w:val="00AB0C1F"/>
    <w:rsid w:val="00AB0D2C"/>
    <w:rsid w:val="00AB0D70"/>
    <w:rsid w:val="00AB0DAD"/>
    <w:rsid w:val="00AB0FCD"/>
    <w:rsid w:val="00AB110D"/>
    <w:rsid w:val="00AB112F"/>
    <w:rsid w:val="00AB122A"/>
    <w:rsid w:val="00AB1368"/>
    <w:rsid w:val="00AB139F"/>
    <w:rsid w:val="00AB161F"/>
    <w:rsid w:val="00AB1729"/>
    <w:rsid w:val="00AB176E"/>
    <w:rsid w:val="00AB1842"/>
    <w:rsid w:val="00AB1892"/>
    <w:rsid w:val="00AB189C"/>
    <w:rsid w:val="00AB18C8"/>
    <w:rsid w:val="00AB1A4F"/>
    <w:rsid w:val="00AB1CF7"/>
    <w:rsid w:val="00AB2074"/>
    <w:rsid w:val="00AB20CE"/>
    <w:rsid w:val="00AB2134"/>
    <w:rsid w:val="00AB2349"/>
    <w:rsid w:val="00AB2363"/>
    <w:rsid w:val="00AB23D5"/>
    <w:rsid w:val="00AB244B"/>
    <w:rsid w:val="00AB25C6"/>
    <w:rsid w:val="00AB267C"/>
    <w:rsid w:val="00AB2687"/>
    <w:rsid w:val="00AB2831"/>
    <w:rsid w:val="00AB290E"/>
    <w:rsid w:val="00AB294C"/>
    <w:rsid w:val="00AB29CA"/>
    <w:rsid w:val="00AB29D3"/>
    <w:rsid w:val="00AB2B75"/>
    <w:rsid w:val="00AB2F7D"/>
    <w:rsid w:val="00AB2FAA"/>
    <w:rsid w:val="00AB2FF2"/>
    <w:rsid w:val="00AB303E"/>
    <w:rsid w:val="00AB30F3"/>
    <w:rsid w:val="00AB3130"/>
    <w:rsid w:val="00AB3445"/>
    <w:rsid w:val="00AB3464"/>
    <w:rsid w:val="00AB3509"/>
    <w:rsid w:val="00AB3592"/>
    <w:rsid w:val="00AB35D3"/>
    <w:rsid w:val="00AB364E"/>
    <w:rsid w:val="00AB372C"/>
    <w:rsid w:val="00AB3789"/>
    <w:rsid w:val="00AB384E"/>
    <w:rsid w:val="00AB38C3"/>
    <w:rsid w:val="00AB3A31"/>
    <w:rsid w:val="00AB3D00"/>
    <w:rsid w:val="00AB3D56"/>
    <w:rsid w:val="00AB3E76"/>
    <w:rsid w:val="00AB428B"/>
    <w:rsid w:val="00AB42E7"/>
    <w:rsid w:val="00AB437F"/>
    <w:rsid w:val="00AB44B7"/>
    <w:rsid w:val="00AB45D1"/>
    <w:rsid w:val="00AB48D3"/>
    <w:rsid w:val="00AB49A2"/>
    <w:rsid w:val="00AB4A19"/>
    <w:rsid w:val="00AB4BFE"/>
    <w:rsid w:val="00AB4C13"/>
    <w:rsid w:val="00AB4DB9"/>
    <w:rsid w:val="00AB4DDA"/>
    <w:rsid w:val="00AB4E09"/>
    <w:rsid w:val="00AB4E79"/>
    <w:rsid w:val="00AB5015"/>
    <w:rsid w:val="00AB50BF"/>
    <w:rsid w:val="00AB53E2"/>
    <w:rsid w:val="00AB558C"/>
    <w:rsid w:val="00AB568C"/>
    <w:rsid w:val="00AB57A5"/>
    <w:rsid w:val="00AB5940"/>
    <w:rsid w:val="00AB5993"/>
    <w:rsid w:val="00AB5A48"/>
    <w:rsid w:val="00AB5C77"/>
    <w:rsid w:val="00AB5DEC"/>
    <w:rsid w:val="00AB5E0A"/>
    <w:rsid w:val="00AB5F36"/>
    <w:rsid w:val="00AB5F3D"/>
    <w:rsid w:val="00AB6255"/>
    <w:rsid w:val="00AB63ED"/>
    <w:rsid w:val="00AB65EA"/>
    <w:rsid w:val="00AB6843"/>
    <w:rsid w:val="00AB6988"/>
    <w:rsid w:val="00AB69B0"/>
    <w:rsid w:val="00AB6AD9"/>
    <w:rsid w:val="00AB6B4E"/>
    <w:rsid w:val="00AB6B59"/>
    <w:rsid w:val="00AB6C68"/>
    <w:rsid w:val="00AB6CA9"/>
    <w:rsid w:val="00AB6CAD"/>
    <w:rsid w:val="00AB7000"/>
    <w:rsid w:val="00AB7021"/>
    <w:rsid w:val="00AB73C5"/>
    <w:rsid w:val="00AB73FA"/>
    <w:rsid w:val="00AB7612"/>
    <w:rsid w:val="00AB7768"/>
    <w:rsid w:val="00AB77F6"/>
    <w:rsid w:val="00AB7991"/>
    <w:rsid w:val="00AB7A90"/>
    <w:rsid w:val="00AB7B77"/>
    <w:rsid w:val="00AB7FAA"/>
    <w:rsid w:val="00AC0009"/>
    <w:rsid w:val="00AC01CC"/>
    <w:rsid w:val="00AC0322"/>
    <w:rsid w:val="00AC036E"/>
    <w:rsid w:val="00AC04ED"/>
    <w:rsid w:val="00AC0568"/>
    <w:rsid w:val="00AC0690"/>
    <w:rsid w:val="00AC07B5"/>
    <w:rsid w:val="00AC08B0"/>
    <w:rsid w:val="00AC0AB3"/>
    <w:rsid w:val="00AC0D4B"/>
    <w:rsid w:val="00AC0F46"/>
    <w:rsid w:val="00AC0FA6"/>
    <w:rsid w:val="00AC1144"/>
    <w:rsid w:val="00AC1310"/>
    <w:rsid w:val="00AC1649"/>
    <w:rsid w:val="00AC1973"/>
    <w:rsid w:val="00AC1A72"/>
    <w:rsid w:val="00AC1AE7"/>
    <w:rsid w:val="00AC1B0B"/>
    <w:rsid w:val="00AC1B95"/>
    <w:rsid w:val="00AC1D2F"/>
    <w:rsid w:val="00AC1DF3"/>
    <w:rsid w:val="00AC1F09"/>
    <w:rsid w:val="00AC1FDE"/>
    <w:rsid w:val="00AC2072"/>
    <w:rsid w:val="00AC21A7"/>
    <w:rsid w:val="00AC2279"/>
    <w:rsid w:val="00AC265C"/>
    <w:rsid w:val="00AC2714"/>
    <w:rsid w:val="00AC2878"/>
    <w:rsid w:val="00AC2B98"/>
    <w:rsid w:val="00AC2BEA"/>
    <w:rsid w:val="00AC2BEB"/>
    <w:rsid w:val="00AC2D14"/>
    <w:rsid w:val="00AC2EC1"/>
    <w:rsid w:val="00AC2F23"/>
    <w:rsid w:val="00AC2F2C"/>
    <w:rsid w:val="00AC2F63"/>
    <w:rsid w:val="00AC3168"/>
    <w:rsid w:val="00AC3325"/>
    <w:rsid w:val="00AC3425"/>
    <w:rsid w:val="00AC34D4"/>
    <w:rsid w:val="00AC34DD"/>
    <w:rsid w:val="00AC3662"/>
    <w:rsid w:val="00AC36D7"/>
    <w:rsid w:val="00AC3777"/>
    <w:rsid w:val="00AC380C"/>
    <w:rsid w:val="00AC38BE"/>
    <w:rsid w:val="00AC3906"/>
    <w:rsid w:val="00AC3909"/>
    <w:rsid w:val="00AC3988"/>
    <w:rsid w:val="00AC3B99"/>
    <w:rsid w:val="00AC3BC3"/>
    <w:rsid w:val="00AC3E44"/>
    <w:rsid w:val="00AC3EA3"/>
    <w:rsid w:val="00AC3F57"/>
    <w:rsid w:val="00AC40AF"/>
    <w:rsid w:val="00AC40B1"/>
    <w:rsid w:val="00AC4175"/>
    <w:rsid w:val="00AC41AA"/>
    <w:rsid w:val="00AC41CF"/>
    <w:rsid w:val="00AC41FD"/>
    <w:rsid w:val="00AC421B"/>
    <w:rsid w:val="00AC4403"/>
    <w:rsid w:val="00AC44C5"/>
    <w:rsid w:val="00AC48F7"/>
    <w:rsid w:val="00AC4A1E"/>
    <w:rsid w:val="00AC4BA0"/>
    <w:rsid w:val="00AC4C24"/>
    <w:rsid w:val="00AC4C5D"/>
    <w:rsid w:val="00AC4CD7"/>
    <w:rsid w:val="00AC4D11"/>
    <w:rsid w:val="00AC4D8B"/>
    <w:rsid w:val="00AC4EEE"/>
    <w:rsid w:val="00AC4F5A"/>
    <w:rsid w:val="00AC5339"/>
    <w:rsid w:val="00AC5373"/>
    <w:rsid w:val="00AC5792"/>
    <w:rsid w:val="00AC597D"/>
    <w:rsid w:val="00AC5A30"/>
    <w:rsid w:val="00AC5A3A"/>
    <w:rsid w:val="00AC5A81"/>
    <w:rsid w:val="00AC5C53"/>
    <w:rsid w:val="00AC5D0B"/>
    <w:rsid w:val="00AC5E1A"/>
    <w:rsid w:val="00AC5EFD"/>
    <w:rsid w:val="00AC5F73"/>
    <w:rsid w:val="00AC5FCC"/>
    <w:rsid w:val="00AC601B"/>
    <w:rsid w:val="00AC6402"/>
    <w:rsid w:val="00AC6441"/>
    <w:rsid w:val="00AC6D6D"/>
    <w:rsid w:val="00AC6E84"/>
    <w:rsid w:val="00AC6F3B"/>
    <w:rsid w:val="00AC7197"/>
    <w:rsid w:val="00AC71D1"/>
    <w:rsid w:val="00AC7236"/>
    <w:rsid w:val="00AC72BB"/>
    <w:rsid w:val="00AC7346"/>
    <w:rsid w:val="00AC7552"/>
    <w:rsid w:val="00AC7619"/>
    <w:rsid w:val="00AC788C"/>
    <w:rsid w:val="00AC78B8"/>
    <w:rsid w:val="00AC7962"/>
    <w:rsid w:val="00AC7B93"/>
    <w:rsid w:val="00AC7D56"/>
    <w:rsid w:val="00AC7DDD"/>
    <w:rsid w:val="00AD00DD"/>
    <w:rsid w:val="00AD0144"/>
    <w:rsid w:val="00AD0180"/>
    <w:rsid w:val="00AD02BE"/>
    <w:rsid w:val="00AD03D4"/>
    <w:rsid w:val="00AD052F"/>
    <w:rsid w:val="00AD06A1"/>
    <w:rsid w:val="00AD07BB"/>
    <w:rsid w:val="00AD07F4"/>
    <w:rsid w:val="00AD080E"/>
    <w:rsid w:val="00AD084E"/>
    <w:rsid w:val="00AD0AF4"/>
    <w:rsid w:val="00AD0BA7"/>
    <w:rsid w:val="00AD0BE2"/>
    <w:rsid w:val="00AD0C28"/>
    <w:rsid w:val="00AD0E3B"/>
    <w:rsid w:val="00AD0E6D"/>
    <w:rsid w:val="00AD0EDA"/>
    <w:rsid w:val="00AD0FF4"/>
    <w:rsid w:val="00AD125E"/>
    <w:rsid w:val="00AD12E8"/>
    <w:rsid w:val="00AD1428"/>
    <w:rsid w:val="00AD16BB"/>
    <w:rsid w:val="00AD1709"/>
    <w:rsid w:val="00AD1B18"/>
    <w:rsid w:val="00AD1C4E"/>
    <w:rsid w:val="00AD1C5F"/>
    <w:rsid w:val="00AD1D03"/>
    <w:rsid w:val="00AD1D1E"/>
    <w:rsid w:val="00AD2056"/>
    <w:rsid w:val="00AD205B"/>
    <w:rsid w:val="00AD2096"/>
    <w:rsid w:val="00AD2198"/>
    <w:rsid w:val="00AD2347"/>
    <w:rsid w:val="00AD23B5"/>
    <w:rsid w:val="00AD243B"/>
    <w:rsid w:val="00AD2565"/>
    <w:rsid w:val="00AD25E7"/>
    <w:rsid w:val="00AD274E"/>
    <w:rsid w:val="00AD2762"/>
    <w:rsid w:val="00AD2AC5"/>
    <w:rsid w:val="00AD2B08"/>
    <w:rsid w:val="00AD2D43"/>
    <w:rsid w:val="00AD2F5A"/>
    <w:rsid w:val="00AD31A9"/>
    <w:rsid w:val="00AD31D7"/>
    <w:rsid w:val="00AD3311"/>
    <w:rsid w:val="00AD3317"/>
    <w:rsid w:val="00AD33AE"/>
    <w:rsid w:val="00AD3402"/>
    <w:rsid w:val="00AD3427"/>
    <w:rsid w:val="00AD34B8"/>
    <w:rsid w:val="00AD3590"/>
    <w:rsid w:val="00AD37D5"/>
    <w:rsid w:val="00AD3848"/>
    <w:rsid w:val="00AD38D4"/>
    <w:rsid w:val="00AD3AD8"/>
    <w:rsid w:val="00AD3B0D"/>
    <w:rsid w:val="00AD3CB3"/>
    <w:rsid w:val="00AD3DEC"/>
    <w:rsid w:val="00AD3F3D"/>
    <w:rsid w:val="00AD3FB7"/>
    <w:rsid w:val="00AD4084"/>
    <w:rsid w:val="00AD40BF"/>
    <w:rsid w:val="00AD41F7"/>
    <w:rsid w:val="00AD4204"/>
    <w:rsid w:val="00AD42DB"/>
    <w:rsid w:val="00AD4670"/>
    <w:rsid w:val="00AD48B7"/>
    <w:rsid w:val="00AD4915"/>
    <w:rsid w:val="00AD4AD5"/>
    <w:rsid w:val="00AD4C3A"/>
    <w:rsid w:val="00AD4DED"/>
    <w:rsid w:val="00AD4E17"/>
    <w:rsid w:val="00AD523B"/>
    <w:rsid w:val="00AD537B"/>
    <w:rsid w:val="00AD5542"/>
    <w:rsid w:val="00AD5631"/>
    <w:rsid w:val="00AD56E6"/>
    <w:rsid w:val="00AD5758"/>
    <w:rsid w:val="00AD5BF2"/>
    <w:rsid w:val="00AD5E4A"/>
    <w:rsid w:val="00AD5E53"/>
    <w:rsid w:val="00AD5ED3"/>
    <w:rsid w:val="00AD6103"/>
    <w:rsid w:val="00AD613E"/>
    <w:rsid w:val="00AD6247"/>
    <w:rsid w:val="00AD6340"/>
    <w:rsid w:val="00AD6386"/>
    <w:rsid w:val="00AD6491"/>
    <w:rsid w:val="00AD6546"/>
    <w:rsid w:val="00AD6640"/>
    <w:rsid w:val="00AD68B5"/>
    <w:rsid w:val="00AD6921"/>
    <w:rsid w:val="00AD6C0B"/>
    <w:rsid w:val="00AD6DFF"/>
    <w:rsid w:val="00AD6E4C"/>
    <w:rsid w:val="00AD6F6B"/>
    <w:rsid w:val="00AD6FF0"/>
    <w:rsid w:val="00AD70B4"/>
    <w:rsid w:val="00AD728D"/>
    <w:rsid w:val="00AD7415"/>
    <w:rsid w:val="00AD7446"/>
    <w:rsid w:val="00AD7579"/>
    <w:rsid w:val="00AD75D1"/>
    <w:rsid w:val="00AD7874"/>
    <w:rsid w:val="00AD78AD"/>
    <w:rsid w:val="00AD79C0"/>
    <w:rsid w:val="00AD79F7"/>
    <w:rsid w:val="00AD7C0D"/>
    <w:rsid w:val="00AD7C76"/>
    <w:rsid w:val="00AD7E42"/>
    <w:rsid w:val="00AD7E77"/>
    <w:rsid w:val="00AD7F39"/>
    <w:rsid w:val="00AD7F66"/>
    <w:rsid w:val="00AD7F95"/>
    <w:rsid w:val="00AE0406"/>
    <w:rsid w:val="00AE041E"/>
    <w:rsid w:val="00AE0481"/>
    <w:rsid w:val="00AE052E"/>
    <w:rsid w:val="00AE05F2"/>
    <w:rsid w:val="00AE0747"/>
    <w:rsid w:val="00AE07EB"/>
    <w:rsid w:val="00AE0E86"/>
    <w:rsid w:val="00AE0EAC"/>
    <w:rsid w:val="00AE0F65"/>
    <w:rsid w:val="00AE108A"/>
    <w:rsid w:val="00AE12E6"/>
    <w:rsid w:val="00AE12F0"/>
    <w:rsid w:val="00AE13BC"/>
    <w:rsid w:val="00AE13CF"/>
    <w:rsid w:val="00AE176A"/>
    <w:rsid w:val="00AE19A8"/>
    <w:rsid w:val="00AE1A19"/>
    <w:rsid w:val="00AE1B9F"/>
    <w:rsid w:val="00AE1CD7"/>
    <w:rsid w:val="00AE1D56"/>
    <w:rsid w:val="00AE2092"/>
    <w:rsid w:val="00AE221F"/>
    <w:rsid w:val="00AE249F"/>
    <w:rsid w:val="00AE24AC"/>
    <w:rsid w:val="00AE2621"/>
    <w:rsid w:val="00AE2687"/>
    <w:rsid w:val="00AE2699"/>
    <w:rsid w:val="00AE285E"/>
    <w:rsid w:val="00AE28B0"/>
    <w:rsid w:val="00AE299A"/>
    <w:rsid w:val="00AE2A23"/>
    <w:rsid w:val="00AE2B5C"/>
    <w:rsid w:val="00AE2F8E"/>
    <w:rsid w:val="00AE2FAA"/>
    <w:rsid w:val="00AE308D"/>
    <w:rsid w:val="00AE31DB"/>
    <w:rsid w:val="00AE3202"/>
    <w:rsid w:val="00AE3381"/>
    <w:rsid w:val="00AE351F"/>
    <w:rsid w:val="00AE36C3"/>
    <w:rsid w:val="00AE3785"/>
    <w:rsid w:val="00AE37AE"/>
    <w:rsid w:val="00AE39E3"/>
    <w:rsid w:val="00AE3AA5"/>
    <w:rsid w:val="00AE3B1F"/>
    <w:rsid w:val="00AE3C2B"/>
    <w:rsid w:val="00AE3CF5"/>
    <w:rsid w:val="00AE3D06"/>
    <w:rsid w:val="00AE3EA8"/>
    <w:rsid w:val="00AE3F19"/>
    <w:rsid w:val="00AE4101"/>
    <w:rsid w:val="00AE43A7"/>
    <w:rsid w:val="00AE44E1"/>
    <w:rsid w:val="00AE4549"/>
    <w:rsid w:val="00AE45BF"/>
    <w:rsid w:val="00AE47E9"/>
    <w:rsid w:val="00AE4AEF"/>
    <w:rsid w:val="00AE4C13"/>
    <w:rsid w:val="00AE4E7B"/>
    <w:rsid w:val="00AE4EFF"/>
    <w:rsid w:val="00AE50A5"/>
    <w:rsid w:val="00AE51D7"/>
    <w:rsid w:val="00AE5359"/>
    <w:rsid w:val="00AE5560"/>
    <w:rsid w:val="00AE5584"/>
    <w:rsid w:val="00AE567E"/>
    <w:rsid w:val="00AE5800"/>
    <w:rsid w:val="00AE5993"/>
    <w:rsid w:val="00AE5B66"/>
    <w:rsid w:val="00AE5F61"/>
    <w:rsid w:val="00AE5F9A"/>
    <w:rsid w:val="00AE6428"/>
    <w:rsid w:val="00AE64EC"/>
    <w:rsid w:val="00AE66DC"/>
    <w:rsid w:val="00AE67C8"/>
    <w:rsid w:val="00AE6D75"/>
    <w:rsid w:val="00AE6DBB"/>
    <w:rsid w:val="00AE6F38"/>
    <w:rsid w:val="00AE70BC"/>
    <w:rsid w:val="00AE718B"/>
    <w:rsid w:val="00AE72E9"/>
    <w:rsid w:val="00AE7456"/>
    <w:rsid w:val="00AE77C9"/>
    <w:rsid w:val="00AE7869"/>
    <w:rsid w:val="00AE79A3"/>
    <w:rsid w:val="00AE7ACA"/>
    <w:rsid w:val="00AE7BFE"/>
    <w:rsid w:val="00AE7C84"/>
    <w:rsid w:val="00AE7CB1"/>
    <w:rsid w:val="00AE7D0A"/>
    <w:rsid w:val="00AE7EF0"/>
    <w:rsid w:val="00AE7F2B"/>
    <w:rsid w:val="00AE7F3B"/>
    <w:rsid w:val="00AE7F96"/>
    <w:rsid w:val="00AF0174"/>
    <w:rsid w:val="00AF01DE"/>
    <w:rsid w:val="00AF033E"/>
    <w:rsid w:val="00AF03DE"/>
    <w:rsid w:val="00AF046E"/>
    <w:rsid w:val="00AF049C"/>
    <w:rsid w:val="00AF0501"/>
    <w:rsid w:val="00AF0750"/>
    <w:rsid w:val="00AF0755"/>
    <w:rsid w:val="00AF076A"/>
    <w:rsid w:val="00AF09A7"/>
    <w:rsid w:val="00AF0BAC"/>
    <w:rsid w:val="00AF0F99"/>
    <w:rsid w:val="00AF105C"/>
    <w:rsid w:val="00AF11CC"/>
    <w:rsid w:val="00AF12AE"/>
    <w:rsid w:val="00AF12D0"/>
    <w:rsid w:val="00AF14D2"/>
    <w:rsid w:val="00AF1580"/>
    <w:rsid w:val="00AF15F7"/>
    <w:rsid w:val="00AF15FF"/>
    <w:rsid w:val="00AF1847"/>
    <w:rsid w:val="00AF1CB4"/>
    <w:rsid w:val="00AF1CE2"/>
    <w:rsid w:val="00AF1E4C"/>
    <w:rsid w:val="00AF2146"/>
    <w:rsid w:val="00AF229E"/>
    <w:rsid w:val="00AF2450"/>
    <w:rsid w:val="00AF2552"/>
    <w:rsid w:val="00AF25FC"/>
    <w:rsid w:val="00AF2A83"/>
    <w:rsid w:val="00AF2CC9"/>
    <w:rsid w:val="00AF2D53"/>
    <w:rsid w:val="00AF2DE5"/>
    <w:rsid w:val="00AF2EDA"/>
    <w:rsid w:val="00AF2F38"/>
    <w:rsid w:val="00AF30C0"/>
    <w:rsid w:val="00AF30D1"/>
    <w:rsid w:val="00AF33D1"/>
    <w:rsid w:val="00AF33F7"/>
    <w:rsid w:val="00AF35D5"/>
    <w:rsid w:val="00AF395B"/>
    <w:rsid w:val="00AF3A42"/>
    <w:rsid w:val="00AF3ACE"/>
    <w:rsid w:val="00AF3CCF"/>
    <w:rsid w:val="00AF3E29"/>
    <w:rsid w:val="00AF3E30"/>
    <w:rsid w:val="00AF3F5F"/>
    <w:rsid w:val="00AF3FB9"/>
    <w:rsid w:val="00AF428D"/>
    <w:rsid w:val="00AF43C5"/>
    <w:rsid w:val="00AF43D8"/>
    <w:rsid w:val="00AF451B"/>
    <w:rsid w:val="00AF4682"/>
    <w:rsid w:val="00AF4725"/>
    <w:rsid w:val="00AF483B"/>
    <w:rsid w:val="00AF4852"/>
    <w:rsid w:val="00AF4A3F"/>
    <w:rsid w:val="00AF4AA6"/>
    <w:rsid w:val="00AF4C46"/>
    <w:rsid w:val="00AF4C5A"/>
    <w:rsid w:val="00AF4C7F"/>
    <w:rsid w:val="00AF4FC5"/>
    <w:rsid w:val="00AF50DB"/>
    <w:rsid w:val="00AF514D"/>
    <w:rsid w:val="00AF517F"/>
    <w:rsid w:val="00AF5257"/>
    <w:rsid w:val="00AF52A7"/>
    <w:rsid w:val="00AF52B0"/>
    <w:rsid w:val="00AF52F0"/>
    <w:rsid w:val="00AF54B1"/>
    <w:rsid w:val="00AF54D2"/>
    <w:rsid w:val="00AF5563"/>
    <w:rsid w:val="00AF5741"/>
    <w:rsid w:val="00AF5751"/>
    <w:rsid w:val="00AF5967"/>
    <w:rsid w:val="00AF5CDB"/>
    <w:rsid w:val="00AF5D18"/>
    <w:rsid w:val="00AF5DF0"/>
    <w:rsid w:val="00AF6541"/>
    <w:rsid w:val="00AF65F0"/>
    <w:rsid w:val="00AF6696"/>
    <w:rsid w:val="00AF68F7"/>
    <w:rsid w:val="00AF6A3A"/>
    <w:rsid w:val="00AF6AEA"/>
    <w:rsid w:val="00AF71ED"/>
    <w:rsid w:val="00AF7208"/>
    <w:rsid w:val="00AF74B5"/>
    <w:rsid w:val="00AF76A1"/>
    <w:rsid w:val="00AF7897"/>
    <w:rsid w:val="00AF78F6"/>
    <w:rsid w:val="00AF7B33"/>
    <w:rsid w:val="00AF7B8B"/>
    <w:rsid w:val="00AF7C21"/>
    <w:rsid w:val="00AF7D4F"/>
    <w:rsid w:val="00AF7FE2"/>
    <w:rsid w:val="00B0003A"/>
    <w:rsid w:val="00B00116"/>
    <w:rsid w:val="00B001D9"/>
    <w:rsid w:val="00B00222"/>
    <w:rsid w:val="00B00253"/>
    <w:rsid w:val="00B004CA"/>
    <w:rsid w:val="00B00706"/>
    <w:rsid w:val="00B0073C"/>
    <w:rsid w:val="00B0074D"/>
    <w:rsid w:val="00B0083B"/>
    <w:rsid w:val="00B00861"/>
    <w:rsid w:val="00B00893"/>
    <w:rsid w:val="00B00918"/>
    <w:rsid w:val="00B0093B"/>
    <w:rsid w:val="00B00A56"/>
    <w:rsid w:val="00B00B06"/>
    <w:rsid w:val="00B00CD0"/>
    <w:rsid w:val="00B00E61"/>
    <w:rsid w:val="00B00E77"/>
    <w:rsid w:val="00B00EBA"/>
    <w:rsid w:val="00B00F89"/>
    <w:rsid w:val="00B00FC4"/>
    <w:rsid w:val="00B01198"/>
    <w:rsid w:val="00B012E1"/>
    <w:rsid w:val="00B013E9"/>
    <w:rsid w:val="00B016CD"/>
    <w:rsid w:val="00B01A4B"/>
    <w:rsid w:val="00B01C89"/>
    <w:rsid w:val="00B01D7C"/>
    <w:rsid w:val="00B01DF8"/>
    <w:rsid w:val="00B01E25"/>
    <w:rsid w:val="00B02159"/>
    <w:rsid w:val="00B02225"/>
    <w:rsid w:val="00B022E7"/>
    <w:rsid w:val="00B0244C"/>
    <w:rsid w:val="00B024BD"/>
    <w:rsid w:val="00B02547"/>
    <w:rsid w:val="00B0255C"/>
    <w:rsid w:val="00B0261C"/>
    <w:rsid w:val="00B02628"/>
    <w:rsid w:val="00B0268C"/>
    <w:rsid w:val="00B0278C"/>
    <w:rsid w:val="00B0294A"/>
    <w:rsid w:val="00B02A05"/>
    <w:rsid w:val="00B02A5B"/>
    <w:rsid w:val="00B02A81"/>
    <w:rsid w:val="00B02AFF"/>
    <w:rsid w:val="00B02B6A"/>
    <w:rsid w:val="00B02C06"/>
    <w:rsid w:val="00B02DBB"/>
    <w:rsid w:val="00B02DD4"/>
    <w:rsid w:val="00B02F00"/>
    <w:rsid w:val="00B02F44"/>
    <w:rsid w:val="00B02FEB"/>
    <w:rsid w:val="00B03046"/>
    <w:rsid w:val="00B03305"/>
    <w:rsid w:val="00B03948"/>
    <w:rsid w:val="00B03A12"/>
    <w:rsid w:val="00B03A82"/>
    <w:rsid w:val="00B03B7D"/>
    <w:rsid w:val="00B03BAA"/>
    <w:rsid w:val="00B03C52"/>
    <w:rsid w:val="00B03E19"/>
    <w:rsid w:val="00B03E42"/>
    <w:rsid w:val="00B03F25"/>
    <w:rsid w:val="00B03F9F"/>
    <w:rsid w:val="00B0409F"/>
    <w:rsid w:val="00B040C3"/>
    <w:rsid w:val="00B0417C"/>
    <w:rsid w:val="00B0468A"/>
    <w:rsid w:val="00B046B8"/>
    <w:rsid w:val="00B04753"/>
    <w:rsid w:val="00B047FF"/>
    <w:rsid w:val="00B04851"/>
    <w:rsid w:val="00B049F2"/>
    <w:rsid w:val="00B04A31"/>
    <w:rsid w:val="00B04A3D"/>
    <w:rsid w:val="00B04C2D"/>
    <w:rsid w:val="00B04C40"/>
    <w:rsid w:val="00B04D09"/>
    <w:rsid w:val="00B04E19"/>
    <w:rsid w:val="00B04EAD"/>
    <w:rsid w:val="00B050E4"/>
    <w:rsid w:val="00B050E8"/>
    <w:rsid w:val="00B05486"/>
    <w:rsid w:val="00B05488"/>
    <w:rsid w:val="00B05635"/>
    <w:rsid w:val="00B0587B"/>
    <w:rsid w:val="00B05979"/>
    <w:rsid w:val="00B059D4"/>
    <w:rsid w:val="00B05A24"/>
    <w:rsid w:val="00B05A73"/>
    <w:rsid w:val="00B05D45"/>
    <w:rsid w:val="00B05F07"/>
    <w:rsid w:val="00B05F3A"/>
    <w:rsid w:val="00B06047"/>
    <w:rsid w:val="00B060B6"/>
    <w:rsid w:val="00B064C5"/>
    <w:rsid w:val="00B064F5"/>
    <w:rsid w:val="00B064FF"/>
    <w:rsid w:val="00B065CF"/>
    <w:rsid w:val="00B06857"/>
    <w:rsid w:val="00B0686B"/>
    <w:rsid w:val="00B068DC"/>
    <w:rsid w:val="00B068EA"/>
    <w:rsid w:val="00B06957"/>
    <w:rsid w:val="00B06CEC"/>
    <w:rsid w:val="00B06E54"/>
    <w:rsid w:val="00B07044"/>
    <w:rsid w:val="00B07096"/>
    <w:rsid w:val="00B0720C"/>
    <w:rsid w:val="00B0738A"/>
    <w:rsid w:val="00B07473"/>
    <w:rsid w:val="00B07499"/>
    <w:rsid w:val="00B0757D"/>
    <w:rsid w:val="00B075CD"/>
    <w:rsid w:val="00B07639"/>
    <w:rsid w:val="00B07870"/>
    <w:rsid w:val="00B07ACE"/>
    <w:rsid w:val="00B07AFC"/>
    <w:rsid w:val="00B07BDC"/>
    <w:rsid w:val="00B07EC9"/>
    <w:rsid w:val="00B1008B"/>
    <w:rsid w:val="00B10535"/>
    <w:rsid w:val="00B105CF"/>
    <w:rsid w:val="00B10735"/>
    <w:rsid w:val="00B10873"/>
    <w:rsid w:val="00B10A10"/>
    <w:rsid w:val="00B10B76"/>
    <w:rsid w:val="00B10D37"/>
    <w:rsid w:val="00B10EC5"/>
    <w:rsid w:val="00B111C5"/>
    <w:rsid w:val="00B11434"/>
    <w:rsid w:val="00B11644"/>
    <w:rsid w:val="00B11684"/>
    <w:rsid w:val="00B11908"/>
    <w:rsid w:val="00B119E0"/>
    <w:rsid w:val="00B11B57"/>
    <w:rsid w:val="00B11C1A"/>
    <w:rsid w:val="00B11C7A"/>
    <w:rsid w:val="00B11DFF"/>
    <w:rsid w:val="00B11F6F"/>
    <w:rsid w:val="00B11F79"/>
    <w:rsid w:val="00B12015"/>
    <w:rsid w:val="00B12139"/>
    <w:rsid w:val="00B12264"/>
    <w:rsid w:val="00B12265"/>
    <w:rsid w:val="00B12437"/>
    <w:rsid w:val="00B1259C"/>
    <w:rsid w:val="00B12697"/>
    <w:rsid w:val="00B126EF"/>
    <w:rsid w:val="00B1274A"/>
    <w:rsid w:val="00B1274D"/>
    <w:rsid w:val="00B127BD"/>
    <w:rsid w:val="00B128DD"/>
    <w:rsid w:val="00B12E2B"/>
    <w:rsid w:val="00B12F82"/>
    <w:rsid w:val="00B13017"/>
    <w:rsid w:val="00B13074"/>
    <w:rsid w:val="00B132C1"/>
    <w:rsid w:val="00B13302"/>
    <w:rsid w:val="00B133B7"/>
    <w:rsid w:val="00B133C3"/>
    <w:rsid w:val="00B13635"/>
    <w:rsid w:val="00B137E6"/>
    <w:rsid w:val="00B1385B"/>
    <w:rsid w:val="00B138BE"/>
    <w:rsid w:val="00B139F2"/>
    <w:rsid w:val="00B13DE1"/>
    <w:rsid w:val="00B13EFB"/>
    <w:rsid w:val="00B14086"/>
    <w:rsid w:val="00B14088"/>
    <w:rsid w:val="00B140C1"/>
    <w:rsid w:val="00B1418E"/>
    <w:rsid w:val="00B141AB"/>
    <w:rsid w:val="00B143D5"/>
    <w:rsid w:val="00B144C5"/>
    <w:rsid w:val="00B1459E"/>
    <w:rsid w:val="00B145D6"/>
    <w:rsid w:val="00B147C2"/>
    <w:rsid w:val="00B14957"/>
    <w:rsid w:val="00B1499C"/>
    <w:rsid w:val="00B149DE"/>
    <w:rsid w:val="00B14A66"/>
    <w:rsid w:val="00B14C8E"/>
    <w:rsid w:val="00B14DFE"/>
    <w:rsid w:val="00B14E1E"/>
    <w:rsid w:val="00B14E5B"/>
    <w:rsid w:val="00B151D5"/>
    <w:rsid w:val="00B151EB"/>
    <w:rsid w:val="00B15231"/>
    <w:rsid w:val="00B15415"/>
    <w:rsid w:val="00B15427"/>
    <w:rsid w:val="00B15428"/>
    <w:rsid w:val="00B15580"/>
    <w:rsid w:val="00B15A13"/>
    <w:rsid w:val="00B15A57"/>
    <w:rsid w:val="00B15A6C"/>
    <w:rsid w:val="00B15CDF"/>
    <w:rsid w:val="00B160A7"/>
    <w:rsid w:val="00B16185"/>
    <w:rsid w:val="00B16349"/>
    <w:rsid w:val="00B16365"/>
    <w:rsid w:val="00B164C8"/>
    <w:rsid w:val="00B164D5"/>
    <w:rsid w:val="00B164ED"/>
    <w:rsid w:val="00B16538"/>
    <w:rsid w:val="00B167BD"/>
    <w:rsid w:val="00B168B5"/>
    <w:rsid w:val="00B16A28"/>
    <w:rsid w:val="00B16BB7"/>
    <w:rsid w:val="00B16E04"/>
    <w:rsid w:val="00B16E13"/>
    <w:rsid w:val="00B16EA3"/>
    <w:rsid w:val="00B16EA4"/>
    <w:rsid w:val="00B1701C"/>
    <w:rsid w:val="00B17182"/>
    <w:rsid w:val="00B1721F"/>
    <w:rsid w:val="00B1738B"/>
    <w:rsid w:val="00B1738D"/>
    <w:rsid w:val="00B178C3"/>
    <w:rsid w:val="00B17BBB"/>
    <w:rsid w:val="00B17C88"/>
    <w:rsid w:val="00B17E5D"/>
    <w:rsid w:val="00B17F03"/>
    <w:rsid w:val="00B17FA8"/>
    <w:rsid w:val="00B17FDE"/>
    <w:rsid w:val="00B200F6"/>
    <w:rsid w:val="00B20271"/>
    <w:rsid w:val="00B2039F"/>
    <w:rsid w:val="00B204D6"/>
    <w:rsid w:val="00B20570"/>
    <w:rsid w:val="00B20623"/>
    <w:rsid w:val="00B206EF"/>
    <w:rsid w:val="00B20718"/>
    <w:rsid w:val="00B207EF"/>
    <w:rsid w:val="00B2098C"/>
    <w:rsid w:val="00B20A1A"/>
    <w:rsid w:val="00B20B79"/>
    <w:rsid w:val="00B20D9F"/>
    <w:rsid w:val="00B20EC4"/>
    <w:rsid w:val="00B2131B"/>
    <w:rsid w:val="00B2135D"/>
    <w:rsid w:val="00B21474"/>
    <w:rsid w:val="00B2179A"/>
    <w:rsid w:val="00B218C4"/>
    <w:rsid w:val="00B21950"/>
    <w:rsid w:val="00B21B83"/>
    <w:rsid w:val="00B21E66"/>
    <w:rsid w:val="00B21F0D"/>
    <w:rsid w:val="00B21F82"/>
    <w:rsid w:val="00B22175"/>
    <w:rsid w:val="00B2225A"/>
    <w:rsid w:val="00B22277"/>
    <w:rsid w:val="00B2229B"/>
    <w:rsid w:val="00B22764"/>
    <w:rsid w:val="00B2279B"/>
    <w:rsid w:val="00B22873"/>
    <w:rsid w:val="00B228AA"/>
    <w:rsid w:val="00B22B5F"/>
    <w:rsid w:val="00B22DE6"/>
    <w:rsid w:val="00B22EA4"/>
    <w:rsid w:val="00B22F42"/>
    <w:rsid w:val="00B2303E"/>
    <w:rsid w:val="00B231D4"/>
    <w:rsid w:val="00B234E1"/>
    <w:rsid w:val="00B236BC"/>
    <w:rsid w:val="00B23897"/>
    <w:rsid w:val="00B23965"/>
    <w:rsid w:val="00B2396F"/>
    <w:rsid w:val="00B23973"/>
    <w:rsid w:val="00B23A8C"/>
    <w:rsid w:val="00B23BAC"/>
    <w:rsid w:val="00B23DE5"/>
    <w:rsid w:val="00B2403C"/>
    <w:rsid w:val="00B24062"/>
    <w:rsid w:val="00B24227"/>
    <w:rsid w:val="00B24451"/>
    <w:rsid w:val="00B2459D"/>
    <w:rsid w:val="00B24636"/>
    <w:rsid w:val="00B24725"/>
    <w:rsid w:val="00B24980"/>
    <w:rsid w:val="00B24A1A"/>
    <w:rsid w:val="00B24A33"/>
    <w:rsid w:val="00B24C0F"/>
    <w:rsid w:val="00B24C5A"/>
    <w:rsid w:val="00B24CC6"/>
    <w:rsid w:val="00B24E05"/>
    <w:rsid w:val="00B24F09"/>
    <w:rsid w:val="00B252D8"/>
    <w:rsid w:val="00B254AA"/>
    <w:rsid w:val="00B257DC"/>
    <w:rsid w:val="00B258DD"/>
    <w:rsid w:val="00B259FD"/>
    <w:rsid w:val="00B26071"/>
    <w:rsid w:val="00B263E2"/>
    <w:rsid w:val="00B26688"/>
    <w:rsid w:val="00B267FD"/>
    <w:rsid w:val="00B26BD7"/>
    <w:rsid w:val="00B26C5A"/>
    <w:rsid w:val="00B26DEE"/>
    <w:rsid w:val="00B26F90"/>
    <w:rsid w:val="00B26FB6"/>
    <w:rsid w:val="00B26FBA"/>
    <w:rsid w:val="00B2710F"/>
    <w:rsid w:val="00B2727F"/>
    <w:rsid w:val="00B272A5"/>
    <w:rsid w:val="00B275CD"/>
    <w:rsid w:val="00B27616"/>
    <w:rsid w:val="00B277F4"/>
    <w:rsid w:val="00B2781E"/>
    <w:rsid w:val="00B27838"/>
    <w:rsid w:val="00B27893"/>
    <w:rsid w:val="00B27B87"/>
    <w:rsid w:val="00B27F60"/>
    <w:rsid w:val="00B27FA8"/>
    <w:rsid w:val="00B30033"/>
    <w:rsid w:val="00B301F8"/>
    <w:rsid w:val="00B302D8"/>
    <w:rsid w:val="00B3056A"/>
    <w:rsid w:val="00B30625"/>
    <w:rsid w:val="00B30656"/>
    <w:rsid w:val="00B3076A"/>
    <w:rsid w:val="00B3096D"/>
    <w:rsid w:val="00B30AF7"/>
    <w:rsid w:val="00B30AFB"/>
    <w:rsid w:val="00B30E02"/>
    <w:rsid w:val="00B30F52"/>
    <w:rsid w:val="00B31038"/>
    <w:rsid w:val="00B31074"/>
    <w:rsid w:val="00B31129"/>
    <w:rsid w:val="00B3116E"/>
    <w:rsid w:val="00B311D7"/>
    <w:rsid w:val="00B312C1"/>
    <w:rsid w:val="00B313C0"/>
    <w:rsid w:val="00B3174D"/>
    <w:rsid w:val="00B317A6"/>
    <w:rsid w:val="00B31A61"/>
    <w:rsid w:val="00B31AB3"/>
    <w:rsid w:val="00B31B3C"/>
    <w:rsid w:val="00B31CE7"/>
    <w:rsid w:val="00B31D79"/>
    <w:rsid w:val="00B31F49"/>
    <w:rsid w:val="00B32043"/>
    <w:rsid w:val="00B32297"/>
    <w:rsid w:val="00B322D6"/>
    <w:rsid w:val="00B325AA"/>
    <w:rsid w:val="00B32A21"/>
    <w:rsid w:val="00B32AFA"/>
    <w:rsid w:val="00B32C33"/>
    <w:rsid w:val="00B32C78"/>
    <w:rsid w:val="00B33004"/>
    <w:rsid w:val="00B3329D"/>
    <w:rsid w:val="00B3347F"/>
    <w:rsid w:val="00B334A3"/>
    <w:rsid w:val="00B33535"/>
    <w:rsid w:val="00B337AD"/>
    <w:rsid w:val="00B3387D"/>
    <w:rsid w:val="00B3392D"/>
    <w:rsid w:val="00B339B1"/>
    <w:rsid w:val="00B339DF"/>
    <w:rsid w:val="00B33A08"/>
    <w:rsid w:val="00B33FB6"/>
    <w:rsid w:val="00B343C3"/>
    <w:rsid w:val="00B34575"/>
    <w:rsid w:val="00B345E9"/>
    <w:rsid w:val="00B34773"/>
    <w:rsid w:val="00B34A0C"/>
    <w:rsid w:val="00B34C19"/>
    <w:rsid w:val="00B34C24"/>
    <w:rsid w:val="00B34C40"/>
    <w:rsid w:val="00B34D33"/>
    <w:rsid w:val="00B34DA0"/>
    <w:rsid w:val="00B34F20"/>
    <w:rsid w:val="00B35083"/>
    <w:rsid w:val="00B35364"/>
    <w:rsid w:val="00B353D7"/>
    <w:rsid w:val="00B35682"/>
    <w:rsid w:val="00B3574E"/>
    <w:rsid w:val="00B358F1"/>
    <w:rsid w:val="00B35B2D"/>
    <w:rsid w:val="00B35C68"/>
    <w:rsid w:val="00B35FA9"/>
    <w:rsid w:val="00B363F4"/>
    <w:rsid w:val="00B36432"/>
    <w:rsid w:val="00B36606"/>
    <w:rsid w:val="00B36626"/>
    <w:rsid w:val="00B3675A"/>
    <w:rsid w:val="00B367C0"/>
    <w:rsid w:val="00B36903"/>
    <w:rsid w:val="00B36918"/>
    <w:rsid w:val="00B36ED2"/>
    <w:rsid w:val="00B36F60"/>
    <w:rsid w:val="00B37079"/>
    <w:rsid w:val="00B37100"/>
    <w:rsid w:val="00B37135"/>
    <w:rsid w:val="00B373F4"/>
    <w:rsid w:val="00B37801"/>
    <w:rsid w:val="00B37898"/>
    <w:rsid w:val="00B37AB9"/>
    <w:rsid w:val="00B37ACD"/>
    <w:rsid w:val="00B37E55"/>
    <w:rsid w:val="00B37E74"/>
    <w:rsid w:val="00B40186"/>
    <w:rsid w:val="00B40302"/>
    <w:rsid w:val="00B40335"/>
    <w:rsid w:val="00B40339"/>
    <w:rsid w:val="00B40355"/>
    <w:rsid w:val="00B4040A"/>
    <w:rsid w:val="00B4043B"/>
    <w:rsid w:val="00B404DD"/>
    <w:rsid w:val="00B40958"/>
    <w:rsid w:val="00B40C4E"/>
    <w:rsid w:val="00B40FBA"/>
    <w:rsid w:val="00B410AE"/>
    <w:rsid w:val="00B410DF"/>
    <w:rsid w:val="00B4110D"/>
    <w:rsid w:val="00B41261"/>
    <w:rsid w:val="00B41615"/>
    <w:rsid w:val="00B41819"/>
    <w:rsid w:val="00B419F3"/>
    <w:rsid w:val="00B41A23"/>
    <w:rsid w:val="00B41B73"/>
    <w:rsid w:val="00B41E04"/>
    <w:rsid w:val="00B41F1A"/>
    <w:rsid w:val="00B4209F"/>
    <w:rsid w:val="00B42191"/>
    <w:rsid w:val="00B4227C"/>
    <w:rsid w:val="00B4230A"/>
    <w:rsid w:val="00B42457"/>
    <w:rsid w:val="00B424DB"/>
    <w:rsid w:val="00B425DA"/>
    <w:rsid w:val="00B4263C"/>
    <w:rsid w:val="00B4264B"/>
    <w:rsid w:val="00B4272B"/>
    <w:rsid w:val="00B427D8"/>
    <w:rsid w:val="00B42956"/>
    <w:rsid w:val="00B42A42"/>
    <w:rsid w:val="00B42C4B"/>
    <w:rsid w:val="00B42E46"/>
    <w:rsid w:val="00B42FF6"/>
    <w:rsid w:val="00B4303D"/>
    <w:rsid w:val="00B4311E"/>
    <w:rsid w:val="00B43173"/>
    <w:rsid w:val="00B431A9"/>
    <w:rsid w:val="00B43379"/>
    <w:rsid w:val="00B4358B"/>
    <w:rsid w:val="00B435A2"/>
    <w:rsid w:val="00B436C7"/>
    <w:rsid w:val="00B43807"/>
    <w:rsid w:val="00B439B0"/>
    <w:rsid w:val="00B43B31"/>
    <w:rsid w:val="00B43CA9"/>
    <w:rsid w:val="00B43D1C"/>
    <w:rsid w:val="00B43DAE"/>
    <w:rsid w:val="00B43E9E"/>
    <w:rsid w:val="00B44011"/>
    <w:rsid w:val="00B441F5"/>
    <w:rsid w:val="00B444F7"/>
    <w:rsid w:val="00B4467F"/>
    <w:rsid w:val="00B446D3"/>
    <w:rsid w:val="00B44733"/>
    <w:rsid w:val="00B44912"/>
    <w:rsid w:val="00B449A8"/>
    <w:rsid w:val="00B449FC"/>
    <w:rsid w:val="00B44AB5"/>
    <w:rsid w:val="00B44B6A"/>
    <w:rsid w:val="00B44E3A"/>
    <w:rsid w:val="00B44FF2"/>
    <w:rsid w:val="00B45064"/>
    <w:rsid w:val="00B45085"/>
    <w:rsid w:val="00B4517A"/>
    <w:rsid w:val="00B4550B"/>
    <w:rsid w:val="00B455B7"/>
    <w:rsid w:val="00B45618"/>
    <w:rsid w:val="00B45A9B"/>
    <w:rsid w:val="00B45AB9"/>
    <w:rsid w:val="00B45B13"/>
    <w:rsid w:val="00B45C38"/>
    <w:rsid w:val="00B45D35"/>
    <w:rsid w:val="00B45E77"/>
    <w:rsid w:val="00B45FF1"/>
    <w:rsid w:val="00B460BD"/>
    <w:rsid w:val="00B463C3"/>
    <w:rsid w:val="00B46871"/>
    <w:rsid w:val="00B468F6"/>
    <w:rsid w:val="00B46966"/>
    <w:rsid w:val="00B46B10"/>
    <w:rsid w:val="00B46B23"/>
    <w:rsid w:val="00B46B4E"/>
    <w:rsid w:val="00B46CE2"/>
    <w:rsid w:val="00B46ED8"/>
    <w:rsid w:val="00B470ED"/>
    <w:rsid w:val="00B47392"/>
    <w:rsid w:val="00B473E5"/>
    <w:rsid w:val="00B4744C"/>
    <w:rsid w:val="00B4793C"/>
    <w:rsid w:val="00B4794A"/>
    <w:rsid w:val="00B479E7"/>
    <w:rsid w:val="00B47A2A"/>
    <w:rsid w:val="00B47CE9"/>
    <w:rsid w:val="00B47D5E"/>
    <w:rsid w:val="00B47F0B"/>
    <w:rsid w:val="00B47F8C"/>
    <w:rsid w:val="00B47FDB"/>
    <w:rsid w:val="00B50005"/>
    <w:rsid w:val="00B501AB"/>
    <w:rsid w:val="00B501D0"/>
    <w:rsid w:val="00B503A1"/>
    <w:rsid w:val="00B503C4"/>
    <w:rsid w:val="00B50438"/>
    <w:rsid w:val="00B506AE"/>
    <w:rsid w:val="00B508B6"/>
    <w:rsid w:val="00B50C26"/>
    <w:rsid w:val="00B51101"/>
    <w:rsid w:val="00B512C8"/>
    <w:rsid w:val="00B513F1"/>
    <w:rsid w:val="00B51663"/>
    <w:rsid w:val="00B5169B"/>
    <w:rsid w:val="00B516BC"/>
    <w:rsid w:val="00B51815"/>
    <w:rsid w:val="00B51882"/>
    <w:rsid w:val="00B51A0A"/>
    <w:rsid w:val="00B51AC5"/>
    <w:rsid w:val="00B51D9F"/>
    <w:rsid w:val="00B51F5A"/>
    <w:rsid w:val="00B51F99"/>
    <w:rsid w:val="00B51FB8"/>
    <w:rsid w:val="00B51FC8"/>
    <w:rsid w:val="00B520A7"/>
    <w:rsid w:val="00B52231"/>
    <w:rsid w:val="00B52514"/>
    <w:rsid w:val="00B5255D"/>
    <w:rsid w:val="00B5256E"/>
    <w:rsid w:val="00B5275D"/>
    <w:rsid w:val="00B5296A"/>
    <w:rsid w:val="00B52AEB"/>
    <w:rsid w:val="00B52BE2"/>
    <w:rsid w:val="00B52CF4"/>
    <w:rsid w:val="00B52D99"/>
    <w:rsid w:val="00B52F8C"/>
    <w:rsid w:val="00B52F94"/>
    <w:rsid w:val="00B53038"/>
    <w:rsid w:val="00B53107"/>
    <w:rsid w:val="00B53176"/>
    <w:rsid w:val="00B53310"/>
    <w:rsid w:val="00B53374"/>
    <w:rsid w:val="00B5360E"/>
    <w:rsid w:val="00B53619"/>
    <w:rsid w:val="00B53808"/>
    <w:rsid w:val="00B53844"/>
    <w:rsid w:val="00B538BB"/>
    <w:rsid w:val="00B538D5"/>
    <w:rsid w:val="00B53938"/>
    <w:rsid w:val="00B53BC2"/>
    <w:rsid w:val="00B53BF8"/>
    <w:rsid w:val="00B53CFD"/>
    <w:rsid w:val="00B53E72"/>
    <w:rsid w:val="00B53FC8"/>
    <w:rsid w:val="00B54023"/>
    <w:rsid w:val="00B54176"/>
    <w:rsid w:val="00B542C8"/>
    <w:rsid w:val="00B545E6"/>
    <w:rsid w:val="00B54867"/>
    <w:rsid w:val="00B548AE"/>
    <w:rsid w:val="00B54AAB"/>
    <w:rsid w:val="00B54B1D"/>
    <w:rsid w:val="00B54BDF"/>
    <w:rsid w:val="00B54BE6"/>
    <w:rsid w:val="00B54CFE"/>
    <w:rsid w:val="00B5503B"/>
    <w:rsid w:val="00B550CD"/>
    <w:rsid w:val="00B5529A"/>
    <w:rsid w:val="00B552EB"/>
    <w:rsid w:val="00B553B9"/>
    <w:rsid w:val="00B555F1"/>
    <w:rsid w:val="00B55778"/>
    <w:rsid w:val="00B55A41"/>
    <w:rsid w:val="00B55C84"/>
    <w:rsid w:val="00B55DB3"/>
    <w:rsid w:val="00B55DD9"/>
    <w:rsid w:val="00B55E14"/>
    <w:rsid w:val="00B56013"/>
    <w:rsid w:val="00B5639E"/>
    <w:rsid w:val="00B563E6"/>
    <w:rsid w:val="00B56544"/>
    <w:rsid w:val="00B5668D"/>
    <w:rsid w:val="00B56808"/>
    <w:rsid w:val="00B5693A"/>
    <w:rsid w:val="00B56A24"/>
    <w:rsid w:val="00B56BCD"/>
    <w:rsid w:val="00B57031"/>
    <w:rsid w:val="00B570AA"/>
    <w:rsid w:val="00B571C3"/>
    <w:rsid w:val="00B57729"/>
    <w:rsid w:val="00B578B8"/>
    <w:rsid w:val="00B578F7"/>
    <w:rsid w:val="00B57951"/>
    <w:rsid w:val="00B57BB1"/>
    <w:rsid w:val="00B57DB9"/>
    <w:rsid w:val="00B60257"/>
    <w:rsid w:val="00B602DC"/>
    <w:rsid w:val="00B6033B"/>
    <w:rsid w:val="00B603E1"/>
    <w:rsid w:val="00B60598"/>
    <w:rsid w:val="00B6066C"/>
    <w:rsid w:val="00B60782"/>
    <w:rsid w:val="00B60B87"/>
    <w:rsid w:val="00B60DDE"/>
    <w:rsid w:val="00B60DFE"/>
    <w:rsid w:val="00B610E3"/>
    <w:rsid w:val="00B611C9"/>
    <w:rsid w:val="00B61344"/>
    <w:rsid w:val="00B613F6"/>
    <w:rsid w:val="00B6145F"/>
    <w:rsid w:val="00B61857"/>
    <w:rsid w:val="00B61AE1"/>
    <w:rsid w:val="00B61AFC"/>
    <w:rsid w:val="00B61DA8"/>
    <w:rsid w:val="00B61EC3"/>
    <w:rsid w:val="00B620B1"/>
    <w:rsid w:val="00B62654"/>
    <w:rsid w:val="00B626B8"/>
    <w:rsid w:val="00B62701"/>
    <w:rsid w:val="00B627B7"/>
    <w:rsid w:val="00B628C0"/>
    <w:rsid w:val="00B62958"/>
    <w:rsid w:val="00B62C51"/>
    <w:rsid w:val="00B62CB7"/>
    <w:rsid w:val="00B62F61"/>
    <w:rsid w:val="00B62FB9"/>
    <w:rsid w:val="00B63067"/>
    <w:rsid w:val="00B630C8"/>
    <w:rsid w:val="00B631A1"/>
    <w:rsid w:val="00B6328F"/>
    <w:rsid w:val="00B632AF"/>
    <w:rsid w:val="00B6334B"/>
    <w:rsid w:val="00B63814"/>
    <w:rsid w:val="00B63990"/>
    <w:rsid w:val="00B63AA4"/>
    <w:rsid w:val="00B63BF8"/>
    <w:rsid w:val="00B63D60"/>
    <w:rsid w:val="00B640EC"/>
    <w:rsid w:val="00B6424F"/>
    <w:rsid w:val="00B642A5"/>
    <w:rsid w:val="00B64459"/>
    <w:rsid w:val="00B64631"/>
    <w:rsid w:val="00B646FA"/>
    <w:rsid w:val="00B647AB"/>
    <w:rsid w:val="00B647C8"/>
    <w:rsid w:val="00B64840"/>
    <w:rsid w:val="00B64896"/>
    <w:rsid w:val="00B64AB7"/>
    <w:rsid w:val="00B64AE2"/>
    <w:rsid w:val="00B64B7C"/>
    <w:rsid w:val="00B64C00"/>
    <w:rsid w:val="00B65397"/>
    <w:rsid w:val="00B655CF"/>
    <w:rsid w:val="00B6568D"/>
    <w:rsid w:val="00B65715"/>
    <w:rsid w:val="00B657B3"/>
    <w:rsid w:val="00B65852"/>
    <w:rsid w:val="00B65968"/>
    <w:rsid w:val="00B65A10"/>
    <w:rsid w:val="00B65A54"/>
    <w:rsid w:val="00B65C73"/>
    <w:rsid w:val="00B65CF0"/>
    <w:rsid w:val="00B65D2C"/>
    <w:rsid w:val="00B65E6A"/>
    <w:rsid w:val="00B66106"/>
    <w:rsid w:val="00B661F7"/>
    <w:rsid w:val="00B66266"/>
    <w:rsid w:val="00B66284"/>
    <w:rsid w:val="00B662A1"/>
    <w:rsid w:val="00B66353"/>
    <w:rsid w:val="00B6662E"/>
    <w:rsid w:val="00B6675A"/>
    <w:rsid w:val="00B66AF0"/>
    <w:rsid w:val="00B66D77"/>
    <w:rsid w:val="00B66DE4"/>
    <w:rsid w:val="00B66EB0"/>
    <w:rsid w:val="00B67278"/>
    <w:rsid w:val="00B67374"/>
    <w:rsid w:val="00B673EC"/>
    <w:rsid w:val="00B675FB"/>
    <w:rsid w:val="00B6768D"/>
    <w:rsid w:val="00B67728"/>
    <w:rsid w:val="00B6790C"/>
    <w:rsid w:val="00B67C58"/>
    <w:rsid w:val="00B67CF7"/>
    <w:rsid w:val="00B67DDC"/>
    <w:rsid w:val="00B67E91"/>
    <w:rsid w:val="00B70080"/>
    <w:rsid w:val="00B70130"/>
    <w:rsid w:val="00B70365"/>
    <w:rsid w:val="00B70506"/>
    <w:rsid w:val="00B70572"/>
    <w:rsid w:val="00B70697"/>
    <w:rsid w:val="00B706D2"/>
    <w:rsid w:val="00B7088E"/>
    <w:rsid w:val="00B7095D"/>
    <w:rsid w:val="00B7096C"/>
    <w:rsid w:val="00B709C7"/>
    <w:rsid w:val="00B70A7A"/>
    <w:rsid w:val="00B70DBF"/>
    <w:rsid w:val="00B70F69"/>
    <w:rsid w:val="00B70FDA"/>
    <w:rsid w:val="00B7104A"/>
    <w:rsid w:val="00B7136C"/>
    <w:rsid w:val="00B71628"/>
    <w:rsid w:val="00B7164E"/>
    <w:rsid w:val="00B7169D"/>
    <w:rsid w:val="00B717A5"/>
    <w:rsid w:val="00B71863"/>
    <w:rsid w:val="00B71B41"/>
    <w:rsid w:val="00B71C78"/>
    <w:rsid w:val="00B71D27"/>
    <w:rsid w:val="00B720C8"/>
    <w:rsid w:val="00B72286"/>
    <w:rsid w:val="00B72308"/>
    <w:rsid w:val="00B72722"/>
    <w:rsid w:val="00B72816"/>
    <w:rsid w:val="00B72888"/>
    <w:rsid w:val="00B72A45"/>
    <w:rsid w:val="00B72C3E"/>
    <w:rsid w:val="00B72C8E"/>
    <w:rsid w:val="00B72D39"/>
    <w:rsid w:val="00B72E6C"/>
    <w:rsid w:val="00B72F81"/>
    <w:rsid w:val="00B7307A"/>
    <w:rsid w:val="00B7312C"/>
    <w:rsid w:val="00B732BA"/>
    <w:rsid w:val="00B73349"/>
    <w:rsid w:val="00B73393"/>
    <w:rsid w:val="00B73419"/>
    <w:rsid w:val="00B73762"/>
    <w:rsid w:val="00B738F1"/>
    <w:rsid w:val="00B73998"/>
    <w:rsid w:val="00B739F3"/>
    <w:rsid w:val="00B739F6"/>
    <w:rsid w:val="00B73BD7"/>
    <w:rsid w:val="00B73C6F"/>
    <w:rsid w:val="00B73DB6"/>
    <w:rsid w:val="00B73DCC"/>
    <w:rsid w:val="00B73F2C"/>
    <w:rsid w:val="00B7447B"/>
    <w:rsid w:val="00B74650"/>
    <w:rsid w:val="00B7468A"/>
    <w:rsid w:val="00B747F1"/>
    <w:rsid w:val="00B7484D"/>
    <w:rsid w:val="00B7488B"/>
    <w:rsid w:val="00B74893"/>
    <w:rsid w:val="00B748E0"/>
    <w:rsid w:val="00B74ABF"/>
    <w:rsid w:val="00B74B7F"/>
    <w:rsid w:val="00B74C8A"/>
    <w:rsid w:val="00B74CD4"/>
    <w:rsid w:val="00B74CEC"/>
    <w:rsid w:val="00B74D0E"/>
    <w:rsid w:val="00B74D14"/>
    <w:rsid w:val="00B74DAE"/>
    <w:rsid w:val="00B7523B"/>
    <w:rsid w:val="00B75301"/>
    <w:rsid w:val="00B757C8"/>
    <w:rsid w:val="00B75844"/>
    <w:rsid w:val="00B759A8"/>
    <w:rsid w:val="00B759DC"/>
    <w:rsid w:val="00B75B6F"/>
    <w:rsid w:val="00B75D8E"/>
    <w:rsid w:val="00B75EEB"/>
    <w:rsid w:val="00B760B9"/>
    <w:rsid w:val="00B760E4"/>
    <w:rsid w:val="00B76156"/>
    <w:rsid w:val="00B76407"/>
    <w:rsid w:val="00B765D3"/>
    <w:rsid w:val="00B7685C"/>
    <w:rsid w:val="00B76B6C"/>
    <w:rsid w:val="00B76B9E"/>
    <w:rsid w:val="00B76CF9"/>
    <w:rsid w:val="00B76E68"/>
    <w:rsid w:val="00B76ED9"/>
    <w:rsid w:val="00B7737D"/>
    <w:rsid w:val="00B77755"/>
    <w:rsid w:val="00B777DA"/>
    <w:rsid w:val="00B7780F"/>
    <w:rsid w:val="00B778CE"/>
    <w:rsid w:val="00B77930"/>
    <w:rsid w:val="00B77945"/>
    <w:rsid w:val="00B77BAE"/>
    <w:rsid w:val="00B77CEA"/>
    <w:rsid w:val="00B77D86"/>
    <w:rsid w:val="00B77DB1"/>
    <w:rsid w:val="00B77FB9"/>
    <w:rsid w:val="00B77FFC"/>
    <w:rsid w:val="00B80051"/>
    <w:rsid w:val="00B8006D"/>
    <w:rsid w:val="00B800D5"/>
    <w:rsid w:val="00B801BF"/>
    <w:rsid w:val="00B80222"/>
    <w:rsid w:val="00B80225"/>
    <w:rsid w:val="00B802FD"/>
    <w:rsid w:val="00B803E0"/>
    <w:rsid w:val="00B805D5"/>
    <w:rsid w:val="00B805F1"/>
    <w:rsid w:val="00B806B8"/>
    <w:rsid w:val="00B8078C"/>
    <w:rsid w:val="00B80951"/>
    <w:rsid w:val="00B809BA"/>
    <w:rsid w:val="00B809EC"/>
    <w:rsid w:val="00B80ADF"/>
    <w:rsid w:val="00B80E49"/>
    <w:rsid w:val="00B80EF3"/>
    <w:rsid w:val="00B80EF8"/>
    <w:rsid w:val="00B8100D"/>
    <w:rsid w:val="00B812A0"/>
    <w:rsid w:val="00B812DE"/>
    <w:rsid w:val="00B81441"/>
    <w:rsid w:val="00B8161D"/>
    <w:rsid w:val="00B81641"/>
    <w:rsid w:val="00B816A4"/>
    <w:rsid w:val="00B81866"/>
    <w:rsid w:val="00B8198D"/>
    <w:rsid w:val="00B819C6"/>
    <w:rsid w:val="00B81A22"/>
    <w:rsid w:val="00B81AE4"/>
    <w:rsid w:val="00B81C1E"/>
    <w:rsid w:val="00B81F1B"/>
    <w:rsid w:val="00B822EB"/>
    <w:rsid w:val="00B8254C"/>
    <w:rsid w:val="00B82562"/>
    <w:rsid w:val="00B825A2"/>
    <w:rsid w:val="00B826B1"/>
    <w:rsid w:val="00B8280B"/>
    <w:rsid w:val="00B82976"/>
    <w:rsid w:val="00B829B8"/>
    <w:rsid w:val="00B82A92"/>
    <w:rsid w:val="00B82ABC"/>
    <w:rsid w:val="00B82B4D"/>
    <w:rsid w:val="00B82D8D"/>
    <w:rsid w:val="00B82E8D"/>
    <w:rsid w:val="00B82F58"/>
    <w:rsid w:val="00B832D5"/>
    <w:rsid w:val="00B83377"/>
    <w:rsid w:val="00B835B4"/>
    <w:rsid w:val="00B836EC"/>
    <w:rsid w:val="00B83768"/>
    <w:rsid w:val="00B838BF"/>
    <w:rsid w:val="00B8394B"/>
    <w:rsid w:val="00B839E1"/>
    <w:rsid w:val="00B83A15"/>
    <w:rsid w:val="00B83A1A"/>
    <w:rsid w:val="00B83C41"/>
    <w:rsid w:val="00B83D9D"/>
    <w:rsid w:val="00B83D9E"/>
    <w:rsid w:val="00B83DC9"/>
    <w:rsid w:val="00B83DFF"/>
    <w:rsid w:val="00B83EF5"/>
    <w:rsid w:val="00B83FD4"/>
    <w:rsid w:val="00B84004"/>
    <w:rsid w:val="00B84054"/>
    <w:rsid w:val="00B841D7"/>
    <w:rsid w:val="00B84218"/>
    <w:rsid w:val="00B84503"/>
    <w:rsid w:val="00B845A1"/>
    <w:rsid w:val="00B845B6"/>
    <w:rsid w:val="00B846ED"/>
    <w:rsid w:val="00B84870"/>
    <w:rsid w:val="00B8490C"/>
    <w:rsid w:val="00B8496A"/>
    <w:rsid w:val="00B84C57"/>
    <w:rsid w:val="00B84C7E"/>
    <w:rsid w:val="00B84C92"/>
    <w:rsid w:val="00B84F81"/>
    <w:rsid w:val="00B85075"/>
    <w:rsid w:val="00B852F8"/>
    <w:rsid w:val="00B854A9"/>
    <w:rsid w:val="00B8558E"/>
    <w:rsid w:val="00B855B2"/>
    <w:rsid w:val="00B8567D"/>
    <w:rsid w:val="00B85828"/>
    <w:rsid w:val="00B85910"/>
    <w:rsid w:val="00B85ABC"/>
    <w:rsid w:val="00B85E11"/>
    <w:rsid w:val="00B86002"/>
    <w:rsid w:val="00B861AB"/>
    <w:rsid w:val="00B861DD"/>
    <w:rsid w:val="00B86330"/>
    <w:rsid w:val="00B86838"/>
    <w:rsid w:val="00B86A7D"/>
    <w:rsid w:val="00B86AF8"/>
    <w:rsid w:val="00B86C50"/>
    <w:rsid w:val="00B86C8B"/>
    <w:rsid w:val="00B86DC3"/>
    <w:rsid w:val="00B86E7C"/>
    <w:rsid w:val="00B86EEE"/>
    <w:rsid w:val="00B8700A"/>
    <w:rsid w:val="00B871DA"/>
    <w:rsid w:val="00B8725F"/>
    <w:rsid w:val="00B874A1"/>
    <w:rsid w:val="00B8751D"/>
    <w:rsid w:val="00B87B47"/>
    <w:rsid w:val="00B87B75"/>
    <w:rsid w:val="00B87E3F"/>
    <w:rsid w:val="00B87F57"/>
    <w:rsid w:val="00B87FD0"/>
    <w:rsid w:val="00B9006D"/>
    <w:rsid w:val="00B90089"/>
    <w:rsid w:val="00B9013C"/>
    <w:rsid w:val="00B90150"/>
    <w:rsid w:val="00B9020B"/>
    <w:rsid w:val="00B90242"/>
    <w:rsid w:val="00B90595"/>
    <w:rsid w:val="00B9065C"/>
    <w:rsid w:val="00B90830"/>
    <w:rsid w:val="00B908E1"/>
    <w:rsid w:val="00B90AAE"/>
    <w:rsid w:val="00B90AF1"/>
    <w:rsid w:val="00B90F82"/>
    <w:rsid w:val="00B90FE1"/>
    <w:rsid w:val="00B9102A"/>
    <w:rsid w:val="00B910BB"/>
    <w:rsid w:val="00B9123E"/>
    <w:rsid w:val="00B91281"/>
    <w:rsid w:val="00B91602"/>
    <w:rsid w:val="00B916D0"/>
    <w:rsid w:val="00B91735"/>
    <w:rsid w:val="00B9175B"/>
    <w:rsid w:val="00B91894"/>
    <w:rsid w:val="00B918C0"/>
    <w:rsid w:val="00B91A17"/>
    <w:rsid w:val="00B91CCC"/>
    <w:rsid w:val="00B91D00"/>
    <w:rsid w:val="00B91D77"/>
    <w:rsid w:val="00B91EDD"/>
    <w:rsid w:val="00B91FE7"/>
    <w:rsid w:val="00B921A5"/>
    <w:rsid w:val="00B921EA"/>
    <w:rsid w:val="00B92229"/>
    <w:rsid w:val="00B92230"/>
    <w:rsid w:val="00B922E3"/>
    <w:rsid w:val="00B92311"/>
    <w:rsid w:val="00B92652"/>
    <w:rsid w:val="00B92815"/>
    <w:rsid w:val="00B92943"/>
    <w:rsid w:val="00B92BA3"/>
    <w:rsid w:val="00B92BCE"/>
    <w:rsid w:val="00B92BEF"/>
    <w:rsid w:val="00B92C76"/>
    <w:rsid w:val="00B92D63"/>
    <w:rsid w:val="00B92DB6"/>
    <w:rsid w:val="00B931C7"/>
    <w:rsid w:val="00B933A0"/>
    <w:rsid w:val="00B93411"/>
    <w:rsid w:val="00B936DA"/>
    <w:rsid w:val="00B93783"/>
    <w:rsid w:val="00B9383A"/>
    <w:rsid w:val="00B93A16"/>
    <w:rsid w:val="00B93A98"/>
    <w:rsid w:val="00B93C62"/>
    <w:rsid w:val="00B93C79"/>
    <w:rsid w:val="00B93D54"/>
    <w:rsid w:val="00B93F0E"/>
    <w:rsid w:val="00B93FA7"/>
    <w:rsid w:val="00B94181"/>
    <w:rsid w:val="00B94197"/>
    <w:rsid w:val="00B9435D"/>
    <w:rsid w:val="00B9467E"/>
    <w:rsid w:val="00B94801"/>
    <w:rsid w:val="00B94972"/>
    <w:rsid w:val="00B94B1B"/>
    <w:rsid w:val="00B952F8"/>
    <w:rsid w:val="00B95464"/>
    <w:rsid w:val="00B95562"/>
    <w:rsid w:val="00B95566"/>
    <w:rsid w:val="00B95709"/>
    <w:rsid w:val="00B9579F"/>
    <w:rsid w:val="00B957EF"/>
    <w:rsid w:val="00B95865"/>
    <w:rsid w:val="00B95E2F"/>
    <w:rsid w:val="00B95E40"/>
    <w:rsid w:val="00B962DB"/>
    <w:rsid w:val="00B963FA"/>
    <w:rsid w:val="00B96462"/>
    <w:rsid w:val="00B964FC"/>
    <w:rsid w:val="00B966A0"/>
    <w:rsid w:val="00B96748"/>
    <w:rsid w:val="00B967A9"/>
    <w:rsid w:val="00B9686B"/>
    <w:rsid w:val="00B96A32"/>
    <w:rsid w:val="00B96C1B"/>
    <w:rsid w:val="00B96F27"/>
    <w:rsid w:val="00B972B8"/>
    <w:rsid w:val="00B97847"/>
    <w:rsid w:val="00B978B7"/>
    <w:rsid w:val="00B97A64"/>
    <w:rsid w:val="00B97BF3"/>
    <w:rsid w:val="00B97D12"/>
    <w:rsid w:val="00B97F74"/>
    <w:rsid w:val="00BA041C"/>
    <w:rsid w:val="00BA0609"/>
    <w:rsid w:val="00BA0690"/>
    <w:rsid w:val="00BA0796"/>
    <w:rsid w:val="00BA0926"/>
    <w:rsid w:val="00BA0BB8"/>
    <w:rsid w:val="00BA0D4B"/>
    <w:rsid w:val="00BA0F3B"/>
    <w:rsid w:val="00BA0F90"/>
    <w:rsid w:val="00BA0FB9"/>
    <w:rsid w:val="00BA1051"/>
    <w:rsid w:val="00BA1285"/>
    <w:rsid w:val="00BA12E0"/>
    <w:rsid w:val="00BA1335"/>
    <w:rsid w:val="00BA1562"/>
    <w:rsid w:val="00BA190C"/>
    <w:rsid w:val="00BA19C6"/>
    <w:rsid w:val="00BA1B48"/>
    <w:rsid w:val="00BA1BDC"/>
    <w:rsid w:val="00BA1BF1"/>
    <w:rsid w:val="00BA1D90"/>
    <w:rsid w:val="00BA1FEC"/>
    <w:rsid w:val="00BA21F1"/>
    <w:rsid w:val="00BA2475"/>
    <w:rsid w:val="00BA2476"/>
    <w:rsid w:val="00BA257B"/>
    <w:rsid w:val="00BA2749"/>
    <w:rsid w:val="00BA282D"/>
    <w:rsid w:val="00BA28B5"/>
    <w:rsid w:val="00BA29F8"/>
    <w:rsid w:val="00BA2E7D"/>
    <w:rsid w:val="00BA3143"/>
    <w:rsid w:val="00BA3173"/>
    <w:rsid w:val="00BA3484"/>
    <w:rsid w:val="00BA3649"/>
    <w:rsid w:val="00BA3891"/>
    <w:rsid w:val="00BA38C8"/>
    <w:rsid w:val="00BA38F3"/>
    <w:rsid w:val="00BA3912"/>
    <w:rsid w:val="00BA3948"/>
    <w:rsid w:val="00BA3A85"/>
    <w:rsid w:val="00BA3BD0"/>
    <w:rsid w:val="00BA3ED3"/>
    <w:rsid w:val="00BA3EF7"/>
    <w:rsid w:val="00BA3F47"/>
    <w:rsid w:val="00BA3FB3"/>
    <w:rsid w:val="00BA4084"/>
    <w:rsid w:val="00BA4161"/>
    <w:rsid w:val="00BA41BD"/>
    <w:rsid w:val="00BA42D4"/>
    <w:rsid w:val="00BA43F1"/>
    <w:rsid w:val="00BA44DE"/>
    <w:rsid w:val="00BA4523"/>
    <w:rsid w:val="00BA4524"/>
    <w:rsid w:val="00BA4811"/>
    <w:rsid w:val="00BA490F"/>
    <w:rsid w:val="00BA49FC"/>
    <w:rsid w:val="00BA4A4E"/>
    <w:rsid w:val="00BA4D31"/>
    <w:rsid w:val="00BA4DA5"/>
    <w:rsid w:val="00BA4DDE"/>
    <w:rsid w:val="00BA500D"/>
    <w:rsid w:val="00BA51CF"/>
    <w:rsid w:val="00BA54E6"/>
    <w:rsid w:val="00BA58FE"/>
    <w:rsid w:val="00BA5A33"/>
    <w:rsid w:val="00BA5B82"/>
    <w:rsid w:val="00BA5BA2"/>
    <w:rsid w:val="00BA5C95"/>
    <w:rsid w:val="00BA5D13"/>
    <w:rsid w:val="00BA5DD0"/>
    <w:rsid w:val="00BA5DD6"/>
    <w:rsid w:val="00BA600D"/>
    <w:rsid w:val="00BA60CF"/>
    <w:rsid w:val="00BA61E8"/>
    <w:rsid w:val="00BA61F3"/>
    <w:rsid w:val="00BA63DF"/>
    <w:rsid w:val="00BA6496"/>
    <w:rsid w:val="00BA64F3"/>
    <w:rsid w:val="00BA65E2"/>
    <w:rsid w:val="00BA6627"/>
    <w:rsid w:val="00BA665D"/>
    <w:rsid w:val="00BA6878"/>
    <w:rsid w:val="00BA6951"/>
    <w:rsid w:val="00BA6ACC"/>
    <w:rsid w:val="00BA6B38"/>
    <w:rsid w:val="00BA6B87"/>
    <w:rsid w:val="00BA6E1D"/>
    <w:rsid w:val="00BA6E78"/>
    <w:rsid w:val="00BA6F0F"/>
    <w:rsid w:val="00BA6F41"/>
    <w:rsid w:val="00BA6FD6"/>
    <w:rsid w:val="00BA7006"/>
    <w:rsid w:val="00BA7277"/>
    <w:rsid w:val="00BA734C"/>
    <w:rsid w:val="00BA73F4"/>
    <w:rsid w:val="00BA7492"/>
    <w:rsid w:val="00BA7537"/>
    <w:rsid w:val="00BA77E5"/>
    <w:rsid w:val="00BA781F"/>
    <w:rsid w:val="00BA7881"/>
    <w:rsid w:val="00BA7ADD"/>
    <w:rsid w:val="00BA7B42"/>
    <w:rsid w:val="00BA7C07"/>
    <w:rsid w:val="00BA7CD9"/>
    <w:rsid w:val="00BA7CFD"/>
    <w:rsid w:val="00BA7D58"/>
    <w:rsid w:val="00BB003B"/>
    <w:rsid w:val="00BB009F"/>
    <w:rsid w:val="00BB00BA"/>
    <w:rsid w:val="00BB02C2"/>
    <w:rsid w:val="00BB02D3"/>
    <w:rsid w:val="00BB0324"/>
    <w:rsid w:val="00BB0472"/>
    <w:rsid w:val="00BB0679"/>
    <w:rsid w:val="00BB076A"/>
    <w:rsid w:val="00BB08AA"/>
    <w:rsid w:val="00BB0912"/>
    <w:rsid w:val="00BB0AEB"/>
    <w:rsid w:val="00BB0B37"/>
    <w:rsid w:val="00BB0CCA"/>
    <w:rsid w:val="00BB0E17"/>
    <w:rsid w:val="00BB105C"/>
    <w:rsid w:val="00BB143E"/>
    <w:rsid w:val="00BB1683"/>
    <w:rsid w:val="00BB16A5"/>
    <w:rsid w:val="00BB18BD"/>
    <w:rsid w:val="00BB1AB2"/>
    <w:rsid w:val="00BB1B4B"/>
    <w:rsid w:val="00BB1B5A"/>
    <w:rsid w:val="00BB1B60"/>
    <w:rsid w:val="00BB1BF8"/>
    <w:rsid w:val="00BB1C85"/>
    <w:rsid w:val="00BB1DDE"/>
    <w:rsid w:val="00BB2475"/>
    <w:rsid w:val="00BB24F3"/>
    <w:rsid w:val="00BB26A7"/>
    <w:rsid w:val="00BB26C3"/>
    <w:rsid w:val="00BB27F8"/>
    <w:rsid w:val="00BB284D"/>
    <w:rsid w:val="00BB2A53"/>
    <w:rsid w:val="00BB2B96"/>
    <w:rsid w:val="00BB2CF1"/>
    <w:rsid w:val="00BB2E75"/>
    <w:rsid w:val="00BB30A9"/>
    <w:rsid w:val="00BB31BF"/>
    <w:rsid w:val="00BB341A"/>
    <w:rsid w:val="00BB35D5"/>
    <w:rsid w:val="00BB3616"/>
    <w:rsid w:val="00BB3688"/>
    <w:rsid w:val="00BB379B"/>
    <w:rsid w:val="00BB38DC"/>
    <w:rsid w:val="00BB38ED"/>
    <w:rsid w:val="00BB3909"/>
    <w:rsid w:val="00BB395A"/>
    <w:rsid w:val="00BB3963"/>
    <w:rsid w:val="00BB3B3D"/>
    <w:rsid w:val="00BB3C9B"/>
    <w:rsid w:val="00BB3D49"/>
    <w:rsid w:val="00BB3E28"/>
    <w:rsid w:val="00BB3EC5"/>
    <w:rsid w:val="00BB3ECE"/>
    <w:rsid w:val="00BB3FC5"/>
    <w:rsid w:val="00BB402A"/>
    <w:rsid w:val="00BB40BE"/>
    <w:rsid w:val="00BB4110"/>
    <w:rsid w:val="00BB4167"/>
    <w:rsid w:val="00BB428D"/>
    <w:rsid w:val="00BB44BB"/>
    <w:rsid w:val="00BB44D5"/>
    <w:rsid w:val="00BB4520"/>
    <w:rsid w:val="00BB4917"/>
    <w:rsid w:val="00BB49FD"/>
    <w:rsid w:val="00BB4A85"/>
    <w:rsid w:val="00BB4CD0"/>
    <w:rsid w:val="00BB4DC8"/>
    <w:rsid w:val="00BB505D"/>
    <w:rsid w:val="00BB526A"/>
    <w:rsid w:val="00BB542D"/>
    <w:rsid w:val="00BB55EB"/>
    <w:rsid w:val="00BB5A80"/>
    <w:rsid w:val="00BB5AE4"/>
    <w:rsid w:val="00BB5E38"/>
    <w:rsid w:val="00BB5E48"/>
    <w:rsid w:val="00BB5F45"/>
    <w:rsid w:val="00BB621A"/>
    <w:rsid w:val="00BB637E"/>
    <w:rsid w:val="00BB63B8"/>
    <w:rsid w:val="00BB668A"/>
    <w:rsid w:val="00BB68F4"/>
    <w:rsid w:val="00BB69A5"/>
    <w:rsid w:val="00BB69D7"/>
    <w:rsid w:val="00BB6B48"/>
    <w:rsid w:val="00BB6B4E"/>
    <w:rsid w:val="00BB6DB7"/>
    <w:rsid w:val="00BB6E72"/>
    <w:rsid w:val="00BB6EA4"/>
    <w:rsid w:val="00BB6EB4"/>
    <w:rsid w:val="00BB6EC5"/>
    <w:rsid w:val="00BB6FCA"/>
    <w:rsid w:val="00BB70B8"/>
    <w:rsid w:val="00BB7163"/>
    <w:rsid w:val="00BB71AE"/>
    <w:rsid w:val="00BB71EB"/>
    <w:rsid w:val="00BB7298"/>
    <w:rsid w:val="00BB72DC"/>
    <w:rsid w:val="00BB73A1"/>
    <w:rsid w:val="00BB7628"/>
    <w:rsid w:val="00BB7780"/>
    <w:rsid w:val="00BB785C"/>
    <w:rsid w:val="00BB79A2"/>
    <w:rsid w:val="00BB7A68"/>
    <w:rsid w:val="00BB7AC2"/>
    <w:rsid w:val="00BB7ACA"/>
    <w:rsid w:val="00BB7ACF"/>
    <w:rsid w:val="00BB7B23"/>
    <w:rsid w:val="00BB7C9F"/>
    <w:rsid w:val="00BB7D3C"/>
    <w:rsid w:val="00BB7DC3"/>
    <w:rsid w:val="00BB7F84"/>
    <w:rsid w:val="00BC0111"/>
    <w:rsid w:val="00BC0201"/>
    <w:rsid w:val="00BC051B"/>
    <w:rsid w:val="00BC06A5"/>
    <w:rsid w:val="00BC0B0E"/>
    <w:rsid w:val="00BC0B2F"/>
    <w:rsid w:val="00BC0C8F"/>
    <w:rsid w:val="00BC0D41"/>
    <w:rsid w:val="00BC0EBC"/>
    <w:rsid w:val="00BC0EC3"/>
    <w:rsid w:val="00BC0FBC"/>
    <w:rsid w:val="00BC1014"/>
    <w:rsid w:val="00BC10A5"/>
    <w:rsid w:val="00BC10DE"/>
    <w:rsid w:val="00BC10ED"/>
    <w:rsid w:val="00BC1113"/>
    <w:rsid w:val="00BC11C6"/>
    <w:rsid w:val="00BC1277"/>
    <w:rsid w:val="00BC16CB"/>
    <w:rsid w:val="00BC177A"/>
    <w:rsid w:val="00BC193A"/>
    <w:rsid w:val="00BC19FE"/>
    <w:rsid w:val="00BC1AF9"/>
    <w:rsid w:val="00BC1D65"/>
    <w:rsid w:val="00BC1F29"/>
    <w:rsid w:val="00BC20B3"/>
    <w:rsid w:val="00BC21D4"/>
    <w:rsid w:val="00BC2751"/>
    <w:rsid w:val="00BC2868"/>
    <w:rsid w:val="00BC28D1"/>
    <w:rsid w:val="00BC2B42"/>
    <w:rsid w:val="00BC2E48"/>
    <w:rsid w:val="00BC2EE1"/>
    <w:rsid w:val="00BC3371"/>
    <w:rsid w:val="00BC3554"/>
    <w:rsid w:val="00BC385C"/>
    <w:rsid w:val="00BC39E2"/>
    <w:rsid w:val="00BC3B24"/>
    <w:rsid w:val="00BC3BAC"/>
    <w:rsid w:val="00BC3C52"/>
    <w:rsid w:val="00BC3C61"/>
    <w:rsid w:val="00BC3D1E"/>
    <w:rsid w:val="00BC3D36"/>
    <w:rsid w:val="00BC3DDD"/>
    <w:rsid w:val="00BC3F80"/>
    <w:rsid w:val="00BC3FD4"/>
    <w:rsid w:val="00BC434A"/>
    <w:rsid w:val="00BC439E"/>
    <w:rsid w:val="00BC44D9"/>
    <w:rsid w:val="00BC47A7"/>
    <w:rsid w:val="00BC4A54"/>
    <w:rsid w:val="00BC4BB4"/>
    <w:rsid w:val="00BC4C10"/>
    <w:rsid w:val="00BC4C3F"/>
    <w:rsid w:val="00BC4D3A"/>
    <w:rsid w:val="00BC5171"/>
    <w:rsid w:val="00BC5238"/>
    <w:rsid w:val="00BC55A6"/>
    <w:rsid w:val="00BC5664"/>
    <w:rsid w:val="00BC5785"/>
    <w:rsid w:val="00BC5840"/>
    <w:rsid w:val="00BC592F"/>
    <w:rsid w:val="00BC5A6F"/>
    <w:rsid w:val="00BC5B20"/>
    <w:rsid w:val="00BC5D5E"/>
    <w:rsid w:val="00BC5ECC"/>
    <w:rsid w:val="00BC5EE6"/>
    <w:rsid w:val="00BC6098"/>
    <w:rsid w:val="00BC616A"/>
    <w:rsid w:val="00BC6203"/>
    <w:rsid w:val="00BC69E0"/>
    <w:rsid w:val="00BC6A0B"/>
    <w:rsid w:val="00BC6A21"/>
    <w:rsid w:val="00BC6D69"/>
    <w:rsid w:val="00BC6F82"/>
    <w:rsid w:val="00BC7056"/>
    <w:rsid w:val="00BC71DC"/>
    <w:rsid w:val="00BC7261"/>
    <w:rsid w:val="00BC727B"/>
    <w:rsid w:val="00BC72B0"/>
    <w:rsid w:val="00BC736D"/>
    <w:rsid w:val="00BC73C8"/>
    <w:rsid w:val="00BC748C"/>
    <w:rsid w:val="00BC7695"/>
    <w:rsid w:val="00BC77E0"/>
    <w:rsid w:val="00BC78F5"/>
    <w:rsid w:val="00BC7A04"/>
    <w:rsid w:val="00BC7BBA"/>
    <w:rsid w:val="00BC7BCD"/>
    <w:rsid w:val="00BC7D83"/>
    <w:rsid w:val="00BD016E"/>
    <w:rsid w:val="00BD01A7"/>
    <w:rsid w:val="00BD033A"/>
    <w:rsid w:val="00BD099F"/>
    <w:rsid w:val="00BD0A21"/>
    <w:rsid w:val="00BD0A93"/>
    <w:rsid w:val="00BD0B4C"/>
    <w:rsid w:val="00BD0C2A"/>
    <w:rsid w:val="00BD0C99"/>
    <w:rsid w:val="00BD0C9D"/>
    <w:rsid w:val="00BD0D85"/>
    <w:rsid w:val="00BD0DD4"/>
    <w:rsid w:val="00BD0F28"/>
    <w:rsid w:val="00BD0FBF"/>
    <w:rsid w:val="00BD1125"/>
    <w:rsid w:val="00BD1194"/>
    <w:rsid w:val="00BD1244"/>
    <w:rsid w:val="00BD12CE"/>
    <w:rsid w:val="00BD14FC"/>
    <w:rsid w:val="00BD1965"/>
    <w:rsid w:val="00BD196E"/>
    <w:rsid w:val="00BD1CF1"/>
    <w:rsid w:val="00BD200E"/>
    <w:rsid w:val="00BD201A"/>
    <w:rsid w:val="00BD22D5"/>
    <w:rsid w:val="00BD2512"/>
    <w:rsid w:val="00BD2593"/>
    <w:rsid w:val="00BD25D6"/>
    <w:rsid w:val="00BD26BE"/>
    <w:rsid w:val="00BD28E1"/>
    <w:rsid w:val="00BD2B99"/>
    <w:rsid w:val="00BD2BA8"/>
    <w:rsid w:val="00BD2C47"/>
    <w:rsid w:val="00BD2C95"/>
    <w:rsid w:val="00BD2FBF"/>
    <w:rsid w:val="00BD3156"/>
    <w:rsid w:val="00BD3241"/>
    <w:rsid w:val="00BD34BE"/>
    <w:rsid w:val="00BD3658"/>
    <w:rsid w:val="00BD36B9"/>
    <w:rsid w:val="00BD3900"/>
    <w:rsid w:val="00BD39E0"/>
    <w:rsid w:val="00BD3B0C"/>
    <w:rsid w:val="00BD418E"/>
    <w:rsid w:val="00BD444D"/>
    <w:rsid w:val="00BD4857"/>
    <w:rsid w:val="00BD490D"/>
    <w:rsid w:val="00BD4929"/>
    <w:rsid w:val="00BD4A0C"/>
    <w:rsid w:val="00BD4DCC"/>
    <w:rsid w:val="00BD508B"/>
    <w:rsid w:val="00BD50EF"/>
    <w:rsid w:val="00BD5152"/>
    <w:rsid w:val="00BD52AC"/>
    <w:rsid w:val="00BD533B"/>
    <w:rsid w:val="00BD5374"/>
    <w:rsid w:val="00BD54AD"/>
    <w:rsid w:val="00BD5596"/>
    <w:rsid w:val="00BD5761"/>
    <w:rsid w:val="00BD5795"/>
    <w:rsid w:val="00BD5948"/>
    <w:rsid w:val="00BD5C11"/>
    <w:rsid w:val="00BD5C6D"/>
    <w:rsid w:val="00BD6154"/>
    <w:rsid w:val="00BD61F2"/>
    <w:rsid w:val="00BD6201"/>
    <w:rsid w:val="00BD62C9"/>
    <w:rsid w:val="00BD62CE"/>
    <w:rsid w:val="00BD6550"/>
    <w:rsid w:val="00BD6859"/>
    <w:rsid w:val="00BD6921"/>
    <w:rsid w:val="00BD69E5"/>
    <w:rsid w:val="00BD69EB"/>
    <w:rsid w:val="00BD6AFB"/>
    <w:rsid w:val="00BD6BA0"/>
    <w:rsid w:val="00BD6BAD"/>
    <w:rsid w:val="00BD6BC6"/>
    <w:rsid w:val="00BD6E9F"/>
    <w:rsid w:val="00BD708C"/>
    <w:rsid w:val="00BD71A0"/>
    <w:rsid w:val="00BD7260"/>
    <w:rsid w:val="00BD72F0"/>
    <w:rsid w:val="00BD746D"/>
    <w:rsid w:val="00BD758F"/>
    <w:rsid w:val="00BD7732"/>
    <w:rsid w:val="00BD77EA"/>
    <w:rsid w:val="00BD7986"/>
    <w:rsid w:val="00BD7A99"/>
    <w:rsid w:val="00BD7D92"/>
    <w:rsid w:val="00BD7FBC"/>
    <w:rsid w:val="00BE0276"/>
    <w:rsid w:val="00BE0312"/>
    <w:rsid w:val="00BE0419"/>
    <w:rsid w:val="00BE055E"/>
    <w:rsid w:val="00BE0578"/>
    <w:rsid w:val="00BE05F0"/>
    <w:rsid w:val="00BE087C"/>
    <w:rsid w:val="00BE08A1"/>
    <w:rsid w:val="00BE0AA2"/>
    <w:rsid w:val="00BE0C4D"/>
    <w:rsid w:val="00BE0CEA"/>
    <w:rsid w:val="00BE0EB8"/>
    <w:rsid w:val="00BE112A"/>
    <w:rsid w:val="00BE11B1"/>
    <w:rsid w:val="00BE1347"/>
    <w:rsid w:val="00BE1413"/>
    <w:rsid w:val="00BE15C8"/>
    <w:rsid w:val="00BE18B2"/>
    <w:rsid w:val="00BE1D37"/>
    <w:rsid w:val="00BE1DA5"/>
    <w:rsid w:val="00BE1F8C"/>
    <w:rsid w:val="00BE202D"/>
    <w:rsid w:val="00BE2093"/>
    <w:rsid w:val="00BE212E"/>
    <w:rsid w:val="00BE2208"/>
    <w:rsid w:val="00BE2258"/>
    <w:rsid w:val="00BE229E"/>
    <w:rsid w:val="00BE22EA"/>
    <w:rsid w:val="00BE22F6"/>
    <w:rsid w:val="00BE2555"/>
    <w:rsid w:val="00BE25B1"/>
    <w:rsid w:val="00BE275A"/>
    <w:rsid w:val="00BE2768"/>
    <w:rsid w:val="00BE2807"/>
    <w:rsid w:val="00BE298F"/>
    <w:rsid w:val="00BE2AA4"/>
    <w:rsid w:val="00BE2EE5"/>
    <w:rsid w:val="00BE2F9B"/>
    <w:rsid w:val="00BE2FD1"/>
    <w:rsid w:val="00BE305A"/>
    <w:rsid w:val="00BE30EE"/>
    <w:rsid w:val="00BE34AB"/>
    <w:rsid w:val="00BE34C4"/>
    <w:rsid w:val="00BE34F4"/>
    <w:rsid w:val="00BE3655"/>
    <w:rsid w:val="00BE38AC"/>
    <w:rsid w:val="00BE3A09"/>
    <w:rsid w:val="00BE3B64"/>
    <w:rsid w:val="00BE3D7B"/>
    <w:rsid w:val="00BE3DC6"/>
    <w:rsid w:val="00BE3F73"/>
    <w:rsid w:val="00BE3FCD"/>
    <w:rsid w:val="00BE4208"/>
    <w:rsid w:val="00BE4265"/>
    <w:rsid w:val="00BE426A"/>
    <w:rsid w:val="00BE428B"/>
    <w:rsid w:val="00BE43F9"/>
    <w:rsid w:val="00BE44E9"/>
    <w:rsid w:val="00BE451D"/>
    <w:rsid w:val="00BE4658"/>
    <w:rsid w:val="00BE47A6"/>
    <w:rsid w:val="00BE4810"/>
    <w:rsid w:val="00BE485F"/>
    <w:rsid w:val="00BE49A1"/>
    <w:rsid w:val="00BE4AC3"/>
    <w:rsid w:val="00BE4AFC"/>
    <w:rsid w:val="00BE4C08"/>
    <w:rsid w:val="00BE4C61"/>
    <w:rsid w:val="00BE4D02"/>
    <w:rsid w:val="00BE5014"/>
    <w:rsid w:val="00BE501F"/>
    <w:rsid w:val="00BE517B"/>
    <w:rsid w:val="00BE51A1"/>
    <w:rsid w:val="00BE51A2"/>
    <w:rsid w:val="00BE52C5"/>
    <w:rsid w:val="00BE58D5"/>
    <w:rsid w:val="00BE59D0"/>
    <w:rsid w:val="00BE5B70"/>
    <w:rsid w:val="00BE5C26"/>
    <w:rsid w:val="00BE5D4F"/>
    <w:rsid w:val="00BE5E11"/>
    <w:rsid w:val="00BE5E51"/>
    <w:rsid w:val="00BE5EA9"/>
    <w:rsid w:val="00BE644F"/>
    <w:rsid w:val="00BE67C9"/>
    <w:rsid w:val="00BE6833"/>
    <w:rsid w:val="00BE6ABE"/>
    <w:rsid w:val="00BE6C55"/>
    <w:rsid w:val="00BE6C58"/>
    <w:rsid w:val="00BE6E2F"/>
    <w:rsid w:val="00BE6F26"/>
    <w:rsid w:val="00BE6FA9"/>
    <w:rsid w:val="00BE6FEE"/>
    <w:rsid w:val="00BE7236"/>
    <w:rsid w:val="00BE7583"/>
    <w:rsid w:val="00BE75C7"/>
    <w:rsid w:val="00BE768A"/>
    <w:rsid w:val="00BE77A9"/>
    <w:rsid w:val="00BE7879"/>
    <w:rsid w:val="00BE7A0D"/>
    <w:rsid w:val="00BE7B75"/>
    <w:rsid w:val="00BE7BAE"/>
    <w:rsid w:val="00BE7F6B"/>
    <w:rsid w:val="00BF02F2"/>
    <w:rsid w:val="00BF06A1"/>
    <w:rsid w:val="00BF082F"/>
    <w:rsid w:val="00BF0BA4"/>
    <w:rsid w:val="00BF0DD6"/>
    <w:rsid w:val="00BF0EFF"/>
    <w:rsid w:val="00BF1009"/>
    <w:rsid w:val="00BF10BA"/>
    <w:rsid w:val="00BF10F4"/>
    <w:rsid w:val="00BF1497"/>
    <w:rsid w:val="00BF1A3C"/>
    <w:rsid w:val="00BF1ACE"/>
    <w:rsid w:val="00BF1D1E"/>
    <w:rsid w:val="00BF1D2C"/>
    <w:rsid w:val="00BF1D69"/>
    <w:rsid w:val="00BF1FA3"/>
    <w:rsid w:val="00BF2144"/>
    <w:rsid w:val="00BF24D8"/>
    <w:rsid w:val="00BF24DE"/>
    <w:rsid w:val="00BF2581"/>
    <w:rsid w:val="00BF260E"/>
    <w:rsid w:val="00BF2834"/>
    <w:rsid w:val="00BF2AB7"/>
    <w:rsid w:val="00BF2C6E"/>
    <w:rsid w:val="00BF2D08"/>
    <w:rsid w:val="00BF2F50"/>
    <w:rsid w:val="00BF3019"/>
    <w:rsid w:val="00BF339A"/>
    <w:rsid w:val="00BF34C1"/>
    <w:rsid w:val="00BF34FC"/>
    <w:rsid w:val="00BF35D4"/>
    <w:rsid w:val="00BF3926"/>
    <w:rsid w:val="00BF3A68"/>
    <w:rsid w:val="00BF3A6D"/>
    <w:rsid w:val="00BF3BB3"/>
    <w:rsid w:val="00BF3DF8"/>
    <w:rsid w:val="00BF3F82"/>
    <w:rsid w:val="00BF3F98"/>
    <w:rsid w:val="00BF435B"/>
    <w:rsid w:val="00BF43B0"/>
    <w:rsid w:val="00BF440E"/>
    <w:rsid w:val="00BF472D"/>
    <w:rsid w:val="00BF474E"/>
    <w:rsid w:val="00BF4AFD"/>
    <w:rsid w:val="00BF4BAF"/>
    <w:rsid w:val="00BF4D11"/>
    <w:rsid w:val="00BF4DD1"/>
    <w:rsid w:val="00BF4EEC"/>
    <w:rsid w:val="00BF4F78"/>
    <w:rsid w:val="00BF5360"/>
    <w:rsid w:val="00BF54DF"/>
    <w:rsid w:val="00BF55BB"/>
    <w:rsid w:val="00BF57CE"/>
    <w:rsid w:val="00BF5ABB"/>
    <w:rsid w:val="00BF5C57"/>
    <w:rsid w:val="00BF5DC2"/>
    <w:rsid w:val="00BF5E5F"/>
    <w:rsid w:val="00BF5F43"/>
    <w:rsid w:val="00BF5F8A"/>
    <w:rsid w:val="00BF6052"/>
    <w:rsid w:val="00BF608F"/>
    <w:rsid w:val="00BF60EB"/>
    <w:rsid w:val="00BF611E"/>
    <w:rsid w:val="00BF629F"/>
    <w:rsid w:val="00BF62ED"/>
    <w:rsid w:val="00BF62FB"/>
    <w:rsid w:val="00BF6304"/>
    <w:rsid w:val="00BF63A9"/>
    <w:rsid w:val="00BF667F"/>
    <w:rsid w:val="00BF68CF"/>
    <w:rsid w:val="00BF6933"/>
    <w:rsid w:val="00BF6AE9"/>
    <w:rsid w:val="00BF6C2A"/>
    <w:rsid w:val="00BF6FC8"/>
    <w:rsid w:val="00BF70D4"/>
    <w:rsid w:val="00BF70EB"/>
    <w:rsid w:val="00BF70F4"/>
    <w:rsid w:val="00BF7139"/>
    <w:rsid w:val="00BF716D"/>
    <w:rsid w:val="00BF72CE"/>
    <w:rsid w:val="00BF7313"/>
    <w:rsid w:val="00BF7354"/>
    <w:rsid w:val="00BF7459"/>
    <w:rsid w:val="00BF75D5"/>
    <w:rsid w:val="00BF7843"/>
    <w:rsid w:val="00BF7852"/>
    <w:rsid w:val="00BF795D"/>
    <w:rsid w:val="00BF7968"/>
    <w:rsid w:val="00BF7AFE"/>
    <w:rsid w:val="00BF7BA7"/>
    <w:rsid w:val="00BF7D51"/>
    <w:rsid w:val="00BF7D66"/>
    <w:rsid w:val="00BF7F9D"/>
    <w:rsid w:val="00BF7FB6"/>
    <w:rsid w:val="00C003E8"/>
    <w:rsid w:val="00C00532"/>
    <w:rsid w:val="00C006EB"/>
    <w:rsid w:val="00C0078D"/>
    <w:rsid w:val="00C00B96"/>
    <w:rsid w:val="00C00BFF"/>
    <w:rsid w:val="00C00CD7"/>
    <w:rsid w:val="00C00EB6"/>
    <w:rsid w:val="00C00F37"/>
    <w:rsid w:val="00C0128C"/>
    <w:rsid w:val="00C012FE"/>
    <w:rsid w:val="00C0139D"/>
    <w:rsid w:val="00C013D5"/>
    <w:rsid w:val="00C017CB"/>
    <w:rsid w:val="00C018E5"/>
    <w:rsid w:val="00C018FF"/>
    <w:rsid w:val="00C01A98"/>
    <w:rsid w:val="00C01AF4"/>
    <w:rsid w:val="00C01B4A"/>
    <w:rsid w:val="00C01CC9"/>
    <w:rsid w:val="00C01CFF"/>
    <w:rsid w:val="00C0207F"/>
    <w:rsid w:val="00C020CE"/>
    <w:rsid w:val="00C0233A"/>
    <w:rsid w:val="00C023CA"/>
    <w:rsid w:val="00C024D8"/>
    <w:rsid w:val="00C0268D"/>
    <w:rsid w:val="00C02708"/>
    <w:rsid w:val="00C02744"/>
    <w:rsid w:val="00C02946"/>
    <w:rsid w:val="00C029D2"/>
    <w:rsid w:val="00C02AC7"/>
    <w:rsid w:val="00C02B5B"/>
    <w:rsid w:val="00C02C8D"/>
    <w:rsid w:val="00C02DC0"/>
    <w:rsid w:val="00C02DCE"/>
    <w:rsid w:val="00C02DD2"/>
    <w:rsid w:val="00C02F2A"/>
    <w:rsid w:val="00C030F7"/>
    <w:rsid w:val="00C038AD"/>
    <w:rsid w:val="00C039CE"/>
    <w:rsid w:val="00C03E7F"/>
    <w:rsid w:val="00C03EE1"/>
    <w:rsid w:val="00C03F34"/>
    <w:rsid w:val="00C03FB4"/>
    <w:rsid w:val="00C0404D"/>
    <w:rsid w:val="00C04081"/>
    <w:rsid w:val="00C0414F"/>
    <w:rsid w:val="00C04187"/>
    <w:rsid w:val="00C041F3"/>
    <w:rsid w:val="00C0492A"/>
    <w:rsid w:val="00C04965"/>
    <w:rsid w:val="00C04D52"/>
    <w:rsid w:val="00C04F84"/>
    <w:rsid w:val="00C051E1"/>
    <w:rsid w:val="00C0521A"/>
    <w:rsid w:val="00C052AB"/>
    <w:rsid w:val="00C0545E"/>
    <w:rsid w:val="00C0547B"/>
    <w:rsid w:val="00C05539"/>
    <w:rsid w:val="00C05663"/>
    <w:rsid w:val="00C05840"/>
    <w:rsid w:val="00C058BA"/>
    <w:rsid w:val="00C0596E"/>
    <w:rsid w:val="00C05B2E"/>
    <w:rsid w:val="00C05DCB"/>
    <w:rsid w:val="00C05EF8"/>
    <w:rsid w:val="00C05F61"/>
    <w:rsid w:val="00C06077"/>
    <w:rsid w:val="00C06088"/>
    <w:rsid w:val="00C061F2"/>
    <w:rsid w:val="00C06699"/>
    <w:rsid w:val="00C06740"/>
    <w:rsid w:val="00C06859"/>
    <w:rsid w:val="00C06A05"/>
    <w:rsid w:val="00C06AC8"/>
    <w:rsid w:val="00C06AE4"/>
    <w:rsid w:val="00C06B55"/>
    <w:rsid w:val="00C06B97"/>
    <w:rsid w:val="00C06E0A"/>
    <w:rsid w:val="00C06F9D"/>
    <w:rsid w:val="00C07023"/>
    <w:rsid w:val="00C07039"/>
    <w:rsid w:val="00C0707E"/>
    <w:rsid w:val="00C0708C"/>
    <w:rsid w:val="00C0719D"/>
    <w:rsid w:val="00C07313"/>
    <w:rsid w:val="00C073D4"/>
    <w:rsid w:val="00C075F8"/>
    <w:rsid w:val="00C076A2"/>
    <w:rsid w:val="00C079EB"/>
    <w:rsid w:val="00C07AA3"/>
    <w:rsid w:val="00C07B8B"/>
    <w:rsid w:val="00C07DF7"/>
    <w:rsid w:val="00C07ED2"/>
    <w:rsid w:val="00C10029"/>
    <w:rsid w:val="00C1005F"/>
    <w:rsid w:val="00C1014E"/>
    <w:rsid w:val="00C10238"/>
    <w:rsid w:val="00C1053B"/>
    <w:rsid w:val="00C106BB"/>
    <w:rsid w:val="00C106E0"/>
    <w:rsid w:val="00C1082E"/>
    <w:rsid w:val="00C1087C"/>
    <w:rsid w:val="00C108DF"/>
    <w:rsid w:val="00C10A03"/>
    <w:rsid w:val="00C10BAE"/>
    <w:rsid w:val="00C10D36"/>
    <w:rsid w:val="00C10DA3"/>
    <w:rsid w:val="00C10FC3"/>
    <w:rsid w:val="00C110B8"/>
    <w:rsid w:val="00C11140"/>
    <w:rsid w:val="00C11211"/>
    <w:rsid w:val="00C11384"/>
    <w:rsid w:val="00C115C7"/>
    <w:rsid w:val="00C11887"/>
    <w:rsid w:val="00C11A40"/>
    <w:rsid w:val="00C11E29"/>
    <w:rsid w:val="00C11E61"/>
    <w:rsid w:val="00C12050"/>
    <w:rsid w:val="00C122AD"/>
    <w:rsid w:val="00C123A6"/>
    <w:rsid w:val="00C12596"/>
    <w:rsid w:val="00C12670"/>
    <w:rsid w:val="00C127CB"/>
    <w:rsid w:val="00C129B9"/>
    <w:rsid w:val="00C12AA1"/>
    <w:rsid w:val="00C12BA8"/>
    <w:rsid w:val="00C12F95"/>
    <w:rsid w:val="00C12FD9"/>
    <w:rsid w:val="00C130B0"/>
    <w:rsid w:val="00C1326E"/>
    <w:rsid w:val="00C13291"/>
    <w:rsid w:val="00C133AF"/>
    <w:rsid w:val="00C13420"/>
    <w:rsid w:val="00C1361C"/>
    <w:rsid w:val="00C137EF"/>
    <w:rsid w:val="00C139AC"/>
    <w:rsid w:val="00C13CCE"/>
    <w:rsid w:val="00C13E44"/>
    <w:rsid w:val="00C14250"/>
    <w:rsid w:val="00C144F3"/>
    <w:rsid w:val="00C14526"/>
    <w:rsid w:val="00C14692"/>
    <w:rsid w:val="00C148AE"/>
    <w:rsid w:val="00C148D8"/>
    <w:rsid w:val="00C14B7C"/>
    <w:rsid w:val="00C14C00"/>
    <w:rsid w:val="00C14D0F"/>
    <w:rsid w:val="00C14FB7"/>
    <w:rsid w:val="00C15476"/>
    <w:rsid w:val="00C1558A"/>
    <w:rsid w:val="00C155C7"/>
    <w:rsid w:val="00C155D8"/>
    <w:rsid w:val="00C156C9"/>
    <w:rsid w:val="00C157AA"/>
    <w:rsid w:val="00C15851"/>
    <w:rsid w:val="00C15962"/>
    <w:rsid w:val="00C15BDD"/>
    <w:rsid w:val="00C15C6C"/>
    <w:rsid w:val="00C15E78"/>
    <w:rsid w:val="00C15F55"/>
    <w:rsid w:val="00C16002"/>
    <w:rsid w:val="00C16206"/>
    <w:rsid w:val="00C162EE"/>
    <w:rsid w:val="00C16357"/>
    <w:rsid w:val="00C1654A"/>
    <w:rsid w:val="00C165BB"/>
    <w:rsid w:val="00C16604"/>
    <w:rsid w:val="00C169FE"/>
    <w:rsid w:val="00C16BD7"/>
    <w:rsid w:val="00C16C47"/>
    <w:rsid w:val="00C17137"/>
    <w:rsid w:val="00C171BA"/>
    <w:rsid w:val="00C171DB"/>
    <w:rsid w:val="00C1731C"/>
    <w:rsid w:val="00C17CBE"/>
    <w:rsid w:val="00C17CC1"/>
    <w:rsid w:val="00C17CC9"/>
    <w:rsid w:val="00C17CF0"/>
    <w:rsid w:val="00C17D48"/>
    <w:rsid w:val="00C17EC6"/>
    <w:rsid w:val="00C20407"/>
    <w:rsid w:val="00C204C9"/>
    <w:rsid w:val="00C205D2"/>
    <w:rsid w:val="00C20634"/>
    <w:rsid w:val="00C2083E"/>
    <w:rsid w:val="00C20A3D"/>
    <w:rsid w:val="00C20B91"/>
    <w:rsid w:val="00C20E97"/>
    <w:rsid w:val="00C20EF9"/>
    <w:rsid w:val="00C20F6B"/>
    <w:rsid w:val="00C2117B"/>
    <w:rsid w:val="00C2126A"/>
    <w:rsid w:val="00C21435"/>
    <w:rsid w:val="00C21508"/>
    <w:rsid w:val="00C218BE"/>
    <w:rsid w:val="00C218D4"/>
    <w:rsid w:val="00C21A3B"/>
    <w:rsid w:val="00C21CDD"/>
    <w:rsid w:val="00C21E2B"/>
    <w:rsid w:val="00C2203C"/>
    <w:rsid w:val="00C2230B"/>
    <w:rsid w:val="00C2240A"/>
    <w:rsid w:val="00C22576"/>
    <w:rsid w:val="00C225B7"/>
    <w:rsid w:val="00C226A2"/>
    <w:rsid w:val="00C22763"/>
    <w:rsid w:val="00C229CB"/>
    <w:rsid w:val="00C22ABA"/>
    <w:rsid w:val="00C22AF4"/>
    <w:rsid w:val="00C22D91"/>
    <w:rsid w:val="00C22D93"/>
    <w:rsid w:val="00C22ECD"/>
    <w:rsid w:val="00C230E2"/>
    <w:rsid w:val="00C231B1"/>
    <w:rsid w:val="00C23266"/>
    <w:rsid w:val="00C23365"/>
    <w:rsid w:val="00C23571"/>
    <w:rsid w:val="00C23C02"/>
    <w:rsid w:val="00C23E88"/>
    <w:rsid w:val="00C240EF"/>
    <w:rsid w:val="00C24133"/>
    <w:rsid w:val="00C24182"/>
    <w:rsid w:val="00C244D0"/>
    <w:rsid w:val="00C2451A"/>
    <w:rsid w:val="00C245A9"/>
    <w:rsid w:val="00C247AC"/>
    <w:rsid w:val="00C2483F"/>
    <w:rsid w:val="00C24862"/>
    <w:rsid w:val="00C2486E"/>
    <w:rsid w:val="00C248F3"/>
    <w:rsid w:val="00C24B82"/>
    <w:rsid w:val="00C24CC0"/>
    <w:rsid w:val="00C24CDE"/>
    <w:rsid w:val="00C24CEE"/>
    <w:rsid w:val="00C24EAC"/>
    <w:rsid w:val="00C2514F"/>
    <w:rsid w:val="00C25310"/>
    <w:rsid w:val="00C253A3"/>
    <w:rsid w:val="00C25537"/>
    <w:rsid w:val="00C25621"/>
    <w:rsid w:val="00C25682"/>
    <w:rsid w:val="00C256CD"/>
    <w:rsid w:val="00C257ED"/>
    <w:rsid w:val="00C25B3E"/>
    <w:rsid w:val="00C25BBE"/>
    <w:rsid w:val="00C25F4C"/>
    <w:rsid w:val="00C25FA1"/>
    <w:rsid w:val="00C26121"/>
    <w:rsid w:val="00C26280"/>
    <w:rsid w:val="00C26376"/>
    <w:rsid w:val="00C26444"/>
    <w:rsid w:val="00C2646A"/>
    <w:rsid w:val="00C2647C"/>
    <w:rsid w:val="00C2675D"/>
    <w:rsid w:val="00C26931"/>
    <w:rsid w:val="00C2699B"/>
    <w:rsid w:val="00C269DD"/>
    <w:rsid w:val="00C26C4E"/>
    <w:rsid w:val="00C272F0"/>
    <w:rsid w:val="00C273FA"/>
    <w:rsid w:val="00C27472"/>
    <w:rsid w:val="00C2762F"/>
    <w:rsid w:val="00C27665"/>
    <w:rsid w:val="00C2768A"/>
    <w:rsid w:val="00C27787"/>
    <w:rsid w:val="00C27947"/>
    <w:rsid w:val="00C27B38"/>
    <w:rsid w:val="00C27C84"/>
    <w:rsid w:val="00C27EBB"/>
    <w:rsid w:val="00C3037E"/>
    <w:rsid w:val="00C30468"/>
    <w:rsid w:val="00C30A1C"/>
    <w:rsid w:val="00C30ADD"/>
    <w:rsid w:val="00C30FC6"/>
    <w:rsid w:val="00C314B8"/>
    <w:rsid w:val="00C3171B"/>
    <w:rsid w:val="00C31933"/>
    <w:rsid w:val="00C31CB7"/>
    <w:rsid w:val="00C31CBB"/>
    <w:rsid w:val="00C31D45"/>
    <w:rsid w:val="00C31DC2"/>
    <w:rsid w:val="00C31E6F"/>
    <w:rsid w:val="00C31FD0"/>
    <w:rsid w:val="00C3202F"/>
    <w:rsid w:val="00C320A0"/>
    <w:rsid w:val="00C32247"/>
    <w:rsid w:val="00C324E5"/>
    <w:rsid w:val="00C32679"/>
    <w:rsid w:val="00C32798"/>
    <w:rsid w:val="00C32ACE"/>
    <w:rsid w:val="00C32B16"/>
    <w:rsid w:val="00C32BF9"/>
    <w:rsid w:val="00C32C0E"/>
    <w:rsid w:val="00C32C75"/>
    <w:rsid w:val="00C32D43"/>
    <w:rsid w:val="00C330C6"/>
    <w:rsid w:val="00C33133"/>
    <w:rsid w:val="00C3314B"/>
    <w:rsid w:val="00C3326F"/>
    <w:rsid w:val="00C332D2"/>
    <w:rsid w:val="00C3330E"/>
    <w:rsid w:val="00C334A0"/>
    <w:rsid w:val="00C3350D"/>
    <w:rsid w:val="00C3351E"/>
    <w:rsid w:val="00C3355D"/>
    <w:rsid w:val="00C336BE"/>
    <w:rsid w:val="00C336C8"/>
    <w:rsid w:val="00C336EA"/>
    <w:rsid w:val="00C338F5"/>
    <w:rsid w:val="00C33A26"/>
    <w:rsid w:val="00C33B1D"/>
    <w:rsid w:val="00C33DC3"/>
    <w:rsid w:val="00C33E0E"/>
    <w:rsid w:val="00C34236"/>
    <w:rsid w:val="00C34253"/>
    <w:rsid w:val="00C34256"/>
    <w:rsid w:val="00C342C0"/>
    <w:rsid w:val="00C34304"/>
    <w:rsid w:val="00C3452A"/>
    <w:rsid w:val="00C34585"/>
    <w:rsid w:val="00C346B5"/>
    <w:rsid w:val="00C346DF"/>
    <w:rsid w:val="00C3471D"/>
    <w:rsid w:val="00C348B0"/>
    <w:rsid w:val="00C348D8"/>
    <w:rsid w:val="00C34B36"/>
    <w:rsid w:val="00C34D50"/>
    <w:rsid w:val="00C34E70"/>
    <w:rsid w:val="00C34F90"/>
    <w:rsid w:val="00C34FC5"/>
    <w:rsid w:val="00C34FF9"/>
    <w:rsid w:val="00C35028"/>
    <w:rsid w:val="00C352C1"/>
    <w:rsid w:val="00C3567C"/>
    <w:rsid w:val="00C3569C"/>
    <w:rsid w:val="00C35863"/>
    <w:rsid w:val="00C35956"/>
    <w:rsid w:val="00C35977"/>
    <w:rsid w:val="00C35A0D"/>
    <w:rsid w:val="00C35BF6"/>
    <w:rsid w:val="00C35DD5"/>
    <w:rsid w:val="00C35DEA"/>
    <w:rsid w:val="00C35DFC"/>
    <w:rsid w:val="00C35E0B"/>
    <w:rsid w:val="00C35F06"/>
    <w:rsid w:val="00C360CD"/>
    <w:rsid w:val="00C36224"/>
    <w:rsid w:val="00C36305"/>
    <w:rsid w:val="00C363F1"/>
    <w:rsid w:val="00C36518"/>
    <w:rsid w:val="00C365F8"/>
    <w:rsid w:val="00C36AC7"/>
    <w:rsid w:val="00C36DDA"/>
    <w:rsid w:val="00C370EC"/>
    <w:rsid w:val="00C3714E"/>
    <w:rsid w:val="00C371F8"/>
    <w:rsid w:val="00C3720C"/>
    <w:rsid w:val="00C3721B"/>
    <w:rsid w:val="00C3725F"/>
    <w:rsid w:val="00C37381"/>
    <w:rsid w:val="00C37680"/>
    <w:rsid w:val="00C37887"/>
    <w:rsid w:val="00C37908"/>
    <w:rsid w:val="00C37C6E"/>
    <w:rsid w:val="00C37D25"/>
    <w:rsid w:val="00C37E70"/>
    <w:rsid w:val="00C37F4A"/>
    <w:rsid w:val="00C37F9A"/>
    <w:rsid w:val="00C40306"/>
    <w:rsid w:val="00C4060A"/>
    <w:rsid w:val="00C406B4"/>
    <w:rsid w:val="00C40704"/>
    <w:rsid w:val="00C4087D"/>
    <w:rsid w:val="00C40983"/>
    <w:rsid w:val="00C40C50"/>
    <w:rsid w:val="00C40C8E"/>
    <w:rsid w:val="00C40D60"/>
    <w:rsid w:val="00C40D7B"/>
    <w:rsid w:val="00C40E0F"/>
    <w:rsid w:val="00C40E6B"/>
    <w:rsid w:val="00C40E86"/>
    <w:rsid w:val="00C41303"/>
    <w:rsid w:val="00C41357"/>
    <w:rsid w:val="00C41472"/>
    <w:rsid w:val="00C4168E"/>
    <w:rsid w:val="00C417A6"/>
    <w:rsid w:val="00C41A9A"/>
    <w:rsid w:val="00C41EAE"/>
    <w:rsid w:val="00C423AF"/>
    <w:rsid w:val="00C42534"/>
    <w:rsid w:val="00C42535"/>
    <w:rsid w:val="00C42537"/>
    <w:rsid w:val="00C4256A"/>
    <w:rsid w:val="00C425B3"/>
    <w:rsid w:val="00C425C1"/>
    <w:rsid w:val="00C425E1"/>
    <w:rsid w:val="00C426F6"/>
    <w:rsid w:val="00C4281E"/>
    <w:rsid w:val="00C42961"/>
    <w:rsid w:val="00C42A20"/>
    <w:rsid w:val="00C42BFB"/>
    <w:rsid w:val="00C42D91"/>
    <w:rsid w:val="00C42F6C"/>
    <w:rsid w:val="00C42F85"/>
    <w:rsid w:val="00C430FA"/>
    <w:rsid w:val="00C431DA"/>
    <w:rsid w:val="00C4328A"/>
    <w:rsid w:val="00C432C3"/>
    <w:rsid w:val="00C43375"/>
    <w:rsid w:val="00C4344F"/>
    <w:rsid w:val="00C4366C"/>
    <w:rsid w:val="00C436CE"/>
    <w:rsid w:val="00C43AD9"/>
    <w:rsid w:val="00C43C1B"/>
    <w:rsid w:val="00C43C8E"/>
    <w:rsid w:val="00C43EFA"/>
    <w:rsid w:val="00C4415D"/>
    <w:rsid w:val="00C442EB"/>
    <w:rsid w:val="00C44363"/>
    <w:rsid w:val="00C44589"/>
    <w:rsid w:val="00C44771"/>
    <w:rsid w:val="00C447A3"/>
    <w:rsid w:val="00C4493F"/>
    <w:rsid w:val="00C44948"/>
    <w:rsid w:val="00C44A16"/>
    <w:rsid w:val="00C44A28"/>
    <w:rsid w:val="00C44CE5"/>
    <w:rsid w:val="00C44EBA"/>
    <w:rsid w:val="00C44F10"/>
    <w:rsid w:val="00C44FA2"/>
    <w:rsid w:val="00C45000"/>
    <w:rsid w:val="00C452A8"/>
    <w:rsid w:val="00C4543D"/>
    <w:rsid w:val="00C455B5"/>
    <w:rsid w:val="00C457A3"/>
    <w:rsid w:val="00C457CA"/>
    <w:rsid w:val="00C45B62"/>
    <w:rsid w:val="00C460DA"/>
    <w:rsid w:val="00C461EA"/>
    <w:rsid w:val="00C4620F"/>
    <w:rsid w:val="00C46228"/>
    <w:rsid w:val="00C46425"/>
    <w:rsid w:val="00C464FB"/>
    <w:rsid w:val="00C466A3"/>
    <w:rsid w:val="00C46AA2"/>
    <w:rsid w:val="00C46AF8"/>
    <w:rsid w:val="00C46B2D"/>
    <w:rsid w:val="00C46CEE"/>
    <w:rsid w:val="00C46E97"/>
    <w:rsid w:val="00C46F12"/>
    <w:rsid w:val="00C46FFA"/>
    <w:rsid w:val="00C471B2"/>
    <w:rsid w:val="00C471CC"/>
    <w:rsid w:val="00C471DF"/>
    <w:rsid w:val="00C472CF"/>
    <w:rsid w:val="00C475CE"/>
    <w:rsid w:val="00C47675"/>
    <w:rsid w:val="00C476F0"/>
    <w:rsid w:val="00C478EC"/>
    <w:rsid w:val="00C47922"/>
    <w:rsid w:val="00C479AA"/>
    <w:rsid w:val="00C47A11"/>
    <w:rsid w:val="00C47CFA"/>
    <w:rsid w:val="00C47EB8"/>
    <w:rsid w:val="00C47F13"/>
    <w:rsid w:val="00C47F9D"/>
    <w:rsid w:val="00C50102"/>
    <w:rsid w:val="00C501FA"/>
    <w:rsid w:val="00C502B3"/>
    <w:rsid w:val="00C50319"/>
    <w:rsid w:val="00C5031C"/>
    <w:rsid w:val="00C5080B"/>
    <w:rsid w:val="00C50821"/>
    <w:rsid w:val="00C50B44"/>
    <w:rsid w:val="00C50B8E"/>
    <w:rsid w:val="00C50D23"/>
    <w:rsid w:val="00C50EAE"/>
    <w:rsid w:val="00C50EE8"/>
    <w:rsid w:val="00C51008"/>
    <w:rsid w:val="00C512A0"/>
    <w:rsid w:val="00C51573"/>
    <w:rsid w:val="00C515CD"/>
    <w:rsid w:val="00C51656"/>
    <w:rsid w:val="00C51837"/>
    <w:rsid w:val="00C518DF"/>
    <w:rsid w:val="00C51A17"/>
    <w:rsid w:val="00C51E15"/>
    <w:rsid w:val="00C5204D"/>
    <w:rsid w:val="00C52092"/>
    <w:rsid w:val="00C5214E"/>
    <w:rsid w:val="00C522FF"/>
    <w:rsid w:val="00C52493"/>
    <w:rsid w:val="00C52497"/>
    <w:rsid w:val="00C52521"/>
    <w:rsid w:val="00C526E7"/>
    <w:rsid w:val="00C529D6"/>
    <w:rsid w:val="00C52AB9"/>
    <w:rsid w:val="00C52EC0"/>
    <w:rsid w:val="00C52F38"/>
    <w:rsid w:val="00C53017"/>
    <w:rsid w:val="00C5305F"/>
    <w:rsid w:val="00C5310F"/>
    <w:rsid w:val="00C53282"/>
    <w:rsid w:val="00C532FA"/>
    <w:rsid w:val="00C532FF"/>
    <w:rsid w:val="00C534BB"/>
    <w:rsid w:val="00C53511"/>
    <w:rsid w:val="00C53759"/>
    <w:rsid w:val="00C5376B"/>
    <w:rsid w:val="00C5395B"/>
    <w:rsid w:val="00C539AA"/>
    <w:rsid w:val="00C53B7E"/>
    <w:rsid w:val="00C53D13"/>
    <w:rsid w:val="00C53FC0"/>
    <w:rsid w:val="00C54232"/>
    <w:rsid w:val="00C542F2"/>
    <w:rsid w:val="00C54720"/>
    <w:rsid w:val="00C54ACC"/>
    <w:rsid w:val="00C54C59"/>
    <w:rsid w:val="00C54DFE"/>
    <w:rsid w:val="00C54EF2"/>
    <w:rsid w:val="00C54F37"/>
    <w:rsid w:val="00C54F63"/>
    <w:rsid w:val="00C550FB"/>
    <w:rsid w:val="00C55491"/>
    <w:rsid w:val="00C556BB"/>
    <w:rsid w:val="00C556D5"/>
    <w:rsid w:val="00C55850"/>
    <w:rsid w:val="00C5599E"/>
    <w:rsid w:val="00C55AA8"/>
    <w:rsid w:val="00C55DE5"/>
    <w:rsid w:val="00C55EBA"/>
    <w:rsid w:val="00C55FA7"/>
    <w:rsid w:val="00C5611D"/>
    <w:rsid w:val="00C562BE"/>
    <w:rsid w:val="00C563D1"/>
    <w:rsid w:val="00C563D7"/>
    <w:rsid w:val="00C56422"/>
    <w:rsid w:val="00C56581"/>
    <w:rsid w:val="00C56705"/>
    <w:rsid w:val="00C567FF"/>
    <w:rsid w:val="00C568AE"/>
    <w:rsid w:val="00C56AF0"/>
    <w:rsid w:val="00C56B41"/>
    <w:rsid w:val="00C56C96"/>
    <w:rsid w:val="00C56F4A"/>
    <w:rsid w:val="00C56F7A"/>
    <w:rsid w:val="00C57068"/>
    <w:rsid w:val="00C5731A"/>
    <w:rsid w:val="00C573EB"/>
    <w:rsid w:val="00C576E0"/>
    <w:rsid w:val="00C576E3"/>
    <w:rsid w:val="00C57923"/>
    <w:rsid w:val="00C57A17"/>
    <w:rsid w:val="00C57ACE"/>
    <w:rsid w:val="00C57B3B"/>
    <w:rsid w:val="00C57B89"/>
    <w:rsid w:val="00C57E47"/>
    <w:rsid w:val="00C60012"/>
    <w:rsid w:val="00C60032"/>
    <w:rsid w:val="00C600EB"/>
    <w:rsid w:val="00C60177"/>
    <w:rsid w:val="00C6033B"/>
    <w:rsid w:val="00C60468"/>
    <w:rsid w:val="00C60D87"/>
    <w:rsid w:val="00C60F3D"/>
    <w:rsid w:val="00C6104E"/>
    <w:rsid w:val="00C611D8"/>
    <w:rsid w:val="00C61485"/>
    <w:rsid w:val="00C614B3"/>
    <w:rsid w:val="00C61543"/>
    <w:rsid w:val="00C6162E"/>
    <w:rsid w:val="00C61717"/>
    <w:rsid w:val="00C618B0"/>
    <w:rsid w:val="00C619E2"/>
    <w:rsid w:val="00C61A0C"/>
    <w:rsid w:val="00C61A12"/>
    <w:rsid w:val="00C61AE4"/>
    <w:rsid w:val="00C61DD2"/>
    <w:rsid w:val="00C61F4B"/>
    <w:rsid w:val="00C62043"/>
    <w:rsid w:val="00C620D3"/>
    <w:rsid w:val="00C62135"/>
    <w:rsid w:val="00C62215"/>
    <w:rsid w:val="00C622E2"/>
    <w:rsid w:val="00C628BC"/>
    <w:rsid w:val="00C62B4E"/>
    <w:rsid w:val="00C62B9E"/>
    <w:rsid w:val="00C62BE9"/>
    <w:rsid w:val="00C62C49"/>
    <w:rsid w:val="00C62CE5"/>
    <w:rsid w:val="00C62D9B"/>
    <w:rsid w:val="00C62E96"/>
    <w:rsid w:val="00C62F6C"/>
    <w:rsid w:val="00C6303A"/>
    <w:rsid w:val="00C630F9"/>
    <w:rsid w:val="00C63242"/>
    <w:rsid w:val="00C632E0"/>
    <w:rsid w:val="00C63648"/>
    <w:rsid w:val="00C637BC"/>
    <w:rsid w:val="00C6383D"/>
    <w:rsid w:val="00C638B4"/>
    <w:rsid w:val="00C6397D"/>
    <w:rsid w:val="00C63998"/>
    <w:rsid w:val="00C63A08"/>
    <w:rsid w:val="00C63A7C"/>
    <w:rsid w:val="00C63B78"/>
    <w:rsid w:val="00C63D0F"/>
    <w:rsid w:val="00C63E5D"/>
    <w:rsid w:val="00C63E6E"/>
    <w:rsid w:val="00C63FD6"/>
    <w:rsid w:val="00C64070"/>
    <w:rsid w:val="00C642B7"/>
    <w:rsid w:val="00C644E2"/>
    <w:rsid w:val="00C647C7"/>
    <w:rsid w:val="00C647E9"/>
    <w:rsid w:val="00C64963"/>
    <w:rsid w:val="00C649D6"/>
    <w:rsid w:val="00C64A94"/>
    <w:rsid w:val="00C64D60"/>
    <w:rsid w:val="00C64DF0"/>
    <w:rsid w:val="00C64E2A"/>
    <w:rsid w:val="00C64EBC"/>
    <w:rsid w:val="00C65130"/>
    <w:rsid w:val="00C65139"/>
    <w:rsid w:val="00C6542B"/>
    <w:rsid w:val="00C655CD"/>
    <w:rsid w:val="00C65654"/>
    <w:rsid w:val="00C656EA"/>
    <w:rsid w:val="00C6572F"/>
    <w:rsid w:val="00C6575E"/>
    <w:rsid w:val="00C65C0E"/>
    <w:rsid w:val="00C65DD5"/>
    <w:rsid w:val="00C65E59"/>
    <w:rsid w:val="00C65F45"/>
    <w:rsid w:val="00C6657D"/>
    <w:rsid w:val="00C665F1"/>
    <w:rsid w:val="00C66AD4"/>
    <w:rsid w:val="00C66B8C"/>
    <w:rsid w:val="00C66BAC"/>
    <w:rsid w:val="00C66BBD"/>
    <w:rsid w:val="00C6706B"/>
    <w:rsid w:val="00C67317"/>
    <w:rsid w:val="00C673F1"/>
    <w:rsid w:val="00C67434"/>
    <w:rsid w:val="00C6750C"/>
    <w:rsid w:val="00C67606"/>
    <w:rsid w:val="00C67698"/>
    <w:rsid w:val="00C6773C"/>
    <w:rsid w:val="00C6779D"/>
    <w:rsid w:val="00C679B2"/>
    <w:rsid w:val="00C67C02"/>
    <w:rsid w:val="00C67D56"/>
    <w:rsid w:val="00C67DCC"/>
    <w:rsid w:val="00C67EA5"/>
    <w:rsid w:val="00C7013C"/>
    <w:rsid w:val="00C70255"/>
    <w:rsid w:val="00C703DD"/>
    <w:rsid w:val="00C7065D"/>
    <w:rsid w:val="00C70903"/>
    <w:rsid w:val="00C70B77"/>
    <w:rsid w:val="00C70D53"/>
    <w:rsid w:val="00C70F3B"/>
    <w:rsid w:val="00C71229"/>
    <w:rsid w:val="00C712C3"/>
    <w:rsid w:val="00C714E1"/>
    <w:rsid w:val="00C71552"/>
    <w:rsid w:val="00C715C8"/>
    <w:rsid w:val="00C71735"/>
    <w:rsid w:val="00C7177D"/>
    <w:rsid w:val="00C71A77"/>
    <w:rsid w:val="00C71BBC"/>
    <w:rsid w:val="00C71BC8"/>
    <w:rsid w:val="00C71F46"/>
    <w:rsid w:val="00C71FBF"/>
    <w:rsid w:val="00C7212A"/>
    <w:rsid w:val="00C725CF"/>
    <w:rsid w:val="00C72714"/>
    <w:rsid w:val="00C7288C"/>
    <w:rsid w:val="00C72B10"/>
    <w:rsid w:val="00C72CE7"/>
    <w:rsid w:val="00C72D05"/>
    <w:rsid w:val="00C72D45"/>
    <w:rsid w:val="00C72F61"/>
    <w:rsid w:val="00C730FA"/>
    <w:rsid w:val="00C73322"/>
    <w:rsid w:val="00C7355D"/>
    <w:rsid w:val="00C73594"/>
    <w:rsid w:val="00C73666"/>
    <w:rsid w:val="00C73678"/>
    <w:rsid w:val="00C7387D"/>
    <w:rsid w:val="00C738F5"/>
    <w:rsid w:val="00C73D66"/>
    <w:rsid w:val="00C73F05"/>
    <w:rsid w:val="00C740BE"/>
    <w:rsid w:val="00C7410A"/>
    <w:rsid w:val="00C74131"/>
    <w:rsid w:val="00C741CC"/>
    <w:rsid w:val="00C7448A"/>
    <w:rsid w:val="00C7449D"/>
    <w:rsid w:val="00C74592"/>
    <w:rsid w:val="00C74646"/>
    <w:rsid w:val="00C7496B"/>
    <w:rsid w:val="00C7497E"/>
    <w:rsid w:val="00C74AA6"/>
    <w:rsid w:val="00C74D0B"/>
    <w:rsid w:val="00C74DBE"/>
    <w:rsid w:val="00C74DFF"/>
    <w:rsid w:val="00C74E14"/>
    <w:rsid w:val="00C74E5A"/>
    <w:rsid w:val="00C74F83"/>
    <w:rsid w:val="00C74FED"/>
    <w:rsid w:val="00C74FF3"/>
    <w:rsid w:val="00C75083"/>
    <w:rsid w:val="00C7583C"/>
    <w:rsid w:val="00C7587A"/>
    <w:rsid w:val="00C75A8D"/>
    <w:rsid w:val="00C75BB0"/>
    <w:rsid w:val="00C75E2E"/>
    <w:rsid w:val="00C7612D"/>
    <w:rsid w:val="00C762A0"/>
    <w:rsid w:val="00C76536"/>
    <w:rsid w:val="00C76898"/>
    <w:rsid w:val="00C7694B"/>
    <w:rsid w:val="00C76C3B"/>
    <w:rsid w:val="00C76C9C"/>
    <w:rsid w:val="00C76D85"/>
    <w:rsid w:val="00C76D95"/>
    <w:rsid w:val="00C76E67"/>
    <w:rsid w:val="00C77071"/>
    <w:rsid w:val="00C7716D"/>
    <w:rsid w:val="00C7718D"/>
    <w:rsid w:val="00C771B4"/>
    <w:rsid w:val="00C77291"/>
    <w:rsid w:val="00C77942"/>
    <w:rsid w:val="00C77AD1"/>
    <w:rsid w:val="00C77C46"/>
    <w:rsid w:val="00C77D46"/>
    <w:rsid w:val="00C77EE2"/>
    <w:rsid w:val="00C77F9C"/>
    <w:rsid w:val="00C80012"/>
    <w:rsid w:val="00C800DB"/>
    <w:rsid w:val="00C801A7"/>
    <w:rsid w:val="00C802AC"/>
    <w:rsid w:val="00C80303"/>
    <w:rsid w:val="00C803BB"/>
    <w:rsid w:val="00C806C8"/>
    <w:rsid w:val="00C80720"/>
    <w:rsid w:val="00C8080B"/>
    <w:rsid w:val="00C80855"/>
    <w:rsid w:val="00C808A5"/>
    <w:rsid w:val="00C809FB"/>
    <w:rsid w:val="00C80D31"/>
    <w:rsid w:val="00C80E03"/>
    <w:rsid w:val="00C80E15"/>
    <w:rsid w:val="00C80EF4"/>
    <w:rsid w:val="00C80F25"/>
    <w:rsid w:val="00C80FD0"/>
    <w:rsid w:val="00C81250"/>
    <w:rsid w:val="00C81279"/>
    <w:rsid w:val="00C813E6"/>
    <w:rsid w:val="00C81695"/>
    <w:rsid w:val="00C81699"/>
    <w:rsid w:val="00C817F3"/>
    <w:rsid w:val="00C81857"/>
    <w:rsid w:val="00C818DA"/>
    <w:rsid w:val="00C81C94"/>
    <w:rsid w:val="00C81D11"/>
    <w:rsid w:val="00C81E50"/>
    <w:rsid w:val="00C81EC7"/>
    <w:rsid w:val="00C82072"/>
    <w:rsid w:val="00C823C7"/>
    <w:rsid w:val="00C823DC"/>
    <w:rsid w:val="00C82416"/>
    <w:rsid w:val="00C8284F"/>
    <w:rsid w:val="00C82967"/>
    <w:rsid w:val="00C82A23"/>
    <w:rsid w:val="00C82BD1"/>
    <w:rsid w:val="00C82C33"/>
    <w:rsid w:val="00C82C61"/>
    <w:rsid w:val="00C82C8F"/>
    <w:rsid w:val="00C82DA8"/>
    <w:rsid w:val="00C83093"/>
    <w:rsid w:val="00C83096"/>
    <w:rsid w:val="00C830F0"/>
    <w:rsid w:val="00C839E3"/>
    <w:rsid w:val="00C83F00"/>
    <w:rsid w:val="00C84064"/>
    <w:rsid w:val="00C84310"/>
    <w:rsid w:val="00C84321"/>
    <w:rsid w:val="00C84527"/>
    <w:rsid w:val="00C84576"/>
    <w:rsid w:val="00C847F4"/>
    <w:rsid w:val="00C848A7"/>
    <w:rsid w:val="00C84AF1"/>
    <w:rsid w:val="00C84BD2"/>
    <w:rsid w:val="00C84FE7"/>
    <w:rsid w:val="00C8503F"/>
    <w:rsid w:val="00C85060"/>
    <w:rsid w:val="00C85260"/>
    <w:rsid w:val="00C85269"/>
    <w:rsid w:val="00C85317"/>
    <w:rsid w:val="00C85356"/>
    <w:rsid w:val="00C854D9"/>
    <w:rsid w:val="00C8550A"/>
    <w:rsid w:val="00C85663"/>
    <w:rsid w:val="00C85683"/>
    <w:rsid w:val="00C85719"/>
    <w:rsid w:val="00C8594E"/>
    <w:rsid w:val="00C85B06"/>
    <w:rsid w:val="00C85D10"/>
    <w:rsid w:val="00C85D49"/>
    <w:rsid w:val="00C85FC6"/>
    <w:rsid w:val="00C86063"/>
    <w:rsid w:val="00C86081"/>
    <w:rsid w:val="00C862A1"/>
    <w:rsid w:val="00C862BB"/>
    <w:rsid w:val="00C86346"/>
    <w:rsid w:val="00C86356"/>
    <w:rsid w:val="00C8646D"/>
    <w:rsid w:val="00C86528"/>
    <w:rsid w:val="00C86533"/>
    <w:rsid w:val="00C8665F"/>
    <w:rsid w:val="00C866EF"/>
    <w:rsid w:val="00C86709"/>
    <w:rsid w:val="00C86962"/>
    <w:rsid w:val="00C86F76"/>
    <w:rsid w:val="00C870F9"/>
    <w:rsid w:val="00C8728F"/>
    <w:rsid w:val="00C87307"/>
    <w:rsid w:val="00C87719"/>
    <w:rsid w:val="00C87A24"/>
    <w:rsid w:val="00C87AAA"/>
    <w:rsid w:val="00C87C81"/>
    <w:rsid w:val="00C87D94"/>
    <w:rsid w:val="00C87E09"/>
    <w:rsid w:val="00C87EE0"/>
    <w:rsid w:val="00C90114"/>
    <w:rsid w:val="00C9021D"/>
    <w:rsid w:val="00C9023D"/>
    <w:rsid w:val="00C9023E"/>
    <w:rsid w:val="00C9033A"/>
    <w:rsid w:val="00C906F5"/>
    <w:rsid w:val="00C9081C"/>
    <w:rsid w:val="00C9094E"/>
    <w:rsid w:val="00C90964"/>
    <w:rsid w:val="00C90B8B"/>
    <w:rsid w:val="00C90C56"/>
    <w:rsid w:val="00C90C8F"/>
    <w:rsid w:val="00C90CC0"/>
    <w:rsid w:val="00C90CF5"/>
    <w:rsid w:val="00C90EB2"/>
    <w:rsid w:val="00C90EC7"/>
    <w:rsid w:val="00C90F8B"/>
    <w:rsid w:val="00C91081"/>
    <w:rsid w:val="00C912B1"/>
    <w:rsid w:val="00C912B3"/>
    <w:rsid w:val="00C9135A"/>
    <w:rsid w:val="00C91428"/>
    <w:rsid w:val="00C917D3"/>
    <w:rsid w:val="00C91832"/>
    <w:rsid w:val="00C91892"/>
    <w:rsid w:val="00C91947"/>
    <w:rsid w:val="00C91B16"/>
    <w:rsid w:val="00C91C6A"/>
    <w:rsid w:val="00C91D0F"/>
    <w:rsid w:val="00C91D7C"/>
    <w:rsid w:val="00C91DFA"/>
    <w:rsid w:val="00C91FA4"/>
    <w:rsid w:val="00C9209D"/>
    <w:rsid w:val="00C92204"/>
    <w:rsid w:val="00C9239C"/>
    <w:rsid w:val="00C92449"/>
    <w:rsid w:val="00C92924"/>
    <w:rsid w:val="00C929B7"/>
    <w:rsid w:val="00C929EE"/>
    <w:rsid w:val="00C92BA7"/>
    <w:rsid w:val="00C92BC4"/>
    <w:rsid w:val="00C92C45"/>
    <w:rsid w:val="00C92E2E"/>
    <w:rsid w:val="00C930D2"/>
    <w:rsid w:val="00C9330C"/>
    <w:rsid w:val="00C933FC"/>
    <w:rsid w:val="00C9369A"/>
    <w:rsid w:val="00C9373A"/>
    <w:rsid w:val="00C93765"/>
    <w:rsid w:val="00C93967"/>
    <w:rsid w:val="00C939C2"/>
    <w:rsid w:val="00C94137"/>
    <w:rsid w:val="00C942A8"/>
    <w:rsid w:val="00C94332"/>
    <w:rsid w:val="00C94642"/>
    <w:rsid w:val="00C94B12"/>
    <w:rsid w:val="00C94C5D"/>
    <w:rsid w:val="00C94EAE"/>
    <w:rsid w:val="00C94ECE"/>
    <w:rsid w:val="00C94F10"/>
    <w:rsid w:val="00C94FC6"/>
    <w:rsid w:val="00C9534A"/>
    <w:rsid w:val="00C954F3"/>
    <w:rsid w:val="00C956DD"/>
    <w:rsid w:val="00C95828"/>
    <w:rsid w:val="00C95840"/>
    <w:rsid w:val="00C9585A"/>
    <w:rsid w:val="00C9586C"/>
    <w:rsid w:val="00C958CA"/>
    <w:rsid w:val="00C95930"/>
    <w:rsid w:val="00C95A94"/>
    <w:rsid w:val="00C95BAB"/>
    <w:rsid w:val="00C95D32"/>
    <w:rsid w:val="00C95E3D"/>
    <w:rsid w:val="00C95E4C"/>
    <w:rsid w:val="00C95ED2"/>
    <w:rsid w:val="00C95F4E"/>
    <w:rsid w:val="00C95F87"/>
    <w:rsid w:val="00C95F88"/>
    <w:rsid w:val="00C95FBA"/>
    <w:rsid w:val="00C961F7"/>
    <w:rsid w:val="00C962D5"/>
    <w:rsid w:val="00C9641C"/>
    <w:rsid w:val="00C964D4"/>
    <w:rsid w:val="00C96BB1"/>
    <w:rsid w:val="00C96DCA"/>
    <w:rsid w:val="00C97157"/>
    <w:rsid w:val="00C9729E"/>
    <w:rsid w:val="00C97323"/>
    <w:rsid w:val="00C973A3"/>
    <w:rsid w:val="00C9775A"/>
    <w:rsid w:val="00C977B1"/>
    <w:rsid w:val="00C977DE"/>
    <w:rsid w:val="00C97968"/>
    <w:rsid w:val="00C979AA"/>
    <w:rsid w:val="00C97AC3"/>
    <w:rsid w:val="00C97BF9"/>
    <w:rsid w:val="00C97D8C"/>
    <w:rsid w:val="00C97D90"/>
    <w:rsid w:val="00C97E4C"/>
    <w:rsid w:val="00C97F1F"/>
    <w:rsid w:val="00C97FFB"/>
    <w:rsid w:val="00C99AC1"/>
    <w:rsid w:val="00CA0047"/>
    <w:rsid w:val="00CA0226"/>
    <w:rsid w:val="00CA0376"/>
    <w:rsid w:val="00CA0428"/>
    <w:rsid w:val="00CA04D1"/>
    <w:rsid w:val="00CA04FA"/>
    <w:rsid w:val="00CA04FF"/>
    <w:rsid w:val="00CA052C"/>
    <w:rsid w:val="00CA0601"/>
    <w:rsid w:val="00CA061F"/>
    <w:rsid w:val="00CA06A3"/>
    <w:rsid w:val="00CA06A4"/>
    <w:rsid w:val="00CA08F8"/>
    <w:rsid w:val="00CA0925"/>
    <w:rsid w:val="00CA0C6D"/>
    <w:rsid w:val="00CA0C76"/>
    <w:rsid w:val="00CA0DCD"/>
    <w:rsid w:val="00CA0E88"/>
    <w:rsid w:val="00CA0FC0"/>
    <w:rsid w:val="00CA1048"/>
    <w:rsid w:val="00CA11AF"/>
    <w:rsid w:val="00CA11BE"/>
    <w:rsid w:val="00CA1245"/>
    <w:rsid w:val="00CA13F2"/>
    <w:rsid w:val="00CA1420"/>
    <w:rsid w:val="00CA1596"/>
    <w:rsid w:val="00CA1628"/>
    <w:rsid w:val="00CA195B"/>
    <w:rsid w:val="00CA1991"/>
    <w:rsid w:val="00CA1B51"/>
    <w:rsid w:val="00CA1B93"/>
    <w:rsid w:val="00CA1BE0"/>
    <w:rsid w:val="00CA1E0E"/>
    <w:rsid w:val="00CA1F9C"/>
    <w:rsid w:val="00CA1FAE"/>
    <w:rsid w:val="00CA2071"/>
    <w:rsid w:val="00CA2208"/>
    <w:rsid w:val="00CA2309"/>
    <w:rsid w:val="00CA2348"/>
    <w:rsid w:val="00CA2390"/>
    <w:rsid w:val="00CA2701"/>
    <w:rsid w:val="00CA27AB"/>
    <w:rsid w:val="00CA2935"/>
    <w:rsid w:val="00CA2956"/>
    <w:rsid w:val="00CA29B8"/>
    <w:rsid w:val="00CA2B21"/>
    <w:rsid w:val="00CA2B84"/>
    <w:rsid w:val="00CA2D41"/>
    <w:rsid w:val="00CA2E86"/>
    <w:rsid w:val="00CA2F4A"/>
    <w:rsid w:val="00CA2FAF"/>
    <w:rsid w:val="00CA2FB7"/>
    <w:rsid w:val="00CA2FDF"/>
    <w:rsid w:val="00CA300E"/>
    <w:rsid w:val="00CA3094"/>
    <w:rsid w:val="00CA335E"/>
    <w:rsid w:val="00CA33C4"/>
    <w:rsid w:val="00CA3571"/>
    <w:rsid w:val="00CA361F"/>
    <w:rsid w:val="00CA369F"/>
    <w:rsid w:val="00CA3816"/>
    <w:rsid w:val="00CA389F"/>
    <w:rsid w:val="00CA38AB"/>
    <w:rsid w:val="00CA390F"/>
    <w:rsid w:val="00CA3950"/>
    <w:rsid w:val="00CA3A50"/>
    <w:rsid w:val="00CA3A9B"/>
    <w:rsid w:val="00CA3AA0"/>
    <w:rsid w:val="00CA3AF3"/>
    <w:rsid w:val="00CA3B6D"/>
    <w:rsid w:val="00CA3C13"/>
    <w:rsid w:val="00CA3CBD"/>
    <w:rsid w:val="00CA3D3F"/>
    <w:rsid w:val="00CA3DCA"/>
    <w:rsid w:val="00CA3E48"/>
    <w:rsid w:val="00CA3E67"/>
    <w:rsid w:val="00CA418C"/>
    <w:rsid w:val="00CA46AA"/>
    <w:rsid w:val="00CA475E"/>
    <w:rsid w:val="00CA4BA1"/>
    <w:rsid w:val="00CA4C03"/>
    <w:rsid w:val="00CA4EC8"/>
    <w:rsid w:val="00CA4ECF"/>
    <w:rsid w:val="00CA4F61"/>
    <w:rsid w:val="00CA5120"/>
    <w:rsid w:val="00CA525E"/>
    <w:rsid w:val="00CA54EF"/>
    <w:rsid w:val="00CA5588"/>
    <w:rsid w:val="00CA55C1"/>
    <w:rsid w:val="00CA5643"/>
    <w:rsid w:val="00CA569B"/>
    <w:rsid w:val="00CA5734"/>
    <w:rsid w:val="00CA5B82"/>
    <w:rsid w:val="00CA5CD6"/>
    <w:rsid w:val="00CA5CEF"/>
    <w:rsid w:val="00CA5DF4"/>
    <w:rsid w:val="00CA60F0"/>
    <w:rsid w:val="00CA6160"/>
    <w:rsid w:val="00CA62AD"/>
    <w:rsid w:val="00CA634F"/>
    <w:rsid w:val="00CA660E"/>
    <w:rsid w:val="00CA666C"/>
    <w:rsid w:val="00CA66AE"/>
    <w:rsid w:val="00CA6882"/>
    <w:rsid w:val="00CA6BA6"/>
    <w:rsid w:val="00CA6C7A"/>
    <w:rsid w:val="00CA6CC8"/>
    <w:rsid w:val="00CA6D0C"/>
    <w:rsid w:val="00CA6E6F"/>
    <w:rsid w:val="00CA70B1"/>
    <w:rsid w:val="00CA7297"/>
    <w:rsid w:val="00CA73E7"/>
    <w:rsid w:val="00CA7B88"/>
    <w:rsid w:val="00CA7BE3"/>
    <w:rsid w:val="00CA7E02"/>
    <w:rsid w:val="00CA7E52"/>
    <w:rsid w:val="00CA7EB5"/>
    <w:rsid w:val="00CA7F6F"/>
    <w:rsid w:val="00CB0474"/>
    <w:rsid w:val="00CB0C6E"/>
    <w:rsid w:val="00CB0E3E"/>
    <w:rsid w:val="00CB0F60"/>
    <w:rsid w:val="00CB0F8D"/>
    <w:rsid w:val="00CB0FFE"/>
    <w:rsid w:val="00CB11ED"/>
    <w:rsid w:val="00CB1253"/>
    <w:rsid w:val="00CB1363"/>
    <w:rsid w:val="00CB15C7"/>
    <w:rsid w:val="00CB15DA"/>
    <w:rsid w:val="00CB169D"/>
    <w:rsid w:val="00CB18C7"/>
    <w:rsid w:val="00CB1CD9"/>
    <w:rsid w:val="00CB1EE7"/>
    <w:rsid w:val="00CB1F4F"/>
    <w:rsid w:val="00CB1F79"/>
    <w:rsid w:val="00CB20EC"/>
    <w:rsid w:val="00CB2296"/>
    <w:rsid w:val="00CB2565"/>
    <w:rsid w:val="00CB25A0"/>
    <w:rsid w:val="00CB273C"/>
    <w:rsid w:val="00CB2770"/>
    <w:rsid w:val="00CB278A"/>
    <w:rsid w:val="00CB2814"/>
    <w:rsid w:val="00CB2A80"/>
    <w:rsid w:val="00CB2B7C"/>
    <w:rsid w:val="00CB2C6C"/>
    <w:rsid w:val="00CB2F58"/>
    <w:rsid w:val="00CB32A2"/>
    <w:rsid w:val="00CB32BD"/>
    <w:rsid w:val="00CB3411"/>
    <w:rsid w:val="00CB342C"/>
    <w:rsid w:val="00CB342E"/>
    <w:rsid w:val="00CB37A5"/>
    <w:rsid w:val="00CB37F9"/>
    <w:rsid w:val="00CB3B31"/>
    <w:rsid w:val="00CB3BE2"/>
    <w:rsid w:val="00CB3BFC"/>
    <w:rsid w:val="00CB3C02"/>
    <w:rsid w:val="00CB3DAD"/>
    <w:rsid w:val="00CB3EBC"/>
    <w:rsid w:val="00CB42B9"/>
    <w:rsid w:val="00CB4360"/>
    <w:rsid w:val="00CB45B1"/>
    <w:rsid w:val="00CB4674"/>
    <w:rsid w:val="00CB4747"/>
    <w:rsid w:val="00CB4783"/>
    <w:rsid w:val="00CB4808"/>
    <w:rsid w:val="00CB4947"/>
    <w:rsid w:val="00CB4A78"/>
    <w:rsid w:val="00CB4AC8"/>
    <w:rsid w:val="00CB4BE8"/>
    <w:rsid w:val="00CB4C3C"/>
    <w:rsid w:val="00CB4DB3"/>
    <w:rsid w:val="00CB50FF"/>
    <w:rsid w:val="00CB51B4"/>
    <w:rsid w:val="00CB5542"/>
    <w:rsid w:val="00CB5792"/>
    <w:rsid w:val="00CB5B88"/>
    <w:rsid w:val="00CB5BE5"/>
    <w:rsid w:val="00CB5C21"/>
    <w:rsid w:val="00CB5FC9"/>
    <w:rsid w:val="00CB60F4"/>
    <w:rsid w:val="00CB61B0"/>
    <w:rsid w:val="00CB6274"/>
    <w:rsid w:val="00CB63D1"/>
    <w:rsid w:val="00CB6401"/>
    <w:rsid w:val="00CB667A"/>
    <w:rsid w:val="00CB66C5"/>
    <w:rsid w:val="00CB66E0"/>
    <w:rsid w:val="00CB6810"/>
    <w:rsid w:val="00CB6988"/>
    <w:rsid w:val="00CB6A35"/>
    <w:rsid w:val="00CB6C00"/>
    <w:rsid w:val="00CB6C9E"/>
    <w:rsid w:val="00CB6DB5"/>
    <w:rsid w:val="00CB6DE4"/>
    <w:rsid w:val="00CB6E2D"/>
    <w:rsid w:val="00CB7045"/>
    <w:rsid w:val="00CB7057"/>
    <w:rsid w:val="00CB71F0"/>
    <w:rsid w:val="00CB730B"/>
    <w:rsid w:val="00CB73DD"/>
    <w:rsid w:val="00CB7589"/>
    <w:rsid w:val="00CB77F5"/>
    <w:rsid w:val="00CB787E"/>
    <w:rsid w:val="00CB78A0"/>
    <w:rsid w:val="00CB78CD"/>
    <w:rsid w:val="00CB7977"/>
    <w:rsid w:val="00CB7A36"/>
    <w:rsid w:val="00CB7C47"/>
    <w:rsid w:val="00CB7DB8"/>
    <w:rsid w:val="00CB7F01"/>
    <w:rsid w:val="00CC014D"/>
    <w:rsid w:val="00CC01A9"/>
    <w:rsid w:val="00CC0239"/>
    <w:rsid w:val="00CC026E"/>
    <w:rsid w:val="00CC0397"/>
    <w:rsid w:val="00CC0533"/>
    <w:rsid w:val="00CC07AC"/>
    <w:rsid w:val="00CC08CD"/>
    <w:rsid w:val="00CC0A4B"/>
    <w:rsid w:val="00CC0B5A"/>
    <w:rsid w:val="00CC0BD9"/>
    <w:rsid w:val="00CC0D94"/>
    <w:rsid w:val="00CC1003"/>
    <w:rsid w:val="00CC1205"/>
    <w:rsid w:val="00CC1550"/>
    <w:rsid w:val="00CC15BA"/>
    <w:rsid w:val="00CC1763"/>
    <w:rsid w:val="00CC1A79"/>
    <w:rsid w:val="00CC1B6B"/>
    <w:rsid w:val="00CC1D35"/>
    <w:rsid w:val="00CC1D58"/>
    <w:rsid w:val="00CC1FA1"/>
    <w:rsid w:val="00CC2260"/>
    <w:rsid w:val="00CC23A7"/>
    <w:rsid w:val="00CC242F"/>
    <w:rsid w:val="00CC2577"/>
    <w:rsid w:val="00CC25CF"/>
    <w:rsid w:val="00CC2637"/>
    <w:rsid w:val="00CC267F"/>
    <w:rsid w:val="00CC2694"/>
    <w:rsid w:val="00CC2CC0"/>
    <w:rsid w:val="00CC2CC4"/>
    <w:rsid w:val="00CC2CE0"/>
    <w:rsid w:val="00CC2E6B"/>
    <w:rsid w:val="00CC32AF"/>
    <w:rsid w:val="00CC32ED"/>
    <w:rsid w:val="00CC336D"/>
    <w:rsid w:val="00CC357D"/>
    <w:rsid w:val="00CC366F"/>
    <w:rsid w:val="00CC3962"/>
    <w:rsid w:val="00CC396E"/>
    <w:rsid w:val="00CC39D1"/>
    <w:rsid w:val="00CC3AA1"/>
    <w:rsid w:val="00CC3B8E"/>
    <w:rsid w:val="00CC3C04"/>
    <w:rsid w:val="00CC3CA9"/>
    <w:rsid w:val="00CC3D73"/>
    <w:rsid w:val="00CC3E79"/>
    <w:rsid w:val="00CC3EF5"/>
    <w:rsid w:val="00CC40B3"/>
    <w:rsid w:val="00CC4269"/>
    <w:rsid w:val="00CC45F4"/>
    <w:rsid w:val="00CC481B"/>
    <w:rsid w:val="00CC4979"/>
    <w:rsid w:val="00CC4AF6"/>
    <w:rsid w:val="00CC4C77"/>
    <w:rsid w:val="00CC53C3"/>
    <w:rsid w:val="00CC55C4"/>
    <w:rsid w:val="00CC581A"/>
    <w:rsid w:val="00CC5910"/>
    <w:rsid w:val="00CC601A"/>
    <w:rsid w:val="00CC6036"/>
    <w:rsid w:val="00CC61A8"/>
    <w:rsid w:val="00CC633B"/>
    <w:rsid w:val="00CC6411"/>
    <w:rsid w:val="00CC6492"/>
    <w:rsid w:val="00CC65A6"/>
    <w:rsid w:val="00CC6872"/>
    <w:rsid w:val="00CC6A10"/>
    <w:rsid w:val="00CC6BEE"/>
    <w:rsid w:val="00CC6C33"/>
    <w:rsid w:val="00CC6C48"/>
    <w:rsid w:val="00CC6C67"/>
    <w:rsid w:val="00CC6D19"/>
    <w:rsid w:val="00CC7268"/>
    <w:rsid w:val="00CC74DA"/>
    <w:rsid w:val="00CC7590"/>
    <w:rsid w:val="00CC75CE"/>
    <w:rsid w:val="00CC77EF"/>
    <w:rsid w:val="00CC7848"/>
    <w:rsid w:val="00CC7900"/>
    <w:rsid w:val="00CC7ACD"/>
    <w:rsid w:val="00CC7C3B"/>
    <w:rsid w:val="00CC7ECC"/>
    <w:rsid w:val="00CD0081"/>
    <w:rsid w:val="00CD00F7"/>
    <w:rsid w:val="00CD01C8"/>
    <w:rsid w:val="00CD0311"/>
    <w:rsid w:val="00CD03DC"/>
    <w:rsid w:val="00CD07DD"/>
    <w:rsid w:val="00CD0955"/>
    <w:rsid w:val="00CD0B8F"/>
    <w:rsid w:val="00CD0BE5"/>
    <w:rsid w:val="00CD0C6B"/>
    <w:rsid w:val="00CD0D53"/>
    <w:rsid w:val="00CD0D79"/>
    <w:rsid w:val="00CD0EE5"/>
    <w:rsid w:val="00CD0F86"/>
    <w:rsid w:val="00CD1280"/>
    <w:rsid w:val="00CD12E2"/>
    <w:rsid w:val="00CD1534"/>
    <w:rsid w:val="00CD1876"/>
    <w:rsid w:val="00CD19F4"/>
    <w:rsid w:val="00CD1A90"/>
    <w:rsid w:val="00CD1ACD"/>
    <w:rsid w:val="00CD1B03"/>
    <w:rsid w:val="00CD1BD5"/>
    <w:rsid w:val="00CD2093"/>
    <w:rsid w:val="00CD20E2"/>
    <w:rsid w:val="00CD216F"/>
    <w:rsid w:val="00CD232C"/>
    <w:rsid w:val="00CD24ED"/>
    <w:rsid w:val="00CD258B"/>
    <w:rsid w:val="00CD25F8"/>
    <w:rsid w:val="00CD26CB"/>
    <w:rsid w:val="00CD272E"/>
    <w:rsid w:val="00CD27B7"/>
    <w:rsid w:val="00CD28F7"/>
    <w:rsid w:val="00CD2954"/>
    <w:rsid w:val="00CD29D7"/>
    <w:rsid w:val="00CD2A2A"/>
    <w:rsid w:val="00CD2A3A"/>
    <w:rsid w:val="00CD2AA5"/>
    <w:rsid w:val="00CD2BB4"/>
    <w:rsid w:val="00CD2D90"/>
    <w:rsid w:val="00CD2F52"/>
    <w:rsid w:val="00CD2F7C"/>
    <w:rsid w:val="00CD2FD5"/>
    <w:rsid w:val="00CD314B"/>
    <w:rsid w:val="00CD316A"/>
    <w:rsid w:val="00CD331E"/>
    <w:rsid w:val="00CD335D"/>
    <w:rsid w:val="00CD33A3"/>
    <w:rsid w:val="00CD34E5"/>
    <w:rsid w:val="00CD34EA"/>
    <w:rsid w:val="00CD384C"/>
    <w:rsid w:val="00CD39E4"/>
    <w:rsid w:val="00CD3A0D"/>
    <w:rsid w:val="00CD3A79"/>
    <w:rsid w:val="00CD3AAA"/>
    <w:rsid w:val="00CD3ABC"/>
    <w:rsid w:val="00CD402D"/>
    <w:rsid w:val="00CD41BA"/>
    <w:rsid w:val="00CD43E1"/>
    <w:rsid w:val="00CD4536"/>
    <w:rsid w:val="00CD45E4"/>
    <w:rsid w:val="00CD474F"/>
    <w:rsid w:val="00CD47A4"/>
    <w:rsid w:val="00CD488D"/>
    <w:rsid w:val="00CD4924"/>
    <w:rsid w:val="00CD4932"/>
    <w:rsid w:val="00CD49C1"/>
    <w:rsid w:val="00CD4B75"/>
    <w:rsid w:val="00CD4DDB"/>
    <w:rsid w:val="00CD50DE"/>
    <w:rsid w:val="00CD513C"/>
    <w:rsid w:val="00CD52D3"/>
    <w:rsid w:val="00CD53B2"/>
    <w:rsid w:val="00CD579D"/>
    <w:rsid w:val="00CD57C6"/>
    <w:rsid w:val="00CD580B"/>
    <w:rsid w:val="00CD5830"/>
    <w:rsid w:val="00CD5854"/>
    <w:rsid w:val="00CD5930"/>
    <w:rsid w:val="00CD5A20"/>
    <w:rsid w:val="00CD5AEE"/>
    <w:rsid w:val="00CD5C5C"/>
    <w:rsid w:val="00CD5CFE"/>
    <w:rsid w:val="00CD5E39"/>
    <w:rsid w:val="00CD6006"/>
    <w:rsid w:val="00CD6028"/>
    <w:rsid w:val="00CD610C"/>
    <w:rsid w:val="00CD61B0"/>
    <w:rsid w:val="00CD649C"/>
    <w:rsid w:val="00CD6522"/>
    <w:rsid w:val="00CD6929"/>
    <w:rsid w:val="00CD6A10"/>
    <w:rsid w:val="00CD6CA2"/>
    <w:rsid w:val="00CD6D0F"/>
    <w:rsid w:val="00CD6D62"/>
    <w:rsid w:val="00CD6D73"/>
    <w:rsid w:val="00CD6D77"/>
    <w:rsid w:val="00CD6DE5"/>
    <w:rsid w:val="00CD6F3F"/>
    <w:rsid w:val="00CD6FF5"/>
    <w:rsid w:val="00CD71E5"/>
    <w:rsid w:val="00CD7218"/>
    <w:rsid w:val="00CD72BD"/>
    <w:rsid w:val="00CD7398"/>
    <w:rsid w:val="00CD78CC"/>
    <w:rsid w:val="00CD7923"/>
    <w:rsid w:val="00CD797B"/>
    <w:rsid w:val="00CD7B3A"/>
    <w:rsid w:val="00CD7B71"/>
    <w:rsid w:val="00CD7BE3"/>
    <w:rsid w:val="00CD7BE7"/>
    <w:rsid w:val="00CD7E80"/>
    <w:rsid w:val="00CE0241"/>
    <w:rsid w:val="00CE04CD"/>
    <w:rsid w:val="00CE06D2"/>
    <w:rsid w:val="00CE0713"/>
    <w:rsid w:val="00CE0878"/>
    <w:rsid w:val="00CE08D2"/>
    <w:rsid w:val="00CE0950"/>
    <w:rsid w:val="00CE0A3E"/>
    <w:rsid w:val="00CE0AD8"/>
    <w:rsid w:val="00CE0B04"/>
    <w:rsid w:val="00CE0B7C"/>
    <w:rsid w:val="00CE0C44"/>
    <w:rsid w:val="00CE0CDC"/>
    <w:rsid w:val="00CE0CE7"/>
    <w:rsid w:val="00CE0CFC"/>
    <w:rsid w:val="00CE0FDC"/>
    <w:rsid w:val="00CE100F"/>
    <w:rsid w:val="00CE11E1"/>
    <w:rsid w:val="00CE1302"/>
    <w:rsid w:val="00CE14F3"/>
    <w:rsid w:val="00CE16DC"/>
    <w:rsid w:val="00CE18C2"/>
    <w:rsid w:val="00CE18D7"/>
    <w:rsid w:val="00CE19E3"/>
    <w:rsid w:val="00CE1A25"/>
    <w:rsid w:val="00CE1AB7"/>
    <w:rsid w:val="00CE1B91"/>
    <w:rsid w:val="00CE1C18"/>
    <w:rsid w:val="00CE1CDE"/>
    <w:rsid w:val="00CE1F61"/>
    <w:rsid w:val="00CE2035"/>
    <w:rsid w:val="00CE203F"/>
    <w:rsid w:val="00CE20FE"/>
    <w:rsid w:val="00CE214A"/>
    <w:rsid w:val="00CE226F"/>
    <w:rsid w:val="00CE22C2"/>
    <w:rsid w:val="00CE230F"/>
    <w:rsid w:val="00CE2449"/>
    <w:rsid w:val="00CE2725"/>
    <w:rsid w:val="00CE272E"/>
    <w:rsid w:val="00CE27E3"/>
    <w:rsid w:val="00CE29C5"/>
    <w:rsid w:val="00CE2D2D"/>
    <w:rsid w:val="00CE30EA"/>
    <w:rsid w:val="00CE33FD"/>
    <w:rsid w:val="00CE34E2"/>
    <w:rsid w:val="00CE35C5"/>
    <w:rsid w:val="00CE35E8"/>
    <w:rsid w:val="00CE385F"/>
    <w:rsid w:val="00CE3A12"/>
    <w:rsid w:val="00CE3A84"/>
    <w:rsid w:val="00CE3A9D"/>
    <w:rsid w:val="00CE3C00"/>
    <w:rsid w:val="00CE3D25"/>
    <w:rsid w:val="00CE3E06"/>
    <w:rsid w:val="00CE3E0B"/>
    <w:rsid w:val="00CE3F0E"/>
    <w:rsid w:val="00CE3F40"/>
    <w:rsid w:val="00CE4236"/>
    <w:rsid w:val="00CE425A"/>
    <w:rsid w:val="00CE4595"/>
    <w:rsid w:val="00CE45D8"/>
    <w:rsid w:val="00CE4702"/>
    <w:rsid w:val="00CE4807"/>
    <w:rsid w:val="00CE484C"/>
    <w:rsid w:val="00CE4969"/>
    <w:rsid w:val="00CE4CB0"/>
    <w:rsid w:val="00CE4E66"/>
    <w:rsid w:val="00CE4ED7"/>
    <w:rsid w:val="00CE4ED8"/>
    <w:rsid w:val="00CE4F26"/>
    <w:rsid w:val="00CE502C"/>
    <w:rsid w:val="00CE5103"/>
    <w:rsid w:val="00CE522E"/>
    <w:rsid w:val="00CE5389"/>
    <w:rsid w:val="00CE549E"/>
    <w:rsid w:val="00CE54B9"/>
    <w:rsid w:val="00CE55C8"/>
    <w:rsid w:val="00CE57AB"/>
    <w:rsid w:val="00CE58FD"/>
    <w:rsid w:val="00CE5C0C"/>
    <w:rsid w:val="00CE5C24"/>
    <w:rsid w:val="00CE5E51"/>
    <w:rsid w:val="00CE5F27"/>
    <w:rsid w:val="00CE604B"/>
    <w:rsid w:val="00CE6149"/>
    <w:rsid w:val="00CE617E"/>
    <w:rsid w:val="00CE64AE"/>
    <w:rsid w:val="00CE65AB"/>
    <w:rsid w:val="00CE6672"/>
    <w:rsid w:val="00CE6917"/>
    <w:rsid w:val="00CE6B63"/>
    <w:rsid w:val="00CE6B78"/>
    <w:rsid w:val="00CE6B90"/>
    <w:rsid w:val="00CE6BCE"/>
    <w:rsid w:val="00CE6DCA"/>
    <w:rsid w:val="00CE6DDD"/>
    <w:rsid w:val="00CE6FF8"/>
    <w:rsid w:val="00CE70B6"/>
    <w:rsid w:val="00CE7142"/>
    <w:rsid w:val="00CE71EB"/>
    <w:rsid w:val="00CE7238"/>
    <w:rsid w:val="00CE723D"/>
    <w:rsid w:val="00CE7377"/>
    <w:rsid w:val="00CE749A"/>
    <w:rsid w:val="00CE7532"/>
    <w:rsid w:val="00CE779F"/>
    <w:rsid w:val="00CE7985"/>
    <w:rsid w:val="00CE799E"/>
    <w:rsid w:val="00CE7C72"/>
    <w:rsid w:val="00CE7C7E"/>
    <w:rsid w:val="00CE7CC2"/>
    <w:rsid w:val="00CE7DBE"/>
    <w:rsid w:val="00CE7DF8"/>
    <w:rsid w:val="00CE7E70"/>
    <w:rsid w:val="00CF0086"/>
    <w:rsid w:val="00CF0495"/>
    <w:rsid w:val="00CF08E2"/>
    <w:rsid w:val="00CF0997"/>
    <w:rsid w:val="00CF09FA"/>
    <w:rsid w:val="00CF0A94"/>
    <w:rsid w:val="00CF0B2F"/>
    <w:rsid w:val="00CF0B6A"/>
    <w:rsid w:val="00CF0D3F"/>
    <w:rsid w:val="00CF0D4F"/>
    <w:rsid w:val="00CF100B"/>
    <w:rsid w:val="00CF1213"/>
    <w:rsid w:val="00CF1327"/>
    <w:rsid w:val="00CF13C0"/>
    <w:rsid w:val="00CF146C"/>
    <w:rsid w:val="00CF14B6"/>
    <w:rsid w:val="00CF14FA"/>
    <w:rsid w:val="00CF15A5"/>
    <w:rsid w:val="00CF1650"/>
    <w:rsid w:val="00CF17A4"/>
    <w:rsid w:val="00CF1945"/>
    <w:rsid w:val="00CF1AFA"/>
    <w:rsid w:val="00CF1B29"/>
    <w:rsid w:val="00CF1BBC"/>
    <w:rsid w:val="00CF1BDC"/>
    <w:rsid w:val="00CF1CD7"/>
    <w:rsid w:val="00CF1F79"/>
    <w:rsid w:val="00CF1FCC"/>
    <w:rsid w:val="00CF203D"/>
    <w:rsid w:val="00CF209A"/>
    <w:rsid w:val="00CF22A0"/>
    <w:rsid w:val="00CF22E1"/>
    <w:rsid w:val="00CF23E8"/>
    <w:rsid w:val="00CF256D"/>
    <w:rsid w:val="00CF2623"/>
    <w:rsid w:val="00CF2856"/>
    <w:rsid w:val="00CF2A5F"/>
    <w:rsid w:val="00CF2B6E"/>
    <w:rsid w:val="00CF2C65"/>
    <w:rsid w:val="00CF2D7B"/>
    <w:rsid w:val="00CF30ED"/>
    <w:rsid w:val="00CF312C"/>
    <w:rsid w:val="00CF319B"/>
    <w:rsid w:val="00CF3311"/>
    <w:rsid w:val="00CF3366"/>
    <w:rsid w:val="00CF35A0"/>
    <w:rsid w:val="00CF367D"/>
    <w:rsid w:val="00CF3819"/>
    <w:rsid w:val="00CF3C11"/>
    <w:rsid w:val="00CF3C53"/>
    <w:rsid w:val="00CF3EE4"/>
    <w:rsid w:val="00CF3EFF"/>
    <w:rsid w:val="00CF4281"/>
    <w:rsid w:val="00CF428D"/>
    <w:rsid w:val="00CF42AE"/>
    <w:rsid w:val="00CF43CC"/>
    <w:rsid w:val="00CF452A"/>
    <w:rsid w:val="00CF456A"/>
    <w:rsid w:val="00CF46CC"/>
    <w:rsid w:val="00CF4753"/>
    <w:rsid w:val="00CF4977"/>
    <w:rsid w:val="00CF49B4"/>
    <w:rsid w:val="00CF5087"/>
    <w:rsid w:val="00CF5117"/>
    <w:rsid w:val="00CF513A"/>
    <w:rsid w:val="00CF5279"/>
    <w:rsid w:val="00CF544C"/>
    <w:rsid w:val="00CF5572"/>
    <w:rsid w:val="00CF5744"/>
    <w:rsid w:val="00CF5814"/>
    <w:rsid w:val="00CF5AC0"/>
    <w:rsid w:val="00CF5B5C"/>
    <w:rsid w:val="00CF5C8D"/>
    <w:rsid w:val="00CF5C9E"/>
    <w:rsid w:val="00CF5CB7"/>
    <w:rsid w:val="00CF5DC1"/>
    <w:rsid w:val="00CF5EA1"/>
    <w:rsid w:val="00CF5F86"/>
    <w:rsid w:val="00CF5F90"/>
    <w:rsid w:val="00CF64A0"/>
    <w:rsid w:val="00CF65B1"/>
    <w:rsid w:val="00CF6618"/>
    <w:rsid w:val="00CF6628"/>
    <w:rsid w:val="00CF667E"/>
    <w:rsid w:val="00CF6910"/>
    <w:rsid w:val="00CF6A11"/>
    <w:rsid w:val="00CF6F48"/>
    <w:rsid w:val="00CF71E8"/>
    <w:rsid w:val="00CF727D"/>
    <w:rsid w:val="00CF7343"/>
    <w:rsid w:val="00CF73A7"/>
    <w:rsid w:val="00CF741F"/>
    <w:rsid w:val="00CF7647"/>
    <w:rsid w:val="00CF784A"/>
    <w:rsid w:val="00CF7A7A"/>
    <w:rsid w:val="00CF7AE5"/>
    <w:rsid w:val="00CF7B8C"/>
    <w:rsid w:val="00CF7BA8"/>
    <w:rsid w:val="00CF7CC9"/>
    <w:rsid w:val="00CF7D26"/>
    <w:rsid w:val="00CF7D30"/>
    <w:rsid w:val="00CF7ED7"/>
    <w:rsid w:val="00CF7EE4"/>
    <w:rsid w:val="00CF7F39"/>
    <w:rsid w:val="00CF7F80"/>
    <w:rsid w:val="00CF7F8F"/>
    <w:rsid w:val="00D0002F"/>
    <w:rsid w:val="00D002B6"/>
    <w:rsid w:val="00D005DE"/>
    <w:rsid w:val="00D00743"/>
    <w:rsid w:val="00D00781"/>
    <w:rsid w:val="00D007F1"/>
    <w:rsid w:val="00D008AB"/>
    <w:rsid w:val="00D00911"/>
    <w:rsid w:val="00D00A77"/>
    <w:rsid w:val="00D00C29"/>
    <w:rsid w:val="00D00EC3"/>
    <w:rsid w:val="00D00FDF"/>
    <w:rsid w:val="00D011C2"/>
    <w:rsid w:val="00D012AA"/>
    <w:rsid w:val="00D012B6"/>
    <w:rsid w:val="00D014BF"/>
    <w:rsid w:val="00D016E0"/>
    <w:rsid w:val="00D01702"/>
    <w:rsid w:val="00D0173C"/>
    <w:rsid w:val="00D018C7"/>
    <w:rsid w:val="00D01B12"/>
    <w:rsid w:val="00D01D0B"/>
    <w:rsid w:val="00D01EC7"/>
    <w:rsid w:val="00D020D0"/>
    <w:rsid w:val="00D020F0"/>
    <w:rsid w:val="00D0211E"/>
    <w:rsid w:val="00D022E3"/>
    <w:rsid w:val="00D02315"/>
    <w:rsid w:val="00D02508"/>
    <w:rsid w:val="00D025AB"/>
    <w:rsid w:val="00D02642"/>
    <w:rsid w:val="00D0282E"/>
    <w:rsid w:val="00D0293B"/>
    <w:rsid w:val="00D02AD9"/>
    <w:rsid w:val="00D02B62"/>
    <w:rsid w:val="00D02BA0"/>
    <w:rsid w:val="00D02C8B"/>
    <w:rsid w:val="00D02ED1"/>
    <w:rsid w:val="00D03040"/>
    <w:rsid w:val="00D030EB"/>
    <w:rsid w:val="00D03153"/>
    <w:rsid w:val="00D031F0"/>
    <w:rsid w:val="00D032BB"/>
    <w:rsid w:val="00D03391"/>
    <w:rsid w:val="00D03416"/>
    <w:rsid w:val="00D038F2"/>
    <w:rsid w:val="00D039E3"/>
    <w:rsid w:val="00D03AF2"/>
    <w:rsid w:val="00D03C64"/>
    <w:rsid w:val="00D04047"/>
    <w:rsid w:val="00D0432C"/>
    <w:rsid w:val="00D04489"/>
    <w:rsid w:val="00D0462B"/>
    <w:rsid w:val="00D046DB"/>
    <w:rsid w:val="00D04B7A"/>
    <w:rsid w:val="00D04E34"/>
    <w:rsid w:val="00D04E72"/>
    <w:rsid w:val="00D04F79"/>
    <w:rsid w:val="00D05024"/>
    <w:rsid w:val="00D050F3"/>
    <w:rsid w:val="00D052C1"/>
    <w:rsid w:val="00D053D0"/>
    <w:rsid w:val="00D0546A"/>
    <w:rsid w:val="00D05515"/>
    <w:rsid w:val="00D056F2"/>
    <w:rsid w:val="00D0582F"/>
    <w:rsid w:val="00D05D79"/>
    <w:rsid w:val="00D0615B"/>
    <w:rsid w:val="00D06436"/>
    <w:rsid w:val="00D06488"/>
    <w:rsid w:val="00D06521"/>
    <w:rsid w:val="00D066BB"/>
    <w:rsid w:val="00D06713"/>
    <w:rsid w:val="00D06793"/>
    <w:rsid w:val="00D0680A"/>
    <w:rsid w:val="00D06888"/>
    <w:rsid w:val="00D069B6"/>
    <w:rsid w:val="00D06A07"/>
    <w:rsid w:val="00D06A87"/>
    <w:rsid w:val="00D06AF3"/>
    <w:rsid w:val="00D06CF0"/>
    <w:rsid w:val="00D06F7C"/>
    <w:rsid w:val="00D06FF5"/>
    <w:rsid w:val="00D07163"/>
    <w:rsid w:val="00D0720E"/>
    <w:rsid w:val="00D07245"/>
    <w:rsid w:val="00D0734B"/>
    <w:rsid w:val="00D07450"/>
    <w:rsid w:val="00D07487"/>
    <w:rsid w:val="00D076FB"/>
    <w:rsid w:val="00D07733"/>
    <w:rsid w:val="00D077AA"/>
    <w:rsid w:val="00D07945"/>
    <w:rsid w:val="00D07BE7"/>
    <w:rsid w:val="00D07CB4"/>
    <w:rsid w:val="00D07F7B"/>
    <w:rsid w:val="00D102EF"/>
    <w:rsid w:val="00D10327"/>
    <w:rsid w:val="00D10379"/>
    <w:rsid w:val="00D103B8"/>
    <w:rsid w:val="00D10404"/>
    <w:rsid w:val="00D1051C"/>
    <w:rsid w:val="00D105D1"/>
    <w:rsid w:val="00D10628"/>
    <w:rsid w:val="00D10711"/>
    <w:rsid w:val="00D107EA"/>
    <w:rsid w:val="00D1087D"/>
    <w:rsid w:val="00D1095C"/>
    <w:rsid w:val="00D10BCB"/>
    <w:rsid w:val="00D10D0B"/>
    <w:rsid w:val="00D10DB4"/>
    <w:rsid w:val="00D10EDE"/>
    <w:rsid w:val="00D1109B"/>
    <w:rsid w:val="00D1127D"/>
    <w:rsid w:val="00D11372"/>
    <w:rsid w:val="00D11388"/>
    <w:rsid w:val="00D1147D"/>
    <w:rsid w:val="00D115A7"/>
    <w:rsid w:val="00D11723"/>
    <w:rsid w:val="00D11A09"/>
    <w:rsid w:val="00D11CD8"/>
    <w:rsid w:val="00D11F10"/>
    <w:rsid w:val="00D12003"/>
    <w:rsid w:val="00D12141"/>
    <w:rsid w:val="00D1229D"/>
    <w:rsid w:val="00D12457"/>
    <w:rsid w:val="00D125A2"/>
    <w:rsid w:val="00D127AB"/>
    <w:rsid w:val="00D12971"/>
    <w:rsid w:val="00D12CFC"/>
    <w:rsid w:val="00D12E0D"/>
    <w:rsid w:val="00D12EF0"/>
    <w:rsid w:val="00D135D6"/>
    <w:rsid w:val="00D136D6"/>
    <w:rsid w:val="00D13847"/>
    <w:rsid w:val="00D138F7"/>
    <w:rsid w:val="00D1392D"/>
    <w:rsid w:val="00D13962"/>
    <w:rsid w:val="00D139CA"/>
    <w:rsid w:val="00D13A19"/>
    <w:rsid w:val="00D13B36"/>
    <w:rsid w:val="00D13B3B"/>
    <w:rsid w:val="00D13C0F"/>
    <w:rsid w:val="00D13DD4"/>
    <w:rsid w:val="00D14409"/>
    <w:rsid w:val="00D144E6"/>
    <w:rsid w:val="00D1461A"/>
    <w:rsid w:val="00D148EA"/>
    <w:rsid w:val="00D148FB"/>
    <w:rsid w:val="00D1498E"/>
    <w:rsid w:val="00D14BCC"/>
    <w:rsid w:val="00D14C33"/>
    <w:rsid w:val="00D14C61"/>
    <w:rsid w:val="00D14D4C"/>
    <w:rsid w:val="00D14E53"/>
    <w:rsid w:val="00D14F10"/>
    <w:rsid w:val="00D15245"/>
    <w:rsid w:val="00D154EA"/>
    <w:rsid w:val="00D1572E"/>
    <w:rsid w:val="00D15783"/>
    <w:rsid w:val="00D157CA"/>
    <w:rsid w:val="00D158EB"/>
    <w:rsid w:val="00D159A0"/>
    <w:rsid w:val="00D15A43"/>
    <w:rsid w:val="00D15B34"/>
    <w:rsid w:val="00D15B41"/>
    <w:rsid w:val="00D15D5C"/>
    <w:rsid w:val="00D15F14"/>
    <w:rsid w:val="00D16026"/>
    <w:rsid w:val="00D16057"/>
    <w:rsid w:val="00D161EA"/>
    <w:rsid w:val="00D16205"/>
    <w:rsid w:val="00D16219"/>
    <w:rsid w:val="00D1624C"/>
    <w:rsid w:val="00D16251"/>
    <w:rsid w:val="00D162E1"/>
    <w:rsid w:val="00D162E9"/>
    <w:rsid w:val="00D1633C"/>
    <w:rsid w:val="00D16573"/>
    <w:rsid w:val="00D167BB"/>
    <w:rsid w:val="00D16ACB"/>
    <w:rsid w:val="00D16B28"/>
    <w:rsid w:val="00D16B7E"/>
    <w:rsid w:val="00D16FA3"/>
    <w:rsid w:val="00D170D4"/>
    <w:rsid w:val="00D17285"/>
    <w:rsid w:val="00D174FF"/>
    <w:rsid w:val="00D17553"/>
    <w:rsid w:val="00D17574"/>
    <w:rsid w:val="00D175EA"/>
    <w:rsid w:val="00D177DA"/>
    <w:rsid w:val="00D177E2"/>
    <w:rsid w:val="00D17AEB"/>
    <w:rsid w:val="00D17CB3"/>
    <w:rsid w:val="00D17DCF"/>
    <w:rsid w:val="00D17F48"/>
    <w:rsid w:val="00D1E861"/>
    <w:rsid w:val="00D20155"/>
    <w:rsid w:val="00D20759"/>
    <w:rsid w:val="00D2094C"/>
    <w:rsid w:val="00D20960"/>
    <w:rsid w:val="00D20A0C"/>
    <w:rsid w:val="00D20AB8"/>
    <w:rsid w:val="00D20B2F"/>
    <w:rsid w:val="00D20B86"/>
    <w:rsid w:val="00D20D31"/>
    <w:rsid w:val="00D20D41"/>
    <w:rsid w:val="00D21022"/>
    <w:rsid w:val="00D21282"/>
    <w:rsid w:val="00D215A5"/>
    <w:rsid w:val="00D21739"/>
    <w:rsid w:val="00D21B05"/>
    <w:rsid w:val="00D21FB2"/>
    <w:rsid w:val="00D222BB"/>
    <w:rsid w:val="00D22530"/>
    <w:rsid w:val="00D225B9"/>
    <w:rsid w:val="00D225FE"/>
    <w:rsid w:val="00D22886"/>
    <w:rsid w:val="00D22AAE"/>
    <w:rsid w:val="00D22B8F"/>
    <w:rsid w:val="00D22BE3"/>
    <w:rsid w:val="00D22D59"/>
    <w:rsid w:val="00D22DAC"/>
    <w:rsid w:val="00D22DFE"/>
    <w:rsid w:val="00D22E3F"/>
    <w:rsid w:val="00D22EBF"/>
    <w:rsid w:val="00D22F00"/>
    <w:rsid w:val="00D23325"/>
    <w:rsid w:val="00D2349A"/>
    <w:rsid w:val="00D23724"/>
    <w:rsid w:val="00D23A59"/>
    <w:rsid w:val="00D23AEB"/>
    <w:rsid w:val="00D23B6F"/>
    <w:rsid w:val="00D23BC6"/>
    <w:rsid w:val="00D23CA5"/>
    <w:rsid w:val="00D23D04"/>
    <w:rsid w:val="00D23FBF"/>
    <w:rsid w:val="00D2410B"/>
    <w:rsid w:val="00D24214"/>
    <w:rsid w:val="00D2425F"/>
    <w:rsid w:val="00D243BF"/>
    <w:rsid w:val="00D245BD"/>
    <w:rsid w:val="00D24657"/>
    <w:rsid w:val="00D24735"/>
    <w:rsid w:val="00D24A27"/>
    <w:rsid w:val="00D24D56"/>
    <w:rsid w:val="00D25039"/>
    <w:rsid w:val="00D250F4"/>
    <w:rsid w:val="00D25160"/>
    <w:rsid w:val="00D252C3"/>
    <w:rsid w:val="00D25436"/>
    <w:rsid w:val="00D2546D"/>
    <w:rsid w:val="00D25591"/>
    <w:rsid w:val="00D255C1"/>
    <w:rsid w:val="00D255D0"/>
    <w:rsid w:val="00D256DC"/>
    <w:rsid w:val="00D25DDC"/>
    <w:rsid w:val="00D25FE1"/>
    <w:rsid w:val="00D25FE4"/>
    <w:rsid w:val="00D260B5"/>
    <w:rsid w:val="00D264AF"/>
    <w:rsid w:val="00D2676E"/>
    <w:rsid w:val="00D26772"/>
    <w:rsid w:val="00D2680A"/>
    <w:rsid w:val="00D26A8B"/>
    <w:rsid w:val="00D2736E"/>
    <w:rsid w:val="00D27441"/>
    <w:rsid w:val="00D274E9"/>
    <w:rsid w:val="00D2776E"/>
    <w:rsid w:val="00D27AB3"/>
    <w:rsid w:val="00D27B1E"/>
    <w:rsid w:val="00D27F53"/>
    <w:rsid w:val="00D27FF0"/>
    <w:rsid w:val="00D30020"/>
    <w:rsid w:val="00D30051"/>
    <w:rsid w:val="00D3005F"/>
    <w:rsid w:val="00D301D6"/>
    <w:rsid w:val="00D30418"/>
    <w:rsid w:val="00D30621"/>
    <w:rsid w:val="00D30686"/>
    <w:rsid w:val="00D3073D"/>
    <w:rsid w:val="00D3078C"/>
    <w:rsid w:val="00D3098B"/>
    <w:rsid w:val="00D309AD"/>
    <w:rsid w:val="00D30A06"/>
    <w:rsid w:val="00D30BBD"/>
    <w:rsid w:val="00D30C29"/>
    <w:rsid w:val="00D30CE8"/>
    <w:rsid w:val="00D30D6E"/>
    <w:rsid w:val="00D30D96"/>
    <w:rsid w:val="00D30DEC"/>
    <w:rsid w:val="00D30DFD"/>
    <w:rsid w:val="00D30ED2"/>
    <w:rsid w:val="00D30FD7"/>
    <w:rsid w:val="00D30FDF"/>
    <w:rsid w:val="00D3103B"/>
    <w:rsid w:val="00D31047"/>
    <w:rsid w:val="00D310D0"/>
    <w:rsid w:val="00D3125E"/>
    <w:rsid w:val="00D317CC"/>
    <w:rsid w:val="00D318FF"/>
    <w:rsid w:val="00D31941"/>
    <w:rsid w:val="00D319C1"/>
    <w:rsid w:val="00D31D00"/>
    <w:rsid w:val="00D31DB9"/>
    <w:rsid w:val="00D31E62"/>
    <w:rsid w:val="00D31FF3"/>
    <w:rsid w:val="00D32051"/>
    <w:rsid w:val="00D32428"/>
    <w:rsid w:val="00D325DA"/>
    <w:rsid w:val="00D32679"/>
    <w:rsid w:val="00D329A7"/>
    <w:rsid w:val="00D329D5"/>
    <w:rsid w:val="00D32A11"/>
    <w:rsid w:val="00D33028"/>
    <w:rsid w:val="00D33038"/>
    <w:rsid w:val="00D33063"/>
    <w:rsid w:val="00D330F7"/>
    <w:rsid w:val="00D33115"/>
    <w:rsid w:val="00D33297"/>
    <w:rsid w:val="00D332E6"/>
    <w:rsid w:val="00D33631"/>
    <w:rsid w:val="00D337E1"/>
    <w:rsid w:val="00D338FC"/>
    <w:rsid w:val="00D33920"/>
    <w:rsid w:val="00D3393C"/>
    <w:rsid w:val="00D33A9C"/>
    <w:rsid w:val="00D33B3A"/>
    <w:rsid w:val="00D33E17"/>
    <w:rsid w:val="00D3415F"/>
    <w:rsid w:val="00D3437A"/>
    <w:rsid w:val="00D34743"/>
    <w:rsid w:val="00D34924"/>
    <w:rsid w:val="00D34B31"/>
    <w:rsid w:val="00D34BA7"/>
    <w:rsid w:val="00D34BFA"/>
    <w:rsid w:val="00D34CF0"/>
    <w:rsid w:val="00D34DDA"/>
    <w:rsid w:val="00D34E3E"/>
    <w:rsid w:val="00D34F03"/>
    <w:rsid w:val="00D35041"/>
    <w:rsid w:val="00D350DE"/>
    <w:rsid w:val="00D35148"/>
    <w:rsid w:val="00D35217"/>
    <w:rsid w:val="00D354C6"/>
    <w:rsid w:val="00D35504"/>
    <w:rsid w:val="00D35745"/>
    <w:rsid w:val="00D3585C"/>
    <w:rsid w:val="00D3596A"/>
    <w:rsid w:val="00D35ADE"/>
    <w:rsid w:val="00D35DD0"/>
    <w:rsid w:val="00D35DFC"/>
    <w:rsid w:val="00D35F01"/>
    <w:rsid w:val="00D36208"/>
    <w:rsid w:val="00D363CB"/>
    <w:rsid w:val="00D364E9"/>
    <w:rsid w:val="00D3689B"/>
    <w:rsid w:val="00D36BB0"/>
    <w:rsid w:val="00D36C4C"/>
    <w:rsid w:val="00D36D17"/>
    <w:rsid w:val="00D36D78"/>
    <w:rsid w:val="00D36E86"/>
    <w:rsid w:val="00D36F72"/>
    <w:rsid w:val="00D370A6"/>
    <w:rsid w:val="00D371C7"/>
    <w:rsid w:val="00D373D8"/>
    <w:rsid w:val="00D374C6"/>
    <w:rsid w:val="00D37538"/>
    <w:rsid w:val="00D37813"/>
    <w:rsid w:val="00D3781C"/>
    <w:rsid w:val="00D3785A"/>
    <w:rsid w:val="00D37B70"/>
    <w:rsid w:val="00D37BDB"/>
    <w:rsid w:val="00D37CEF"/>
    <w:rsid w:val="00D37D62"/>
    <w:rsid w:val="00D37D6D"/>
    <w:rsid w:val="00D37E3A"/>
    <w:rsid w:val="00D37EAE"/>
    <w:rsid w:val="00D40126"/>
    <w:rsid w:val="00D4014A"/>
    <w:rsid w:val="00D401F6"/>
    <w:rsid w:val="00D402A8"/>
    <w:rsid w:val="00D40309"/>
    <w:rsid w:val="00D40365"/>
    <w:rsid w:val="00D40392"/>
    <w:rsid w:val="00D40506"/>
    <w:rsid w:val="00D40651"/>
    <w:rsid w:val="00D40A46"/>
    <w:rsid w:val="00D40ADF"/>
    <w:rsid w:val="00D40C2A"/>
    <w:rsid w:val="00D40E46"/>
    <w:rsid w:val="00D40E49"/>
    <w:rsid w:val="00D40F52"/>
    <w:rsid w:val="00D4103B"/>
    <w:rsid w:val="00D41128"/>
    <w:rsid w:val="00D411D6"/>
    <w:rsid w:val="00D412CD"/>
    <w:rsid w:val="00D4169C"/>
    <w:rsid w:val="00D417FD"/>
    <w:rsid w:val="00D418D3"/>
    <w:rsid w:val="00D41A9A"/>
    <w:rsid w:val="00D41C3A"/>
    <w:rsid w:val="00D41D41"/>
    <w:rsid w:val="00D41EF8"/>
    <w:rsid w:val="00D4206D"/>
    <w:rsid w:val="00D42174"/>
    <w:rsid w:val="00D42230"/>
    <w:rsid w:val="00D422FE"/>
    <w:rsid w:val="00D423CC"/>
    <w:rsid w:val="00D424D9"/>
    <w:rsid w:val="00D42712"/>
    <w:rsid w:val="00D429DC"/>
    <w:rsid w:val="00D42AED"/>
    <w:rsid w:val="00D42C0B"/>
    <w:rsid w:val="00D42C63"/>
    <w:rsid w:val="00D42CAC"/>
    <w:rsid w:val="00D42D18"/>
    <w:rsid w:val="00D42E5A"/>
    <w:rsid w:val="00D43220"/>
    <w:rsid w:val="00D4331C"/>
    <w:rsid w:val="00D4333E"/>
    <w:rsid w:val="00D4364F"/>
    <w:rsid w:val="00D437BE"/>
    <w:rsid w:val="00D43BD5"/>
    <w:rsid w:val="00D43D38"/>
    <w:rsid w:val="00D43D4C"/>
    <w:rsid w:val="00D43F1C"/>
    <w:rsid w:val="00D43FC4"/>
    <w:rsid w:val="00D4437A"/>
    <w:rsid w:val="00D44430"/>
    <w:rsid w:val="00D4459B"/>
    <w:rsid w:val="00D4459C"/>
    <w:rsid w:val="00D44649"/>
    <w:rsid w:val="00D44806"/>
    <w:rsid w:val="00D4496E"/>
    <w:rsid w:val="00D44A1D"/>
    <w:rsid w:val="00D44AD5"/>
    <w:rsid w:val="00D44F40"/>
    <w:rsid w:val="00D45185"/>
    <w:rsid w:val="00D452BB"/>
    <w:rsid w:val="00D452BE"/>
    <w:rsid w:val="00D45339"/>
    <w:rsid w:val="00D45517"/>
    <w:rsid w:val="00D4566F"/>
    <w:rsid w:val="00D457CB"/>
    <w:rsid w:val="00D45A67"/>
    <w:rsid w:val="00D45BEF"/>
    <w:rsid w:val="00D45C33"/>
    <w:rsid w:val="00D45D2F"/>
    <w:rsid w:val="00D45D58"/>
    <w:rsid w:val="00D45F3B"/>
    <w:rsid w:val="00D460EC"/>
    <w:rsid w:val="00D4611A"/>
    <w:rsid w:val="00D46174"/>
    <w:rsid w:val="00D46213"/>
    <w:rsid w:val="00D46324"/>
    <w:rsid w:val="00D465E6"/>
    <w:rsid w:val="00D466C6"/>
    <w:rsid w:val="00D467DF"/>
    <w:rsid w:val="00D46C12"/>
    <w:rsid w:val="00D46CF2"/>
    <w:rsid w:val="00D46D3E"/>
    <w:rsid w:val="00D46E4C"/>
    <w:rsid w:val="00D46F7A"/>
    <w:rsid w:val="00D47011"/>
    <w:rsid w:val="00D4702E"/>
    <w:rsid w:val="00D470A8"/>
    <w:rsid w:val="00D471A5"/>
    <w:rsid w:val="00D47233"/>
    <w:rsid w:val="00D472DD"/>
    <w:rsid w:val="00D472F4"/>
    <w:rsid w:val="00D4747B"/>
    <w:rsid w:val="00D47A38"/>
    <w:rsid w:val="00D47B10"/>
    <w:rsid w:val="00D47BB7"/>
    <w:rsid w:val="00D47C9F"/>
    <w:rsid w:val="00D47DAB"/>
    <w:rsid w:val="00D47E5D"/>
    <w:rsid w:val="00D5000B"/>
    <w:rsid w:val="00D50172"/>
    <w:rsid w:val="00D50252"/>
    <w:rsid w:val="00D50275"/>
    <w:rsid w:val="00D502B5"/>
    <w:rsid w:val="00D502CC"/>
    <w:rsid w:val="00D504BC"/>
    <w:rsid w:val="00D506CE"/>
    <w:rsid w:val="00D508FE"/>
    <w:rsid w:val="00D50BAF"/>
    <w:rsid w:val="00D50DA1"/>
    <w:rsid w:val="00D50EE7"/>
    <w:rsid w:val="00D50F81"/>
    <w:rsid w:val="00D510D5"/>
    <w:rsid w:val="00D51298"/>
    <w:rsid w:val="00D5139F"/>
    <w:rsid w:val="00D51442"/>
    <w:rsid w:val="00D517BA"/>
    <w:rsid w:val="00D51956"/>
    <w:rsid w:val="00D51C2A"/>
    <w:rsid w:val="00D51CA5"/>
    <w:rsid w:val="00D51FCB"/>
    <w:rsid w:val="00D52015"/>
    <w:rsid w:val="00D5205F"/>
    <w:rsid w:val="00D5214F"/>
    <w:rsid w:val="00D521C7"/>
    <w:rsid w:val="00D522A8"/>
    <w:rsid w:val="00D52337"/>
    <w:rsid w:val="00D52346"/>
    <w:rsid w:val="00D523E0"/>
    <w:rsid w:val="00D523E2"/>
    <w:rsid w:val="00D5242D"/>
    <w:rsid w:val="00D524C5"/>
    <w:rsid w:val="00D524E2"/>
    <w:rsid w:val="00D52819"/>
    <w:rsid w:val="00D52890"/>
    <w:rsid w:val="00D529A4"/>
    <w:rsid w:val="00D52A15"/>
    <w:rsid w:val="00D52A2D"/>
    <w:rsid w:val="00D52B13"/>
    <w:rsid w:val="00D52C94"/>
    <w:rsid w:val="00D52DA9"/>
    <w:rsid w:val="00D52DB4"/>
    <w:rsid w:val="00D52DD2"/>
    <w:rsid w:val="00D53039"/>
    <w:rsid w:val="00D530AD"/>
    <w:rsid w:val="00D53112"/>
    <w:rsid w:val="00D53165"/>
    <w:rsid w:val="00D532A1"/>
    <w:rsid w:val="00D53589"/>
    <w:rsid w:val="00D535EC"/>
    <w:rsid w:val="00D53637"/>
    <w:rsid w:val="00D538F5"/>
    <w:rsid w:val="00D53C58"/>
    <w:rsid w:val="00D53F87"/>
    <w:rsid w:val="00D54074"/>
    <w:rsid w:val="00D5425F"/>
    <w:rsid w:val="00D54461"/>
    <w:rsid w:val="00D54492"/>
    <w:rsid w:val="00D54533"/>
    <w:rsid w:val="00D54650"/>
    <w:rsid w:val="00D5488A"/>
    <w:rsid w:val="00D54F16"/>
    <w:rsid w:val="00D54FE7"/>
    <w:rsid w:val="00D5540D"/>
    <w:rsid w:val="00D554DE"/>
    <w:rsid w:val="00D55510"/>
    <w:rsid w:val="00D556FC"/>
    <w:rsid w:val="00D55885"/>
    <w:rsid w:val="00D55B6F"/>
    <w:rsid w:val="00D55B76"/>
    <w:rsid w:val="00D55B89"/>
    <w:rsid w:val="00D55C5A"/>
    <w:rsid w:val="00D55C7D"/>
    <w:rsid w:val="00D55CE3"/>
    <w:rsid w:val="00D55CF1"/>
    <w:rsid w:val="00D55E4D"/>
    <w:rsid w:val="00D56170"/>
    <w:rsid w:val="00D561A8"/>
    <w:rsid w:val="00D56442"/>
    <w:rsid w:val="00D56480"/>
    <w:rsid w:val="00D564EE"/>
    <w:rsid w:val="00D56543"/>
    <w:rsid w:val="00D565D9"/>
    <w:rsid w:val="00D567A3"/>
    <w:rsid w:val="00D567CA"/>
    <w:rsid w:val="00D568CA"/>
    <w:rsid w:val="00D56942"/>
    <w:rsid w:val="00D56AD5"/>
    <w:rsid w:val="00D56FF0"/>
    <w:rsid w:val="00D57039"/>
    <w:rsid w:val="00D571CA"/>
    <w:rsid w:val="00D572E5"/>
    <w:rsid w:val="00D5736E"/>
    <w:rsid w:val="00D57383"/>
    <w:rsid w:val="00D573A4"/>
    <w:rsid w:val="00D573BD"/>
    <w:rsid w:val="00D57684"/>
    <w:rsid w:val="00D57701"/>
    <w:rsid w:val="00D57847"/>
    <w:rsid w:val="00D57885"/>
    <w:rsid w:val="00D578C2"/>
    <w:rsid w:val="00D578DC"/>
    <w:rsid w:val="00D57AA3"/>
    <w:rsid w:val="00D57AC4"/>
    <w:rsid w:val="00D57C28"/>
    <w:rsid w:val="00D57C44"/>
    <w:rsid w:val="00D57CEC"/>
    <w:rsid w:val="00D57E3A"/>
    <w:rsid w:val="00D57ED0"/>
    <w:rsid w:val="00D57F20"/>
    <w:rsid w:val="00D57FE5"/>
    <w:rsid w:val="00D6005D"/>
    <w:rsid w:val="00D600BE"/>
    <w:rsid w:val="00D601BE"/>
    <w:rsid w:val="00D601FF"/>
    <w:rsid w:val="00D605E5"/>
    <w:rsid w:val="00D6069A"/>
    <w:rsid w:val="00D60734"/>
    <w:rsid w:val="00D60737"/>
    <w:rsid w:val="00D608C2"/>
    <w:rsid w:val="00D609E1"/>
    <w:rsid w:val="00D60C94"/>
    <w:rsid w:val="00D60FD8"/>
    <w:rsid w:val="00D6100A"/>
    <w:rsid w:val="00D610E8"/>
    <w:rsid w:val="00D6132F"/>
    <w:rsid w:val="00D6169E"/>
    <w:rsid w:val="00D616A7"/>
    <w:rsid w:val="00D6179A"/>
    <w:rsid w:val="00D61918"/>
    <w:rsid w:val="00D61930"/>
    <w:rsid w:val="00D6196E"/>
    <w:rsid w:val="00D61DC0"/>
    <w:rsid w:val="00D62747"/>
    <w:rsid w:val="00D627C7"/>
    <w:rsid w:val="00D62951"/>
    <w:rsid w:val="00D62B0E"/>
    <w:rsid w:val="00D62BE6"/>
    <w:rsid w:val="00D62C2B"/>
    <w:rsid w:val="00D62D22"/>
    <w:rsid w:val="00D62D67"/>
    <w:rsid w:val="00D62F47"/>
    <w:rsid w:val="00D63147"/>
    <w:rsid w:val="00D631B6"/>
    <w:rsid w:val="00D632AA"/>
    <w:rsid w:val="00D63343"/>
    <w:rsid w:val="00D63442"/>
    <w:rsid w:val="00D6376D"/>
    <w:rsid w:val="00D6395C"/>
    <w:rsid w:val="00D63992"/>
    <w:rsid w:val="00D63C06"/>
    <w:rsid w:val="00D63E20"/>
    <w:rsid w:val="00D63ED8"/>
    <w:rsid w:val="00D63F8E"/>
    <w:rsid w:val="00D6427A"/>
    <w:rsid w:val="00D6444B"/>
    <w:rsid w:val="00D64479"/>
    <w:rsid w:val="00D648C2"/>
    <w:rsid w:val="00D649CB"/>
    <w:rsid w:val="00D64A31"/>
    <w:rsid w:val="00D64A68"/>
    <w:rsid w:val="00D64AF6"/>
    <w:rsid w:val="00D64C8E"/>
    <w:rsid w:val="00D64CDA"/>
    <w:rsid w:val="00D64E4E"/>
    <w:rsid w:val="00D64E57"/>
    <w:rsid w:val="00D64EB0"/>
    <w:rsid w:val="00D65156"/>
    <w:rsid w:val="00D656C6"/>
    <w:rsid w:val="00D65749"/>
    <w:rsid w:val="00D6582C"/>
    <w:rsid w:val="00D65AE0"/>
    <w:rsid w:val="00D65C03"/>
    <w:rsid w:val="00D65C0B"/>
    <w:rsid w:val="00D65CE3"/>
    <w:rsid w:val="00D65DD4"/>
    <w:rsid w:val="00D65F39"/>
    <w:rsid w:val="00D66035"/>
    <w:rsid w:val="00D66212"/>
    <w:rsid w:val="00D662F3"/>
    <w:rsid w:val="00D664DE"/>
    <w:rsid w:val="00D6678C"/>
    <w:rsid w:val="00D667BE"/>
    <w:rsid w:val="00D669E0"/>
    <w:rsid w:val="00D66AE7"/>
    <w:rsid w:val="00D66B28"/>
    <w:rsid w:val="00D66CEB"/>
    <w:rsid w:val="00D66E45"/>
    <w:rsid w:val="00D66E71"/>
    <w:rsid w:val="00D670A5"/>
    <w:rsid w:val="00D67419"/>
    <w:rsid w:val="00D67671"/>
    <w:rsid w:val="00D677FB"/>
    <w:rsid w:val="00D67924"/>
    <w:rsid w:val="00D67ABC"/>
    <w:rsid w:val="00D67D46"/>
    <w:rsid w:val="00D67DC7"/>
    <w:rsid w:val="00D67E01"/>
    <w:rsid w:val="00D67ED2"/>
    <w:rsid w:val="00D67ED8"/>
    <w:rsid w:val="00D70070"/>
    <w:rsid w:val="00D7010A"/>
    <w:rsid w:val="00D701B4"/>
    <w:rsid w:val="00D705A8"/>
    <w:rsid w:val="00D705DB"/>
    <w:rsid w:val="00D70672"/>
    <w:rsid w:val="00D706C8"/>
    <w:rsid w:val="00D70826"/>
    <w:rsid w:val="00D70AA4"/>
    <w:rsid w:val="00D70D98"/>
    <w:rsid w:val="00D70ECB"/>
    <w:rsid w:val="00D7141C"/>
    <w:rsid w:val="00D716A7"/>
    <w:rsid w:val="00D717B7"/>
    <w:rsid w:val="00D71904"/>
    <w:rsid w:val="00D71F35"/>
    <w:rsid w:val="00D7239E"/>
    <w:rsid w:val="00D723BE"/>
    <w:rsid w:val="00D7269F"/>
    <w:rsid w:val="00D729B5"/>
    <w:rsid w:val="00D729B6"/>
    <w:rsid w:val="00D72ABD"/>
    <w:rsid w:val="00D72BA5"/>
    <w:rsid w:val="00D72BC8"/>
    <w:rsid w:val="00D72D1B"/>
    <w:rsid w:val="00D73141"/>
    <w:rsid w:val="00D73142"/>
    <w:rsid w:val="00D73383"/>
    <w:rsid w:val="00D73546"/>
    <w:rsid w:val="00D7374A"/>
    <w:rsid w:val="00D737B4"/>
    <w:rsid w:val="00D73868"/>
    <w:rsid w:val="00D73A3F"/>
    <w:rsid w:val="00D73A6A"/>
    <w:rsid w:val="00D73BD2"/>
    <w:rsid w:val="00D73C28"/>
    <w:rsid w:val="00D73D0B"/>
    <w:rsid w:val="00D73D90"/>
    <w:rsid w:val="00D73E0E"/>
    <w:rsid w:val="00D73EB8"/>
    <w:rsid w:val="00D73F9F"/>
    <w:rsid w:val="00D74055"/>
    <w:rsid w:val="00D7419A"/>
    <w:rsid w:val="00D74401"/>
    <w:rsid w:val="00D74506"/>
    <w:rsid w:val="00D74578"/>
    <w:rsid w:val="00D7471A"/>
    <w:rsid w:val="00D748DD"/>
    <w:rsid w:val="00D749B6"/>
    <w:rsid w:val="00D749C2"/>
    <w:rsid w:val="00D749F6"/>
    <w:rsid w:val="00D74B5A"/>
    <w:rsid w:val="00D74C33"/>
    <w:rsid w:val="00D7536F"/>
    <w:rsid w:val="00D7541E"/>
    <w:rsid w:val="00D755A9"/>
    <w:rsid w:val="00D755BA"/>
    <w:rsid w:val="00D75755"/>
    <w:rsid w:val="00D75B5E"/>
    <w:rsid w:val="00D75BE6"/>
    <w:rsid w:val="00D75BFE"/>
    <w:rsid w:val="00D75CAF"/>
    <w:rsid w:val="00D75F5D"/>
    <w:rsid w:val="00D7649D"/>
    <w:rsid w:val="00D76569"/>
    <w:rsid w:val="00D7656C"/>
    <w:rsid w:val="00D7659B"/>
    <w:rsid w:val="00D7674A"/>
    <w:rsid w:val="00D7692B"/>
    <w:rsid w:val="00D76A71"/>
    <w:rsid w:val="00D76B4A"/>
    <w:rsid w:val="00D76DB5"/>
    <w:rsid w:val="00D76EC7"/>
    <w:rsid w:val="00D77038"/>
    <w:rsid w:val="00D770D4"/>
    <w:rsid w:val="00D7727C"/>
    <w:rsid w:val="00D774B3"/>
    <w:rsid w:val="00D77599"/>
    <w:rsid w:val="00D77615"/>
    <w:rsid w:val="00D77621"/>
    <w:rsid w:val="00D778A7"/>
    <w:rsid w:val="00D77B05"/>
    <w:rsid w:val="00D77B0F"/>
    <w:rsid w:val="00D77C0C"/>
    <w:rsid w:val="00D77CCC"/>
    <w:rsid w:val="00D77D8B"/>
    <w:rsid w:val="00D77FB1"/>
    <w:rsid w:val="00D80203"/>
    <w:rsid w:val="00D803B0"/>
    <w:rsid w:val="00D8045A"/>
    <w:rsid w:val="00D80518"/>
    <w:rsid w:val="00D8076F"/>
    <w:rsid w:val="00D807EF"/>
    <w:rsid w:val="00D807FC"/>
    <w:rsid w:val="00D809AF"/>
    <w:rsid w:val="00D80CA9"/>
    <w:rsid w:val="00D80D87"/>
    <w:rsid w:val="00D80DF5"/>
    <w:rsid w:val="00D80E57"/>
    <w:rsid w:val="00D8108B"/>
    <w:rsid w:val="00D810E2"/>
    <w:rsid w:val="00D81726"/>
    <w:rsid w:val="00D81829"/>
    <w:rsid w:val="00D8190C"/>
    <w:rsid w:val="00D81987"/>
    <w:rsid w:val="00D819D8"/>
    <w:rsid w:val="00D81A77"/>
    <w:rsid w:val="00D81B32"/>
    <w:rsid w:val="00D81F35"/>
    <w:rsid w:val="00D8201F"/>
    <w:rsid w:val="00D821D7"/>
    <w:rsid w:val="00D823F1"/>
    <w:rsid w:val="00D82856"/>
    <w:rsid w:val="00D82884"/>
    <w:rsid w:val="00D82A36"/>
    <w:rsid w:val="00D82A9D"/>
    <w:rsid w:val="00D82AFA"/>
    <w:rsid w:val="00D83071"/>
    <w:rsid w:val="00D830A4"/>
    <w:rsid w:val="00D830E5"/>
    <w:rsid w:val="00D83140"/>
    <w:rsid w:val="00D831D5"/>
    <w:rsid w:val="00D832A7"/>
    <w:rsid w:val="00D83367"/>
    <w:rsid w:val="00D8348A"/>
    <w:rsid w:val="00D83500"/>
    <w:rsid w:val="00D83880"/>
    <w:rsid w:val="00D8398B"/>
    <w:rsid w:val="00D839D8"/>
    <w:rsid w:val="00D839F8"/>
    <w:rsid w:val="00D83B4F"/>
    <w:rsid w:val="00D83BD9"/>
    <w:rsid w:val="00D83C63"/>
    <w:rsid w:val="00D83E32"/>
    <w:rsid w:val="00D84208"/>
    <w:rsid w:val="00D843F3"/>
    <w:rsid w:val="00D844AF"/>
    <w:rsid w:val="00D845D3"/>
    <w:rsid w:val="00D845E7"/>
    <w:rsid w:val="00D846DA"/>
    <w:rsid w:val="00D84726"/>
    <w:rsid w:val="00D84811"/>
    <w:rsid w:val="00D8489B"/>
    <w:rsid w:val="00D84A40"/>
    <w:rsid w:val="00D84A80"/>
    <w:rsid w:val="00D84ECB"/>
    <w:rsid w:val="00D85217"/>
    <w:rsid w:val="00D8531F"/>
    <w:rsid w:val="00D85548"/>
    <w:rsid w:val="00D85624"/>
    <w:rsid w:val="00D856FB"/>
    <w:rsid w:val="00D85738"/>
    <w:rsid w:val="00D857CF"/>
    <w:rsid w:val="00D8590D"/>
    <w:rsid w:val="00D859A0"/>
    <w:rsid w:val="00D85A3C"/>
    <w:rsid w:val="00D85C3B"/>
    <w:rsid w:val="00D85CC2"/>
    <w:rsid w:val="00D85DDB"/>
    <w:rsid w:val="00D85FF9"/>
    <w:rsid w:val="00D86306"/>
    <w:rsid w:val="00D86335"/>
    <w:rsid w:val="00D86610"/>
    <w:rsid w:val="00D86A6C"/>
    <w:rsid w:val="00D86AEF"/>
    <w:rsid w:val="00D86E0B"/>
    <w:rsid w:val="00D86EA4"/>
    <w:rsid w:val="00D86EC9"/>
    <w:rsid w:val="00D86FEE"/>
    <w:rsid w:val="00D873D6"/>
    <w:rsid w:val="00D874BA"/>
    <w:rsid w:val="00D87582"/>
    <w:rsid w:val="00D875C9"/>
    <w:rsid w:val="00D87664"/>
    <w:rsid w:val="00D87BCD"/>
    <w:rsid w:val="00D87CE4"/>
    <w:rsid w:val="00D87D26"/>
    <w:rsid w:val="00D87D4C"/>
    <w:rsid w:val="00D87D59"/>
    <w:rsid w:val="00D87F39"/>
    <w:rsid w:val="00D87F52"/>
    <w:rsid w:val="00D87FE2"/>
    <w:rsid w:val="00D900CE"/>
    <w:rsid w:val="00D90169"/>
    <w:rsid w:val="00D9017A"/>
    <w:rsid w:val="00D9045B"/>
    <w:rsid w:val="00D90489"/>
    <w:rsid w:val="00D90556"/>
    <w:rsid w:val="00D9057C"/>
    <w:rsid w:val="00D906F9"/>
    <w:rsid w:val="00D9089B"/>
    <w:rsid w:val="00D908C7"/>
    <w:rsid w:val="00D90B84"/>
    <w:rsid w:val="00D90E3B"/>
    <w:rsid w:val="00D90EA9"/>
    <w:rsid w:val="00D90F6F"/>
    <w:rsid w:val="00D91094"/>
    <w:rsid w:val="00D912D9"/>
    <w:rsid w:val="00D91306"/>
    <w:rsid w:val="00D9135A"/>
    <w:rsid w:val="00D91416"/>
    <w:rsid w:val="00D914E5"/>
    <w:rsid w:val="00D91590"/>
    <w:rsid w:val="00D91646"/>
    <w:rsid w:val="00D9183C"/>
    <w:rsid w:val="00D91C8C"/>
    <w:rsid w:val="00D91D37"/>
    <w:rsid w:val="00D91E9F"/>
    <w:rsid w:val="00D92001"/>
    <w:rsid w:val="00D9205F"/>
    <w:rsid w:val="00D9228C"/>
    <w:rsid w:val="00D922D8"/>
    <w:rsid w:val="00D92360"/>
    <w:rsid w:val="00D92472"/>
    <w:rsid w:val="00D92827"/>
    <w:rsid w:val="00D92B4D"/>
    <w:rsid w:val="00D92BBD"/>
    <w:rsid w:val="00D92C66"/>
    <w:rsid w:val="00D92D6F"/>
    <w:rsid w:val="00D92DC8"/>
    <w:rsid w:val="00D92FF0"/>
    <w:rsid w:val="00D9319A"/>
    <w:rsid w:val="00D93233"/>
    <w:rsid w:val="00D93368"/>
    <w:rsid w:val="00D93441"/>
    <w:rsid w:val="00D93456"/>
    <w:rsid w:val="00D9357E"/>
    <w:rsid w:val="00D9358C"/>
    <w:rsid w:val="00D93599"/>
    <w:rsid w:val="00D9372F"/>
    <w:rsid w:val="00D93B1D"/>
    <w:rsid w:val="00D93E14"/>
    <w:rsid w:val="00D93F00"/>
    <w:rsid w:val="00D9405A"/>
    <w:rsid w:val="00D9414A"/>
    <w:rsid w:val="00D941D1"/>
    <w:rsid w:val="00D941E8"/>
    <w:rsid w:val="00D94266"/>
    <w:rsid w:val="00D94562"/>
    <w:rsid w:val="00D945A9"/>
    <w:rsid w:val="00D94867"/>
    <w:rsid w:val="00D948AD"/>
    <w:rsid w:val="00D94A57"/>
    <w:rsid w:val="00D94EB2"/>
    <w:rsid w:val="00D95284"/>
    <w:rsid w:val="00D953D4"/>
    <w:rsid w:val="00D95409"/>
    <w:rsid w:val="00D955A9"/>
    <w:rsid w:val="00D9562C"/>
    <w:rsid w:val="00D95827"/>
    <w:rsid w:val="00D958B5"/>
    <w:rsid w:val="00D958FF"/>
    <w:rsid w:val="00D959D8"/>
    <w:rsid w:val="00D959ED"/>
    <w:rsid w:val="00D95B3C"/>
    <w:rsid w:val="00D95D13"/>
    <w:rsid w:val="00D95EE9"/>
    <w:rsid w:val="00D96008"/>
    <w:rsid w:val="00D9618A"/>
    <w:rsid w:val="00D96214"/>
    <w:rsid w:val="00D967CB"/>
    <w:rsid w:val="00D967FF"/>
    <w:rsid w:val="00D96B36"/>
    <w:rsid w:val="00D96C9D"/>
    <w:rsid w:val="00D96CFD"/>
    <w:rsid w:val="00D96D42"/>
    <w:rsid w:val="00D96DA9"/>
    <w:rsid w:val="00D96F61"/>
    <w:rsid w:val="00D97010"/>
    <w:rsid w:val="00D9705F"/>
    <w:rsid w:val="00D97061"/>
    <w:rsid w:val="00D970C3"/>
    <w:rsid w:val="00D97120"/>
    <w:rsid w:val="00D97222"/>
    <w:rsid w:val="00D97374"/>
    <w:rsid w:val="00D97389"/>
    <w:rsid w:val="00D9747C"/>
    <w:rsid w:val="00D976DD"/>
    <w:rsid w:val="00D97790"/>
    <w:rsid w:val="00D9779C"/>
    <w:rsid w:val="00D97888"/>
    <w:rsid w:val="00D978CC"/>
    <w:rsid w:val="00D97935"/>
    <w:rsid w:val="00D97D16"/>
    <w:rsid w:val="00D97F39"/>
    <w:rsid w:val="00D97FDD"/>
    <w:rsid w:val="00DA013B"/>
    <w:rsid w:val="00DA017F"/>
    <w:rsid w:val="00DA02A5"/>
    <w:rsid w:val="00DA02BC"/>
    <w:rsid w:val="00DA0477"/>
    <w:rsid w:val="00DA0530"/>
    <w:rsid w:val="00DA079D"/>
    <w:rsid w:val="00DA07B9"/>
    <w:rsid w:val="00DA0804"/>
    <w:rsid w:val="00DA0934"/>
    <w:rsid w:val="00DA0B2A"/>
    <w:rsid w:val="00DA0C70"/>
    <w:rsid w:val="00DA0C79"/>
    <w:rsid w:val="00DA0C9C"/>
    <w:rsid w:val="00DA1464"/>
    <w:rsid w:val="00DA14BE"/>
    <w:rsid w:val="00DA14C6"/>
    <w:rsid w:val="00DA15EE"/>
    <w:rsid w:val="00DA19DD"/>
    <w:rsid w:val="00DA1A3F"/>
    <w:rsid w:val="00DA1DE8"/>
    <w:rsid w:val="00DA1F51"/>
    <w:rsid w:val="00DA1F67"/>
    <w:rsid w:val="00DA20C6"/>
    <w:rsid w:val="00DA2421"/>
    <w:rsid w:val="00DA2428"/>
    <w:rsid w:val="00DA24E3"/>
    <w:rsid w:val="00DA26EB"/>
    <w:rsid w:val="00DA29CB"/>
    <w:rsid w:val="00DA2CD7"/>
    <w:rsid w:val="00DA3146"/>
    <w:rsid w:val="00DA3559"/>
    <w:rsid w:val="00DA3560"/>
    <w:rsid w:val="00DA366E"/>
    <w:rsid w:val="00DA372A"/>
    <w:rsid w:val="00DA377B"/>
    <w:rsid w:val="00DA38AC"/>
    <w:rsid w:val="00DA38EB"/>
    <w:rsid w:val="00DA3ACB"/>
    <w:rsid w:val="00DA3C47"/>
    <w:rsid w:val="00DA4223"/>
    <w:rsid w:val="00DA431E"/>
    <w:rsid w:val="00DA4460"/>
    <w:rsid w:val="00DA4537"/>
    <w:rsid w:val="00DA4538"/>
    <w:rsid w:val="00DA4547"/>
    <w:rsid w:val="00DA4692"/>
    <w:rsid w:val="00DA4780"/>
    <w:rsid w:val="00DA47F3"/>
    <w:rsid w:val="00DA48FD"/>
    <w:rsid w:val="00DA4A08"/>
    <w:rsid w:val="00DA4D5D"/>
    <w:rsid w:val="00DA4DAE"/>
    <w:rsid w:val="00DA4EBC"/>
    <w:rsid w:val="00DA4F06"/>
    <w:rsid w:val="00DA533F"/>
    <w:rsid w:val="00DA547A"/>
    <w:rsid w:val="00DA555B"/>
    <w:rsid w:val="00DA574A"/>
    <w:rsid w:val="00DA5831"/>
    <w:rsid w:val="00DA587D"/>
    <w:rsid w:val="00DA5980"/>
    <w:rsid w:val="00DA5B8B"/>
    <w:rsid w:val="00DA5C72"/>
    <w:rsid w:val="00DA5CB7"/>
    <w:rsid w:val="00DA5DB7"/>
    <w:rsid w:val="00DA5DE9"/>
    <w:rsid w:val="00DA5F94"/>
    <w:rsid w:val="00DA608D"/>
    <w:rsid w:val="00DA6212"/>
    <w:rsid w:val="00DA6242"/>
    <w:rsid w:val="00DA6258"/>
    <w:rsid w:val="00DA634D"/>
    <w:rsid w:val="00DA63A4"/>
    <w:rsid w:val="00DA6452"/>
    <w:rsid w:val="00DA645A"/>
    <w:rsid w:val="00DA64BA"/>
    <w:rsid w:val="00DA65E6"/>
    <w:rsid w:val="00DA6837"/>
    <w:rsid w:val="00DA68C8"/>
    <w:rsid w:val="00DA696F"/>
    <w:rsid w:val="00DA6996"/>
    <w:rsid w:val="00DA6B82"/>
    <w:rsid w:val="00DA6F2B"/>
    <w:rsid w:val="00DA716E"/>
    <w:rsid w:val="00DA723D"/>
    <w:rsid w:val="00DA72C0"/>
    <w:rsid w:val="00DA732E"/>
    <w:rsid w:val="00DA75DD"/>
    <w:rsid w:val="00DA76B1"/>
    <w:rsid w:val="00DA76C8"/>
    <w:rsid w:val="00DA76F5"/>
    <w:rsid w:val="00DA77AD"/>
    <w:rsid w:val="00DA77F7"/>
    <w:rsid w:val="00DA78A5"/>
    <w:rsid w:val="00DA7910"/>
    <w:rsid w:val="00DA79D4"/>
    <w:rsid w:val="00DA7ABE"/>
    <w:rsid w:val="00DA7B5C"/>
    <w:rsid w:val="00DA7C3C"/>
    <w:rsid w:val="00DA7CFF"/>
    <w:rsid w:val="00DA7DF2"/>
    <w:rsid w:val="00DA7EA5"/>
    <w:rsid w:val="00DA7F90"/>
    <w:rsid w:val="00DA7F99"/>
    <w:rsid w:val="00DB0091"/>
    <w:rsid w:val="00DB0146"/>
    <w:rsid w:val="00DB01DE"/>
    <w:rsid w:val="00DB0220"/>
    <w:rsid w:val="00DB0251"/>
    <w:rsid w:val="00DB067F"/>
    <w:rsid w:val="00DB06CA"/>
    <w:rsid w:val="00DB06F2"/>
    <w:rsid w:val="00DB06FF"/>
    <w:rsid w:val="00DB093A"/>
    <w:rsid w:val="00DB0A92"/>
    <w:rsid w:val="00DB0AB1"/>
    <w:rsid w:val="00DB0B04"/>
    <w:rsid w:val="00DB0D03"/>
    <w:rsid w:val="00DB0D38"/>
    <w:rsid w:val="00DB0F6B"/>
    <w:rsid w:val="00DB0FAC"/>
    <w:rsid w:val="00DB10DC"/>
    <w:rsid w:val="00DB12F0"/>
    <w:rsid w:val="00DB1388"/>
    <w:rsid w:val="00DB141B"/>
    <w:rsid w:val="00DB1553"/>
    <w:rsid w:val="00DB165F"/>
    <w:rsid w:val="00DB16DE"/>
    <w:rsid w:val="00DB1CB1"/>
    <w:rsid w:val="00DB1DC4"/>
    <w:rsid w:val="00DB1DF5"/>
    <w:rsid w:val="00DB1E38"/>
    <w:rsid w:val="00DB2164"/>
    <w:rsid w:val="00DB2342"/>
    <w:rsid w:val="00DB239D"/>
    <w:rsid w:val="00DB25BA"/>
    <w:rsid w:val="00DB26A3"/>
    <w:rsid w:val="00DB2AA1"/>
    <w:rsid w:val="00DB2B06"/>
    <w:rsid w:val="00DB2D44"/>
    <w:rsid w:val="00DB3091"/>
    <w:rsid w:val="00DB309A"/>
    <w:rsid w:val="00DB3482"/>
    <w:rsid w:val="00DB3496"/>
    <w:rsid w:val="00DB34D6"/>
    <w:rsid w:val="00DB34E0"/>
    <w:rsid w:val="00DB380F"/>
    <w:rsid w:val="00DB392D"/>
    <w:rsid w:val="00DB39EC"/>
    <w:rsid w:val="00DB3A61"/>
    <w:rsid w:val="00DB3DD2"/>
    <w:rsid w:val="00DB40E3"/>
    <w:rsid w:val="00DB42CB"/>
    <w:rsid w:val="00DB45FC"/>
    <w:rsid w:val="00DB46C4"/>
    <w:rsid w:val="00DB48FD"/>
    <w:rsid w:val="00DB4B3C"/>
    <w:rsid w:val="00DB4B93"/>
    <w:rsid w:val="00DB4C0E"/>
    <w:rsid w:val="00DB4DC1"/>
    <w:rsid w:val="00DB4DF4"/>
    <w:rsid w:val="00DB5152"/>
    <w:rsid w:val="00DB52FA"/>
    <w:rsid w:val="00DB53DA"/>
    <w:rsid w:val="00DB56F5"/>
    <w:rsid w:val="00DB56FD"/>
    <w:rsid w:val="00DB5947"/>
    <w:rsid w:val="00DB5F78"/>
    <w:rsid w:val="00DB6108"/>
    <w:rsid w:val="00DB617C"/>
    <w:rsid w:val="00DB66F2"/>
    <w:rsid w:val="00DB688B"/>
    <w:rsid w:val="00DB6BC0"/>
    <w:rsid w:val="00DB6CF9"/>
    <w:rsid w:val="00DB6DA4"/>
    <w:rsid w:val="00DB6E3E"/>
    <w:rsid w:val="00DB7499"/>
    <w:rsid w:val="00DB752D"/>
    <w:rsid w:val="00DB75D2"/>
    <w:rsid w:val="00DB7702"/>
    <w:rsid w:val="00DB78E8"/>
    <w:rsid w:val="00DB7B9E"/>
    <w:rsid w:val="00DB7C2B"/>
    <w:rsid w:val="00DB7EEC"/>
    <w:rsid w:val="00DB7FCD"/>
    <w:rsid w:val="00DC012E"/>
    <w:rsid w:val="00DC022A"/>
    <w:rsid w:val="00DC0346"/>
    <w:rsid w:val="00DC03D1"/>
    <w:rsid w:val="00DC047E"/>
    <w:rsid w:val="00DC0713"/>
    <w:rsid w:val="00DC07C2"/>
    <w:rsid w:val="00DC0913"/>
    <w:rsid w:val="00DC0982"/>
    <w:rsid w:val="00DC0ABF"/>
    <w:rsid w:val="00DC0AC5"/>
    <w:rsid w:val="00DC0B29"/>
    <w:rsid w:val="00DC0B64"/>
    <w:rsid w:val="00DC0C06"/>
    <w:rsid w:val="00DC0DF8"/>
    <w:rsid w:val="00DC0E56"/>
    <w:rsid w:val="00DC0ED6"/>
    <w:rsid w:val="00DC0FBD"/>
    <w:rsid w:val="00DC150E"/>
    <w:rsid w:val="00DC1550"/>
    <w:rsid w:val="00DC1581"/>
    <w:rsid w:val="00DC1642"/>
    <w:rsid w:val="00DC174F"/>
    <w:rsid w:val="00DC1BD7"/>
    <w:rsid w:val="00DC1C54"/>
    <w:rsid w:val="00DC1EFF"/>
    <w:rsid w:val="00DC220B"/>
    <w:rsid w:val="00DC2286"/>
    <w:rsid w:val="00DC2382"/>
    <w:rsid w:val="00DC23D6"/>
    <w:rsid w:val="00DC24B8"/>
    <w:rsid w:val="00DC24C1"/>
    <w:rsid w:val="00DC24C5"/>
    <w:rsid w:val="00DC25C9"/>
    <w:rsid w:val="00DC27CE"/>
    <w:rsid w:val="00DC28BE"/>
    <w:rsid w:val="00DC2937"/>
    <w:rsid w:val="00DC2AA0"/>
    <w:rsid w:val="00DC2BA3"/>
    <w:rsid w:val="00DC2C20"/>
    <w:rsid w:val="00DC2E44"/>
    <w:rsid w:val="00DC2FAD"/>
    <w:rsid w:val="00DC2FD3"/>
    <w:rsid w:val="00DC30B9"/>
    <w:rsid w:val="00DC30E5"/>
    <w:rsid w:val="00DC3161"/>
    <w:rsid w:val="00DC31D7"/>
    <w:rsid w:val="00DC3231"/>
    <w:rsid w:val="00DC326E"/>
    <w:rsid w:val="00DC338A"/>
    <w:rsid w:val="00DC3592"/>
    <w:rsid w:val="00DC35A5"/>
    <w:rsid w:val="00DC35FF"/>
    <w:rsid w:val="00DC36DC"/>
    <w:rsid w:val="00DC36E3"/>
    <w:rsid w:val="00DC36F3"/>
    <w:rsid w:val="00DC378E"/>
    <w:rsid w:val="00DC38FB"/>
    <w:rsid w:val="00DC3930"/>
    <w:rsid w:val="00DC3B41"/>
    <w:rsid w:val="00DC3B65"/>
    <w:rsid w:val="00DC3C38"/>
    <w:rsid w:val="00DC3CCF"/>
    <w:rsid w:val="00DC3D70"/>
    <w:rsid w:val="00DC3D76"/>
    <w:rsid w:val="00DC3D93"/>
    <w:rsid w:val="00DC41E2"/>
    <w:rsid w:val="00DC4392"/>
    <w:rsid w:val="00DC43FB"/>
    <w:rsid w:val="00DC4480"/>
    <w:rsid w:val="00DC4563"/>
    <w:rsid w:val="00DC457E"/>
    <w:rsid w:val="00DC4A74"/>
    <w:rsid w:val="00DC4DBE"/>
    <w:rsid w:val="00DC4F05"/>
    <w:rsid w:val="00DC4FB4"/>
    <w:rsid w:val="00DC5334"/>
    <w:rsid w:val="00DC557F"/>
    <w:rsid w:val="00DC56EA"/>
    <w:rsid w:val="00DC587B"/>
    <w:rsid w:val="00DC61D0"/>
    <w:rsid w:val="00DC61F9"/>
    <w:rsid w:val="00DC6303"/>
    <w:rsid w:val="00DC632E"/>
    <w:rsid w:val="00DC6636"/>
    <w:rsid w:val="00DC6640"/>
    <w:rsid w:val="00DC6A29"/>
    <w:rsid w:val="00DC6AF9"/>
    <w:rsid w:val="00DC6B29"/>
    <w:rsid w:val="00DC6B41"/>
    <w:rsid w:val="00DC6E2B"/>
    <w:rsid w:val="00DC704B"/>
    <w:rsid w:val="00DC73C5"/>
    <w:rsid w:val="00DC77DF"/>
    <w:rsid w:val="00DC7A24"/>
    <w:rsid w:val="00DC7AE5"/>
    <w:rsid w:val="00DC7CF7"/>
    <w:rsid w:val="00DC7E87"/>
    <w:rsid w:val="00DC7F7D"/>
    <w:rsid w:val="00DD008B"/>
    <w:rsid w:val="00DD008F"/>
    <w:rsid w:val="00DD0136"/>
    <w:rsid w:val="00DD01E9"/>
    <w:rsid w:val="00DD02D6"/>
    <w:rsid w:val="00DD03D9"/>
    <w:rsid w:val="00DD03E0"/>
    <w:rsid w:val="00DD06C6"/>
    <w:rsid w:val="00DD072F"/>
    <w:rsid w:val="00DD0794"/>
    <w:rsid w:val="00DD0A0F"/>
    <w:rsid w:val="00DD0AD9"/>
    <w:rsid w:val="00DD0BE8"/>
    <w:rsid w:val="00DD0C4B"/>
    <w:rsid w:val="00DD0DE0"/>
    <w:rsid w:val="00DD0F43"/>
    <w:rsid w:val="00DD0FF9"/>
    <w:rsid w:val="00DD105A"/>
    <w:rsid w:val="00DD1183"/>
    <w:rsid w:val="00DD119E"/>
    <w:rsid w:val="00DD1308"/>
    <w:rsid w:val="00DD1533"/>
    <w:rsid w:val="00DD1583"/>
    <w:rsid w:val="00DD16E1"/>
    <w:rsid w:val="00DD1763"/>
    <w:rsid w:val="00DD1B15"/>
    <w:rsid w:val="00DD1B9F"/>
    <w:rsid w:val="00DD1E1C"/>
    <w:rsid w:val="00DD1E7A"/>
    <w:rsid w:val="00DD2025"/>
    <w:rsid w:val="00DD2378"/>
    <w:rsid w:val="00DD2522"/>
    <w:rsid w:val="00DD2527"/>
    <w:rsid w:val="00DD2643"/>
    <w:rsid w:val="00DD2848"/>
    <w:rsid w:val="00DD2CAD"/>
    <w:rsid w:val="00DD2FDA"/>
    <w:rsid w:val="00DD3025"/>
    <w:rsid w:val="00DD333E"/>
    <w:rsid w:val="00DD3469"/>
    <w:rsid w:val="00DD35EA"/>
    <w:rsid w:val="00DD3710"/>
    <w:rsid w:val="00DD3832"/>
    <w:rsid w:val="00DD386B"/>
    <w:rsid w:val="00DD3914"/>
    <w:rsid w:val="00DD394A"/>
    <w:rsid w:val="00DD3B84"/>
    <w:rsid w:val="00DD3C60"/>
    <w:rsid w:val="00DD3CEA"/>
    <w:rsid w:val="00DD3D28"/>
    <w:rsid w:val="00DD3E56"/>
    <w:rsid w:val="00DD4066"/>
    <w:rsid w:val="00DD41AC"/>
    <w:rsid w:val="00DD48BB"/>
    <w:rsid w:val="00DD4998"/>
    <w:rsid w:val="00DD4AD4"/>
    <w:rsid w:val="00DD4D84"/>
    <w:rsid w:val="00DD4DB4"/>
    <w:rsid w:val="00DD4F0F"/>
    <w:rsid w:val="00DD50BC"/>
    <w:rsid w:val="00DD515F"/>
    <w:rsid w:val="00DD5187"/>
    <w:rsid w:val="00DD51CE"/>
    <w:rsid w:val="00DD5732"/>
    <w:rsid w:val="00DD59E4"/>
    <w:rsid w:val="00DD5A61"/>
    <w:rsid w:val="00DD5AEE"/>
    <w:rsid w:val="00DD5B65"/>
    <w:rsid w:val="00DD5BC6"/>
    <w:rsid w:val="00DD5CF0"/>
    <w:rsid w:val="00DD5E95"/>
    <w:rsid w:val="00DD5F1E"/>
    <w:rsid w:val="00DD652D"/>
    <w:rsid w:val="00DD66C3"/>
    <w:rsid w:val="00DD67BD"/>
    <w:rsid w:val="00DD687B"/>
    <w:rsid w:val="00DD6C64"/>
    <w:rsid w:val="00DD7216"/>
    <w:rsid w:val="00DD72D4"/>
    <w:rsid w:val="00DD75C0"/>
    <w:rsid w:val="00DD77E6"/>
    <w:rsid w:val="00DD7A66"/>
    <w:rsid w:val="00DD7B7B"/>
    <w:rsid w:val="00DD7BBE"/>
    <w:rsid w:val="00DD7D89"/>
    <w:rsid w:val="00DD7F40"/>
    <w:rsid w:val="00DE000D"/>
    <w:rsid w:val="00DE0075"/>
    <w:rsid w:val="00DE00CC"/>
    <w:rsid w:val="00DE028E"/>
    <w:rsid w:val="00DE02D0"/>
    <w:rsid w:val="00DE030A"/>
    <w:rsid w:val="00DE0317"/>
    <w:rsid w:val="00DE0514"/>
    <w:rsid w:val="00DE05D1"/>
    <w:rsid w:val="00DE05D8"/>
    <w:rsid w:val="00DE07F6"/>
    <w:rsid w:val="00DE0801"/>
    <w:rsid w:val="00DE091A"/>
    <w:rsid w:val="00DE092F"/>
    <w:rsid w:val="00DE0C60"/>
    <w:rsid w:val="00DE0F17"/>
    <w:rsid w:val="00DE0FEE"/>
    <w:rsid w:val="00DE1243"/>
    <w:rsid w:val="00DE12F6"/>
    <w:rsid w:val="00DE13A5"/>
    <w:rsid w:val="00DE1535"/>
    <w:rsid w:val="00DE15FA"/>
    <w:rsid w:val="00DE2007"/>
    <w:rsid w:val="00DE20F8"/>
    <w:rsid w:val="00DE2198"/>
    <w:rsid w:val="00DE220C"/>
    <w:rsid w:val="00DE225E"/>
    <w:rsid w:val="00DE22E9"/>
    <w:rsid w:val="00DE24A7"/>
    <w:rsid w:val="00DE24C9"/>
    <w:rsid w:val="00DE269B"/>
    <w:rsid w:val="00DE285C"/>
    <w:rsid w:val="00DE29F3"/>
    <w:rsid w:val="00DE2A11"/>
    <w:rsid w:val="00DE2CD6"/>
    <w:rsid w:val="00DE2DDF"/>
    <w:rsid w:val="00DE2E87"/>
    <w:rsid w:val="00DE2FE3"/>
    <w:rsid w:val="00DE32B9"/>
    <w:rsid w:val="00DE3755"/>
    <w:rsid w:val="00DE3865"/>
    <w:rsid w:val="00DE3902"/>
    <w:rsid w:val="00DE3A3E"/>
    <w:rsid w:val="00DE3BFB"/>
    <w:rsid w:val="00DE3C38"/>
    <w:rsid w:val="00DE3CC7"/>
    <w:rsid w:val="00DE4043"/>
    <w:rsid w:val="00DE4123"/>
    <w:rsid w:val="00DE41BD"/>
    <w:rsid w:val="00DE436E"/>
    <w:rsid w:val="00DE4642"/>
    <w:rsid w:val="00DE46CC"/>
    <w:rsid w:val="00DE4ABF"/>
    <w:rsid w:val="00DE50B9"/>
    <w:rsid w:val="00DE5458"/>
    <w:rsid w:val="00DE54FF"/>
    <w:rsid w:val="00DE552F"/>
    <w:rsid w:val="00DE5536"/>
    <w:rsid w:val="00DE57AA"/>
    <w:rsid w:val="00DE5833"/>
    <w:rsid w:val="00DE5838"/>
    <w:rsid w:val="00DE590C"/>
    <w:rsid w:val="00DE5A02"/>
    <w:rsid w:val="00DE5A85"/>
    <w:rsid w:val="00DE5CCD"/>
    <w:rsid w:val="00DE5D4E"/>
    <w:rsid w:val="00DE63F1"/>
    <w:rsid w:val="00DE64EC"/>
    <w:rsid w:val="00DE662D"/>
    <w:rsid w:val="00DE66AC"/>
    <w:rsid w:val="00DE6997"/>
    <w:rsid w:val="00DE699F"/>
    <w:rsid w:val="00DE6C56"/>
    <w:rsid w:val="00DE6D55"/>
    <w:rsid w:val="00DE6D9D"/>
    <w:rsid w:val="00DE70DA"/>
    <w:rsid w:val="00DE715E"/>
    <w:rsid w:val="00DE71A0"/>
    <w:rsid w:val="00DE73F3"/>
    <w:rsid w:val="00DE74F2"/>
    <w:rsid w:val="00DE75CF"/>
    <w:rsid w:val="00DE7621"/>
    <w:rsid w:val="00DE76C4"/>
    <w:rsid w:val="00DE7794"/>
    <w:rsid w:val="00DE786E"/>
    <w:rsid w:val="00DE7B5F"/>
    <w:rsid w:val="00DE7D8D"/>
    <w:rsid w:val="00DE7DC5"/>
    <w:rsid w:val="00DF0097"/>
    <w:rsid w:val="00DF041F"/>
    <w:rsid w:val="00DF0515"/>
    <w:rsid w:val="00DF060C"/>
    <w:rsid w:val="00DF079A"/>
    <w:rsid w:val="00DF089E"/>
    <w:rsid w:val="00DF09F1"/>
    <w:rsid w:val="00DF0B32"/>
    <w:rsid w:val="00DF0CD0"/>
    <w:rsid w:val="00DF10A7"/>
    <w:rsid w:val="00DF10F0"/>
    <w:rsid w:val="00DF1103"/>
    <w:rsid w:val="00DF1107"/>
    <w:rsid w:val="00DF1126"/>
    <w:rsid w:val="00DF1265"/>
    <w:rsid w:val="00DF13C2"/>
    <w:rsid w:val="00DF14E8"/>
    <w:rsid w:val="00DF1A59"/>
    <w:rsid w:val="00DF1F38"/>
    <w:rsid w:val="00DF2067"/>
    <w:rsid w:val="00DF20D7"/>
    <w:rsid w:val="00DF256A"/>
    <w:rsid w:val="00DF2599"/>
    <w:rsid w:val="00DF25A4"/>
    <w:rsid w:val="00DF26A5"/>
    <w:rsid w:val="00DF27AD"/>
    <w:rsid w:val="00DF2808"/>
    <w:rsid w:val="00DF28C0"/>
    <w:rsid w:val="00DF2960"/>
    <w:rsid w:val="00DF2BE0"/>
    <w:rsid w:val="00DF2C41"/>
    <w:rsid w:val="00DF2CCA"/>
    <w:rsid w:val="00DF2E7A"/>
    <w:rsid w:val="00DF30BB"/>
    <w:rsid w:val="00DF3273"/>
    <w:rsid w:val="00DF3388"/>
    <w:rsid w:val="00DF33A2"/>
    <w:rsid w:val="00DF34C6"/>
    <w:rsid w:val="00DF357A"/>
    <w:rsid w:val="00DF36B2"/>
    <w:rsid w:val="00DF385A"/>
    <w:rsid w:val="00DF396D"/>
    <w:rsid w:val="00DF39F3"/>
    <w:rsid w:val="00DF3C3D"/>
    <w:rsid w:val="00DF3C6F"/>
    <w:rsid w:val="00DF3D53"/>
    <w:rsid w:val="00DF3DB6"/>
    <w:rsid w:val="00DF3F90"/>
    <w:rsid w:val="00DF43A7"/>
    <w:rsid w:val="00DF43D5"/>
    <w:rsid w:val="00DF4786"/>
    <w:rsid w:val="00DF489E"/>
    <w:rsid w:val="00DF4A60"/>
    <w:rsid w:val="00DF4E42"/>
    <w:rsid w:val="00DF4EE8"/>
    <w:rsid w:val="00DF4FFC"/>
    <w:rsid w:val="00DF50FE"/>
    <w:rsid w:val="00DF55E9"/>
    <w:rsid w:val="00DF58FD"/>
    <w:rsid w:val="00DF59BE"/>
    <w:rsid w:val="00DF5A18"/>
    <w:rsid w:val="00DF5A35"/>
    <w:rsid w:val="00DF5BFA"/>
    <w:rsid w:val="00DF5C31"/>
    <w:rsid w:val="00DF5D4B"/>
    <w:rsid w:val="00DF5FB0"/>
    <w:rsid w:val="00DF5FCA"/>
    <w:rsid w:val="00DF5FDA"/>
    <w:rsid w:val="00DF6114"/>
    <w:rsid w:val="00DF6323"/>
    <w:rsid w:val="00DF6590"/>
    <w:rsid w:val="00DF65DE"/>
    <w:rsid w:val="00DF6640"/>
    <w:rsid w:val="00DF678D"/>
    <w:rsid w:val="00DF6860"/>
    <w:rsid w:val="00DF68F9"/>
    <w:rsid w:val="00DF6913"/>
    <w:rsid w:val="00DF6957"/>
    <w:rsid w:val="00DF69B1"/>
    <w:rsid w:val="00DF6B87"/>
    <w:rsid w:val="00DF6C9D"/>
    <w:rsid w:val="00DF6DB0"/>
    <w:rsid w:val="00DF6DFF"/>
    <w:rsid w:val="00DF6EF0"/>
    <w:rsid w:val="00DF6F73"/>
    <w:rsid w:val="00DF7040"/>
    <w:rsid w:val="00DF7069"/>
    <w:rsid w:val="00DF7196"/>
    <w:rsid w:val="00DF74B7"/>
    <w:rsid w:val="00DF74BC"/>
    <w:rsid w:val="00DF74DC"/>
    <w:rsid w:val="00DF77D7"/>
    <w:rsid w:val="00DF7BD7"/>
    <w:rsid w:val="00DF7E52"/>
    <w:rsid w:val="00DF7E9C"/>
    <w:rsid w:val="00DF7F06"/>
    <w:rsid w:val="00DF7FA8"/>
    <w:rsid w:val="00E00079"/>
    <w:rsid w:val="00E00118"/>
    <w:rsid w:val="00E0017E"/>
    <w:rsid w:val="00E001F2"/>
    <w:rsid w:val="00E00464"/>
    <w:rsid w:val="00E0056F"/>
    <w:rsid w:val="00E00813"/>
    <w:rsid w:val="00E00C05"/>
    <w:rsid w:val="00E00C08"/>
    <w:rsid w:val="00E00C8E"/>
    <w:rsid w:val="00E00CC7"/>
    <w:rsid w:val="00E00F41"/>
    <w:rsid w:val="00E00F64"/>
    <w:rsid w:val="00E01197"/>
    <w:rsid w:val="00E011D3"/>
    <w:rsid w:val="00E012AD"/>
    <w:rsid w:val="00E014AF"/>
    <w:rsid w:val="00E0154F"/>
    <w:rsid w:val="00E01659"/>
    <w:rsid w:val="00E0187B"/>
    <w:rsid w:val="00E01977"/>
    <w:rsid w:val="00E01A39"/>
    <w:rsid w:val="00E01B2E"/>
    <w:rsid w:val="00E01BA3"/>
    <w:rsid w:val="00E01D9D"/>
    <w:rsid w:val="00E01DAD"/>
    <w:rsid w:val="00E01E11"/>
    <w:rsid w:val="00E01E30"/>
    <w:rsid w:val="00E01E53"/>
    <w:rsid w:val="00E01F19"/>
    <w:rsid w:val="00E01F84"/>
    <w:rsid w:val="00E02518"/>
    <w:rsid w:val="00E02544"/>
    <w:rsid w:val="00E025BD"/>
    <w:rsid w:val="00E0275A"/>
    <w:rsid w:val="00E02910"/>
    <w:rsid w:val="00E029A9"/>
    <w:rsid w:val="00E02BE5"/>
    <w:rsid w:val="00E02DD1"/>
    <w:rsid w:val="00E02E33"/>
    <w:rsid w:val="00E02F17"/>
    <w:rsid w:val="00E02F6C"/>
    <w:rsid w:val="00E0301C"/>
    <w:rsid w:val="00E032B7"/>
    <w:rsid w:val="00E03322"/>
    <w:rsid w:val="00E0354B"/>
    <w:rsid w:val="00E03607"/>
    <w:rsid w:val="00E03C38"/>
    <w:rsid w:val="00E03D4C"/>
    <w:rsid w:val="00E03F2B"/>
    <w:rsid w:val="00E04025"/>
    <w:rsid w:val="00E04471"/>
    <w:rsid w:val="00E04520"/>
    <w:rsid w:val="00E045CF"/>
    <w:rsid w:val="00E045E1"/>
    <w:rsid w:val="00E0473F"/>
    <w:rsid w:val="00E04828"/>
    <w:rsid w:val="00E04931"/>
    <w:rsid w:val="00E049AD"/>
    <w:rsid w:val="00E04BC4"/>
    <w:rsid w:val="00E04D56"/>
    <w:rsid w:val="00E04FE7"/>
    <w:rsid w:val="00E0500D"/>
    <w:rsid w:val="00E051EC"/>
    <w:rsid w:val="00E05485"/>
    <w:rsid w:val="00E054E9"/>
    <w:rsid w:val="00E05801"/>
    <w:rsid w:val="00E059CD"/>
    <w:rsid w:val="00E05A34"/>
    <w:rsid w:val="00E05BD1"/>
    <w:rsid w:val="00E05D6B"/>
    <w:rsid w:val="00E05E14"/>
    <w:rsid w:val="00E060A3"/>
    <w:rsid w:val="00E06212"/>
    <w:rsid w:val="00E06321"/>
    <w:rsid w:val="00E06361"/>
    <w:rsid w:val="00E0646B"/>
    <w:rsid w:val="00E064A9"/>
    <w:rsid w:val="00E0654E"/>
    <w:rsid w:val="00E066A2"/>
    <w:rsid w:val="00E06DED"/>
    <w:rsid w:val="00E06E59"/>
    <w:rsid w:val="00E072B6"/>
    <w:rsid w:val="00E0730D"/>
    <w:rsid w:val="00E074F6"/>
    <w:rsid w:val="00E07676"/>
    <w:rsid w:val="00E079F1"/>
    <w:rsid w:val="00E07A2C"/>
    <w:rsid w:val="00E07A4B"/>
    <w:rsid w:val="00E07B77"/>
    <w:rsid w:val="00E07D02"/>
    <w:rsid w:val="00E07FDC"/>
    <w:rsid w:val="00E100FF"/>
    <w:rsid w:val="00E102DD"/>
    <w:rsid w:val="00E102FF"/>
    <w:rsid w:val="00E105AF"/>
    <w:rsid w:val="00E105CA"/>
    <w:rsid w:val="00E105F4"/>
    <w:rsid w:val="00E106CB"/>
    <w:rsid w:val="00E1085C"/>
    <w:rsid w:val="00E108D7"/>
    <w:rsid w:val="00E10A4B"/>
    <w:rsid w:val="00E10BA7"/>
    <w:rsid w:val="00E10BAD"/>
    <w:rsid w:val="00E10BF5"/>
    <w:rsid w:val="00E10D53"/>
    <w:rsid w:val="00E10E65"/>
    <w:rsid w:val="00E1103D"/>
    <w:rsid w:val="00E110B7"/>
    <w:rsid w:val="00E110F9"/>
    <w:rsid w:val="00E1143A"/>
    <w:rsid w:val="00E11443"/>
    <w:rsid w:val="00E11458"/>
    <w:rsid w:val="00E11788"/>
    <w:rsid w:val="00E11A73"/>
    <w:rsid w:val="00E11D26"/>
    <w:rsid w:val="00E11F86"/>
    <w:rsid w:val="00E11F9F"/>
    <w:rsid w:val="00E12012"/>
    <w:rsid w:val="00E12081"/>
    <w:rsid w:val="00E1215D"/>
    <w:rsid w:val="00E12176"/>
    <w:rsid w:val="00E121CF"/>
    <w:rsid w:val="00E123A6"/>
    <w:rsid w:val="00E1249A"/>
    <w:rsid w:val="00E124A4"/>
    <w:rsid w:val="00E1259E"/>
    <w:rsid w:val="00E12A4D"/>
    <w:rsid w:val="00E12AF8"/>
    <w:rsid w:val="00E12BCD"/>
    <w:rsid w:val="00E12C36"/>
    <w:rsid w:val="00E12D21"/>
    <w:rsid w:val="00E12DF0"/>
    <w:rsid w:val="00E13280"/>
    <w:rsid w:val="00E13311"/>
    <w:rsid w:val="00E13599"/>
    <w:rsid w:val="00E137B4"/>
    <w:rsid w:val="00E13880"/>
    <w:rsid w:val="00E139DC"/>
    <w:rsid w:val="00E13C00"/>
    <w:rsid w:val="00E13E44"/>
    <w:rsid w:val="00E140CE"/>
    <w:rsid w:val="00E14318"/>
    <w:rsid w:val="00E14685"/>
    <w:rsid w:val="00E149E8"/>
    <w:rsid w:val="00E14A7F"/>
    <w:rsid w:val="00E14AD9"/>
    <w:rsid w:val="00E14DB2"/>
    <w:rsid w:val="00E14DE0"/>
    <w:rsid w:val="00E14E08"/>
    <w:rsid w:val="00E14F30"/>
    <w:rsid w:val="00E14FAF"/>
    <w:rsid w:val="00E14FB6"/>
    <w:rsid w:val="00E1512F"/>
    <w:rsid w:val="00E15140"/>
    <w:rsid w:val="00E152E3"/>
    <w:rsid w:val="00E1539A"/>
    <w:rsid w:val="00E15403"/>
    <w:rsid w:val="00E1570D"/>
    <w:rsid w:val="00E15E21"/>
    <w:rsid w:val="00E15E8B"/>
    <w:rsid w:val="00E15E8E"/>
    <w:rsid w:val="00E15EA3"/>
    <w:rsid w:val="00E16113"/>
    <w:rsid w:val="00E16554"/>
    <w:rsid w:val="00E165F9"/>
    <w:rsid w:val="00E16A1F"/>
    <w:rsid w:val="00E16A96"/>
    <w:rsid w:val="00E16B25"/>
    <w:rsid w:val="00E16BAC"/>
    <w:rsid w:val="00E16CF0"/>
    <w:rsid w:val="00E16F50"/>
    <w:rsid w:val="00E17135"/>
    <w:rsid w:val="00E172F9"/>
    <w:rsid w:val="00E17323"/>
    <w:rsid w:val="00E17423"/>
    <w:rsid w:val="00E174CE"/>
    <w:rsid w:val="00E175E7"/>
    <w:rsid w:val="00E179A6"/>
    <w:rsid w:val="00E17A4B"/>
    <w:rsid w:val="00E17A4F"/>
    <w:rsid w:val="00E17B16"/>
    <w:rsid w:val="00E17C54"/>
    <w:rsid w:val="00E17DB4"/>
    <w:rsid w:val="00E17DC0"/>
    <w:rsid w:val="00E17E66"/>
    <w:rsid w:val="00E2001E"/>
    <w:rsid w:val="00E2006B"/>
    <w:rsid w:val="00E20225"/>
    <w:rsid w:val="00E2023C"/>
    <w:rsid w:val="00E202F2"/>
    <w:rsid w:val="00E20368"/>
    <w:rsid w:val="00E204A3"/>
    <w:rsid w:val="00E204E0"/>
    <w:rsid w:val="00E20629"/>
    <w:rsid w:val="00E2065F"/>
    <w:rsid w:val="00E209E0"/>
    <w:rsid w:val="00E20A5C"/>
    <w:rsid w:val="00E20B50"/>
    <w:rsid w:val="00E20D2F"/>
    <w:rsid w:val="00E20D8F"/>
    <w:rsid w:val="00E20E02"/>
    <w:rsid w:val="00E20F9B"/>
    <w:rsid w:val="00E2120A"/>
    <w:rsid w:val="00E21405"/>
    <w:rsid w:val="00E21429"/>
    <w:rsid w:val="00E21668"/>
    <w:rsid w:val="00E21781"/>
    <w:rsid w:val="00E21960"/>
    <w:rsid w:val="00E21A03"/>
    <w:rsid w:val="00E21A64"/>
    <w:rsid w:val="00E21B4F"/>
    <w:rsid w:val="00E21D1F"/>
    <w:rsid w:val="00E21D63"/>
    <w:rsid w:val="00E21FBF"/>
    <w:rsid w:val="00E22174"/>
    <w:rsid w:val="00E222BB"/>
    <w:rsid w:val="00E22569"/>
    <w:rsid w:val="00E2273E"/>
    <w:rsid w:val="00E2283F"/>
    <w:rsid w:val="00E22B70"/>
    <w:rsid w:val="00E22D6B"/>
    <w:rsid w:val="00E22DC7"/>
    <w:rsid w:val="00E22E1D"/>
    <w:rsid w:val="00E22E71"/>
    <w:rsid w:val="00E2315F"/>
    <w:rsid w:val="00E2359D"/>
    <w:rsid w:val="00E236A9"/>
    <w:rsid w:val="00E23722"/>
    <w:rsid w:val="00E23BAF"/>
    <w:rsid w:val="00E23D03"/>
    <w:rsid w:val="00E23DBC"/>
    <w:rsid w:val="00E23F1C"/>
    <w:rsid w:val="00E24151"/>
    <w:rsid w:val="00E2429A"/>
    <w:rsid w:val="00E24485"/>
    <w:rsid w:val="00E2448E"/>
    <w:rsid w:val="00E2450C"/>
    <w:rsid w:val="00E247DB"/>
    <w:rsid w:val="00E24815"/>
    <w:rsid w:val="00E24E53"/>
    <w:rsid w:val="00E25006"/>
    <w:rsid w:val="00E250D9"/>
    <w:rsid w:val="00E25175"/>
    <w:rsid w:val="00E25177"/>
    <w:rsid w:val="00E2523E"/>
    <w:rsid w:val="00E2537F"/>
    <w:rsid w:val="00E25746"/>
    <w:rsid w:val="00E25874"/>
    <w:rsid w:val="00E258F0"/>
    <w:rsid w:val="00E25B0B"/>
    <w:rsid w:val="00E25DA1"/>
    <w:rsid w:val="00E25E8A"/>
    <w:rsid w:val="00E25F24"/>
    <w:rsid w:val="00E26113"/>
    <w:rsid w:val="00E26178"/>
    <w:rsid w:val="00E2618A"/>
    <w:rsid w:val="00E261C8"/>
    <w:rsid w:val="00E263CE"/>
    <w:rsid w:val="00E26590"/>
    <w:rsid w:val="00E2661F"/>
    <w:rsid w:val="00E26699"/>
    <w:rsid w:val="00E266EE"/>
    <w:rsid w:val="00E2670E"/>
    <w:rsid w:val="00E267E8"/>
    <w:rsid w:val="00E2697F"/>
    <w:rsid w:val="00E26A70"/>
    <w:rsid w:val="00E26AA0"/>
    <w:rsid w:val="00E26AE7"/>
    <w:rsid w:val="00E26B42"/>
    <w:rsid w:val="00E270B0"/>
    <w:rsid w:val="00E27198"/>
    <w:rsid w:val="00E27458"/>
    <w:rsid w:val="00E275F6"/>
    <w:rsid w:val="00E2784A"/>
    <w:rsid w:val="00E2794B"/>
    <w:rsid w:val="00E27966"/>
    <w:rsid w:val="00E27B91"/>
    <w:rsid w:val="00E27B98"/>
    <w:rsid w:val="00E30068"/>
    <w:rsid w:val="00E30123"/>
    <w:rsid w:val="00E30236"/>
    <w:rsid w:val="00E3037F"/>
    <w:rsid w:val="00E3047E"/>
    <w:rsid w:val="00E30656"/>
    <w:rsid w:val="00E30695"/>
    <w:rsid w:val="00E309E3"/>
    <w:rsid w:val="00E30B89"/>
    <w:rsid w:val="00E30DF1"/>
    <w:rsid w:val="00E30E4A"/>
    <w:rsid w:val="00E30EA7"/>
    <w:rsid w:val="00E30FCA"/>
    <w:rsid w:val="00E312CD"/>
    <w:rsid w:val="00E3136E"/>
    <w:rsid w:val="00E314F0"/>
    <w:rsid w:val="00E3152C"/>
    <w:rsid w:val="00E315E6"/>
    <w:rsid w:val="00E3164A"/>
    <w:rsid w:val="00E31664"/>
    <w:rsid w:val="00E316BF"/>
    <w:rsid w:val="00E3185F"/>
    <w:rsid w:val="00E31A9C"/>
    <w:rsid w:val="00E31B6C"/>
    <w:rsid w:val="00E31CA0"/>
    <w:rsid w:val="00E31DDB"/>
    <w:rsid w:val="00E31E50"/>
    <w:rsid w:val="00E3227D"/>
    <w:rsid w:val="00E324DD"/>
    <w:rsid w:val="00E3267B"/>
    <w:rsid w:val="00E32840"/>
    <w:rsid w:val="00E329D8"/>
    <w:rsid w:val="00E32B6C"/>
    <w:rsid w:val="00E32C6F"/>
    <w:rsid w:val="00E32DC7"/>
    <w:rsid w:val="00E32F00"/>
    <w:rsid w:val="00E33102"/>
    <w:rsid w:val="00E331C1"/>
    <w:rsid w:val="00E334BE"/>
    <w:rsid w:val="00E3362D"/>
    <w:rsid w:val="00E33631"/>
    <w:rsid w:val="00E33740"/>
    <w:rsid w:val="00E337CC"/>
    <w:rsid w:val="00E338C6"/>
    <w:rsid w:val="00E3395E"/>
    <w:rsid w:val="00E33A65"/>
    <w:rsid w:val="00E33B89"/>
    <w:rsid w:val="00E33FB2"/>
    <w:rsid w:val="00E341BA"/>
    <w:rsid w:val="00E341D7"/>
    <w:rsid w:val="00E343D4"/>
    <w:rsid w:val="00E34463"/>
    <w:rsid w:val="00E344DE"/>
    <w:rsid w:val="00E34557"/>
    <w:rsid w:val="00E34580"/>
    <w:rsid w:val="00E345AF"/>
    <w:rsid w:val="00E345D3"/>
    <w:rsid w:val="00E347E9"/>
    <w:rsid w:val="00E3485C"/>
    <w:rsid w:val="00E34A7B"/>
    <w:rsid w:val="00E34B0D"/>
    <w:rsid w:val="00E34C4C"/>
    <w:rsid w:val="00E34D63"/>
    <w:rsid w:val="00E35309"/>
    <w:rsid w:val="00E35316"/>
    <w:rsid w:val="00E3549D"/>
    <w:rsid w:val="00E354B6"/>
    <w:rsid w:val="00E35651"/>
    <w:rsid w:val="00E356C5"/>
    <w:rsid w:val="00E357DF"/>
    <w:rsid w:val="00E359BE"/>
    <w:rsid w:val="00E35C51"/>
    <w:rsid w:val="00E35C52"/>
    <w:rsid w:val="00E35D42"/>
    <w:rsid w:val="00E35ED4"/>
    <w:rsid w:val="00E35FF0"/>
    <w:rsid w:val="00E36007"/>
    <w:rsid w:val="00E362C2"/>
    <w:rsid w:val="00E362CE"/>
    <w:rsid w:val="00E366C0"/>
    <w:rsid w:val="00E368F2"/>
    <w:rsid w:val="00E36A41"/>
    <w:rsid w:val="00E36A9A"/>
    <w:rsid w:val="00E36AAB"/>
    <w:rsid w:val="00E36C81"/>
    <w:rsid w:val="00E37006"/>
    <w:rsid w:val="00E37071"/>
    <w:rsid w:val="00E3726A"/>
    <w:rsid w:val="00E373A7"/>
    <w:rsid w:val="00E373F2"/>
    <w:rsid w:val="00E373FD"/>
    <w:rsid w:val="00E37407"/>
    <w:rsid w:val="00E379F8"/>
    <w:rsid w:val="00E37B5F"/>
    <w:rsid w:val="00E37BA1"/>
    <w:rsid w:val="00E37BAA"/>
    <w:rsid w:val="00E37E72"/>
    <w:rsid w:val="00E37EB3"/>
    <w:rsid w:val="00E37FD8"/>
    <w:rsid w:val="00E4023E"/>
    <w:rsid w:val="00E4049B"/>
    <w:rsid w:val="00E4057B"/>
    <w:rsid w:val="00E40617"/>
    <w:rsid w:val="00E40890"/>
    <w:rsid w:val="00E408AF"/>
    <w:rsid w:val="00E408C4"/>
    <w:rsid w:val="00E409B0"/>
    <w:rsid w:val="00E40A1E"/>
    <w:rsid w:val="00E40A43"/>
    <w:rsid w:val="00E40A65"/>
    <w:rsid w:val="00E40D73"/>
    <w:rsid w:val="00E40D9E"/>
    <w:rsid w:val="00E40FA2"/>
    <w:rsid w:val="00E410B3"/>
    <w:rsid w:val="00E410FB"/>
    <w:rsid w:val="00E41108"/>
    <w:rsid w:val="00E41164"/>
    <w:rsid w:val="00E412D9"/>
    <w:rsid w:val="00E4136F"/>
    <w:rsid w:val="00E41477"/>
    <w:rsid w:val="00E41517"/>
    <w:rsid w:val="00E4174D"/>
    <w:rsid w:val="00E41823"/>
    <w:rsid w:val="00E41904"/>
    <w:rsid w:val="00E4190C"/>
    <w:rsid w:val="00E419F7"/>
    <w:rsid w:val="00E41A96"/>
    <w:rsid w:val="00E41AD2"/>
    <w:rsid w:val="00E41CA2"/>
    <w:rsid w:val="00E41D79"/>
    <w:rsid w:val="00E41D7E"/>
    <w:rsid w:val="00E41DE5"/>
    <w:rsid w:val="00E41E97"/>
    <w:rsid w:val="00E41FB6"/>
    <w:rsid w:val="00E42094"/>
    <w:rsid w:val="00E42146"/>
    <w:rsid w:val="00E421CE"/>
    <w:rsid w:val="00E421F7"/>
    <w:rsid w:val="00E42407"/>
    <w:rsid w:val="00E42473"/>
    <w:rsid w:val="00E42487"/>
    <w:rsid w:val="00E42748"/>
    <w:rsid w:val="00E42884"/>
    <w:rsid w:val="00E428AF"/>
    <w:rsid w:val="00E428FB"/>
    <w:rsid w:val="00E42D44"/>
    <w:rsid w:val="00E42DAD"/>
    <w:rsid w:val="00E430F0"/>
    <w:rsid w:val="00E43206"/>
    <w:rsid w:val="00E43301"/>
    <w:rsid w:val="00E435DB"/>
    <w:rsid w:val="00E43618"/>
    <w:rsid w:val="00E43627"/>
    <w:rsid w:val="00E436E5"/>
    <w:rsid w:val="00E4376D"/>
    <w:rsid w:val="00E43810"/>
    <w:rsid w:val="00E4381D"/>
    <w:rsid w:val="00E4395F"/>
    <w:rsid w:val="00E4397C"/>
    <w:rsid w:val="00E43A05"/>
    <w:rsid w:val="00E43D5B"/>
    <w:rsid w:val="00E43FEB"/>
    <w:rsid w:val="00E4405B"/>
    <w:rsid w:val="00E4431C"/>
    <w:rsid w:val="00E44357"/>
    <w:rsid w:val="00E443FF"/>
    <w:rsid w:val="00E44564"/>
    <w:rsid w:val="00E445DC"/>
    <w:rsid w:val="00E44751"/>
    <w:rsid w:val="00E44820"/>
    <w:rsid w:val="00E4491B"/>
    <w:rsid w:val="00E44A24"/>
    <w:rsid w:val="00E44A2A"/>
    <w:rsid w:val="00E44AD2"/>
    <w:rsid w:val="00E44BAF"/>
    <w:rsid w:val="00E44C26"/>
    <w:rsid w:val="00E44C74"/>
    <w:rsid w:val="00E44FDF"/>
    <w:rsid w:val="00E45100"/>
    <w:rsid w:val="00E4519A"/>
    <w:rsid w:val="00E4538C"/>
    <w:rsid w:val="00E453AE"/>
    <w:rsid w:val="00E454A3"/>
    <w:rsid w:val="00E4573D"/>
    <w:rsid w:val="00E457D9"/>
    <w:rsid w:val="00E4581A"/>
    <w:rsid w:val="00E45912"/>
    <w:rsid w:val="00E4599F"/>
    <w:rsid w:val="00E45B86"/>
    <w:rsid w:val="00E45C48"/>
    <w:rsid w:val="00E45E2E"/>
    <w:rsid w:val="00E45E43"/>
    <w:rsid w:val="00E45E80"/>
    <w:rsid w:val="00E462A1"/>
    <w:rsid w:val="00E46419"/>
    <w:rsid w:val="00E464E1"/>
    <w:rsid w:val="00E4658C"/>
    <w:rsid w:val="00E4659A"/>
    <w:rsid w:val="00E468D1"/>
    <w:rsid w:val="00E469D9"/>
    <w:rsid w:val="00E46AE2"/>
    <w:rsid w:val="00E46B2E"/>
    <w:rsid w:val="00E46B6E"/>
    <w:rsid w:val="00E46E5E"/>
    <w:rsid w:val="00E46FAA"/>
    <w:rsid w:val="00E47158"/>
    <w:rsid w:val="00E474B5"/>
    <w:rsid w:val="00E475D3"/>
    <w:rsid w:val="00E478E1"/>
    <w:rsid w:val="00E47952"/>
    <w:rsid w:val="00E47A2E"/>
    <w:rsid w:val="00E47AD8"/>
    <w:rsid w:val="00E47C31"/>
    <w:rsid w:val="00E47CAC"/>
    <w:rsid w:val="00E47DD6"/>
    <w:rsid w:val="00E47E3A"/>
    <w:rsid w:val="00E47FE1"/>
    <w:rsid w:val="00E5014A"/>
    <w:rsid w:val="00E5017A"/>
    <w:rsid w:val="00E503A7"/>
    <w:rsid w:val="00E503B3"/>
    <w:rsid w:val="00E507C5"/>
    <w:rsid w:val="00E50A33"/>
    <w:rsid w:val="00E50BF5"/>
    <w:rsid w:val="00E50C23"/>
    <w:rsid w:val="00E50CC6"/>
    <w:rsid w:val="00E50FA8"/>
    <w:rsid w:val="00E51137"/>
    <w:rsid w:val="00E51537"/>
    <w:rsid w:val="00E516FC"/>
    <w:rsid w:val="00E51847"/>
    <w:rsid w:val="00E51924"/>
    <w:rsid w:val="00E51A74"/>
    <w:rsid w:val="00E51B2E"/>
    <w:rsid w:val="00E51B71"/>
    <w:rsid w:val="00E51E6F"/>
    <w:rsid w:val="00E51E99"/>
    <w:rsid w:val="00E52398"/>
    <w:rsid w:val="00E52603"/>
    <w:rsid w:val="00E526DA"/>
    <w:rsid w:val="00E526DF"/>
    <w:rsid w:val="00E52988"/>
    <w:rsid w:val="00E52AF9"/>
    <w:rsid w:val="00E52B60"/>
    <w:rsid w:val="00E52B79"/>
    <w:rsid w:val="00E52B80"/>
    <w:rsid w:val="00E52BB7"/>
    <w:rsid w:val="00E52C1E"/>
    <w:rsid w:val="00E52C3A"/>
    <w:rsid w:val="00E52D7A"/>
    <w:rsid w:val="00E52DE7"/>
    <w:rsid w:val="00E52E4F"/>
    <w:rsid w:val="00E52F6E"/>
    <w:rsid w:val="00E53017"/>
    <w:rsid w:val="00E53033"/>
    <w:rsid w:val="00E530A7"/>
    <w:rsid w:val="00E533CC"/>
    <w:rsid w:val="00E5340E"/>
    <w:rsid w:val="00E53497"/>
    <w:rsid w:val="00E534C7"/>
    <w:rsid w:val="00E537A2"/>
    <w:rsid w:val="00E53CB9"/>
    <w:rsid w:val="00E53D28"/>
    <w:rsid w:val="00E53D2B"/>
    <w:rsid w:val="00E53D4A"/>
    <w:rsid w:val="00E53D66"/>
    <w:rsid w:val="00E53D69"/>
    <w:rsid w:val="00E53F36"/>
    <w:rsid w:val="00E53F8C"/>
    <w:rsid w:val="00E53FB1"/>
    <w:rsid w:val="00E5413A"/>
    <w:rsid w:val="00E54204"/>
    <w:rsid w:val="00E5420E"/>
    <w:rsid w:val="00E542ED"/>
    <w:rsid w:val="00E54366"/>
    <w:rsid w:val="00E543ED"/>
    <w:rsid w:val="00E54540"/>
    <w:rsid w:val="00E5464E"/>
    <w:rsid w:val="00E54669"/>
    <w:rsid w:val="00E548B9"/>
    <w:rsid w:val="00E548D0"/>
    <w:rsid w:val="00E549C1"/>
    <w:rsid w:val="00E54A00"/>
    <w:rsid w:val="00E54AA9"/>
    <w:rsid w:val="00E54AC9"/>
    <w:rsid w:val="00E54C38"/>
    <w:rsid w:val="00E550AE"/>
    <w:rsid w:val="00E552B1"/>
    <w:rsid w:val="00E55459"/>
    <w:rsid w:val="00E554FC"/>
    <w:rsid w:val="00E554FE"/>
    <w:rsid w:val="00E558ED"/>
    <w:rsid w:val="00E5590C"/>
    <w:rsid w:val="00E55928"/>
    <w:rsid w:val="00E55AE0"/>
    <w:rsid w:val="00E55F05"/>
    <w:rsid w:val="00E55FB5"/>
    <w:rsid w:val="00E561EC"/>
    <w:rsid w:val="00E56214"/>
    <w:rsid w:val="00E563F7"/>
    <w:rsid w:val="00E566BD"/>
    <w:rsid w:val="00E56805"/>
    <w:rsid w:val="00E568C0"/>
    <w:rsid w:val="00E569D7"/>
    <w:rsid w:val="00E56A16"/>
    <w:rsid w:val="00E56C1E"/>
    <w:rsid w:val="00E56E12"/>
    <w:rsid w:val="00E56FE5"/>
    <w:rsid w:val="00E571D6"/>
    <w:rsid w:val="00E5720F"/>
    <w:rsid w:val="00E5757B"/>
    <w:rsid w:val="00E5763C"/>
    <w:rsid w:val="00E57855"/>
    <w:rsid w:val="00E5797C"/>
    <w:rsid w:val="00E57A1B"/>
    <w:rsid w:val="00E57E02"/>
    <w:rsid w:val="00E57F6B"/>
    <w:rsid w:val="00E601E4"/>
    <w:rsid w:val="00E60329"/>
    <w:rsid w:val="00E604A6"/>
    <w:rsid w:val="00E6054B"/>
    <w:rsid w:val="00E605E3"/>
    <w:rsid w:val="00E60DF7"/>
    <w:rsid w:val="00E60E0F"/>
    <w:rsid w:val="00E60E7C"/>
    <w:rsid w:val="00E6103D"/>
    <w:rsid w:val="00E61215"/>
    <w:rsid w:val="00E61339"/>
    <w:rsid w:val="00E6133F"/>
    <w:rsid w:val="00E613EE"/>
    <w:rsid w:val="00E61551"/>
    <w:rsid w:val="00E619EE"/>
    <w:rsid w:val="00E61CF2"/>
    <w:rsid w:val="00E61DE3"/>
    <w:rsid w:val="00E61E55"/>
    <w:rsid w:val="00E61EB8"/>
    <w:rsid w:val="00E61F18"/>
    <w:rsid w:val="00E61F7C"/>
    <w:rsid w:val="00E620FD"/>
    <w:rsid w:val="00E6219E"/>
    <w:rsid w:val="00E625CF"/>
    <w:rsid w:val="00E6269B"/>
    <w:rsid w:val="00E6289F"/>
    <w:rsid w:val="00E62DD0"/>
    <w:rsid w:val="00E6309D"/>
    <w:rsid w:val="00E633E3"/>
    <w:rsid w:val="00E63428"/>
    <w:rsid w:val="00E63453"/>
    <w:rsid w:val="00E63582"/>
    <w:rsid w:val="00E63796"/>
    <w:rsid w:val="00E637A6"/>
    <w:rsid w:val="00E638A1"/>
    <w:rsid w:val="00E6397F"/>
    <w:rsid w:val="00E63A45"/>
    <w:rsid w:val="00E63A54"/>
    <w:rsid w:val="00E63BF9"/>
    <w:rsid w:val="00E63CFB"/>
    <w:rsid w:val="00E63E66"/>
    <w:rsid w:val="00E6408C"/>
    <w:rsid w:val="00E641D8"/>
    <w:rsid w:val="00E642B5"/>
    <w:rsid w:val="00E643EC"/>
    <w:rsid w:val="00E64465"/>
    <w:rsid w:val="00E64499"/>
    <w:rsid w:val="00E644FC"/>
    <w:rsid w:val="00E64534"/>
    <w:rsid w:val="00E64566"/>
    <w:rsid w:val="00E64773"/>
    <w:rsid w:val="00E64881"/>
    <w:rsid w:val="00E64995"/>
    <w:rsid w:val="00E64B1C"/>
    <w:rsid w:val="00E64B6D"/>
    <w:rsid w:val="00E64CA9"/>
    <w:rsid w:val="00E64D64"/>
    <w:rsid w:val="00E64F73"/>
    <w:rsid w:val="00E650E1"/>
    <w:rsid w:val="00E658A9"/>
    <w:rsid w:val="00E659EC"/>
    <w:rsid w:val="00E65D92"/>
    <w:rsid w:val="00E65DEA"/>
    <w:rsid w:val="00E65EA0"/>
    <w:rsid w:val="00E661E8"/>
    <w:rsid w:val="00E66242"/>
    <w:rsid w:val="00E6625F"/>
    <w:rsid w:val="00E6626C"/>
    <w:rsid w:val="00E663A7"/>
    <w:rsid w:val="00E66462"/>
    <w:rsid w:val="00E664B6"/>
    <w:rsid w:val="00E665E3"/>
    <w:rsid w:val="00E66600"/>
    <w:rsid w:val="00E66924"/>
    <w:rsid w:val="00E66B87"/>
    <w:rsid w:val="00E66DD0"/>
    <w:rsid w:val="00E66EAA"/>
    <w:rsid w:val="00E66FEA"/>
    <w:rsid w:val="00E67085"/>
    <w:rsid w:val="00E674E8"/>
    <w:rsid w:val="00E67751"/>
    <w:rsid w:val="00E67781"/>
    <w:rsid w:val="00E67AAC"/>
    <w:rsid w:val="00E67C5B"/>
    <w:rsid w:val="00E67C8A"/>
    <w:rsid w:val="00E67CD2"/>
    <w:rsid w:val="00E67CED"/>
    <w:rsid w:val="00E67F08"/>
    <w:rsid w:val="00E70002"/>
    <w:rsid w:val="00E7007E"/>
    <w:rsid w:val="00E7008D"/>
    <w:rsid w:val="00E70090"/>
    <w:rsid w:val="00E706A5"/>
    <w:rsid w:val="00E707B4"/>
    <w:rsid w:val="00E709C1"/>
    <w:rsid w:val="00E70A23"/>
    <w:rsid w:val="00E70ADE"/>
    <w:rsid w:val="00E70B19"/>
    <w:rsid w:val="00E70B79"/>
    <w:rsid w:val="00E70B7C"/>
    <w:rsid w:val="00E70CD7"/>
    <w:rsid w:val="00E70E82"/>
    <w:rsid w:val="00E70F3F"/>
    <w:rsid w:val="00E71143"/>
    <w:rsid w:val="00E711D9"/>
    <w:rsid w:val="00E7125B"/>
    <w:rsid w:val="00E71315"/>
    <w:rsid w:val="00E715B2"/>
    <w:rsid w:val="00E715BF"/>
    <w:rsid w:val="00E71707"/>
    <w:rsid w:val="00E71A45"/>
    <w:rsid w:val="00E71A60"/>
    <w:rsid w:val="00E71CCC"/>
    <w:rsid w:val="00E71DA0"/>
    <w:rsid w:val="00E71EB2"/>
    <w:rsid w:val="00E71FB7"/>
    <w:rsid w:val="00E72241"/>
    <w:rsid w:val="00E72279"/>
    <w:rsid w:val="00E723DD"/>
    <w:rsid w:val="00E7249F"/>
    <w:rsid w:val="00E724A8"/>
    <w:rsid w:val="00E725B2"/>
    <w:rsid w:val="00E72694"/>
    <w:rsid w:val="00E726A0"/>
    <w:rsid w:val="00E7270F"/>
    <w:rsid w:val="00E72872"/>
    <w:rsid w:val="00E728D8"/>
    <w:rsid w:val="00E72992"/>
    <w:rsid w:val="00E729BF"/>
    <w:rsid w:val="00E72B43"/>
    <w:rsid w:val="00E72D44"/>
    <w:rsid w:val="00E72E98"/>
    <w:rsid w:val="00E72EA2"/>
    <w:rsid w:val="00E73040"/>
    <w:rsid w:val="00E73169"/>
    <w:rsid w:val="00E731BB"/>
    <w:rsid w:val="00E731D9"/>
    <w:rsid w:val="00E73288"/>
    <w:rsid w:val="00E736FB"/>
    <w:rsid w:val="00E73A4B"/>
    <w:rsid w:val="00E73CAE"/>
    <w:rsid w:val="00E73DCD"/>
    <w:rsid w:val="00E73E76"/>
    <w:rsid w:val="00E73ED1"/>
    <w:rsid w:val="00E73F02"/>
    <w:rsid w:val="00E73FC9"/>
    <w:rsid w:val="00E7402F"/>
    <w:rsid w:val="00E7415F"/>
    <w:rsid w:val="00E74500"/>
    <w:rsid w:val="00E74556"/>
    <w:rsid w:val="00E7460C"/>
    <w:rsid w:val="00E7482B"/>
    <w:rsid w:val="00E74941"/>
    <w:rsid w:val="00E74A2B"/>
    <w:rsid w:val="00E74A6E"/>
    <w:rsid w:val="00E74B30"/>
    <w:rsid w:val="00E74C37"/>
    <w:rsid w:val="00E74D13"/>
    <w:rsid w:val="00E74FAC"/>
    <w:rsid w:val="00E75286"/>
    <w:rsid w:val="00E75303"/>
    <w:rsid w:val="00E754BF"/>
    <w:rsid w:val="00E757ED"/>
    <w:rsid w:val="00E75A12"/>
    <w:rsid w:val="00E75CF9"/>
    <w:rsid w:val="00E76018"/>
    <w:rsid w:val="00E7604C"/>
    <w:rsid w:val="00E763CC"/>
    <w:rsid w:val="00E764CC"/>
    <w:rsid w:val="00E76558"/>
    <w:rsid w:val="00E765A5"/>
    <w:rsid w:val="00E766C7"/>
    <w:rsid w:val="00E766DD"/>
    <w:rsid w:val="00E768E1"/>
    <w:rsid w:val="00E76B55"/>
    <w:rsid w:val="00E76CE1"/>
    <w:rsid w:val="00E77099"/>
    <w:rsid w:val="00E771BF"/>
    <w:rsid w:val="00E77465"/>
    <w:rsid w:val="00E77776"/>
    <w:rsid w:val="00E777AF"/>
    <w:rsid w:val="00E778D2"/>
    <w:rsid w:val="00E77A63"/>
    <w:rsid w:val="00E77A7C"/>
    <w:rsid w:val="00E77B37"/>
    <w:rsid w:val="00E77B39"/>
    <w:rsid w:val="00E77B43"/>
    <w:rsid w:val="00E77BDE"/>
    <w:rsid w:val="00E77CFC"/>
    <w:rsid w:val="00E77D6D"/>
    <w:rsid w:val="00E77DF2"/>
    <w:rsid w:val="00E77FB1"/>
    <w:rsid w:val="00E8012F"/>
    <w:rsid w:val="00E80269"/>
    <w:rsid w:val="00E803F4"/>
    <w:rsid w:val="00E8046B"/>
    <w:rsid w:val="00E80593"/>
    <w:rsid w:val="00E805B7"/>
    <w:rsid w:val="00E805C7"/>
    <w:rsid w:val="00E8064C"/>
    <w:rsid w:val="00E8070E"/>
    <w:rsid w:val="00E8087A"/>
    <w:rsid w:val="00E80AD5"/>
    <w:rsid w:val="00E80B92"/>
    <w:rsid w:val="00E80BBC"/>
    <w:rsid w:val="00E80BBE"/>
    <w:rsid w:val="00E81069"/>
    <w:rsid w:val="00E813AF"/>
    <w:rsid w:val="00E813C6"/>
    <w:rsid w:val="00E8146B"/>
    <w:rsid w:val="00E81477"/>
    <w:rsid w:val="00E815AD"/>
    <w:rsid w:val="00E8168D"/>
    <w:rsid w:val="00E81A2B"/>
    <w:rsid w:val="00E81A92"/>
    <w:rsid w:val="00E81A93"/>
    <w:rsid w:val="00E81B06"/>
    <w:rsid w:val="00E81BA9"/>
    <w:rsid w:val="00E81FDD"/>
    <w:rsid w:val="00E82139"/>
    <w:rsid w:val="00E8224B"/>
    <w:rsid w:val="00E8229B"/>
    <w:rsid w:val="00E82347"/>
    <w:rsid w:val="00E823A5"/>
    <w:rsid w:val="00E823D3"/>
    <w:rsid w:val="00E82567"/>
    <w:rsid w:val="00E825D6"/>
    <w:rsid w:val="00E82B66"/>
    <w:rsid w:val="00E82BEE"/>
    <w:rsid w:val="00E82C9C"/>
    <w:rsid w:val="00E82CA1"/>
    <w:rsid w:val="00E83027"/>
    <w:rsid w:val="00E83507"/>
    <w:rsid w:val="00E835AC"/>
    <w:rsid w:val="00E835EA"/>
    <w:rsid w:val="00E83661"/>
    <w:rsid w:val="00E837E8"/>
    <w:rsid w:val="00E83A3E"/>
    <w:rsid w:val="00E83C32"/>
    <w:rsid w:val="00E83C89"/>
    <w:rsid w:val="00E83CCB"/>
    <w:rsid w:val="00E83DAB"/>
    <w:rsid w:val="00E83DBF"/>
    <w:rsid w:val="00E83F3D"/>
    <w:rsid w:val="00E844A8"/>
    <w:rsid w:val="00E844B4"/>
    <w:rsid w:val="00E84893"/>
    <w:rsid w:val="00E84ABF"/>
    <w:rsid w:val="00E84C44"/>
    <w:rsid w:val="00E84C7C"/>
    <w:rsid w:val="00E84D69"/>
    <w:rsid w:val="00E84F22"/>
    <w:rsid w:val="00E84FC9"/>
    <w:rsid w:val="00E85300"/>
    <w:rsid w:val="00E85301"/>
    <w:rsid w:val="00E854F8"/>
    <w:rsid w:val="00E858F3"/>
    <w:rsid w:val="00E85910"/>
    <w:rsid w:val="00E859F7"/>
    <w:rsid w:val="00E85A7E"/>
    <w:rsid w:val="00E85CF8"/>
    <w:rsid w:val="00E85E81"/>
    <w:rsid w:val="00E85F43"/>
    <w:rsid w:val="00E863D8"/>
    <w:rsid w:val="00E86553"/>
    <w:rsid w:val="00E8686E"/>
    <w:rsid w:val="00E86924"/>
    <w:rsid w:val="00E869A9"/>
    <w:rsid w:val="00E869B6"/>
    <w:rsid w:val="00E86AAE"/>
    <w:rsid w:val="00E86C29"/>
    <w:rsid w:val="00E86E3B"/>
    <w:rsid w:val="00E86E77"/>
    <w:rsid w:val="00E871BE"/>
    <w:rsid w:val="00E871EB"/>
    <w:rsid w:val="00E87445"/>
    <w:rsid w:val="00E8744A"/>
    <w:rsid w:val="00E874C7"/>
    <w:rsid w:val="00E87583"/>
    <w:rsid w:val="00E875F6"/>
    <w:rsid w:val="00E877FB"/>
    <w:rsid w:val="00E87841"/>
    <w:rsid w:val="00E87945"/>
    <w:rsid w:val="00E87A04"/>
    <w:rsid w:val="00E87D05"/>
    <w:rsid w:val="00E87DAF"/>
    <w:rsid w:val="00E87DDE"/>
    <w:rsid w:val="00E87E0B"/>
    <w:rsid w:val="00E87FB1"/>
    <w:rsid w:val="00E9002A"/>
    <w:rsid w:val="00E90193"/>
    <w:rsid w:val="00E90293"/>
    <w:rsid w:val="00E904B7"/>
    <w:rsid w:val="00E907B5"/>
    <w:rsid w:val="00E907B6"/>
    <w:rsid w:val="00E90933"/>
    <w:rsid w:val="00E90964"/>
    <w:rsid w:val="00E90ACD"/>
    <w:rsid w:val="00E90C32"/>
    <w:rsid w:val="00E90E8A"/>
    <w:rsid w:val="00E90FE8"/>
    <w:rsid w:val="00E91062"/>
    <w:rsid w:val="00E910DC"/>
    <w:rsid w:val="00E912F0"/>
    <w:rsid w:val="00E914AA"/>
    <w:rsid w:val="00E9157F"/>
    <w:rsid w:val="00E915A0"/>
    <w:rsid w:val="00E918E9"/>
    <w:rsid w:val="00E9195B"/>
    <w:rsid w:val="00E91A65"/>
    <w:rsid w:val="00E91B37"/>
    <w:rsid w:val="00E91D39"/>
    <w:rsid w:val="00E91DF0"/>
    <w:rsid w:val="00E91E4E"/>
    <w:rsid w:val="00E91EC6"/>
    <w:rsid w:val="00E91FEF"/>
    <w:rsid w:val="00E92048"/>
    <w:rsid w:val="00E921A8"/>
    <w:rsid w:val="00E921D5"/>
    <w:rsid w:val="00E926A4"/>
    <w:rsid w:val="00E9275A"/>
    <w:rsid w:val="00E92865"/>
    <w:rsid w:val="00E92B80"/>
    <w:rsid w:val="00E92C56"/>
    <w:rsid w:val="00E92C88"/>
    <w:rsid w:val="00E92D9D"/>
    <w:rsid w:val="00E92E13"/>
    <w:rsid w:val="00E92F41"/>
    <w:rsid w:val="00E9314F"/>
    <w:rsid w:val="00E931F6"/>
    <w:rsid w:val="00E93242"/>
    <w:rsid w:val="00E93282"/>
    <w:rsid w:val="00E93586"/>
    <w:rsid w:val="00E9376A"/>
    <w:rsid w:val="00E93AA9"/>
    <w:rsid w:val="00E93B22"/>
    <w:rsid w:val="00E93C5A"/>
    <w:rsid w:val="00E93CD2"/>
    <w:rsid w:val="00E93E30"/>
    <w:rsid w:val="00E94179"/>
    <w:rsid w:val="00E943AD"/>
    <w:rsid w:val="00E9444B"/>
    <w:rsid w:val="00E944FA"/>
    <w:rsid w:val="00E9456D"/>
    <w:rsid w:val="00E946E8"/>
    <w:rsid w:val="00E948B4"/>
    <w:rsid w:val="00E94989"/>
    <w:rsid w:val="00E94A4E"/>
    <w:rsid w:val="00E94ACB"/>
    <w:rsid w:val="00E94C9A"/>
    <w:rsid w:val="00E94D44"/>
    <w:rsid w:val="00E94DC2"/>
    <w:rsid w:val="00E94DE0"/>
    <w:rsid w:val="00E95029"/>
    <w:rsid w:val="00E950C0"/>
    <w:rsid w:val="00E950F5"/>
    <w:rsid w:val="00E95210"/>
    <w:rsid w:val="00E954BA"/>
    <w:rsid w:val="00E9568E"/>
    <w:rsid w:val="00E95993"/>
    <w:rsid w:val="00E959B7"/>
    <w:rsid w:val="00E95C54"/>
    <w:rsid w:val="00E95EAB"/>
    <w:rsid w:val="00E95F49"/>
    <w:rsid w:val="00E95F63"/>
    <w:rsid w:val="00E95FF6"/>
    <w:rsid w:val="00E9611F"/>
    <w:rsid w:val="00E96124"/>
    <w:rsid w:val="00E9612A"/>
    <w:rsid w:val="00E9614C"/>
    <w:rsid w:val="00E96170"/>
    <w:rsid w:val="00E96202"/>
    <w:rsid w:val="00E96696"/>
    <w:rsid w:val="00E966F9"/>
    <w:rsid w:val="00E9673F"/>
    <w:rsid w:val="00E968CA"/>
    <w:rsid w:val="00E968D6"/>
    <w:rsid w:val="00E96A75"/>
    <w:rsid w:val="00E96B60"/>
    <w:rsid w:val="00E96C22"/>
    <w:rsid w:val="00E96D02"/>
    <w:rsid w:val="00E9725A"/>
    <w:rsid w:val="00E97450"/>
    <w:rsid w:val="00E97502"/>
    <w:rsid w:val="00E976E2"/>
    <w:rsid w:val="00E9780E"/>
    <w:rsid w:val="00E9788B"/>
    <w:rsid w:val="00E97975"/>
    <w:rsid w:val="00E97988"/>
    <w:rsid w:val="00E97B62"/>
    <w:rsid w:val="00E97B8A"/>
    <w:rsid w:val="00E97C95"/>
    <w:rsid w:val="00E97D36"/>
    <w:rsid w:val="00E97D90"/>
    <w:rsid w:val="00E97E1B"/>
    <w:rsid w:val="00E97EDE"/>
    <w:rsid w:val="00EA0074"/>
    <w:rsid w:val="00EA0088"/>
    <w:rsid w:val="00EA0196"/>
    <w:rsid w:val="00EA03EE"/>
    <w:rsid w:val="00EA0483"/>
    <w:rsid w:val="00EA048F"/>
    <w:rsid w:val="00EA04A8"/>
    <w:rsid w:val="00EA057A"/>
    <w:rsid w:val="00EA06D9"/>
    <w:rsid w:val="00EA06EE"/>
    <w:rsid w:val="00EA0898"/>
    <w:rsid w:val="00EA0930"/>
    <w:rsid w:val="00EA0B8E"/>
    <w:rsid w:val="00EA0C5A"/>
    <w:rsid w:val="00EA0E66"/>
    <w:rsid w:val="00EA10CB"/>
    <w:rsid w:val="00EA166F"/>
    <w:rsid w:val="00EA1674"/>
    <w:rsid w:val="00EA1A64"/>
    <w:rsid w:val="00EA1B8B"/>
    <w:rsid w:val="00EA1E8A"/>
    <w:rsid w:val="00EA1F2B"/>
    <w:rsid w:val="00EA1FE5"/>
    <w:rsid w:val="00EA2227"/>
    <w:rsid w:val="00EA25A9"/>
    <w:rsid w:val="00EA2675"/>
    <w:rsid w:val="00EA2727"/>
    <w:rsid w:val="00EA27CA"/>
    <w:rsid w:val="00EA2B55"/>
    <w:rsid w:val="00EA2C08"/>
    <w:rsid w:val="00EA2D60"/>
    <w:rsid w:val="00EA2D79"/>
    <w:rsid w:val="00EA2E4A"/>
    <w:rsid w:val="00EA2E95"/>
    <w:rsid w:val="00EA30E3"/>
    <w:rsid w:val="00EA3251"/>
    <w:rsid w:val="00EA3944"/>
    <w:rsid w:val="00EA3968"/>
    <w:rsid w:val="00EA3981"/>
    <w:rsid w:val="00EA39EE"/>
    <w:rsid w:val="00EA3B08"/>
    <w:rsid w:val="00EA3BE1"/>
    <w:rsid w:val="00EA3DA6"/>
    <w:rsid w:val="00EA3FCA"/>
    <w:rsid w:val="00EA40F8"/>
    <w:rsid w:val="00EA4222"/>
    <w:rsid w:val="00EA4233"/>
    <w:rsid w:val="00EA427B"/>
    <w:rsid w:val="00EA43A3"/>
    <w:rsid w:val="00EA440A"/>
    <w:rsid w:val="00EA459A"/>
    <w:rsid w:val="00EA468D"/>
    <w:rsid w:val="00EA4A22"/>
    <w:rsid w:val="00EA4BF9"/>
    <w:rsid w:val="00EA4C0B"/>
    <w:rsid w:val="00EA4C71"/>
    <w:rsid w:val="00EA5058"/>
    <w:rsid w:val="00EA5125"/>
    <w:rsid w:val="00EA5133"/>
    <w:rsid w:val="00EA54F4"/>
    <w:rsid w:val="00EA5B5B"/>
    <w:rsid w:val="00EA5B9E"/>
    <w:rsid w:val="00EA5BC4"/>
    <w:rsid w:val="00EA5C25"/>
    <w:rsid w:val="00EA625E"/>
    <w:rsid w:val="00EA62C2"/>
    <w:rsid w:val="00EA6358"/>
    <w:rsid w:val="00EA6454"/>
    <w:rsid w:val="00EA654C"/>
    <w:rsid w:val="00EA68E3"/>
    <w:rsid w:val="00EA6B76"/>
    <w:rsid w:val="00EA6DCD"/>
    <w:rsid w:val="00EA6E5D"/>
    <w:rsid w:val="00EA6FB1"/>
    <w:rsid w:val="00EA71D3"/>
    <w:rsid w:val="00EA731E"/>
    <w:rsid w:val="00EA7737"/>
    <w:rsid w:val="00EA7921"/>
    <w:rsid w:val="00EA7B4A"/>
    <w:rsid w:val="00EA7B8C"/>
    <w:rsid w:val="00EA7D74"/>
    <w:rsid w:val="00EA7DAA"/>
    <w:rsid w:val="00EB03B0"/>
    <w:rsid w:val="00EB03B6"/>
    <w:rsid w:val="00EB059C"/>
    <w:rsid w:val="00EB0AA1"/>
    <w:rsid w:val="00EB0B62"/>
    <w:rsid w:val="00EB0CEE"/>
    <w:rsid w:val="00EB0F21"/>
    <w:rsid w:val="00EB1092"/>
    <w:rsid w:val="00EB1160"/>
    <w:rsid w:val="00EB1302"/>
    <w:rsid w:val="00EB1360"/>
    <w:rsid w:val="00EB137C"/>
    <w:rsid w:val="00EB161B"/>
    <w:rsid w:val="00EB189B"/>
    <w:rsid w:val="00EB18F2"/>
    <w:rsid w:val="00EB198A"/>
    <w:rsid w:val="00EB1ADA"/>
    <w:rsid w:val="00EB1AEE"/>
    <w:rsid w:val="00EB1BC4"/>
    <w:rsid w:val="00EB1DD3"/>
    <w:rsid w:val="00EB1E14"/>
    <w:rsid w:val="00EB1E18"/>
    <w:rsid w:val="00EB1E3B"/>
    <w:rsid w:val="00EB1E52"/>
    <w:rsid w:val="00EB2017"/>
    <w:rsid w:val="00EB2093"/>
    <w:rsid w:val="00EB20D1"/>
    <w:rsid w:val="00EB22FF"/>
    <w:rsid w:val="00EB25BB"/>
    <w:rsid w:val="00EB25DC"/>
    <w:rsid w:val="00EB285F"/>
    <w:rsid w:val="00EB29B6"/>
    <w:rsid w:val="00EB29E8"/>
    <w:rsid w:val="00EB2A4C"/>
    <w:rsid w:val="00EB2B5F"/>
    <w:rsid w:val="00EB2F96"/>
    <w:rsid w:val="00EB2FC6"/>
    <w:rsid w:val="00EB30D1"/>
    <w:rsid w:val="00EB346A"/>
    <w:rsid w:val="00EB347B"/>
    <w:rsid w:val="00EB35BF"/>
    <w:rsid w:val="00EB3781"/>
    <w:rsid w:val="00EB37AC"/>
    <w:rsid w:val="00EB37AE"/>
    <w:rsid w:val="00EB38C1"/>
    <w:rsid w:val="00EB3D98"/>
    <w:rsid w:val="00EB41A5"/>
    <w:rsid w:val="00EB427B"/>
    <w:rsid w:val="00EB43EA"/>
    <w:rsid w:val="00EB464A"/>
    <w:rsid w:val="00EB4811"/>
    <w:rsid w:val="00EB48CC"/>
    <w:rsid w:val="00EB48FE"/>
    <w:rsid w:val="00EB4988"/>
    <w:rsid w:val="00EB4BB4"/>
    <w:rsid w:val="00EB4D13"/>
    <w:rsid w:val="00EB4D92"/>
    <w:rsid w:val="00EB4FD9"/>
    <w:rsid w:val="00EB4FDB"/>
    <w:rsid w:val="00EB4FF8"/>
    <w:rsid w:val="00EB503E"/>
    <w:rsid w:val="00EB5238"/>
    <w:rsid w:val="00EB528D"/>
    <w:rsid w:val="00EB55FD"/>
    <w:rsid w:val="00EB5728"/>
    <w:rsid w:val="00EB59DB"/>
    <w:rsid w:val="00EB5A33"/>
    <w:rsid w:val="00EB5A48"/>
    <w:rsid w:val="00EB5AC3"/>
    <w:rsid w:val="00EB5BE5"/>
    <w:rsid w:val="00EB61EA"/>
    <w:rsid w:val="00EB62CB"/>
    <w:rsid w:val="00EB62E9"/>
    <w:rsid w:val="00EB63C7"/>
    <w:rsid w:val="00EB659D"/>
    <w:rsid w:val="00EB66BA"/>
    <w:rsid w:val="00EB6758"/>
    <w:rsid w:val="00EB67FD"/>
    <w:rsid w:val="00EB68B1"/>
    <w:rsid w:val="00EB69B9"/>
    <w:rsid w:val="00EB6DA2"/>
    <w:rsid w:val="00EB6F07"/>
    <w:rsid w:val="00EB6F73"/>
    <w:rsid w:val="00EB6FC2"/>
    <w:rsid w:val="00EB6FD4"/>
    <w:rsid w:val="00EB7386"/>
    <w:rsid w:val="00EB74F2"/>
    <w:rsid w:val="00EB7571"/>
    <w:rsid w:val="00EB7690"/>
    <w:rsid w:val="00EB77DA"/>
    <w:rsid w:val="00EB78D0"/>
    <w:rsid w:val="00EB7A10"/>
    <w:rsid w:val="00EB7D82"/>
    <w:rsid w:val="00EB7FFC"/>
    <w:rsid w:val="00EC00BF"/>
    <w:rsid w:val="00EC014F"/>
    <w:rsid w:val="00EC0288"/>
    <w:rsid w:val="00EC030D"/>
    <w:rsid w:val="00EC04BA"/>
    <w:rsid w:val="00EC074F"/>
    <w:rsid w:val="00EC084F"/>
    <w:rsid w:val="00EC0889"/>
    <w:rsid w:val="00EC0BBE"/>
    <w:rsid w:val="00EC0BD2"/>
    <w:rsid w:val="00EC0CA8"/>
    <w:rsid w:val="00EC0F00"/>
    <w:rsid w:val="00EC0F07"/>
    <w:rsid w:val="00EC101E"/>
    <w:rsid w:val="00EC104F"/>
    <w:rsid w:val="00EC105D"/>
    <w:rsid w:val="00EC11F5"/>
    <w:rsid w:val="00EC1231"/>
    <w:rsid w:val="00EC125E"/>
    <w:rsid w:val="00EC13F0"/>
    <w:rsid w:val="00EC14EA"/>
    <w:rsid w:val="00EC182D"/>
    <w:rsid w:val="00EC18E0"/>
    <w:rsid w:val="00EC1AB1"/>
    <w:rsid w:val="00EC1B7F"/>
    <w:rsid w:val="00EC1ED8"/>
    <w:rsid w:val="00EC2216"/>
    <w:rsid w:val="00EC2424"/>
    <w:rsid w:val="00EC2598"/>
    <w:rsid w:val="00EC2776"/>
    <w:rsid w:val="00EC28A3"/>
    <w:rsid w:val="00EC2976"/>
    <w:rsid w:val="00EC2A3D"/>
    <w:rsid w:val="00EC2AB0"/>
    <w:rsid w:val="00EC2E5A"/>
    <w:rsid w:val="00EC2F00"/>
    <w:rsid w:val="00EC3077"/>
    <w:rsid w:val="00EC3149"/>
    <w:rsid w:val="00EC32DB"/>
    <w:rsid w:val="00EC3652"/>
    <w:rsid w:val="00EC3E95"/>
    <w:rsid w:val="00EC4071"/>
    <w:rsid w:val="00EC40B5"/>
    <w:rsid w:val="00EC45E9"/>
    <w:rsid w:val="00EC45EE"/>
    <w:rsid w:val="00EC476C"/>
    <w:rsid w:val="00EC4BFB"/>
    <w:rsid w:val="00EC4C0F"/>
    <w:rsid w:val="00EC517B"/>
    <w:rsid w:val="00EC521B"/>
    <w:rsid w:val="00EC5907"/>
    <w:rsid w:val="00EC597F"/>
    <w:rsid w:val="00EC5AB8"/>
    <w:rsid w:val="00EC5BCC"/>
    <w:rsid w:val="00EC5C12"/>
    <w:rsid w:val="00EC5EB6"/>
    <w:rsid w:val="00EC6361"/>
    <w:rsid w:val="00EC63BE"/>
    <w:rsid w:val="00EC63CC"/>
    <w:rsid w:val="00EC690C"/>
    <w:rsid w:val="00EC6ED9"/>
    <w:rsid w:val="00EC71C4"/>
    <w:rsid w:val="00EC725B"/>
    <w:rsid w:val="00EC7433"/>
    <w:rsid w:val="00EC758C"/>
    <w:rsid w:val="00EC7A13"/>
    <w:rsid w:val="00EC7BA4"/>
    <w:rsid w:val="00EC7BE8"/>
    <w:rsid w:val="00EC7C45"/>
    <w:rsid w:val="00EC7D01"/>
    <w:rsid w:val="00ECF79A"/>
    <w:rsid w:val="00ED0029"/>
    <w:rsid w:val="00ED00FD"/>
    <w:rsid w:val="00ED0101"/>
    <w:rsid w:val="00ED0108"/>
    <w:rsid w:val="00ED01B0"/>
    <w:rsid w:val="00ED0376"/>
    <w:rsid w:val="00ED06A3"/>
    <w:rsid w:val="00ED0761"/>
    <w:rsid w:val="00ED091B"/>
    <w:rsid w:val="00ED0A96"/>
    <w:rsid w:val="00ED0BD3"/>
    <w:rsid w:val="00ED0C98"/>
    <w:rsid w:val="00ED0CCD"/>
    <w:rsid w:val="00ED0F08"/>
    <w:rsid w:val="00ED0F48"/>
    <w:rsid w:val="00ED0FEF"/>
    <w:rsid w:val="00ED12CA"/>
    <w:rsid w:val="00ED1349"/>
    <w:rsid w:val="00ED1387"/>
    <w:rsid w:val="00ED1514"/>
    <w:rsid w:val="00ED155B"/>
    <w:rsid w:val="00ED177D"/>
    <w:rsid w:val="00ED1D21"/>
    <w:rsid w:val="00ED1D6E"/>
    <w:rsid w:val="00ED1FC9"/>
    <w:rsid w:val="00ED20E4"/>
    <w:rsid w:val="00ED2572"/>
    <w:rsid w:val="00ED2765"/>
    <w:rsid w:val="00ED288E"/>
    <w:rsid w:val="00ED294A"/>
    <w:rsid w:val="00ED29F7"/>
    <w:rsid w:val="00ED2D6D"/>
    <w:rsid w:val="00ED30BD"/>
    <w:rsid w:val="00ED34E6"/>
    <w:rsid w:val="00ED3548"/>
    <w:rsid w:val="00ED3648"/>
    <w:rsid w:val="00ED37DE"/>
    <w:rsid w:val="00ED399C"/>
    <w:rsid w:val="00ED39C3"/>
    <w:rsid w:val="00ED3BD8"/>
    <w:rsid w:val="00ED3EDF"/>
    <w:rsid w:val="00ED3EF8"/>
    <w:rsid w:val="00ED3FDC"/>
    <w:rsid w:val="00ED401C"/>
    <w:rsid w:val="00ED404B"/>
    <w:rsid w:val="00ED47BA"/>
    <w:rsid w:val="00ED4988"/>
    <w:rsid w:val="00ED4C4C"/>
    <w:rsid w:val="00ED4CF4"/>
    <w:rsid w:val="00ED4D23"/>
    <w:rsid w:val="00ED4D4D"/>
    <w:rsid w:val="00ED4E4C"/>
    <w:rsid w:val="00ED4EA5"/>
    <w:rsid w:val="00ED4F06"/>
    <w:rsid w:val="00ED4FB3"/>
    <w:rsid w:val="00ED5064"/>
    <w:rsid w:val="00ED53BB"/>
    <w:rsid w:val="00ED550B"/>
    <w:rsid w:val="00ED565D"/>
    <w:rsid w:val="00ED5720"/>
    <w:rsid w:val="00ED5728"/>
    <w:rsid w:val="00ED574A"/>
    <w:rsid w:val="00ED5782"/>
    <w:rsid w:val="00ED578A"/>
    <w:rsid w:val="00ED57F1"/>
    <w:rsid w:val="00ED57F7"/>
    <w:rsid w:val="00ED5888"/>
    <w:rsid w:val="00ED5C57"/>
    <w:rsid w:val="00ED5D83"/>
    <w:rsid w:val="00ED5DB5"/>
    <w:rsid w:val="00ED5EA9"/>
    <w:rsid w:val="00ED6057"/>
    <w:rsid w:val="00ED6133"/>
    <w:rsid w:val="00ED6410"/>
    <w:rsid w:val="00ED64A4"/>
    <w:rsid w:val="00ED6643"/>
    <w:rsid w:val="00ED6963"/>
    <w:rsid w:val="00ED6B94"/>
    <w:rsid w:val="00ED6BE8"/>
    <w:rsid w:val="00ED6C18"/>
    <w:rsid w:val="00ED6C19"/>
    <w:rsid w:val="00ED6C6C"/>
    <w:rsid w:val="00ED6CF8"/>
    <w:rsid w:val="00ED6D7D"/>
    <w:rsid w:val="00ED6E75"/>
    <w:rsid w:val="00ED708D"/>
    <w:rsid w:val="00ED724B"/>
    <w:rsid w:val="00ED72B5"/>
    <w:rsid w:val="00ED7410"/>
    <w:rsid w:val="00ED74A8"/>
    <w:rsid w:val="00ED74C9"/>
    <w:rsid w:val="00ED753A"/>
    <w:rsid w:val="00ED78E0"/>
    <w:rsid w:val="00ED7B63"/>
    <w:rsid w:val="00ED7C0A"/>
    <w:rsid w:val="00ED7D8E"/>
    <w:rsid w:val="00ED7FAA"/>
    <w:rsid w:val="00EE01F6"/>
    <w:rsid w:val="00EE02F7"/>
    <w:rsid w:val="00EE03DC"/>
    <w:rsid w:val="00EE03F2"/>
    <w:rsid w:val="00EE041E"/>
    <w:rsid w:val="00EE0596"/>
    <w:rsid w:val="00EE0697"/>
    <w:rsid w:val="00EE074D"/>
    <w:rsid w:val="00EE082E"/>
    <w:rsid w:val="00EE0941"/>
    <w:rsid w:val="00EE0A51"/>
    <w:rsid w:val="00EE0AC0"/>
    <w:rsid w:val="00EE0BB5"/>
    <w:rsid w:val="00EE0BCB"/>
    <w:rsid w:val="00EE0C9E"/>
    <w:rsid w:val="00EE0D1A"/>
    <w:rsid w:val="00EE0D3B"/>
    <w:rsid w:val="00EE0DE2"/>
    <w:rsid w:val="00EE0F13"/>
    <w:rsid w:val="00EE0F16"/>
    <w:rsid w:val="00EE0FFF"/>
    <w:rsid w:val="00EE1126"/>
    <w:rsid w:val="00EE123A"/>
    <w:rsid w:val="00EE12E7"/>
    <w:rsid w:val="00EE13DA"/>
    <w:rsid w:val="00EE1425"/>
    <w:rsid w:val="00EE14B9"/>
    <w:rsid w:val="00EE154A"/>
    <w:rsid w:val="00EE16C8"/>
    <w:rsid w:val="00EE1706"/>
    <w:rsid w:val="00EE17FD"/>
    <w:rsid w:val="00EE18F1"/>
    <w:rsid w:val="00EE1ABE"/>
    <w:rsid w:val="00EE1B16"/>
    <w:rsid w:val="00EE1C68"/>
    <w:rsid w:val="00EE1D46"/>
    <w:rsid w:val="00EE1DEC"/>
    <w:rsid w:val="00EE1E33"/>
    <w:rsid w:val="00EE2118"/>
    <w:rsid w:val="00EE232B"/>
    <w:rsid w:val="00EE2557"/>
    <w:rsid w:val="00EE262B"/>
    <w:rsid w:val="00EE26C4"/>
    <w:rsid w:val="00EE2992"/>
    <w:rsid w:val="00EE2B26"/>
    <w:rsid w:val="00EE2BBF"/>
    <w:rsid w:val="00EE2E8C"/>
    <w:rsid w:val="00EE343A"/>
    <w:rsid w:val="00EE348E"/>
    <w:rsid w:val="00EE34F8"/>
    <w:rsid w:val="00EE3784"/>
    <w:rsid w:val="00EE37FC"/>
    <w:rsid w:val="00EE38AB"/>
    <w:rsid w:val="00EE3908"/>
    <w:rsid w:val="00EE3960"/>
    <w:rsid w:val="00EE3AAC"/>
    <w:rsid w:val="00EE3BC2"/>
    <w:rsid w:val="00EE3D0E"/>
    <w:rsid w:val="00EE3F08"/>
    <w:rsid w:val="00EE3F79"/>
    <w:rsid w:val="00EE416C"/>
    <w:rsid w:val="00EE427E"/>
    <w:rsid w:val="00EE4560"/>
    <w:rsid w:val="00EE46A2"/>
    <w:rsid w:val="00EE4748"/>
    <w:rsid w:val="00EE4749"/>
    <w:rsid w:val="00EE475B"/>
    <w:rsid w:val="00EE4ADF"/>
    <w:rsid w:val="00EE4B29"/>
    <w:rsid w:val="00EE4D55"/>
    <w:rsid w:val="00EE4DAD"/>
    <w:rsid w:val="00EE4DB2"/>
    <w:rsid w:val="00EE4E67"/>
    <w:rsid w:val="00EE4EAF"/>
    <w:rsid w:val="00EE506F"/>
    <w:rsid w:val="00EE51A2"/>
    <w:rsid w:val="00EE5240"/>
    <w:rsid w:val="00EE5247"/>
    <w:rsid w:val="00EE5272"/>
    <w:rsid w:val="00EE540B"/>
    <w:rsid w:val="00EE566A"/>
    <w:rsid w:val="00EE56DA"/>
    <w:rsid w:val="00EE56E9"/>
    <w:rsid w:val="00EE578E"/>
    <w:rsid w:val="00EE5906"/>
    <w:rsid w:val="00EE591E"/>
    <w:rsid w:val="00EE5939"/>
    <w:rsid w:val="00EE598F"/>
    <w:rsid w:val="00EE5AB0"/>
    <w:rsid w:val="00EE5BC0"/>
    <w:rsid w:val="00EE5C4F"/>
    <w:rsid w:val="00EE5CAA"/>
    <w:rsid w:val="00EE5CFC"/>
    <w:rsid w:val="00EE606D"/>
    <w:rsid w:val="00EE6177"/>
    <w:rsid w:val="00EE6300"/>
    <w:rsid w:val="00EE6469"/>
    <w:rsid w:val="00EE64DE"/>
    <w:rsid w:val="00EE6689"/>
    <w:rsid w:val="00EE672C"/>
    <w:rsid w:val="00EE6796"/>
    <w:rsid w:val="00EE6A84"/>
    <w:rsid w:val="00EE6CF4"/>
    <w:rsid w:val="00EE6EE1"/>
    <w:rsid w:val="00EE754B"/>
    <w:rsid w:val="00EE7721"/>
    <w:rsid w:val="00EE786D"/>
    <w:rsid w:val="00EE7936"/>
    <w:rsid w:val="00EE7CE1"/>
    <w:rsid w:val="00EE7DBF"/>
    <w:rsid w:val="00EE7F7A"/>
    <w:rsid w:val="00EE7FAB"/>
    <w:rsid w:val="00EF0030"/>
    <w:rsid w:val="00EF0127"/>
    <w:rsid w:val="00EF01ED"/>
    <w:rsid w:val="00EF0306"/>
    <w:rsid w:val="00EF038C"/>
    <w:rsid w:val="00EF06AE"/>
    <w:rsid w:val="00EF06CF"/>
    <w:rsid w:val="00EF06DE"/>
    <w:rsid w:val="00EF07A6"/>
    <w:rsid w:val="00EF0913"/>
    <w:rsid w:val="00EF0B3A"/>
    <w:rsid w:val="00EF0B89"/>
    <w:rsid w:val="00EF0BC0"/>
    <w:rsid w:val="00EF0DE2"/>
    <w:rsid w:val="00EF0DFD"/>
    <w:rsid w:val="00EF123F"/>
    <w:rsid w:val="00EF1353"/>
    <w:rsid w:val="00EF13D6"/>
    <w:rsid w:val="00EF13E0"/>
    <w:rsid w:val="00EF1622"/>
    <w:rsid w:val="00EF16AB"/>
    <w:rsid w:val="00EF16BF"/>
    <w:rsid w:val="00EF16EF"/>
    <w:rsid w:val="00EF176F"/>
    <w:rsid w:val="00EF18F9"/>
    <w:rsid w:val="00EF19E6"/>
    <w:rsid w:val="00EF1A8C"/>
    <w:rsid w:val="00EF1B18"/>
    <w:rsid w:val="00EF1C64"/>
    <w:rsid w:val="00EF1CDE"/>
    <w:rsid w:val="00EF1D7F"/>
    <w:rsid w:val="00EF1DC4"/>
    <w:rsid w:val="00EF1F4F"/>
    <w:rsid w:val="00EF25BA"/>
    <w:rsid w:val="00EF2672"/>
    <w:rsid w:val="00EF26B9"/>
    <w:rsid w:val="00EF2728"/>
    <w:rsid w:val="00EF28E5"/>
    <w:rsid w:val="00EF2AD5"/>
    <w:rsid w:val="00EF2CFE"/>
    <w:rsid w:val="00EF2D0B"/>
    <w:rsid w:val="00EF32D0"/>
    <w:rsid w:val="00EF334F"/>
    <w:rsid w:val="00EF3407"/>
    <w:rsid w:val="00EF36D5"/>
    <w:rsid w:val="00EF37E4"/>
    <w:rsid w:val="00EF3A1A"/>
    <w:rsid w:val="00EF3DAB"/>
    <w:rsid w:val="00EF3E37"/>
    <w:rsid w:val="00EF3EB5"/>
    <w:rsid w:val="00EF3ED3"/>
    <w:rsid w:val="00EF3F31"/>
    <w:rsid w:val="00EF40C9"/>
    <w:rsid w:val="00EF42EC"/>
    <w:rsid w:val="00EF4571"/>
    <w:rsid w:val="00EF458C"/>
    <w:rsid w:val="00EF45D8"/>
    <w:rsid w:val="00EF461A"/>
    <w:rsid w:val="00EF47B4"/>
    <w:rsid w:val="00EF47D8"/>
    <w:rsid w:val="00EF4967"/>
    <w:rsid w:val="00EF4B38"/>
    <w:rsid w:val="00EF4BE5"/>
    <w:rsid w:val="00EF4C9D"/>
    <w:rsid w:val="00EF4D23"/>
    <w:rsid w:val="00EF4E74"/>
    <w:rsid w:val="00EF51D7"/>
    <w:rsid w:val="00EF54DD"/>
    <w:rsid w:val="00EF54F6"/>
    <w:rsid w:val="00EF5510"/>
    <w:rsid w:val="00EF56FD"/>
    <w:rsid w:val="00EF579A"/>
    <w:rsid w:val="00EF57C5"/>
    <w:rsid w:val="00EF5AD5"/>
    <w:rsid w:val="00EF5AF8"/>
    <w:rsid w:val="00EF5BEB"/>
    <w:rsid w:val="00EF6132"/>
    <w:rsid w:val="00EF6155"/>
    <w:rsid w:val="00EF64C8"/>
    <w:rsid w:val="00EF65A3"/>
    <w:rsid w:val="00EF66FF"/>
    <w:rsid w:val="00EF6851"/>
    <w:rsid w:val="00EF6A3C"/>
    <w:rsid w:val="00EF6B22"/>
    <w:rsid w:val="00EF6B3D"/>
    <w:rsid w:val="00EF6BCF"/>
    <w:rsid w:val="00EF6D37"/>
    <w:rsid w:val="00EF6D3C"/>
    <w:rsid w:val="00EF6D9A"/>
    <w:rsid w:val="00EF7120"/>
    <w:rsid w:val="00EF72A0"/>
    <w:rsid w:val="00EF72F3"/>
    <w:rsid w:val="00EF768C"/>
    <w:rsid w:val="00EF7AA2"/>
    <w:rsid w:val="00EF7B91"/>
    <w:rsid w:val="00EF7BAD"/>
    <w:rsid w:val="00EF7CA7"/>
    <w:rsid w:val="00EF7CAF"/>
    <w:rsid w:val="00F001DB"/>
    <w:rsid w:val="00F004C5"/>
    <w:rsid w:val="00F00576"/>
    <w:rsid w:val="00F005A6"/>
    <w:rsid w:val="00F006C2"/>
    <w:rsid w:val="00F006EA"/>
    <w:rsid w:val="00F00734"/>
    <w:rsid w:val="00F007BB"/>
    <w:rsid w:val="00F007E7"/>
    <w:rsid w:val="00F00837"/>
    <w:rsid w:val="00F009AC"/>
    <w:rsid w:val="00F00A19"/>
    <w:rsid w:val="00F00B0F"/>
    <w:rsid w:val="00F00B68"/>
    <w:rsid w:val="00F00C2C"/>
    <w:rsid w:val="00F00F3C"/>
    <w:rsid w:val="00F01050"/>
    <w:rsid w:val="00F010B5"/>
    <w:rsid w:val="00F011A6"/>
    <w:rsid w:val="00F01287"/>
    <w:rsid w:val="00F0134E"/>
    <w:rsid w:val="00F015A3"/>
    <w:rsid w:val="00F01690"/>
    <w:rsid w:val="00F016F8"/>
    <w:rsid w:val="00F016F9"/>
    <w:rsid w:val="00F01817"/>
    <w:rsid w:val="00F01848"/>
    <w:rsid w:val="00F01B85"/>
    <w:rsid w:val="00F01E0A"/>
    <w:rsid w:val="00F01E74"/>
    <w:rsid w:val="00F01FEF"/>
    <w:rsid w:val="00F0203F"/>
    <w:rsid w:val="00F0233A"/>
    <w:rsid w:val="00F0239B"/>
    <w:rsid w:val="00F0278B"/>
    <w:rsid w:val="00F02A15"/>
    <w:rsid w:val="00F02E27"/>
    <w:rsid w:val="00F02F82"/>
    <w:rsid w:val="00F03080"/>
    <w:rsid w:val="00F030E3"/>
    <w:rsid w:val="00F03157"/>
    <w:rsid w:val="00F03386"/>
    <w:rsid w:val="00F035AF"/>
    <w:rsid w:val="00F035DD"/>
    <w:rsid w:val="00F0382E"/>
    <w:rsid w:val="00F0384A"/>
    <w:rsid w:val="00F03886"/>
    <w:rsid w:val="00F0394C"/>
    <w:rsid w:val="00F03C4D"/>
    <w:rsid w:val="00F03F6F"/>
    <w:rsid w:val="00F0410C"/>
    <w:rsid w:val="00F04135"/>
    <w:rsid w:val="00F0423B"/>
    <w:rsid w:val="00F042AC"/>
    <w:rsid w:val="00F042B7"/>
    <w:rsid w:val="00F04706"/>
    <w:rsid w:val="00F047B1"/>
    <w:rsid w:val="00F0488E"/>
    <w:rsid w:val="00F04B33"/>
    <w:rsid w:val="00F04F64"/>
    <w:rsid w:val="00F0505B"/>
    <w:rsid w:val="00F050C6"/>
    <w:rsid w:val="00F0560D"/>
    <w:rsid w:val="00F056AB"/>
    <w:rsid w:val="00F057FE"/>
    <w:rsid w:val="00F058AE"/>
    <w:rsid w:val="00F05AD0"/>
    <w:rsid w:val="00F05DF6"/>
    <w:rsid w:val="00F05FF9"/>
    <w:rsid w:val="00F0605F"/>
    <w:rsid w:val="00F061CF"/>
    <w:rsid w:val="00F0622E"/>
    <w:rsid w:val="00F06412"/>
    <w:rsid w:val="00F06464"/>
    <w:rsid w:val="00F0665D"/>
    <w:rsid w:val="00F06673"/>
    <w:rsid w:val="00F0699B"/>
    <w:rsid w:val="00F0699E"/>
    <w:rsid w:val="00F06A1E"/>
    <w:rsid w:val="00F06AB3"/>
    <w:rsid w:val="00F06B72"/>
    <w:rsid w:val="00F06C62"/>
    <w:rsid w:val="00F06EB0"/>
    <w:rsid w:val="00F06F7A"/>
    <w:rsid w:val="00F07018"/>
    <w:rsid w:val="00F071F7"/>
    <w:rsid w:val="00F076BF"/>
    <w:rsid w:val="00F07872"/>
    <w:rsid w:val="00F07891"/>
    <w:rsid w:val="00F07A26"/>
    <w:rsid w:val="00F07CD9"/>
    <w:rsid w:val="00F10251"/>
    <w:rsid w:val="00F1028C"/>
    <w:rsid w:val="00F1038A"/>
    <w:rsid w:val="00F10673"/>
    <w:rsid w:val="00F10895"/>
    <w:rsid w:val="00F1092F"/>
    <w:rsid w:val="00F10B45"/>
    <w:rsid w:val="00F10BB1"/>
    <w:rsid w:val="00F10DA2"/>
    <w:rsid w:val="00F11110"/>
    <w:rsid w:val="00F111FC"/>
    <w:rsid w:val="00F113C4"/>
    <w:rsid w:val="00F113DF"/>
    <w:rsid w:val="00F1152D"/>
    <w:rsid w:val="00F11975"/>
    <w:rsid w:val="00F11A2B"/>
    <w:rsid w:val="00F11A73"/>
    <w:rsid w:val="00F11AEF"/>
    <w:rsid w:val="00F11BDF"/>
    <w:rsid w:val="00F11CE0"/>
    <w:rsid w:val="00F11E70"/>
    <w:rsid w:val="00F120B3"/>
    <w:rsid w:val="00F12273"/>
    <w:rsid w:val="00F122A6"/>
    <w:rsid w:val="00F12350"/>
    <w:rsid w:val="00F123C6"/>
    <w:rsid w:val="00F125C7"/>
    <w:rsid w:val="00F12622"/>
    <w:rsid w:val="00F126A5"/>
    <w:rsid w:val="00F126F2"/>
    <w:rsid w:val="00F12754"/>
    <w:rsid w:val="00F127F4"/>
    <w:rsid w:val="00F129C9"/>
    <w:rsid w:val="00F12B39"/>
    <w:rsid w:val="00F12C3D"/>
    <w:rsid w:val="00F12CAB"/>
    <w:rsid w:val="00F12D04"/>
    <w:rsid w:val="00F12E36"/>
    <w:rsid w:val="00F12FD1"/>
    <w:rsid w:val="00F13135"/>
    <w:rsid w:val="00F13309"/>
    <w:rsid w:val="00F13361"/>
    <w:rsid w:val="00F134D2"/>
    <w:rsid w:val="00F13648"/>
    <w:rsid w:val="00F13936"/>
    <w:rsid w:val="00F13B2A"/>
    <w:rsid w:val="00F13B64"/>
    <w:rsid w:val="00F13BD3"/>
    <w:rsid w:val="00F13D31"/>
    <w:rsid w:val="00F13E19"/>
    <w:rsid w:val="00F13FB1"/>
    <w:rsid w:val="00F13FDF"/>
    <w:rsid w:val="00F13FF2"/>
    <w:rsid w:val="00F1401D"/>
    <w:rsid w:val="00F14176"/>
    <w:rsid w:val="00F141AC"/>
    <w:rsid w:val="00F142E4"/>
    <w:rsid w:val="00F1430C"/>
    <w:rsid w:val="00F143A4"/>
    <w:rsid w:val="00F14438"/>
    <w:rsid w:val="00F14726"/>
    <w:rsid w:val="00F147C6"/>
    <w:rsid w:val="00F14902"/>
    <w:rsid w:val="00F149D8"/>
    <w:rsid w:val="00F14A63"/>
    <w:rsid w:val="00F14C04"/>
    <w:rsid w:val="00F14CAF"/>
    <w:rsid w:val="00F14CBC"/>
    <w:rsid w:val="00F1506C"/>
    <w:rsid w:val="00F150BA"/>
    <w:rsid w:val="00F15195"/>
    <w:rsid w:val="00F15261"/>
    <w:rsid w:val="00F15280"/>
    <w:rsid w:val="00F152C7"/>
    <w:rsid w:val="00F15409"/>
    <w:rsid w:val="00F15432"/>
    <w:rsid w:val="00F158CB"/>
    <w:rsid w:val="00F15B1F"/>
    <w:rsid w:val="00F15C1F"/>
    <w:rsid w:val="00F15C94"/>
    <w:rsid w:val="00F15CBC"/>
    <w:rsid w:val="00F15D2E"/>
    <w:rsid w:val="00F15D36"/>
    <w:rsid w:val="00F15EB8"/>
    <w:rsid w:val="00F15F21"/>
    <w:rsid w:val="00F15FDB"/>
    <w:rsid w:val="00F16070"/>
    <w:rsid w:val="00F16119"/>
    <w:rsid w:val="00F1626F"/>
    <w:rsid w:val="00F16396"/>
    <w:rsid w:val="00F16414"/>
    <w:rsid w:val="00F16463"/>
    <w:rsid w:val="00F165DB"/>
    <w:rsid w:val="00F16624"/>
    <w:rsid w:val="00F1666C"/>
    <w:rsid w:val="00F16A8C"/>
    <w:rsid w:val="00F16B2F"/>
    <w:rsid w:val="00F16BFF"/>
    <w:rsid w:val="00F16C8C"/>
    <w:rsid w:val="00F17201"/>
    <w:rsid w:val="00F17336"/>
    <w:rsid w:val="00F1765B"/>
    <w:rsid w:val="00F177C6"/>
    <w:rsid w:val="00F17958"/>
    <w:rsid w:val="00F179B5"/>
    <w:rsid w:val="00F17D3F"/>
    <w:rsid w:val="00F17F74"/>
    <w:rsid w:val="00F20024"/>
    <w:rsid w:val="00F2013C"/>
    <w:rsid w:val="00F20310"/>
    <w:rsid w:val="00F20384"/>
    <w:rsid w:val="00F20464"/>
    <w:rsid w:val="00F2046E"/>
    <w:rsid w:val="00F20665"/>
    <w:rsid w:val="00F206A3"/>
    <w:rsid w:val="00F206B4"/>
    <w:rsid w:val="00F20704"/>
    <w:rsid w:val="00F20980"/>
    <w:rsid w:val="00F209D1"/>
    <w:rsid w:val="00F20A02"/>
    <w:rsid w:val="00F20A8A"/>
    <w:rsid w:val="00F20AFE"/>
    <w:rsid w:val="00F20BD1"/>
    <w:rsid w:val="00F20C79"/>
    <w:rsid w:val="00F20CD7"/>
    <w:rsid w:val="00F20DA9"/>
    <w:rsid w:val="00F20E74"/>
    <w:rsid w:val="00F20FE6"/>
    <w:rsid w:val="00F2143E"/>
    <w:rsid w:val="00F2156D"/>
    <w:rsid w:val="00F21739"/>
    <w:rsid w:val="00F217AA"/>
    <w:rsid w:val="00F21D46"/>
    <w:rsid w:val="00F220E1"/>
    <w:rsid w:val="00F2252A"/>
    <w:rsid w:val="00F2255E"/>
    <w:rsid w:val="00F2256F"/>
    <w:rsid w:val="00F225B0"/>
    <w:rsid w:val="00F226C5"/>
    <w:rsid w:val="00F22ABB"/>
    <w:rsid w:val="00F22ADD"/>
    <w:rsid w:val="00F22D4F"/>
    <w:rsid w:val="00F22D61"/>
    <w:rsid w:val="00F22E5D"/>
    <w:rsid w:val="00F22F79"/>
    <w:rsid w:val="00F233DE"/>
    <w:rsid w:val="00F23458"/>
    <w:rsid w:val="00F23474"/>
    <w:rsid w:val="00F23486"/>
    <w:rsid w:val="00F23524"/>
    <w:rsid w:val="00F23828"/>
    <w:rsid w:val="00F239B3"/>
    <w:rsid w:val="00F23A7E"/>
    <w:rsid w:val="00F23AA4"/>
    <w:rsid w:val="00F23BBF"/>
    <w:rsid w:val="00F23BE3"/>
    <w:rsid w:val="00F23E91"/>
    <w:rsid w:val="00F23F2D"/>
    <w:rsid w:val="00F2406E"/>
    <w:rsid w:val="00F241F5"/>
    <w:rsid w:val="00F24305"/>
    <w:rsid w:val="00F2438E"/>
    <w:rsid w:val="00F24393"/>
    <w:rsid w:val="00F243AB"/>
    <w:rsid w:val="00F245C3"/>
    <w:rsid w:val="00F2468E"/>
    <w:rsid w:val="00F24AAF"/>
    <w:rsid w:val="00F24AE7"/>
    <w:rsid w:val="00F24B38"/>
    <w:rsid w:val="00F24B5B"/>
    <w:rsid w:val="00F24D5D"/>
    <w:rsid w:val="00F24D6E"/>
    <w:rsid w:val="00F24E08"/>
    <w:rsid w:val="00F24E79"/>
    <w:rsid w:val="00F250EE"/>
    <w:rsid w:val="00F2512C"/>
    <w:rsid w:val="00F2533C"/>
    <w:rsid w:val="00F255D0"/>
    <w:rsid w:val="00F258CA"/>
    <w:rsid w:val="00F25BA5"/>
    <w:rsid w:val="00F25C14"/>
    <w:rsid w:val="00F25E3F"/>
    <w:rsid w:val="00F25FE4"/>
    <w:rsid w:val="00F260B4"/>
    <w:rsid w:val="00F26197"/>
    <w:rsid w:val="00F261CC"/>
    <w:rsid w:val="00F26220"/>
    <w:rsid w:val="00F263A1"/>
    <w:rsid w:val="00F263C3"/>
    <w:rsid w:val="00F263F4"/>
    <w:rsid w:val="00F26557"/>
    <w:rsid w:val="00F26558"/>
    <w:rsid w:val="00F265D0"/>
    <w:rsid w:val="00F266C9"/>
    <w:rsid w:val="00F26741"/>
    <w:rsid w:val="00F26910"/>
    <w:rsid w:val="00F26983"/>
    <w:rsid w:val="00F26A60"/>
    <w:rsid w:val="00F26ACA"/>
    <w:rsid w:val="00F26B45"/>
    <w:rsid w:val="00F26C61"/>
    <w:rsid w:val="00F274B0"/>
    <w:rsid w:val="00F274EC"/>
    <w:rsid w:val="00F27757"/>
    <w:rsid w:val="00F27775"/>
    <w:rsid w:val="00F279A7"/>
    <w:rsid w:val="00F27A4A"/>
    <w:rsid w:val="00F27B22"/>
    <w:rsid w:val="00F27C2E"/>
    <w:rsid w:val="00F27DEC"/>
    <w:rsid w:val="00F27E0A"/>
    <w:rsid w:val="00F27E31"/>
    <w:rsid w:val="00F30221"/>
    <w:rsid w:val="00F30575"/>
    <w:rsid w:val="00F3061A"/>
    <w:rsid w:val="00F30828"/>
    <w:rsid w:val="00F308FD"/>
    <w:rsid w:val="00F30BFF"/>
    <w:rsid w:val="00F30CAB"/>
    <w:rsid w:val="00F30D95"/>
    <w:rsid w:val="00F30EAB"/>
    <w:rsid w:val="00F30F62"/>
    <w:rsid w:val="00F30FE9"/>
    <w:rsid w:val="00F310CC"/>
    <w:rsid w:val="00F3150C"/>
    <w:rsid w:val="00F3151A"/>
    <w:rsid w:val="00F316B7"/>
    <w:rsid w:val="00F31844"/>
    <w:rsid w:val="00F31952"/>
    <w:rsid w:val="00F31A0E"/>
    <w:rsid w:val="00F31B02"/>
    <w:rsid w:val="00F31B1D"/>
    <w:rsid w:val="00F31F4D"/>
    <w:rsid w:val="00F32307"/>
    <w:rsid w:val="00F3236A"/>
    <w:rsid w:val="00F32663"/>
    <w:rsid w:val="00F329D3"/>
    <w:rsid w:val="00F32A38"/>
    <w:rsid w:val="00F32AA6"/>
    <w:rsid w:val="00F32C66"/>
    <w:rsid w:val="00F32D5D"/>
    <w:rsid w:val="00F32E82"/>
    <w:rsid w:val="00F32EDE"/>
    <w:rsid w:val="00F32FDD"/>
    <w:rsid w:val="00F3301F"/>
    <w:rsid w:val="00F3324A"/>
    <w:rsid w:val="00F333CC"/>
    <w:rsid w:val="00F33401"/>
    <w:rsid w:val="00F335E3"/>
    <w:rsid w:val="00F33663"/>
    <w:rsid w:val="00F3368F"/>
    <w:rsid w:val="00F3384F"/>
    <w:rsid w:val="00F33B2B"/>
    <w:rsid w:val="00F33BC9"/>
    <w:rsid w:val="00F33C10"/>
    <w:rsid w:val="00F33DFC"/>
    <w:rsid w:val="00F33EC1"/>
    <w:rsid w:val="00F33F03"/>
    <w:rsid w:val="00F3406C"/>
    <w:rsid w:val="00F3437F"/>
    <w:rsid w:val="00F34670"/>
    <w:rsid w:val="00F34760"/>
    <w:rsid w:val="00F347B7"/>
    <w:rsid w:val="00F34AEC"/>
    <w:rsid w:val="00F34D3F"/>
    <w:rsid w:val="00F34EB6"/>
    <w:rsid w:val="00F34F4E"/>
    <w:rsid w:val="00F35310"/>
    <w:rsid w:val="00F35734"/>
    <w:rsid w:val="00F35758"/>
    <w:rsid w:val="00F35B63"/>
    <w:rsid w:val="00F35C76"/>
    <w:rsid w:val="00F35E0C"/>
    <w:rsid w:val="00F35F19"/>
    <w:rsid w:val="00F35FDF"/>
    <w:rsid w:val="00F36082"/>
    <w:rsid w:val="00F3613C"/>
    <w:rsid w:val="00F367CA"/>
    <w:rsid w:val="00F36801"/>
    <w:rsid w:val="00F369C0"/>
    <w:rsid w:val="00F36A4C"/>
    <w:rsid w:val="00F36BAA"/>
    <w:rsid w:val="00F36BB0"/>
    <w:rsid w:val="00F36DD6"/>
    <w:rsid w:val="00F370F0"/>
    <w:rsid w:val="00F37101"/>
    <w:rsid w:val="00F37347"/>
    <w:rsid w:val="00F3743F"/>
    <w:rsid w:val="00F375BA"/>
    <w:rsid w:val="00F376C2"/>
    <w:rsid w:val="00F377A5"/>
    <w:rsid w:val="00F378B4"/>
    <w:rsid w:val="00F37958"/>
    <w:rsid w:val="00F37C10"/>
    <w:rsid w:val="00F37E3C"/>
    <w:rsid w:val="00F37FD5"/>
    <w:rsid w:val="00F40022"/>
    <w:rsid w:val="00F40174"/>
    <w:rsid w:val="00F40339"/>
    <w:rsid w:val="00F4037A"/>
    <w:rsid w:val="00F40408"/>
    <w:rsid w:val="00F406B1"/>
    <w:rsid w:val="00F40723"/>
    <w:rsid w:val="00F409B2"/>
    <w:rsid w:val="00F40AB9"/>
    <w:rsid w:val="00F40ACE"/>
    <w:rsid w:val="00F40E4F"/>
    <w:rsid w:val="00F40F70"/>
    <w:rsid w:val="00F410AB"/>
    <w:rsid w:val="00F410B1"/>
    <w:rsid w:val="00F410C8"/>
    <w:rsid w:val="00F41356"/>
    <w:rsid w:val="00F413FF"/>
    <w:rsid w:val="00F41479"/>
    <w:rsid w:val="00F414CF"/>
    <w:rsid w:val="00F41520"/>
    <w:rsid w:val="00F41894"/>
    <w:rsid w:val="00F4189F"/>
    <w:rsid w:val="00F418C3"/>
    <w:rsid w:val="00F4195A"/>
    <w:rsid w:val="00F419DF"/>
    <w:rsid w:val="00F41C76"/>
    <w:rsid w:val="00F41CBF"/>
    <w:rsid w:val="00F41CDE"/>
    <w:rsid w:val="00F41DA5"/>
    <w:rsid w:val="00F41DFD"/>
    <w:rsid w:val="00F41E17"/>
    <w:rsid w:val="00F41F13"/>
    <w:rsid w:val="00F4215C"/>
    <w:rsid w:val="00F421A5"/>
    <w:rsid w:val="00F42374"/>
    <w:rsid w:val="00F424B9"/>
    <w:rsid w:val="00F424D7"/>
    <w:rsid w:val="00F42744"/>
    <w:rsid w:val="00F42752"/>
    <w:rsid w:val="00F427EC"/>
    <w:rsid w:val="00F42897"/>
    <w:rsid w:val="00F429BC"/>
    <w:rsid w:val="00F42A92"/>
    <w:rsid w:val="00F42A9D"/>
    <w:rsid w:val="00F42AD9"/>
    <w:rsid w:val="00F42CA9"/>
    <w:rsid w:val="00F42CF3"/>
    <w:rsid w:val="00F42DE0"/>
    <w:rsid w:val="00F42E40"/>
    <w:rsid w:val="00F42E4F"/>
    <w:rsid w:val="00F42FDC"/>
    <w:rsid w:val="00F42FFE"/>
    <w:rsid w:val="00F43018"/>
    <w:rsid w:val="00F43172"/>
    <w:rsid w:val="00F4326F"/>
    <w:rsid w:val="00F432F3"/>
    <w:rsid w:val="00F4333F"/>
    <w:rsid w:val="00F433C2"/>
    <w:rsid w:val="00F4357A"/>
    <w:rsid w:val="00F4361F"/>
    <w:rsid w:val="00F436E7"/>
    <w:rsid w:val="00F43751"/>
    <w:rsid w:val="00F437ED"/>
    <w:rsid w:val="00F43839"/>
    <w:rsid w:val="00F438CA"/>
    <w:rsid w:val="00F4395F"/>
    <w:rsid w:val="00F439F2"/>
    <w:rsid w:val="00F43AE3"/>
    <w:rsid w:val="00F43B13"/>
    <w:rsid w:val="00F43C26"/>
    <w:rsid w:val="00F43D14"/>
    <w:rsid w:val="00F441CB"/>
    <w:rsid w:val="00F4430A"/>
    <w:rsid w:val="00F44320"/>
    <w:rsid w:val="00F4436E"/>
    <w:rsid w:val="00F44503"/>
    <w:rsid w:val="00F44B56"/>
    <w:rsid w:val="00F44C30"/>
    <w:rsid w:val="00F44DB8"/>
    <w:rsid w:val="00F4510D"/>
    <w:rsid w:val="00F45144"/>
    <w:rsid w:val="00F452EE"/>
    <w:rsid w:val="00F452F5"/>
    <w:rsid w:val="00F453CC"/>
    <w:rsid w:val="00F4552B"/>
    <w:rsid w:val="00F457AA"/>
    <w:rsid w:val="00F45984"/>
    <w:rsid w:val="00F45C67"/>
    <w:rsid w:val="00F45CAF"/>
    <w:rsid w:val="00F45CF8"/>
    <w:rsid w:val="00F45E23"/>
    <w:rsid w:val="00F45FD0"/>
    <w:rsid w:val="00F45FFC"/>
    <w:rsid w:val="00F46082"/>
    <w:rsid w:val="00F46096"/>
    <w:rsid w:val="00F46289"/>
    <w:rsid w:val="00F4642F"/>
    <w:rsid w:val="00F46430"/>
    <w:rsid w:val="00F46452"/>
    <w:rsid w:val="00F464E5"/>
    <w:rsid w:val="00F4653E"/>
    <w:rsid w:val="00F46684"/>
    <w:rsid w:val="00F4688D"/>
    <w:rsid w:val="00F46AC8"/>
    <w:rsid w:val="00F46C9F"/>
    <w:rsid w:val="00F46D99"/>
    <w:rsid w:val="00F46D9D"/>
    <w:rsid w:val="00F46E47"/>
    <w:rsid w:val="00F47200"/>
    <w:rsid w:val="00F4732B"/>
    <w:rsid w:val="00F4746D"/>
    <w:rsid w:val="00F475B7"/>
    <w:rsid w:val="00F475BF"/>
    <w:rsid w:val="00F479B2"/>
    <w:rsid w:val="00F479D9"/>
    <w:rsid w:val="00F47B3D"/>
    <w:rsid w:val="00F5001A"/>
    <w:rsid w:val="00F50049"/>
    <w:rsid w:val="00F500FC"/>
    <w:rsid w:val="00F50118"/>
    <w:rsid w:val="00F5014F"/>
    <w:rsid w:val="00F503B5"/>
    <w:rsid w:val="00F504A8"/>
    <w:rsid w:val="00F50526"/>
    <w:rsid w:val="00F50714"/>
    <w:rsid w:val="00F50739"/>
    <w:rsid w:val="00F50776"/>
    <w:rsid w:val="00F508E6"/>
    <w:rsid w:val="00F50B4B"/>
    <w:rsid w:val="00F50B5C"/>
    <w:rsid w:val="00F50C7C"/>
    <w:rsid w:val="00F51051"/>
    <w:rsid w:val="00F510EE"/>
    <w:rsid w:val="00F511D7"/>
    <w:rsid w:val="00F514CE"/>
    <w:rsid w:val="00F51B35"/>
    <w:rsid w:val="00F51B9A"/>
    <w:rsid w:val="00F51C24"/>
    <w:rsid w:val="00F51C96"/>
    <w:rsid w:val="00F51E5A"/>
    <w:rsid w:val="00F52222"/>
    <w:rsid w:val="00F52382"/>
    <w:rsid w:val="00F525DA"/>
    <w:rsid w:val="00F525E9"/>
    <w:rsid w:val="00F52A2F"/>
    <w:rsid w:val="00F52A91"/>
    <w:rsid w:val="00F52A99"/>
    <w:rsid w:val="00F52CD2"/>
    <w:rsid w:val="00F52CDE"/>
    <w:rsid w:val="00F52D0E"/>
    <w:rsid w:val="00F52DCC"/>
    <w:rsid w:val="00F5326B"/>
    <w:rsid w:val="00F53310"/>
    <w:rsid w:val="00F5332F"/>
    <w:rsid w:val="00F53360"/>
    <w:rsid w:val="00F537A6"/>
    <w:rsid w:val="00F537FD"/>
    <w:rsid w:val="00F538C2"/>
    <w:rsid w:val="00F5395B"/>
    <w:rsid w:val="00F53A53"/>
    <w:rsid w:val="00F53AC1"/>
    <w:rsid w:val="00F53BA8"/>
    <w:rsid w:val="00F53C7F"/>
    <w:rsid w:val="00F53D3E"/>
    <w:rsid w:val="00F53E9E"/>
    <w:rsid w:val="00F5405E"/>
    <w:rsid w:val="00F54109"/>
    <w:rsid w:val="00F54125"/>
    <w:rsid w:val="00F541FB"/>
    <w:rsid w:val="00F54393"/>
    <w:rsid w:val="00F5481D"/>
    <w:rsid w:val="00F54843"/>
    <w:rsid w:val="00F54864"/>
    <w:rsid w:val="00F549B1"/>
    <w:rsid w:val="00F549D7"/>
    <w:rsid w:val="00F54A00"/>
    <w:rsid w:val="00F54D81"/>
    <w:rsid w:val="00F54F08"/>
    <w:rsid w:val="00F55003"/>
    <w:rsid w:val="00F5507E"/>
    <w:rsid w:val="00F55186"/>
    <w:rsid w:val="00F553A3"/>
    <w:rsid w:val="00F553BF"/>
    <w:rsid w:val="00F55995"/>
    <w:rsid w:val="00F55C91"/>
    <w:rsid w:val="00F55FEA"/>
    <w:rsid w:val="00F56202"/>
    <w:rsid w:val="00F5628C"/>
    <w:rsid w:val="00F562A9"/>
    <w:rsid w:val="00F5640C"/>
    <w:rsid w:val="00F565D9"/>
    <w:rsid w:val="00F568E1"/>
    <w:rsid w:val="00F56A26"/>
    <w:rsid w:val="00F56E9B"/>
    <w:rsid w:val="00F57023"/>
    <w:rsid w:val="00F57092"/>
    <w:rsid w:val="00F571FE"/>
    <w:rsid w:val="00F5725F"/>
    <w:rsid w:val="00F572D0"/>
    <w:rsid w:val="00F573CC"/>
    <w:rsid w:val="00F5747F"/>
    <w:rsid w:val="00F574C7"/>
    <w:rsid w:val="00F5759E"/>
    <w:rsid w:val="00F5760C"/>
    <w:rsid w:val="00F5771B"/>
    <w:rsid w:val="00F577A9"/>
    <w:rsid w:val="00F577E5"/>
    <w:rsid w:val="00F579EB"/>
    <w:rsid w:val="00F57A4C"/>
    <w:rsid w:val="00F57A85"/>
    <w:rsid w:val="00F57B00"/>
    <w:rsid w:val="00F57B3B"/>
    <w:rsid w:val="00F60057"/>
    <w:rsid w:val="00F6009B"/>
    <w:rsid w:val="00F601AA"/>
    <w:rsid w:val="00F6029C"/>
    <w:rsid w:val="00F602B3"/>
    <w:rsid w:val="00F603E9"/>
    <w:rsid w:val="00F605FC"/>
    <w:rsid w:val="00F606F0"/>
    <w:rsid w:val="00F608CB"/>
    <w:rsid w:val="00F60A06"/>
    <w:rsid w:val="00F60A9F"/>
    <w:rsid w:val="00F60B5B"/>
    <w:rsid w:val="00F60C20"/>
    <w:rsid w:val="00F60D13"/>
    <w:rsid w:val="00F60D2A"/>
    <w:rsid w:val="00F60DF0"/>
    <w:rsid w:val="00F60E31"/>
    <w:rsid w:val="00F6100C"/>
    <w:rsid w:val="00F61057"/>
    <w:rsid w:val="00F610E5"/>
    <w:rsid w:val="00F61438"/>
    <w:rsid w:val="00F614ED"/>
    <w:rsid w:val="00F615FE"/>
    <w:rsid w:val="00F6160F"/>
    <w:rsid w:val="00F6169D"/>
    <w:rsid w:val="00F618E0"/>
    <w:rsid w:val="00F619CA"/>
    <w:rsid w:val="00F61A53"/>
    <w:rsid w:val="00F61ABD"/>
    <w:rsid w:val="00F61B9E"/>
    <w:rsid w:val="00F61DBC"/>
    <w:rsid w:val="00F61FFF"/>
    <w:rsid w:val="00F6219B"/>
    <w:rsid w:val="00F621C7"/>
    <w:rsid w:val="00F62646"/>
    <w:rsid w:val="00F626B7"/>
    <w:rsid w:val="00F62737"/>
    <w:rsid w:val="00F627C8"/>
    <w:rsid w:val="00F62819"/>
    <w:rsid w:val="00F62888"/>
    <w:rsid w:val="00F628C6"/>
    <w:rsid w:val="00F62BDA"/>
    <w:rsid w:val="00F62EC8"/>
    <w:rsid w:val="00F62F48"/>
    <w:rsid w:val="00F62FE2"/>
    <w:rsid w:val="00F630B6"/>
    <w:rsid w:val="00F63163"/>
    <w:rsid w:val="00F631DB"/>
    <w:rsid w:val="00F631EA"/>
    <w:rsid w:val="00F63458"/>
    <w:rsid w:val="00F634C4"/>
    <w:rsid w:val="00F6364D"/>
    <w:rsid w:val="00F6375E"/>
    <w:rsid w:val="00F63929"/>
    <w:rsid w:val="00F639AA"/>
    <w:rsid w:val="00F63A58"/>
    <w:rsid w:val="00F63E3D"/>
    <w:rsid w:val="00F63F25"/>
    <w:rsid w:val="00F64023"/>
    <w:rsid w:val="00F641D5"/>
    <w:rsid w:val="00F641E1"/>
    <w:rsid w:val="00F642C2"/>
    <w:rsid w:val="00F64424"/>
    <w:rsid w:val="00F645F2"/>
    <w:rsid w:val="00F646A7"/>
    <w:rsid w:val="00F6471E"/>
    <w:rsid w:val="00F64742"/>
    <w:rsid w:val="00F64A99"/>
    <w:rsid w:val="00F64BB2"/>
    <w:rsid w:val="00F64EC0"/>
    <w:rsid w:val="00F64F43"/>
    <w:rsid w:val="00F64F6C"/>
    <w:rsid w:val="00F65153"/>
    <w:rsid w:val="00F6523A"/>
    <w:rsid w:val="00F6530F"/>
    <w:rsid w:val="00F65564"/>
    <w:rsid w:val="00F65B3B"/>
    <w:rsid w:val="00F66032"/>
    <w:rsid w:val="00F66332"/>
    <w:rsid w:val="00F66392"/>
    <w:rsid w:val="00F664BE"/>
    <w:rsid w:val="00F66665"/>
    <w:rsid w:val="00F66959"/>
    <w:rsid w:val="00F66B68"/>
    <w:rsid w:val="00F66D53"/>
    <w:rsid w:val="00F66DB7"/>
    <w:rsid w:val="00F66E15"/>
    <w:rsid w:val="00F67081"/>
    <w:rsid w:val="00F672E7"/>
    <w:rsid w:val="00F672E9"/>
    <w:rsid w:val="00F67329"/>
    <w:rsid w:val="00F6732E"/>
    <w:rsid w:val="00F67368"/>
    <w:rsid w:val="00F6738C"/>
    <w:rsid w:val="00F674CA"/>
    <w:rsid w:val="00F676E9"/>
    <w:rsid w:val="00F676FA"/>
    <w:rsid w:val="00F67769"/>
    <w:rsid w:val="00F677FB"/>
    <w:rsid w:val="00F67805"/>
    <w:rsid w:val="00F678CF"/>
    <w:rsid w:val="00F679F9"/>
    <w:rsid w:val="00F67A78"/>
    <w:rsid w:val="00F67BB1"/>
    <w:rsid w:val="00F67D6B"/>
    <w:rsid w:val="00F67E61"/>
    <w:rsid w:val="00F67F56"/>
    <w:rsid w:val="00F70105"/>
    <w:rsid w:val="00F703A1"/>
    <w:rsid w:val="00F70458"/>
    <w:rsid w:val="00F705B9"/>
    <w:rsid w:val="00F7067F"/>
    <w:rsid w:val="00F706B7"/>
    <w:rsid w:val="00F7082D"/>
    <w:rsid w:val="00F70A0D"/>
    <w:rsid w:val="00F70A14"/>
    <w:rsid w:val="00F70B8E"/>
    <w:rsid w:val="00F70C05"/>
    <w:rsid w:val="00F70EBB"/>
    <w:rsid w:val="00F70F61"/>
    <w:rsid w:val="00F70FAD"/>
    <w:rsid w:val="00F712CA"/>
    <w:rsid w:val="00F71673"/>
    <w:rsid w:val="00F7188A"/>
    <w:rsid w:val="00F71B11"/>
    <w:rsid w:val="00F71C55"/>
    <w:rsid w:val="00F71C57"/>
    <w:rsid w:val="00F71DD9"/>
    <w:rsid w:val="00F71DF2"/>
    <w:rsid w:val="00F71F4C"/>
    <w:rsid w:val="00F721A7"/>
    <w:rsid w:val="00F72696"/>
    <w:rsid w:val="00F72701"/>
    <w:rsid w:val="00F727DA"/>
    <w:rsid w:val="00F72844"/>
    <w:rsid w:val="00F728BD"/>
    <w:rsid w:val="00F72908"/>
    <w:rsid w:val="00F72D35"/>
    <w:rsid w:val="00F72D91"/>
    <w:rsid w:val="00F72DC4"/>
    <w:rsid w:val="00F72E13"/>
    <w:rsid w:val="00F7324F"/>
    <w:rsid w:val="00F73390"/>
    <w:rsid w:val="00F733A3"/>
    <w:rsid w:val="00F73531"/>
    <w:rsid w:val="00F73953"/>
    <w:rsid w:val="00F73AED"/>
    <w:rsid w:val="00F73AFE"/>
    <w:rsid w:val="00F73B6E"/>
    <w:rsid w:val="00F73C17"/>
    <w:rsid w:val="00F73CBC"/>
    <w:rsid w:val="00F73E59"/>
    <w:rsid w:val="00F73F3E"/>
    <w:rsid w:val="00F74462"/>
    <w:rsid w:val="00F7447C"/>
    <w:rsid w:val="00F744C2"/>
    <w:rsid w:val="00F7476B"/>
    <w:rsid w:val="00F747C0"/>
    <w:rsid w:val="00F74951"/>
    <w:rsid w:val="00F74A6B"/>
    <w:rsid w:val="00F74B16"/>
    <w:rsid w:val="00F74BE4"/>
    <w:rsid w:val="00F74DED"/>
    <w:rsid w:val="00F7509E"/>
    <w:rsid w:val="00F750CF"/>
    <w:rsid w:val="00F750D4"/>
    <w:rsid w:val="00F75268"/>
    <w:rsid w:val="00F752B4"/>
    <w:rsid w:val="00F75386"/>
    <w:rsid w:val="00F754AD"/>
    <w:rsid w:val="00F757F0"/>
    <w:rsid w:val="00F75999"/>
    <w:rsid w:val="00F75E1D"/>
    <w:rsid w:val="00F75F6E"/>
    <w:rsid w:val="00F760A4"/>
    <w:rsid w:val="00F760C5"/>
    <w:rsid w:val="00F761CE"/>
    <w:rsid w:val="00F76727"/>
    <w:rsid w:val="00F767BD"/>
    <w:rsid w:val="00F76898"/>
    <w:rsid w:val="00F769AD"/>
    <w:rsid w:val="00F76B0B"/>
    <w:rsid w:val="00F76B38"/>
    <w:rsid w:val="00F76EB4"/>
    <w:rsid w:val="00F77044"/>
    <w:rsid w:val="00F77114"/>
    <w:rsid w:val="00F771F6"/>
    <w:rsid w:val="00F773D5"/>
    <w:rsid w:val="00F77587"/>
    <w:rsid w:val="00F7782A"/>
    <w:rsid w:val="00F77958"/>
    <w:rsid w:val="00F779CE"/>
    <w:rsid w:val="00F77AB2"/>
    <w:rsid w:val="00F77B39"/>
    <w:rsid w:val="00F77B8B"/>
    <w:rsid w:val="00F77D5D"/>
    <w:rsid w:val="00F77DF3"/>
    <w:rsid w:val="00F77E34"/>
    <w:rsid w:val="00F77E82"/>
    <w:rsid w:val="00F77ED7"/>
    <w:rsid w:val="00F77F5D"/>
    <w:rsid w:val="00F8010E"/>
    <w:rsid w:val="00F8015A"/>
    <w:rsid w:val="00F80190"/>
    <w:rsid w:val="00F80544"/>
    <w:rsid w:val="00F8056E"/>
    <w:rsid w:val="00F80631"/>
    <w:rsid w:val="00F8073B"/>
    <w:rsid w:val="00F80819"/>
    <w:rsid w:val="00F80910"/>
    <w:rsid w:val="00F809A2"/>
    <w:rsid w:val="00F80B34"/>
    <w:rsid w:val="00F80B9C"/>
    <w:rsid w:val="00F80C9C"/>
    <w:rsid w:val="00F81002"/>
    <w:rsid w:val="00F811C2"/>
    <w:rsid w:val="00F811FC"/>
    <w:rsid w:val="00F8126D"/>
    <w:rsid w:val="00F81292"/>
    <w:rsid w:val="00F81597"/>
    <w:rsid w:val="00F816EA"/>
    <w:rsid w:val="00F817EE"/>
    <w:rsid w:val="00F818FF"/>
    <w:rsid w:val="00F81999"/>
    <w:rsid w:val="00F819E6"/>
    <w:rsid w:val="00F81AC7"/>
    <w:rsid w:val="00F81B1A"/>
    <w:rsid w:val="00F81C39"/>
    <w:rsid w:val="00F81CD7"/>
    <w:rsid w:val="00F81EBB"/>
    <w:rsid w:val="00F82069"/>
    <w:rsid w:val="00F8209B"/>
    <w:rsid w:val="00F8212C"/>
    <w:rsid w:val="00F822B8"/>
    <w:rsid w:val="00F824C9"/>
    <w:rsid w:val="00F82749"/>
    <w:rsid w:val="00F82915"/>
    <w:rsid w:val="00F82C59"/>
    <w:rsid w:val="00F82D2C"/>
    <w:rsid w:val="00F82E12"/>
    <w:rsid w:val="00F82F85"/>
    <w:rsid w:val="00F831A0"/>
    <w:rsid w:val="00F832A0"/>
    <w:rsid w:val="00F83444"/>
    <w:rsid w:val="00F83882"/>
    <w:rsid w:val="00F838BE"/>
    <w:rsid w:val="00F83E64"/>
    <w:rsid w:val="00F83F62"/>
    <w:rsid w:val="00F83FE8"/>
    <w:rsid w:val="00F8423A"/>
    <w:rsid w:val="00F8438C"/>
    <w:rsid w:val="00F84444"/>
    <w:rsid w:val="00F84458"/>
    <w:rsid w:val="00F84475"/>
    <w:rsid w:val="00F844B2"/>
    <w:rsid w:val="00F84502"/>
    <w:rsid w:val="00F84593"/>
    <w:rsid w:val="00F84656"/>
    <w:rsid w:val="00F847E0"/>
    <w:rsid w:val="00F847EA"/>
    <w:rsid w:val="00F84844"/>
    <w:rsid w:val="00F8496F"/>
    <w:rsid w:val="00F84AB4"/>
    <w:rsid w:val="00F84C7C"/>
    <w:rsid w:val="00F84D5D"/>
    <w:rsid w:val="00F8520B"/>
    <w:rsid w:val="00F85288"/>
    <w:rsid w:val="00F854AB"/>
    <w:rsid w:val="00F854C6"/>
    <w:rsid w:val="00F85A3C"/>
    <w:rsid w:val="00F85A66"/>
    <w:rsid w:val="00F85B1D"/>
    <w:rsid w:val="00F85C89"/>
    <w:rsid w:val="00F85D35"/>
    <w:rsid w:val="00F85DAE"/>
    <w:rsid w:val="00F85F55"/>
    <w:rsid w:val="00F85F84"/>
    <w:rsid w:val="00F8607E"/>
    <w:rsid w:val="00F86099"/>
    <w:rsid w:val="00F861B5"/>
    <w:rsid w:val="00F861BB"/>
    <w:rsid w:val="00F8636F"/>
    <w:rsid w:val="00F86432"/>
    <w:rsid w:val="00F86498"/>
    <w:rsid w:val="00F867BF"/>
    <w:rsid w:val="00F86C21"/>
    <w:rsid w:val="00F86C68"/>
    <w:rsid w:val="00F86DE7"/>
    <w:rsid w:val="00F86E17"/>
    <w:rsid w:val="00F8710B"/>
    <w:rsid w:val="00F871E5"/>
    <w:rsid w:val="00F872D5"/>
    <w:rsid w:val="00F87328"/>
    <w:rsid w:val="00F874DE"/>
    <w:rsid w:val="00F87527"/>
    <w:rsid w:val="00F87783"/>
    <w:rsid w:val="00F87832"/>
    <w:rsid w:val="00F8784C"/>
    <w:rsid w:val="00F8789D"/>
    <w:rsid w:val="00F8794F"/>
    <w:rsid w:val="00F879D1"/>
    <w:rsid w:val="00F87A29"/>
    <w:rsid w:val="00F87BD4"/>
    <w:rsid w:val="00F87C24"/>
    <w:rsid w:val="00F87C39"/>
    <w:rsid w:val="00F87C5C"/>
    <w:rsid w:val="00F87D2A"/>
    <w:rsid w:val="00F87D38"/>
    <w:rsid w:val="00F87FA0"/>
    <w:rsid w:val="00F87FC2"/>
    <w:rsid w:val="00F900FF"/>
    <w:rsid w:val="00F90468"/>
    <w:rsid w:val="00F90492"/>
    <w:rsid w:val="00F905C1"/>
    <w:rsid w:val="00F9070B"/>
    <w:rsid w:val="00F908B7"/>
    <w:rsid w:val="00F909C7"/>
    <w:rsid w:val="00F90A12"/>
    <w:rsid w:val="00F90F9A"/>
    <w:rsid w:val="00F91187"/>
    <w:rsid w:val="00F911D7"/>
    <w:rsid w:val="00F91250"/>
    <w:rsid w:val="00F91284"/>
    <w:rsid w:val="00F91468"/>
    <w:rsid w:val="00F915FE"/>
    <w:rsid w:val="00F9165B"/>
    <w:rsid w:val="00F91778"/>
    <w:rsid w:val="00F917FF"/>
    <w:rsid w:val="00F91FF4"/>
    <w:rsid w:val="00F921E5"/>
    <w:rsid w:val="00F9234B"/>
    <w:rsid w:val="00F9245B"/>
    <w:rsid w:val="00F925E8"/>
    <w:rsid w:val="00F92776"/>
    <w:rsid w:val="00F9282E"/>
    <w:rsid w:val="00F92918"/>
    <w:rsid w:val="00F929B3"/>
    <w:rsid w:val="00F92C4E"/>
    <w:rsid w:val="00F92CB7"/>
    <w:rsid w:val="00F92FBC"/>
    <w:rsid w:val="00F92FFA"/>
    <w:rsid w:val="00F931A0"/>
    <w:rsid w:val="00F93259"/>
    <w:rsid w:val="00F93369"/>
    <w:rsid w:val="00F933B5"/>
    <w:rsid w:val="00F9342E"/>
    <w:rsid w:val="00F9369B"/>
    <w:rsid w:val="00F93775"/>
    <w:rsid w:val="00F93805"/>
    <w:rsid w:val="00F9387B"/>
    <w:rsid w:val="00F9387D"/>
    <w:rsid w:val="00F93F0D"/>
    <w:rsid w:val="00F93F58"/>
    <w:rsid w:val="00F93FD9"/>
    <w:rsid w:val="00F93FFB"/>
    <w:rsid w:val="00F940AF"/>
    <w:rsid w:val="00F943CC"/>
    <w:rsid w:val="00F944B1"/>
    <w:rsid w:val="00F94793"/>
    <w:rsid w:val="00F949E6"/>
    <w:rsid w:val="00F94B14"/>
    <w:rsid w:val="00F94B55"/>
    <w:rsid w:val="00F94CAD"/>
    <w:rsid w:val="00F94D3B"/>
    <w:rsid w:val="00F94E62"/>
    <w:rsid w:val="00F9500C"/>
    <w:rsid w:val="00F95011"/>
    <w:rsid w:val="00F950B6"/>
    <w:rsid w:val="00F9557A"/>
    <w:rsid w:val="00F95842"/>
    <w:rsid w:val="00F95882"/>
    <w:rsid w:val="00F95B51"/>
    <w:rsid w:val="00F95B84"/>
    <w:rsid w:val="00F95BD0"/>
    <w:rsid w:val="00F95F20"/>
    <w:rsid w:val="00F96329"/>
    <w:rsid w:val="00F96391"/>
    <w:rsid w:val="00F96617"/>
    <w:rsid w:val="00F966B8"/>
    <w:rsid w:val="00F96700"/>
    <w:rsid w:val="00F967CF"/>
    <w:rsid w:val="00F969BC"/>
    <w:rsid w:val="00F96A4D"/>
    <w:rsid w:val="00F96B6F"/>
    <w:rsid w:val="00F96BD8"/>
    <w:rsid w:val="00F96C4D"/>
    <w:rsid w:val="00F96E1F"/>
    <w:rsid w:val="00F96F2C"/>
    <w:rsid w:val="00F96F60"/>
    <w:rsid w:val="00F97633"/>
    <w:rsid w:val="00F978A8"/>
    <w:rsid w:val="00F9797B"/>
    <w:rsid w:val="00F979E0"/>
    <w:rsid w:val="00F97AA6"/>
    <w:rsid w:val="00F97BBE"/>
    <w:rsid w:val="00F97E35"/>
    <w:rsid w:val="00F97F82"/>
    <w:rsid w:val="00FA0904"/>
    <w:rsid w:val="00FA0913"/>
    <w:rsid w:val="00FA0AC4"/>
    <w:rsid w:val="00FA0BFA"/>
    <w:rsid w:val="00FA0C6E"/>
    <w:rsid w:val="00FA0F70"/>
    <w:rsid w:val="00FA1329"/>
    <w:rsid w:val="00FA17A0"/>
    <w:rsid w:val="00FA17EB"/>
    <w:rsid w:val="00FA1A25"/>
    <w:rsid w:val="00FA1B17"/>
    <w:rsid w:val="00FA1DF6"/>
    <w:rsid w:val="00FA1EE8"/>
    <w:rsid w:val="00FA2050"/>
    <w:rsid w:val="00FA20AB"/>
    <w:rsid w:val="00FA26E3"/>
    <w:rsid w:val="00FA2733"/>
    <w:rsid w:val="00FA2899"/>
    <w:rsid w:val="00FA29BD"/>
    <w:rsid w:val="00FA29F6"/>
    <w:rsid w:val="00FA2AFB"/>
    <w:rsid w:val="00FA2CC1"/>
    <w:rsid w:val="00FA2D13"/>
    <w:rsid w:val="00FA2D43"/>
    <w:rsid w:val="00FA2DA0"/>
    <w:rsid w:val="00FA2F7F"/>
    <w:rsid w:val="00FA36EA"/>
    <w:rsid w:val="00FA3897"/>
    <w:rsid w:val="00FA38E9"/>
    <w:rsid w:val="00FA3979"/>
    <w:rsid w:val="00FA3BB3"/>
    <w:rsid w:val="00FA3C27"/>
    <w:rsid w:val="00FA3DD7"/>
    <w:rsid w:val="00FA3FFC"/>
    <w:rsid w:val="00FA4242"/>
    <w:rsid w:val="00FA42C8"/>
    <w:rsid w:val="00FA42CB"/>
    <w:rsid w:val="00FA42EE"/>
    <w:rsid w:val="00FA467B"/>
    <w:rsid w:val="00FA482B"/>
    <w:rsid w:val="00FA497B"/>
    <w:rsid w:val="00FA4AD5"/>
    <w:rsid w:val="00FA4AE8"/>
    <w:rsid w:val="00FA4D86"/>
    <w:rsid w:val="00FA4DF9"/>
    <w:rsid w:val="00FA4F04"/>
    <w:rsid w:val="00FA51C3"/>
    <w:rsid w:val="00FA57A7"/>
    <w:rsid w:val="00FA580B"/>
    <w:rsid w:val="00FA59AC"/>
    <w:rsid w:val="00FA6073"/>
    <w:rsid w:val="00FA6147"/>
    <w:rsid w:val="00FA6318"/>
    <w:rsid w:val="00FA6447"/>
    <w:rsid w:val="00FA654C"/>
    <w:rsid w:val="00FA664C"/>
    <w:rsid w:val="00FA68CF"/>
    <w:rsid w:val="00FA6B72"/>
    <w:rsid w:val="00FA6D34"/>
    <w:rsid w:val="00FA6ED3"/>
    <w:rsid w:val="00FA702B"/>
    <w:rsid w:val="00FA7087"/>
    <w:rsid w:val="00FA70F0"/>
    <w:rsid w:val="00FA7355"/>
    <w:rsid w:val="00FA7396"/>
    <w:rsid w:val="00FA74F2"/>
    <w:rsid w:val="00FA765F"/>
    <w:rsid w:val="00FA7B5A"/>
    <w:rsid w:val="00FA7C19"/>
    <w:rsid w:val="00FA7CEE"/>
    <w:rsid w:val="00FA7DCA"/>
    <w:rsid w:val="00FA7F4D"/>
    <w:rsid w:val="00FA7F5D"/>
    <w:rsid w:val="00FB0001"/>
    <w:rsid w:val="00FB004F"/>
    <w:rsid w:val="00FB023E"/>
    <w:rsid w:val="00FB05EE"/>
    <w:rsid w:val="00FB065F"/>
    <w:rsid w:val="00FB0821"/>
    <w:rsid w:val="00FB08B8"/>
    <w:rsid w:val="00FB098E"/>
    <w:rsid w:val="00FB0A7C"/>
    <w:rsid w:val="00FB0B36"/>
    <w:rsid w:val="00FB0F5D"/>
    <w:rsid w:val="00FB106B"/>
    <w:rsid w:val="00FB109A"/>
    <w:rsid w:val="00FB10AA"/>
    <w:rsid w:val="00FB1365"/>
    <w:rsid w:val="00FB1610"/>
    <w:rsid w:val="00FB16EE"/>
    <w:rsid w:val="00FB1824"/>
    <w:rsid w:val="00FB1862"/>
    <w:rsid w:val="00FB1A09"/>
    <w:rsid w:val="00FB1AB9"/>
    <w:rsid w:val="00FB1BD5"/>
    <w:rsid w:val="00FB1C63"/>
    <w:rsid w:val="00FB1CC0"/>
    <w:rsid w:val="00FB1DB0"/>
    <w:rsid w:val="00FB2086"/>
    <w:rsid w:val="00FB224F"/>
    <w:rsid w:val="00FB2311"/>
    <w:rsid w:val="00FB2364"/>
    <w:rsid w:val="00FB247E"/>
    <w:rsid w:val="00FB26A6"/>
    <w:rsid w:val="00FB28E6"/>
    <w:rsid w:val="00FB2B1A"/>
    <w:rsid w:val="00FB2C06"/>
    <w:rsid w:val="00FB2CD8"/>
    <w:rsid w:val="00FB2D7B"/>
    <w:rsid w:val="00FB2E0C"/>
    <w:rsid w:val="00FB2E0F"/>
    <w:rsid w:val="00FB2EFD"/>
    <w:rsid w:val="00FB2F10"/>
    <w:rsid w:val="00FB2FEC"/>
    <w:rsid w:val="00FB3042"/>
    <w:rsid w:val="00FB3346"/>
    <w:rsid w:val="00FB3492"/>
    <w:rsid w:val="00FB3870"/>
    <w:rsid w:val="00FB3B6C"/>
    <w:rsid w:val="00FB3D91"/>
    <w:rsid w:val="00FB3FE4"/>
    <w:rsid w:val="00FB4185"/>
    <w:rsid w:val="00FB424A"/>
    <w:rsid w:val="00FB42A7"/>
    <w:rsid w:val="00FB42FD"/>
    <w:rsid w:val="00FB433C"/>
    <w:rsid w:val="00FB43EA"/>
    <w:rsid w:val="00FB44F2"/>
    <w:rsid w:val="00FB4557"/>
    <w:rsid w:val="00FB46F7"/>
    <w:rsid w:val="00FB4718"/>
    <w:rsid w:val="00FB4788"/>
    <w:rsid w:val="00FB4963"/>
    <w:rsid w:val="00FB4ABE"/>
    <w:rsid w:val="00FB4BD9"/>
    <w:rsid w:val="00FB4BED"/>
    <w:rsid w:val="00FB4C49"/>
    <w:rsid w:val="00FB4E53"/>
    <w:rsid w:val="00FB4F40"/>
    <w:rsid w:val="00FB4FFE"/>
    <w:rsid w:val="00FB503D"/>
    <w:rsid w:val="00FB5154"/>
    <w:rsid w:val="00FB522C"/>
    <w:rsid w:val="00FB5457"/>
    <w:rsid w:val="00FB54EB"/>
    <w:rsid w:val="00FB551B"/>
    <w:rsid w:val="00FB553B"/>
    <w:rsid w:val="00FB574A"/>
    <w:rsid w:val="00FB57F9"/>
    <w:rsid w:val="00FB5886"/>
    <w:rsid w:val="00FB5901"/>
    <w:rsid w:val="00FB59D7"/>
    <w:rsid w:val="00FB5A74"/>
    <w:rsid w:val="00FB5C48"/>
    <w:rsid w:val="00FB5CA3"/>
    <w:rsid w:val="00FB5DF3"/>
    <w:rsid w:val="00FB5E96"/>
    <w:rsid w:val="00FB5EA3"/>
    <w:rsid w:val="00FB65E0"/>
    <w:rsid w:val="00FB68F6"/>
    <w:rsid w:val="00FB692E"/>
    <w:rsid w:val="00FB6937"/>
    <w:rsid w:val="00FB6A7E"/>
    <w:rsid w:val="00FB6C34"/>
    <w:rsid w:val="00FB6CDA"/>
    <w:rsid w:val="00FB6D64"/>
    <w:rsid w:val="00FB6E20"/>
    <w:rsid w:val="00FB6E34"/>
    <w:rsid w:val="00FB6EEF"/>
    <w:rsid w:val="00FB6F37"/>
    <w:rsid w:val="00FB7008"/>
    <w:rsid w:val="00FB7292"/>
    <w:rsid w:val="00FB7403"/>
    <w:rsid w:val="00FB75B4"/>
    <w:rsid w:val="00FB779D"/>
    <w:rsid w:val="00FB785D"/>
    <w:rsid w:val="00FB7A6A"/>
    <w:rsid w:val="00FB7AE2"/>
    <w:rsid w:val="00FB7C79"/>
    <w:rsid w:val="00FB7C98"/>
    <w:rsid w:val="00FB7EA6"/>
    <w:rsid w:val="00FC0118"/>
    <w:rsid w:val="00FC0241"/>
    <w:rsid w:val="00FC0323"/>
    <w:rsid w:val="00FC0390"/>
    <w:rsid w:val="00FC048E"/>
    <w:rsid w:val="00FC0644"/>
    <w:rsid w:val="00FC06DF"/>
    <w:rsid w:val="00FC075C"/>
    <w:rsid w:val="00FC09AD"/>
    <w:rsid w:val="00FC0AAF"/>
    <w:rsid w:val="00FC0B5B"/>
    <w:rsid w:val="00FC0CD3"/>
    <w:rsid w:val="00FC0D97"/>
    <w:rsid w:val="00FC0E5E"/>
    <w:rsid w:val="00FC0E76"/>
    <w:rsid w:val="00FC1137"/>
    <w:rsid w:val="00FC1165"/>
    <w:rsid w:val="00FC11CE"/>
    <w:rsid w:val="00FC13BA"/>
    <w:rsid w:val="00FC1496"/>
    <w:rsid w:val="00FC16E7"/>
    <w:rsid w:val="00FC19A9"/>
    <w:rsid w:val="00FC1A12"/>
    <w:rsid w:val="00FC1AD5"/>
    <w:rsid w:val="00FC1C2D"/>
    <w:rsid w:val="00FC1C38"/>
    <w:rsid w:val="00FC1F68"/>
    <w:rsid w:val="00FC2013"/>
    <w:rsid w:val="00FC22C3"/>
    <w:rsid w:val="00FC23F8"/>
    <w:rsid w:val="00FC2439"/>
    <w:rsid w:val="00FC25F1"/>
    <w:rsid w:val="00FC262E"/>
    <w:rsid w:val="00FC2775"/>
    <w:rsid w:val="00FC28BB"/>
    <w:rsid w:val="00FC2B3A"/>
    <w:rsid w:val="00FC2B9F"/>
    <w:rsid w:val="00FC2DF0"/>
    <w:rsid w:val="00FC2E57"/>
    <w:rsid w:val="00FC2F44"/>
    <w:rsid w:val="00FC2F55"/>
    <w:rsid w:val="00FC3125"/>
    <w:rsid w:val="00FC31FA"/>
    <w:rsid w:val="00FC3229"/>
    <w:rsid w:val="00FC3258"/>
    <w:rsid w:val="00FC3522"/>
    <w:rsid w:val="00FC393B"/>
    <w:rsid w:val="00FC39E0"/>
    <w:rsid w:val="00FC3AD9"/>
    <w:rsid w:val="00FC3B5D"/>
    <w:rsid w:val="00FC3C8D"/>
    <w:rsid w:val="00FC3DEE"/>
    <w:rsid w:val="00FC3ECA"/>
    <w:rsid w:val="00FC3EE9"/>
    <w:rsid w:val="00FC410F"/>
    <w:rsid w:val="00FC4150"/>
    <w:rsid w:val="00FC41AA"/>
    <w:rsid w:val="00FC43F2"/>
    <w:rsid w:val="00FC44D5"/>
    <w:rsid w:val="00FC44EE"/>
    <w:rsid w:val="00FC4845"/>
    <w:rsid w:val="00FC48E9"/>
    <w:rsid w:val="00FC4910"/>
    <w:rsid w:val="00FC49D9"/>
    <w:rsid w:val="00FC4B13"/>
    <w:rsid w:val="00FC4B80"/>
    <w:rsid w:val="00FC4B84"/>
    <w:rsid w:val="00FC4CF9"/>
    <w:rsid w:val="00FC4E42"/>
    <w:rsid w:val="00FC4F02"/>
    <w:rsid w:val="00FC4F68"/>
    <w:rsid w:val="00FC4FAD"/>
    <w:rsid w:val="00FC531B"/>
    <w:rsid w:val="00FC5396"/>
    <w:rsid w:val="00FC5534"/>
    <w:rsid w:val="00FC56EF"/>
    <w:rsid w:val="00FC5943"/>
    <w:rsid w:val="00FC5AE8"/>
    <w:rsid w:val="00FC5B39"/>
    <w:rsid w:val="00FC5B7B"/>
    <w:rsid w:val="00FC5BF0"/>
    <w:rsid w:val="00FC5DC8"/>
    <w:rsid w:val="00FC5EA3"/>
    <w:rsid w:val="00FC5EF1"/>
    <w:rsid w:val="00FC61AB"/>
    <w:rsid w:val="00FC61E8"/>
    <w:rsid w:val="00FC6554"/>
    <w:rsid w:val="00FC676B"/>
    <w:rsid w:val="00FC6A0B"/>
    <w:rsid w:val="00FC6AC2"/>
    <w:rsid w:val="00FC6ADD"/>
    <w:rsid w:val="00FC6E3A"/>
    <w:rsid w:val="00FC6F24"/>
    <w:rsid w:val="00FC6F49"/>
    <w:rsid w:val="00FC6FC3"/>
    <w:rsid w:val="00FC6FCB"/>
    <w:rsid w:val="00FC6FD3"/>
    <w:rsid w:val="00FC7002"/>
    <w:rsid w:val="00FC729F"/>
    <w:rsid w:val="00FC7316"/>
    <w:rsid w:val="00FC7331"/>
    <w:rsid w:val="00FC73A7"/>
    <w:rsid w:val="00FC7441"/>
    <w:rsid w:val="00FC7560"/>
    <w:rsid w:val="00FC7672"/>
    <w:rsid w:val="00FC76E9"/>
    <w:rsid w:val="00FC7862"/>
    <w:rsid w:val="00FC790A"/>
    <w:rsid w:val="00FC7A1D"/>
    <w:rsid w:val="00FC7D3D"/>
    <w:rsid w:val="00FD0056"/>
    <w:rsid w:val="00FD0398"/>
    <w:rsid w:val="00FD041F"/>
    <w:rsid w:val="00FD0674"/>
    <w:rsid w:val="00FD0710"/>
    <w:rsid w:val="00FD0744"/>
    <w:rsid w:val="00FD0941"/>
    <w:rsid w:val="00FD0978"/>
    <w:rsid w:val="00FD09E6"/>
    <w:rsid w:val="00FD0D14"/>
    <w:rsid w:val="00FD0D8C"/>
    <w:rsid w:val="00FD0D90"/>
    <w:rsid w:val="00FD1140"/>
    <w:rsid w:val="00FD1219"/>
    <w:rsid w:val="00FD124B"/>
    <w:rsid w:val="00FD12ED"/>
    <w:rsid w:val="00FD1300"/>
    <w:rsid w:val="00FD1331"/>
    <w:rsid w:val="00FD13EC"/>
    <w:rsid w:val="00FD146C"/>
    <w:rsid w:val="00FD14E1"/>
    <w:rsid w:val="00FD165B"/>
    <w:rsid w:val="00FD19D2"/>
    <w:rsid w:val="00FD1A7D"/>
    <w:rsid w:val="00FD1C77"/>
    <w:rsid w:val="00FD1DF0"/>
    <w:rsid w:val="00FD1EBC"/>
    <w:rsid w:val="00FD1F53"/>
    <w:rsid w:val="00FD1F7F"/>
    <w:rsid w:val="00FD22A3"/>
    <w:rsid w:val="00FD2490"/>
    <w:rsid w:val="00FD26E1"/>
    <w:rsid w:val="00FD275C"/>
    <w:rsid w:val="00FD2778"/>
    <w:rsid w:val="00FD284C"/>
    <w:rsid w:val="00FD2BFE"/>
    <w:rsid w:val="00FD3323"/>
    <w:rsid w:val="00FD3758"/>
    <w:rsid w:val="00FD38AB"/>
    <w:rsid w:val="00FD3CD1"/>
    <w:rsid w:val="00FD3D71"/>
    <w:rsid w:val="00FD3D8D"/>
    <w:rsid w:val="00FD3F1B"/>
    <w:rsid w:val="00FD4050"/>
    <w:rsid w:val="00FD4216"/>
    <w:rsid w:val="00FD4345"/>
    <w:rsid w:val="00FD4520"/>
    <w:rsid w:val="00FD4607"/>
    <w:rsid w:val="00FD460C"/>
    <w:rsid w:val="00FD4950"/>
    <w:rsid w:val="00FD4B24"/>
    <w:rsid w:val="00FD4CF1"/>
    <w:rsid w:val="00FD4D2B"/>
    <w:rsid w:val="00FD4D2E"/>
    <w:rsid w:val="00FD4D4B"/>
    <w:rsid w:val="00FD4F8D"/>
    <w:rsid w:val="00FD50E6"/>
    <w:rsid w:val="00FD5181"/>
    <w:rsid w:val="00FD51C2"/>
    <w:rsid w:val="00FD534A"/>
    <w:rsid w:val="00FD5491"/>
    <w:rsid w:val="00FD5519"/>
    <w:rsid w:val="00FD5835"/>
    <w:rsid w:val="00FD5973"/>
    <w:rsid w:val="00FD5C57"/>
    <w:rsid w:val="00FD5CE2"/>
    <w:rsid w:val="00FD5D9F"/>
    <w:rsid w:val="00FD5E6F"/>
    <w:rsid w:val="00FD60E0"/>
    <w:rsid w:val="00FD6247"/>
    <w:rsid w:val="00FD6408"/>
    <w:rsid w:val="00FD655D"/>
    <w:rsid w:val="00FD689E"/>
    <w:rsid w:val="00FD68F1"/>
    <w:rsid w:val="00FD6ABB"/>
    <w:rsid w:val="00FD6B71"/>
    <w:rsid w:val="00FD6BFA"/>
    <w:rsid w:val="00FD6C07"/>
    <w:rsid w:val="00FD6CDB"/>
    <w:rsid w:val="00FD6DA8"/>
    <w:rsid w:val="00FD6ECB"/>
    <w:rsid w:val="00FD70D0"/>
    <w:rsid w:val="00FD71E4"/>
    <w:rsid w:val="00FD7363"/>
    <w:rsid w:val="00FD737A"/>
    <w:rsid w:val="00FD7487"/>
    <w:rsid w:val="00FD7550"/>
    <w:rsid w:val="00FD758A"/>
    <w:rsid w:val="00FD75D1"/>
    <w:rsid w:val="00FD77AF"/>
    <w:rsid w:val="00FD7912"/>
    <w:rsid w:val="00FD7980"/>
    <w:rsid w:val="00FD7A02"/>
    <w:rsid w:val="00FD7B38"/>
    <w:rsid w:val="00FD7E5D"/>
    <w:rsid w:val="00FD7E8D"/>
    <w:rsid w:val="00FD7EA8"/>
    <w:rsid w:val="00FD7EBC"/>
    <w:rsid w:val="00FD7F62"/>
    <w:rsid w:val="00FD7FF1"/>
    <w:rsid w:val="00FE0119"/>
    <w:rsid w:val="00FE029A"/>
    <w:rsid w:val="00FE04B2"/>
    <w:rsid w:val="00FE0579"/>
    <w:rsid w:val="00FE06F5"/>
    <w:rsid w:val="00FE081C"/>
    <w:rsid w:val="00FE09AB"/>
    <w:rsid w:val="00FE0A0C"/>
    <w:rsid w:val="00FE0A12"/>
    <w:rsid w:val="00FE0A32"/>
    <w:rsid w:val="00FE0BAE"/>
    <w:rsid w:val="00FE0CB4"/>
    <w:rsid w:val="00FE10DA"/>
    <w:rsid w:val="00FE1216"/>
    <w:rsid w:val="00FE14C7"/>
    <w:rsid w:val="00FE14FC"/>
    <w:rsid w:val="00FE1624"/>
    <w:rsid w:val="00FE1673"/>
    <w:rsid w:val="00FE1700"/>
    <w:rsid w:val="00FE1819"/>
    <w:rsid w:val="00FE18AD"/>
    <w:rsid w:val="00FE1932"/>
    <w:rsid w:val="00FE193E"/>
    <w:rsid w:val="00FE1A4E"/>
    <w:rsid w:val="00FE1A98"/>
    <w:rsid w:val="00FE1AA5"/>
    <w:rsid w:val="00FE1AAF"/>
    <w:rsid w:val="00FE1AB6"/>
    <w:rsid w:val="00FE1F43"/>
    <w:rsid w:val="00FE1F6A"/>
    <w:rsid w:val="00FE1FCC"/>
    <w:rsid w:val="00FE1FEA"/>
    <w:rsid w:val="00FE2128"/>
    <w:rsid w:val="00FE2449"/>
    <w:rsid w:val="00FE2614"/>
    <w:rsid w:val="00FE2758"/>
    <w:rsid w:val="00FE2ADD"/>
    <w:rsid w:val="00FE2B44"/>
    <w:rsid w:val="00FE2BC3"/>
    <w:rsid w:val="00FE2C56"/>
    <w:rsid w:val="00FE2CC6"/>
    <w:rsid w:val="00FE2D90"/>
    <w:rsid w:val="00FE2E15"/>
    <w:rsid w:val="00FE31EA"/>
    <w:rsid w:val="00FE3204"/>
    <w:rsid w:val="00FE3450"/>
    <w:rsid w:val="00FE35B9"/>
    <w:rsid w:val="00FE367D"/>
    <w:rsid w:val="00FE3711"/>
    <w:rsid w:val="00FE388D"/>
    <w:rsid w:val="00FE39BE"/>
    <w:rsid w:val="00FE3A36"/>
    <w:rsid w:val="00FE3A68"/>
    <w:rsid w:val="00FE3D5F"/>
    <w:rsid w:val="00FE3D70"/>
    <w:rsid w:val="00FE3FAC"/>
    <w:rsid w:val="00FE3FF4"/>
    <w:rsid w:val="00FE445C"/>
    <w:rsid w:val="00FE4584"/>
    <w:rsid w:val="00FE46D2"/>
    <w:rsid w:val="00FE47DD"/>
    <w:rsid w:val="00FE48D9"/>
    <w:rsid w:val="00FE4DAA"/>
    <w:rsid w:val="00FE4E4B"/>
    <w:rsid w:val="00FE4EF1"/>
    <w:rsid w:val="00FE516D"/>
    <w:rsid w:val="00FE5247"/>
    <w:rsid w:val="00FE53D3"/>
    <w:rsid w:val="00FE57A9"/>
    <w:rsid w:val="00FE587D"/>
    <w:rsid w:val="00FE5D08"/>
    <w:rsid w:val="00FE5EAF"/>
    <w:rsid w:val="00FE5F40"/>
    <w:rsid w:val="00FE618D"/>
    <w:rsid w:val="00FE61E2"/>
    <w:rsid w:val="00FE62B4"/>
    <w:rsid w:val="00FE6435"/>
    <w:rsid w:val="00FE67B3"/>
    <w:rsid w:val="00FE69EE"/>
    <w:rsid w:val="00FE6CD6"/>
    <w:rsid w:val="00FE71EE"/>
    <w:rsid w:val="00FE7411"/>
    <w:rsid w:val="00FE7517"/>
    <w:rsid w:val="00FE7664"/>
    <w:rsid w:val="00FE76D9"/>
    <w:rsid w:val="00FE774E"/>
    <w:rsid w:val="00FE7817"/>
    <w:rsid w:val="00FE785B"/>
    <w:rsid w:val="00FE7984"/>
    <w:rsid w:val="00FE7A7A"/>
    <w:rsid w:val="00FE7A90"/>
    <w:rsid w:val="00FE7B31"/>
    <w:rsid w:val="00FE7B4E"/>
    <w:rsid w:val="00FE7CA5"/>
    <w:rsid w:val="00FE7D26"/>
    <w:rsid w:val="00FE7E0D"/>
    <w:rsid w:val="00FE7F44"/>
    <w:rsid w:val="00FF0106"/>
    <w:rsid w:val="00FF0327"/>
    <w:rsid w:val="00FF0359"/>
    <w:rsid w:val="00FF042D"/>
    <w:rsid w:val="00FF0474"/>
    <w:rsid w:val="00FF0540"/>
    <w:rsid w:val="00FF061D"/>
    <w:rsid w:val="00FF072D"/>
    <w:rsid w:val="00FF082F"/>
    <w:rsid w:val="00FF09D1"/>
    <w:rsid w:val="00FF09F7"/>
    <w:rsid w:val="00FF0A2C"/>
    <w:rsid w:val="00FF0ABB"/>
    <w:rsid w:val="00FF0B54"/>
    <w:rsid w:val="00FF0BA6"/>
    <w:rsid w:val="00FF0CD3"/>
    <w:rsid w:val="00FF0F84"/>
    <w:rsid w:val="00FF0FC0"/>
    <w:rsid w:val="00FF11FE"/>
    <w:rsid w:val="00FF123A"/>
    <w:rsid w:val="00FF14C6"/>
    <w:rsid w:val="00FF16CF"/>
    <w:rsid w:val="00FF1988"/>
    <w:rsid w:val="00FF1A7B"/>
    <w:rsid w:val="00FF1BC0"/>
    <w:rsid w:val="00FF1BD6"/>
    <w:rsid w:val="00FF1CE1"/>
    <w:rsid w:val="00FF1D61"/>
    <w:rsid w:val="00FF1D62"/>
    <w:rsid w:val="00FF1D94"/>
    <w:rsid w:val="00FF1DC6"/>
    <w:rsid w:val="00FF1EE5"/>
    <w:rsid w:val="00FF20CC"/>
    <w:rsid w:val="00FF20DC"/>
    <w:rsid w:val="00FF2164"/>
    <w:rsid w:val="00FF22DD"/>
    <w:rsid w:val="00FF23F5"/>
    <w:rsid w:val="00FF2544"/>
    <w:rsid w:val="00FF27CA"/>
    <w:rsid w:val="00FF2984"/>
    <w:rsid w:val="00FF2A2D"/>
    <w:rsid w:val="00FF2A93"/>
    <w:rsid w:val="00FF2AD0"/>
    <w:rsid w:val="00FF2AD7"/>
    <w:rsid w:val="00FF2BD8"/>
    <w:rsid w:val="00FF2C8C"/>
    <w:rsid w:val="00FF2F0D"/>
    <w:rsid w:val="00FF2F9E"/>
    <w:rsid w:val="00FF2FC6"/>
    <w:rsid w:val="00FF3151"/>
    <w:rsid w:val="00FF321E"/>
    <w:rsid w:val="00FF333E"/>
    <w:rsid w:val="00FF340D"/>
    <w:rsid w:val="00FF35AB"/>
    <w:rsid w:val="00FF35D0"/>
    <w:rsid w:val="00FF38A8"/>
    <w:rsid w:val="00FF3935"/>
    <w:rsid w:val="00FF39DE"/>
    <w:rsid w:val="00FF3C02"/>
    <w:rsid w:val="00FF3E44"/>
    <w:rsid w:val="00FF3F7D"/>
    <w:rsid w:val="00FF3FBB"/>
    <w:rsid w:val="00FF41F9"/>
    <w:rsid w:val="00FF425E"/>
    <w:rsid w:val="00FF4264"/>
    <w:rsid w:val="00FF4415"/>
    <w:rsid w:val="00FF474A"/>
    <w:rsid w:val="00FF4964"/>
    <w:rsid w:val="00FF4AF9"/>
    <w:rsid w:val="00FF4CEA"/>
    <w:rsid w:val="00FF4D6B"/>
    <w:rsid w:val="00FF4D72"/>
    <w:rsid w:val="00FF4DE3"/>
    <w:rsid w:val="00FF4E18"/>
    <w:rsid w:val="00FF4E3D"/>
    <w:rsid w:val="00FF50AF"/>
    <w:rsid w:val="00FF50FE"/>
    <w:rsid w:val="00FF52A7"/>
    <w:rsid w:val="00FF52C2"/>
    <w:rsid w:val="00FF5441"/>
    <w:rsid w:val="00FF54B6"/>
    <w:rsid w:val="00FF5708"/>
    <w:rsid w:val="00FF573E"/>
    <w:rsid w:val="00FF5A6B"/>
    <w:rsid w:val="00FF5B11"/>
    <w:rsid w:val="00FF5BB5"/>
    <w:rsid w:val="00FF5F9E"/>
    <w:rsid w:val="00FF61E6"/>
    <w:rsid w:val="00FF62A1"/>
    <w:rsid w:val="00FF63E1"/>
    <w:rsid w:val="00FF6425"/>
    <w:rsid w:val="00FF652B"/>
    <w:rsid w:val="00FF65A8"/>
    <w:rsid w:val="00FF66BB"/>
    <w:rsid w:val="00FF66F1"/>
    <w:rsid w:val="00FF685F"/>
    <w:rsid w:val="00FF688B"/>
    <w:rsid w:val="00FF6E27"/>
    <w:rsid w:val="00FF6F59"/>
    <w:rsid w:val="00FF7079"/>
    <w:rsid w:val="00FF712B"/>
    <w:rsid w:val="00FF7161"/>
    <w:rsid w:val="00FF73BE"/>
    <w:rsid w:val="00FF73F1"/>
    <w:rsid w:val="00FF766D"/>
    <w:rsid w:val="00FF7866"/>
    <w:rsid w:val="00FF78B0"/>
    <w:rsid w:val="00FF7C5E"/>
    <w:rsid w:val="0119C2E5"/>
    <w:rsid w:val="011D3B3E"/>
    <w:rsid w:val="011E832F"/>
    <w:rsid w:val="01227F45"/>
    <w:rsid w:val="012DC7CC"/>
    <w:rsid w:val="01310AEA"/>
    <w:rsid w:val="0150144A"/>
    <w:rsid w:val="01515519"/>
    <w:rsid w:val="01A76BDF"/>
    <w:rsid w:val="01ABC323"/>
    <w:rsid w:val="01DDA4BD"/>
    <w:rsid w:val="01E01E72"/>
    <w:rsid w:val="01E03F4E"/>
    <w:rsid w:val="01E62753"/>
    <w:rsid w:val="01E67292"/>
    <w:rsid w:val="01ED70A0"/>
    <w:rsid w:val="01F73C67"/>
    <w:rsid w:val="021799D4"/>
    <w:rsid w:val="02197E0D"/>
    <w:rsid w:val="0231767B"/>
    <w:rsid w:val="02420A13"/>
    <w:rsid w:val="0248FEFF"/>
    <w:rsid w:val="02550636"/>
    <w:rsid w:val="0255DE04"/>
    <w:rsid w:val="025D39A2"/>
    <w:rsid w:val="026C2EDC"/>
    <w:rsid w:val="0270D13C"/>
    <w:rsid w:val="0285C410"/>
    <w:rsid w:val="028BFE51"/>
    <w:rsid w:val="02BF2DF8"/>
    <w:rsid w:val="02C22AD9"/>
    <w:rsid w:val="02D30EC7"/>
    <w:rsid w:val="02D91E23"/>
    <w:rsid w:val="02E8E074"/>
    <w:rsid w:val="02FA53B9"/>
    <w:rsid w:val="031BDFE8"/>
    <w:rsid w:val="032CBF58"/>
    <w:rsid w:val="03416008"/>
    <w:rsid w:val="035FBA9E"/>
    <w:rsid w:val="037BF78B"/>
    <w:rsid w:val="03A9F463"/>
    <w:rsid w:val="03B68D12"/>
    <w:rsid w:val="03D98551"/>
    <w:rsid w:val="03E1D685"/>
    <w:rsid w:val="03E3A8A2"/>
    <w:rsid w:val="041504D0"/>
    <w:rsid w:val="0433A6CF"/>
    <w:rsid w:val="04481285"/>
    <w:rsid w:val="045FBD09"/>
    <w:rsid w:val="0464CC08"/>
    <w:rsid w:val="04697EFF"/>
    <w:rsid w:val="04AFE9BE"/>
    <w:rsid w:val="04B6F9DD"/>
    <w:rsid w:val="04CCB74E"/>
    <w:rsid w:val="04F5BAF0"/>
    <w:rsid w:val="04F73512"/>
    <w:rsid w:val="04F9B665"/>
    <w:rsid w:val="04FB2335"/>
    <w:rsid w:val="050ABB34"/>
    <w:rsid w:val="051798BD"/>
    <w:rsid w:val="05349E87"/>
    <w:rsid w:val="055A11CC"/>
    <w:rsid w:val="056AB27F"/>
    <w:rsid w:val="0578DF3B"/>
    <w:rsid w:val="05841B04"/>
    <w:rsid w:val="05B7068C"/>
    <w:rsid w:val="05B864C6"/>
    <w:rsid w:val="05BEE697"/>
    <w:rsid w:val="05D763EB"/>
    <w:rsid w:val="05DC0E49"/>
    <w:rsid w:val="05DC15E7"/>
    <w:rsid w:val="05FB9027"/>
    <w:rsid w:val="05FC8C38"/>
    <w:rsid w:val="05FD236F"/>
    <w:rsid w:val="060009C3"/>
    <w:rsid w:val="0603AA1C"/>
    <w:rsid w:val="06120E03"/>
    <w:rsid w:val="06134DED"/>
    <w:rsid w:val="063CD1B3"/>
    <w:rsid w:val="063DEB1C"/>
    <w:rsid w:val="0645B6CA"/>
    <w:rsid w:val="0648E5C4"/>
    <w:rsid w:val="064A42DD"/>
    <w:rsid w:val="064B77BB"/>
    <w:rsid w:val="0651F649"/>
    <w:rsid w:val="065F51CE"/>
    <w:rsid w:val="065FF0E8"/>
    <w:rsid w:val="06612828"/>
    <w:rsid w:val="0673ABAE"/>
    <w:rsid w:val="0676E70A"/>
    <w:rsid w:val="067F84DA"/>
    <w:rsid w:val="06936FCA"/>
    <w:rsid w:val="06939B98"/>
    <w:rsid w:val="06BB2BA7"/>
    <w:rsid w:val="06C5167F"/>
    <w:rsid w:val="06D093E8"/>
    <w:rsid w:val="06D4FF9A"/>
    <w:rsid w:val="06D89190"/>
    <w:rsid w:val="06F40175"/>
    <w:rsid w:val="07015849"/>
    <w:rsid w:val="07024C96"/>
    <w:rsid w:val="0703D048"/>
    <w:rsid w:val="070D3E86"/>
    <w:rsid w:val="0713A613"/>
    <w:rsid w:val="07187B26"/>
    <w:rsid w:val="07189A98"/>
    <w:rsid w:val="0718ADF7"/>
    <w:rsid w:val="0722CC89"/>
    <w:rsid w:val="0728E5DD"/>
    <w:rsid w:val="0733EE19"/>
    <w:rsid w:val="074DA90A"/>
    <w:rsid w:val="07710498"/>
    <w:rsid w:val="07741764"/>
    <w:rsid w:val="0774ED10"/>
    <w:rsid w:val="0789A7C5"/>
    <w:rsid w:val="078B2CC0"/>
    <w:rsid w:val="078C782D"/>
    <w:rsid w:val="079EA065"/>
    <w:rsid w:val="07C4967E"/>
    <w:rsid w:val="07F1313C"/>
    <w:rsid w:val="08011E55"/>
    <w:rsid w:val="08039AB5"/>
    <w:rsid w:val="081060CF"/>
    <w:rsid w:val="08160A58"/>
    <w:rsid w:val="0818AD8E"/>
    <w:rsid w:val="081D7BE7"/>
    <w:rsid w:val="082AE6F8"/>
    <w:rsid w:val="0831C584"/>
    <w:rsid w:val="083D7018"/>
    <w:rsid w:val="0842F658"/>
    <w:rsid w:val="0844617C"/>
    <w:rsid w:val="08452DD8"/>
    <w:rsid w:val="084836E4"/>
    <w:rsid w:val="085003AB"/>
    <w:rsid w:val="085B7CE9"/>
    <w:rsid w:val="085D0511"/>
    <w:rsid w:val="085DE7F7"/>
    <w:rsid w:val="086BA271"/>
    <w:rsid w:val="086D459B"/>
    <w:rsid w:val="08702FEB"/>
    <w:rsid w:val="08724921"/>
    <w:rsid w:val="08843DA4"/>
    <w:rsid w:val="088B6307"/>
    <w:rsid w:val="08A817EF"/>
    <w:rsid w:val="08CCF0C1"/>
    <w:rsid w:val="08D6A7A5"/>
    <w:rsid w:val="08DDB65D"/>
    <w:rsid w:val="08E28390"/>
    <w:rsid w:val="08E2DF4B"/>
    <w:rsid w:val="08E360E3"/>
    <w:rsid w:val="08EC3056"/>
    <w:rsid w:val="0902D0B8"/>
    <w:rsid w:val="090B982B"/>
    <w:rsid w:val="0916B40B"/>
    <w:rsid w:val="091FA1A6"/>
    <w:rsid w:val="09306339"/>
    <w:rsid w:val="093E4C98"/>
    <w:rsid w:val="09524C68"/>
    <w:rsid w:val="095DA9BA"/>
    <w:rsid w:val="09A202F1"/>
    <w:rsid w:val="09A4D128"/>
    <w:rsid w:val="09A95F22"/>
    <w:rsid w:val="09AA4447"/>
    <w:rsid w:val="09CE4841"/>
    <w:rsid w:val="0A0404E0"/>
    <w:rsid w:val="0A0524D5"/>
    <w:rsid w:val="0A069E5D"/>
    <w:rsid w:val="0A1091B9"/>
    <w:rsid w:val="0A1AC53A"/>
    <w:rsid w:val="0A31835F"/>
    <w:rsid w:val="0A4D6A98"/>
    <w:rsid w:val="0A5EF022"/>
    <w:rsid w:val="0A5FC60D"/>
    <w:rsid w:val="0A8FCE5B"/>
    <w:rsid w:val="0AA2C79C"/>
    <w:rsid w:val="0AB585AF"/>
    <w:rsid w:val="0AC5B480"/>
    <w:rsid w:val="0AC5BD5F"/>
    <w:rsid w:val="0AD5FEFC"/>
    <w:rsid w:val="0ADBC6E1"/>
    <w:rsid w:val="0ADFA901"/>
    <w:rsid w:val="0AFFEB98"/>
    <w:rsid w:val="0B037338"/>
    <w:rsid w:val="0B07ECCB"/>
    <w:rsid w:val="0B0A1046"/>
    <w:rsid w:val="0B328E12"/>
    <w:rsid w:val="0B398925"/>
    <w:rsid w:val="0B3AB339"/>
    <w:rsid w:val="0B4000E0"/>
    <w:rsid w:val="0B404D6C"/>
    <w:rsid w:val="0B41C051"/>
    <w:rsid w:val="0B445D5D"/>
    <w:rsid w:val="0B4EF2B6"/>
    <w:rsid w:val="0B64CDD8"/>
    <w:rsid w:val="0B8F95E4"/>
    <w:rsid w:val="0B97AAFE"/>
    <w:rsid w:val="0B988FFB"/>
    <w:rsid w:val="0BA0864D"/>
    <w:rsid w:val="0BA45744"/>
    <w:rsid w:val="0BB56044"/>
    <w:rsid w:val="0BCDF154"/>
    <w:rsid w:val="0BD31DDE"/>
    <w:rsid w:val="0BD91000"/>
    <w:rsid w:val="0BDADC17"/>
    <w:rsid w:val="0BEF6F08"/>
    <w:rsid w:val="0BF0CD5D"/>
    <w:rsid w:val="0BF934E7"/>
    <w:rsid w:val="0C152C35"/>
    <w:rsid w:val="0C1E1CFD"/>
    <w:rsid w:val="0C2C9B66"/>
    <w:rsid w:val="0C30F5E7"/>
    <w:rsid w:val="0C31C5D9"/>
    <w:rsid w:val="0C51E189"/>
    <w:rsid w:val="0C52FED7"/>
    <w:rsid w:val="0C5AA0CF"/>
    <w:rsid w:val="0C6128CD"/>
    <w:rsid w:val="0C75E92C"/>
    <w:rsid w:val="0C765D59"/>
    <w:rsid w:val="0C7D7733"/>
    <w:rsid w:val="0CB414FC"/>
    <w:rsid w:val="0CB90F11"/>
    <w:rsid w:val="0CC06C26"/>
    <w:rsid w:val="0CC8EAC1"/>
    <w:rsid w:val="0CDBF096"/>
    <w:rsid w:val="0CEC7F72"/>
    <w:rsid w:val="0CF9ADD8"/>
    <w:rsid w:val="0D1217F1"/>
    <w:rsid w:val="0D14176C"/>
    <w:rsid w:val="0D1BCEA8"/>
    <w:rsid w:val="0D1FDDBC"/>
    <w:rsid w:val="0D366E24"/>
    <w:rsid w:val="0D41E555"/>
    <w:rsid w:val="0D425398"/>
    <w:rsid w:val="0D4298CE"/>
    <w:rsid w:val="0D4D2352"/>
    <w:rsid w:val="0D5E43FB"/>
    <w:rsid w:val="0D71B485"/>
    <w:rsid w:val="0D791DE4"/>
    <w:rsid w:val="0D7C2A4F"/>
    <w:rsid w:val="0DA91737"/>
    <w:rsid w:val="0DA9866E"/>
    <w:rsid w:val="0DAE1DC1"/>
    <w:rsid w:val="0DC6F9B8"/>
    <w:rsid w:val="0DCA573A"/>
    <w:rsid w:val="0DFF67A7"/>
    <w:rsid w:val="0E04C41C"/>
    <w:rsid w:val="0E09A9BF"/>
    <w:rsid w:val="0E314A2E"/>
    <w:rsid w:val="0E35F9AF"/>
    <w:rsid w:val="0E56A5DE"/>
    <w:rsid w:val="0E774E28"/>
    <w:rsid w:val="0E780F4D"/>
    <w:rsid w:val="0E7E050E"/>
    <w:rsid w:val="0E7F9AC6"/>
    <w:rsid w:val="0E817E82"/>
    <w:rsid w:val="0E95BF96"/>
    <w:rsid w:val="0EA8FF17"/>
    <w:rsid w:val="0ECC145D"/>
    <w:rsid w:val="0ECD0A86"/>
    <w:rsid w:val="0EE58608"/>
    <w:rsid w:val="0EEB1B25"/>
    <w:rsid w:val="0EEED849"/>
    <w:rsid w:val="0F166550"/>
    <w:rsid w:val="0F249E30"/>
    <w:rsid w:val="0F2AC20F"/>
    <w:rsid w:val="0F3EC2DC"/>
    <w:rsid w:val="0F45E804"/>
    <w:rsid w:val="0F56DC39"/>
    <w:rsid w:val="0F596B6D"/>
    <w:rsid w:val="0F73ADC1"/>
    <w:rsid w:val="0F79CBD2"/>
    <w:rsid w:val="0F8728F5"/>
    <w:rsid w:val="0FBAD8A3"/>
    <w:rsid w:val="0FCCB988"/>
    <w:rsid w:val="0FEADCA6"/>
    <w:rsid w:val="0FFF7A7B"/>
    <w:rsid w:val="1080E6D0"/>
    <w:rsid w:val="10824352"/>
    <w:rsid w:val="108B31CC"/>
    <w:rsid w:val="10AC9EB4"/>
    <w:rsid w:val="10AD596A"/>
    <w:rsid w:val="10B5C43D"/>
    <w:rsid w:val="10C424FC"/>
    <w:rsid w:val="10D50FE4"/>
    <w:rsid w:val="10D7C788"/>
    <w:rsid w:val="10E20DB1"/>
    <w:rsid w:val="1113977A"/>
    <w:rsid w:val="11142C90"/>
    <w:rsid w:val="112EC8B4"/>
    <w:rsid w:val="1138A576"/>
    <w:rsid w:val="114D5BB8"/>
    <w:rsid w:val="115AED9C"/>
    <w:rsid w:val="1160B975"/>
    <w:rsid w:val="11657633"/>
    <w:rsid w:val="116C705E"/>
    <w:rsid w:val="11730487"/>
    <w:rsid w:val="1178801A"/>
    <w:rsid w:val="11808DF5"/>
    <w:rsid w:val="118A0979"/>
    <w:rsid w:val="1195CF93"/>
    <w:rsid w:val="11A4087F"/>
    <w:rsid w:val="11AF232F"/>
    <w:rsid w:val="11B8EF5A"/>
    <w:rsid w:val="11CD2EB3"/>
    <w:rsid w:val="11E45256"/>
    <w:rsid w:val="11E67987"/>
    <w:rsid w:val="11E801D1"/>
    <w:rsid w:val="11EF813D"/>
    <w:rsid w:val="11FC4B68"/>
    <w:rsid w:val="11FC6ACD"/>
    <w:rsid w:val="11FEA09D"/>
    <w:rsid w:val="1200B73D"/>
    <w:rsid w:val="120D4EBD"/>
    <w:rsid w:val="12241541"/>
    <w:rsid w:val="1229FCBE"/>
    <w:rsid w:val="12334A4A"/>
    <w:rsid w:val="12458E6E"/>
    <w:rsid w:val="124DDEA7"/>
    <w:rsid w:val="124F8CAF"/>
    <w:rsid w:val="125F1F6A"/>
    <w:rsid w:val="125F5AA0"/>
    <w:rsid w:val="1284EDE3"/>
    <w:rsid w:val="12854B86"/>
    <w:rsid w:val="128665E2"/>
    <w:rsid w:val="12A5C16E"/>
    <w:rsid w:val="12AA3F24"/>
    <w:rsid w:val="12B571EB"/>
    <w:rsid w:val="12BC50DF"/>
    <w:rsid w:val="12BFF042"/>
    <w:rsid w:val="12CC0638"/>
    <w:rsid w:val="12DB1F4E"/>
    <w:rsid w:val="12E9DC31"/>
    <w:rsid w:val="12EA8C3B"/>
    <w:rsid w:val="12EEB839"/>
    <w:rsid w:val="12F0E9A2"/>
    <w:rsid w:val="12F72963"/>
    <w:rsid w:val="12FF27BE"/>
    <w:rsid w:val="13025C60"/>
    <w:rsid w:val="13032129"/>
    <w:rsid w:val="130453F3"/>
    <w:rsid w:val="13320741"/>
    <w:rsid w:val="1333ED45"/>
    <w:rsid w:val="13383B7D"/>
    <w:rsid w:val="133A605B"/>
    <w:rsid w:val="133B475C"/>
    <w:rsid w:val="133C8ED6"/>
    <w:rsid w:val="133D4B51"/>
    <w:rsid w:val="1342C0B4"/>
    <w:rsid w:val="13561696"/>
    <w:rsid w:val="136AF6A1"/>
    <w:rsid w:val="138B248F"/>
    <w:rsid w:val="13A05A02"/>
    <w:rsid w:val="13C24E62"/>
    <w:rsid w:val="13C5755A"/>
    <w:rsid w:val="13CA304F"/>
    <w:rsid w:val="14020584"/>
    <w:rsid w:val="14131893"/>
    <w:rsid w:val="141BA864"/>
    <w:rsid w:val="143EB34F"/>
    <w:rsid w:val="14433F98"/>
    <w:rsid w:val="1447B597"/>
    <w:rsid w:val="145CBE7E"/>
    <w:rsid w:val="14790EF9"/>
    <w:rsid w:val="1486D387"/>
    <w:rsid w:val="148B759C"/>
    <w:rsid w:val="14918147"/>
    <w:rsid w:val="149D761D"/>
    <w:rsid w:val="14B28BB6"/>
    <w:rsid w:val="14BA28A6"/>
    <w:rsid w:val="14BBA7F5"/>
    <w:rsid w:val="14BBCED3"/>
    <w:rsid w:val="14D06CFC"/>
    <w:rsid w:val="14E1B958"/>
    <w:rsid w:val="14EA01C2"/>
    <w:rsid w:val="14ECA4BA"/>
    <w:rsid w:val="14EFBA93"/>
    <w:rsid w:val="151470CC"/>
    <w:rsid w:val="1516951C"/>
    <w:rsid w:val="153F0ACB"/>
    <w:rsid w:val="1548E85E"/>
    <w:rsid w:val="1557CE33"/>
    <w:rsid w:val="156BE385"/>
    <w:rsid w:val="15727665"/>
    <w:rsid w:val="158068CA"/>
    <w:rsid w:val="15830C3C"/>
    <w:rsid w:val="158A52FA"/>
    <w:rsid w:val="15A65111"/>
    <w:rsid w:val="15A7667F"/>
    <w:rsid w:val="15ACD169"/>
    <w:rsid w:val="15BBE0BE"/>
    <w:rsid w:val="15D04831"/>
    <w:rsid w:val="15D05B4C"/>
    <w:rsid w:val="15D77B9F"/>
    <w:rsid w:val="15DCA7F5"/>
    <w:rsid w:val="15DD0CA1"/>
    <w:rsid w:val="15E86AA6"/>
    <w:rsid w:val="1601F16B"/>
    <w:rsid w:val="16052C36"/>
    <w:rsid w:val="160EB5D0"/>
    <w:rsid w:val="1612B596"/>
    <w:rsid w:val="162BDDF7"/>
    <w:rsid w:val="162E88FD"/>
    <w:rsid w:val="16336516"/>
    <w:rsid w:val="164189BD"/>
    <w:rsid w:val="165E9F59"/>
    <w:rsid w:val="16631FB5"/>
    <w:rsid w:val="16733DB5"/>
    <w:rsid w:val="1686C453"/>
    <w:rsid w:val="1688CD44"/>
    <w:rsid w:val="16A2036C"/>
    <w:rsid w:val="16B63ECE"/>
    <w:rsid w:val="16B8AFB0"/>
    <w:rsid w:val="16BEBDC1"/>
    <w:rsid w:val="16C17AE3"/>
    <w:rsid w:val="16D244E0"/>
    <w:rsid w:val="16D7F47B"/>
    <w:rsid w:val="16F3B1DA"/>
    <w:rsid w:val="16FCFE38"/>
    <w:rsid w:val="170B59FA"/>
    <w:rsid w:val="170C73AB"/>
    <w:rsid w:val="17215580"/>
    <w:rsid w:val="172AD7EE"/>
    <w:rsid w:val="1734BD5D"/>
    <w:rsid w:val="17358228"/>
    <w:rsid w:val="17404AC7"/>
    <w:rsid w:val="1743266A"/>
    <w:rsid w:val="1748BD2A"/>
    <w:rsid w:val="175DD85A"/>
    <w:rsid w:val="175E0BD4"/>
    <w:rsid w:val="175F0017"/>
    <w:rsid w:val="176F4E30"/>
    <w:rsid w:val="177314A6"/>
    <w:rsid w:val="1779C795"/>
    <w:rsid w:val="177ACACC"/>
    <w:rsid w:val="17A6DB7F"/>
    <w:rsid w:val="17A9FBDD"/>
    <w:rsid w:val="17AD6CA4"/>
    <w:rsid w:val="17B2167D"/>
    <w:rsid w:val="17C4E04A"/>
    <w:rsid w:val="17CE17DF"/>
    <w:rsid w:val="17D8798A"/>
    <w:rsid w:val="18177A24"/>
    <w:rsid w:val="183EC7B9"/>
    <w:rsid w:val="185B47D0"/>
    <w:rsid w:val="1861E2EA"/>
    <w:rsid w:val="1865E7D3"/>
    <w:rsid w:val="1866ADCE"/>
    <w:rsid w:val="187BA7D1"/>
    <w:rsid w:val="18807A50"/>
    <w:rsid w:val="1882A1BE"/>
    <w:rsid w:val="1882CBAF"/>
    <w:rsid w:val="189FE819"/>
    <w:rsid w:val="18A8D187"/>
    <w:rsid w:val="18C99602"/>
    <w:rsid w:val="18D67B93"/>
    <w:rsid w:val="18EA6D33"/>
    <w:rsid w:val="18EF7A42"/>
    <w:rsid w:val="1902AA10"/>
    <w:rsid w:val="1902BC38"/>
    <w:rsid w:val="19089A5C"/>
    <w:rsid w:val="191505B1"/>
    <w:rsid w:val="19356C71"/>
    <w:rsid w:val="193C0D38"/>
    <w:rsid w:val="193D68BC"/>
    <w:rsid w:val="194BAA53"/>
    <w:rsid w:val="1950F8CF"/>
    <w:rsid w:val="19673E4B"/>
    <w:rsid w:val="19821455"/>
    <w:rsid w:val="19895DA1"/>
    <w:rsid w:val="19AE3AA2"/>
    <w:rsid w:val="19C4D864"/>
    <w:rsid w:val="19C502FE"/>
    <w:rsid w:val="19C97D91"/>
    <w:rsid w:val="19F7A1AC"/>
    <w:rsid w:val="1A0FCB88"/>
    <w:rsid w:val="1A10D452"/>
    <w:rsid w:val="1A1A19B3"/>
    <w:rsid w:val="1A1F41DA"/>
    <w:rsid w:val="1A39741D"/>
    <w:rsid w:val="1A405B6A"/>
    <w:rsid w:val="1A408811"/>
    <w:rsid w:val="1A40FDB2"/>
    <w:rsid w:val="1A4CD628"/>
    <w:rsid w:val="1A53506D"/>
    <w:rsid w:val="1A5C2A86"/>
    <w:rsid w:val="1A5C3EA9"/>
    <w:rsid w:val="1A604F37"/>
    <w:rsid w:val="1A67FB60"/>
    <w:rsid w:val="1A7731AE"/>
    <w:rsid w:val="1A8597F7"/>
    <w:rsid w:val="1A91F675"/>
    <w:rsid w:val="1A9ED47A"/>
    <w:rsid w:val="1AAAD71F"/>
    <w:rsid w:val="1ABC11EB"/>
    <w:rsid w:val="1AC30365"/>
    <w:rsid w:val="1AC49590"/>
    <w:rsid w:val="1AC8F97B"/>
    <w:rsid w:val="1AD1346B"/>
    <w:rsid w:val="1AF6DB94"/>
    <w:rsid w:val="1B04A117"/>
    <w:rsid w:val="1B0970B8"/>
    <w:rsid w:val="1B1212BB"/>
    <w:rsid w:val="1B17DCDF"/>
    <w:rsid w:val="1B2A43FE"/>
    <w:rsid w:val="1B47794E"/>
    <w:rsid w:val="1B4FE7C4"/>
    <w:rsid w:val="1B760C0F"/>
    <w:rsid w:val="1BA5012E"/>
    <w:rsid w:val="1BA50AA9"/>
    <w:rsid w:val="1BC13675"/>
    <w:rsid w:val="1BCDA0C4"/>
    <w:rsid w:val="1BDCCBD4"/>
    <w:rsid w:val="1BE2BE15"/>
    <w:rsid w:val="1BE91171"/>
    <w:rsid w:val="1C23C1C7"/>
    <w:rsid w:val="1C25D9A6"/>
    <w:rsid w:val="1C2A3B2F"/>
    <w:rsid w:val="1C43B2F3"/>
    <w:rsid w:val="1C44237A"/>
    <w:rsid w:val="1C544E35"/>
    <w:rsid w:val="1C653D77"/>
    <w:rsid w:val="1C6802DA"/>
    <w:rsid w:val="1C73F0D4"/>
    <w:rsid w:val="1C9581DD"/>
    <w:rsid w:val="1CAA7631"/>
    <w:rsid w:val="1CC511AC"/>
    <w:rsid w:val="1CCBE30E"/>
    <w:rsid w:val="1CD4D139"/>
    <w:rsid w:val="1CEB35ED"/>
    <w:rsid w:val="1CEFCF7F"/>
    <w:rsid w:val="1CFDF7AC"/>
    <w:rsid w:val="1D0E3C9F"/>
    <w:rsid w:val="1D1399B0"/>
    <w:rsid w:val="1D17276A"/>
    <w:rsid w:val="1D334655"/>
    <w:rsid w:val="1D3CFC18"/>
    <w:rsid w:val="1D4B4AE4"/>
    <w:rsid w:val="1D4B8B59"/>
    <w:rsid w:val="1D606FE1"/>
    <w:rsid w:val="1D677074"/>
    <w:rsid w:val="1D6A1A2D"/>
    <w:rsid w:val="1D75DD46"/>
    <w:rsid w:val="1D79EADB"/>
    <w:rsid w:val="1D805A99"/>
    <w:rsid w:val="1DA31BA8"/>
    <w:rsid w:val="1DADB4E9"/>
    <w:rsid w:val="1DBA4291"/>
    <w:rsid w:val="1DBF7992"/>
    <w:rsid w:val="1DD48080"/>
    <w:rsid w:val="1DD6CDB0"/>
    <w:rsid w:val="1DDB9C00"/>
    <w:rsid w:val="1DDDCDC6"/>
    <w:rsid w:val="1E02C45B"/>
    <w:rsid w:val="1E0CC710"/>
    <w:rsid w:val="1E1CCAE5"/>
    <w:rsid w:val="1E45DE54"/>
    <w:rsid w:val="1E517509"/>
    <w:rsid w:val="1E5F5396"/>
    <w:rsid w:val="1E802F06"/>
    <w:rsid w:val="1E859D31"/>
    <w:rsid w:val="1EB3046A"/>
    <w:rsid w:val="1EC71249"/>
    <w:rsid w:val="1EC8725A"/>
    <w:rsid w:val="1EDA669B"/>
    <w:rsid w:val="1EDB9521"/>
    <w:rsid w:val="1EDEE3EF"/>
    <w:rsid w:val="1EE17958"/>
    <w:rsid w:val="1EE25FC0"/>
    <w:rsid w:val="1EFFB344"/>
    <w:rsid w:val="1F083933"/>
    <w:rsid w:val="1F137EBE"/>
    <w:rsid w:val="1F39E488"/>
    <w:rsid w:val="1F3A5DD2"/>
    <w:rsid w:val="1F4134B0"/>
    <w:rsid w:val="1F4E627B"/>
    <w:rsid w:val="1F6D8DB0"/>
    <w:rsid w:val="1F7192F1"/>
    <w:rsid w:val="1F755E05"/>
    <w:rsid w:val="1F87C49A"/>
    <w:rsid w:val="1F96D3DC"/>
    <w:rsid w:val="1F9CAD75"/>
    <w:rsid w:val="1FA4AD29"/>
    <w:rsid w:val="1FA938B4"/>
    <w:rsid w:val="1FADCB99"/>
    <w:rsid w:val="1FBA2A9F"/>
    <w:rsid w:val="1FBC65F0"/>
    <w:rsid w:val="1FBE5AA0"/>
    <w:rsid w:val="1FD1D4D6"/>
    <w:rsid w:val="1FD38394"/>
    <w:rsid w:val="1FDE918A"/>
    <w:rsid w:val="1FEB0F55"/>
    <w:rsid w:val="201F0F47"/>
    <w:rsid w:val="201F22B1"/>
    <w:rsid w:val="20267157"/>
    <w:rsid w:val="2028E383"/>
    <w:rsid w:val="20327F51"/>
    <w:rsid w:val="203C1474"/>
    <w:rsid w:val="204B9946"/>
    <w:rsid w:val="204DD3A7"/>
    <w:rsid w:val="2059631D"/>
    <w:rsid w:val="205EE285"/>
    <w:rsid w:val="2060D9BE"/>
    <w:rsid w:val="20704DF9"/>
    <w:rsid w:val="208C4831"/>
    <w:rsid w:val="20A32530"/>
    <w:rsid w:val="20A8A2DD"/>
    <w:rsid w:val="20AA3E28"/>
    <w:rsid w:val="20B185CD"/>
    <w:rsid w:val="20BEDBDF"/>
    <w:rsid w:val="20D17444"/>
    <w:rsid w:val="20DABA94"/>
    <w:rsid w:val="20E44DB5"/>
    <w:rsid w:val="20E48CF4"/>
    <w:rsid w:val="20E9EF51"/>
    <w:rsid w:val="20ED0D95"/>
    <w:rsid w:val="20ED80CC"/>
    <w:rsid w:val="20F1187E"/>
    <w:rsid w:val="20F83C8B"/>
    <w:rsid w:val="20FA5777"/>
    <w:rsid w:val="20FD323D"/>
    <w:rsid w:val="2103602F"/>
    <w:rsid w:val="211D1788"/>
    <w:rsid w:val="2143EFA4"/>
    <w:rsid w:val="216B3433"/>
    <w:rsid w:val="217A76CC"/>
    <w:rsid w:val="217D5E97"/>
    <w:rsid w:val="2180E260"/>
    <w:rsid w:val="21A16E78"/>
    <w:rsid w:val="21AF82D8"/>
    <w:rsid w:val="21B10765"/>
    <w:rsid w:val="21BDC23B"/>
    <w:rsid w:val="21C1D7CA"/>
    <w:rsid w:val="21C75418"/>
    <w:rsid w:val="2202ADC7"/>
    <w:rsid w:val="220AF13F"/>
    <w:rsid w:val="221111C2"/>
    <w:rsid w:val="2218472A"/>
    <w:rsid w:val="2218B4B0"/>
    <w:rsid w:val="222E0EBF"/>
    <w:rsid w:val="223BCC8D"/>
    <w:rsid w:val="226EE20E"/>
    <w:rsid w:val="229B7159"/>
    <w:rsid w:val="22A4B532"/>
    <w:rsid w:val="22B52F18"/>
    <w:rsid w:val="22C40220"/>
    <w:rsid w:val="22C68411"/>
    <w:rsid w:val="22D3FAF7"/>
    <w:rsid w:val="22D4DD9E"/>
    <w:rsid w:val="23098B20"/>
    <w:rsid w:val="230D2676"/>
    <w:rsid w:val="232C141C"/>
    <w:rsid w:val="2331F332"/>
    <w:rsid w:val="233DFBB0"/>
    <w:rsid w:val="234C1EFE"/>
    <w:rsid w:val="2360E7F6"/>
    <w:rsid w:val="2366EFA7"/>
    <w:rsid w:val="2368B6CB"/>
    <w:rsid w:val="237D6E25"/>
    <w:rsid w:val="238CB637"/>
    <w:rsid w:val="23C7DB50"/>
    <w:rsid w:val="23CB1723"/>
    <w:rsid w:val="23D0D545"/>
    <w:rsid w:val="23E1E0AD"/>
    <w:rsid w:val="23E24F5D"/>
    <w:rsid w:val="23E6F968"/>
    <w:rsid w:val="23EB9B5F"/>
    <w:rsid w:val="23FC19F2"/>
    <w:rsid w:val="240012FD"/>
    <w:rsid w:val="24099DB2"/>
    <w:rsid w:val="2414E3A7"/>
    <w:rsid w:val="2416A954"/>
    <w:rsid w:val="241A76AD"/>
    <w:rsid w:val="243523EB"/>
    <w:rsid w:val="244233B3"/>
    <w:rsid w:val="245CE8A5"/>
    <w:rsid w:val="24604D04"/>
    <w:rsid w:val="24681A16"/>
    <w:rsid w:val="246E3E89"/>
    <w:rsid w:val="246E4137"/>
    <w:rsid w:val="24771D5D"/>
    <w:rsid w:val="2491D740"/>
    <w:rsid w:val="249DB56E"/>
    <w:rsid w:val="24C304C2"/>
    <w:rsid w:val="24DDA6B9"/>
    <w:rsid w:val="24F14201"/>
    <w:rsid w:val="24F9A55E"/>
    <w:rsid w:val="2500D5BC"/>
    <w:rsid w:val="2507D6BC"/>
    <w:rsid w:val="252F2368"/>
    <w:rsid w:val="25398961"/>
    <w:rsid w:val="25417578"/>
    <w:rsid w:val="255694BA"/>
    <w:rsid w:val="256AE9B6"/>
    <w:rsid w:val="25B5E922"/>
    <w:rsid w:val="25C7283E"/>
    <w:rsid w:val="25D41860"/>
    <w:rsid w:val="25D732DC"/>
    <w:rsid w:val="25DCB0C5"/>
    <w:rsid w:val="25DCCF34"/>
    <w:rsid w:val="25DE5BC7"/>
    <w:rsid w:val="25F29636"/>
    <w:rsid w:val="25FDA831"/>
    <w:rsid w:val="260694DC"/>
    <w:rsid w:val="260BBFD3"/>
    <w:rsid w:val="26288E5A"/>
    <w:rsid w:val="26327B90"/>
    <w:rsid w:val="2633C00C"/>
    <w:rsid w:val="2643C76A"/>
    <w:rsid w:val="2663B1B2"/>
    <w:rsid w:val="266CDC57"/>
    <w:rsid w:val="26806A35"/>
    <w:rsid w:val="2685E8F7"/>
    <w:rsid w:val="268D5A4E"/>
    <w:rsid w:val="269178CD"/>
    <w:rsid w:val="2691795A"/>
    <w:rsid w:val="26980ABC"/>
    <w:rsid w:val="269F21D8"/>
    <w:rsid w:val="26B0DF5F"/>
    <w:rsid w:val="26C6B2B4"/>
    <w:rsid w:val="26C71AFC"/>
    <w:rsid w:val="26C761D4"/>
    <w:rsid w:val="26CABD6A"/>
    <w:rsid w:val="26CAF7C1"/>
    <w:rsid w:val="26D45137"/>
    <w:rsid w:val="26E051EA"/>
    <w:rsid w:val="26E1D1E4"/>
    <w:rsid w:val="26EE8B2B"/>
    <w:rsid w:val="26F52701"/>
    <w:rsid w:val="26F6C35C"/>
    <w:rsid w:val="27078F13"/>
    <w:rsid w:val="270BB0A3"/>
    <w:rsid w:val="271B80BB"/>
    <w:rsid w:val="272E2B66"/>
    <w:rsid w:val="2749F164"/>
    <w:rsid w:val="277BAB72"/>
    <w:rsid w:val="277CE7E9"/>
    <w:rsid w:val="27843B64"/>
    <w:rsid w:val="27858CC9"/>
    <w:rsid w:val="279595D0"/>
    <w:rsid w:val="279A8868"/>
    <w:rsid w:val="279E03DF"/>
    <w:rsid w:val="27C74760"/>
    <w:rsid w:val="27D36290"/>
    <w:rsid w:val="27D82F0E"/>
    <w:rsid w:val="27D928CC"/>
    <w:rsid w:val="27DD778F"/>
    <w:rsid w:val="27E23F77"/>
    <w:rsid w:val="280BE010"/>
    <w:rsid w:val="2815EBB3"/>
    <w:rsid w:val="2821F7E8"/>
    <w:rsid w:val="28270B12"/>
    <w:rsid w:val="2827B942"/>
    <w:rsid w:val="282EF5A7"/>
    <w:rsid w:val="2877A22D"/>
    <w:rsid w:val="287F3289"/>
    <w:rsid w:val="28A1D930"/>
    <w:rsid w:val="28AEC1AD"/>
    <w:rsid w:val="28AFDA0A"/>
    <w:rsid w:val="28E03479"/>
    <w:rsid w:val="28F76F57"/>
    <w:rsid w:val="28F92C0F"/>
    <w:rsid w:val="291D1789"/>
    <w:rsid w:val="291E7379"/>
    <w:rsid w:val="2923158A"/>
    <w:rsid w:val="29360AB0"/>
    <w:rsid w:val="294D5802"/>
    <w:rsid w:val="294EF8AB"/>
    <w:rsid w:val="2963F33C"/>
    <w:rsid w:val="299C224E"/>
    <w:rsid w:val="299EA1B8"/>
    <w:rsid w:val="29A56CAE"/>
    <w:rsid w:val="29A73E5D"/>
    <w:rsid w:val="29B07AE6"/>
    <w:rsid w:val="29B50E5F"/>
    <w:rsid w:val="29B78835"/>
    <w:rsid w:val="29BAD849"/>
    <w:rsid w:val="29CE0C17"/>
    <w:rsid w:val="29F3B354"/>
    <w:rsid w:val="29FA915E"/>
    <w:rsid w:val="29FCAFEE"/>
    <w:rsid w:val="2A05FBF6"/>
    <w:rsid w:val="2A05FC0C"/>
    <w:rsid w:val="2A0D0D16"/>
    <w:rsid w:val="2A0EA35E"/>
    <w:rsid w:val="2A1B4842"/>
    <w:rsid w:val="2A270697"/>
    <w:rsid w:val="2A33248E"/>
    <w:rsid w:val="2A38A85B"/>
    <w:rsid w:val="2A7D0D9A"/>
    <w:rsid w:val="2A86433F"/>
    <w:rsid w:val="2A895829"/>
    <w:rsid w:val="2A8D951D"/>
    <w:rsid w:val="2A8EFE89"/>
    <w:rsid w:val="2AA30FFF"/>
    <w:rsid w:val="2AB37CC3"/>
    <w:rsid w:val="2ABF2AE3"/>
    <w:rsid w:val="2AE71A60"/>
    <w:rsid w:val="2AEA9FDB"/>
    <w:rsid w:val="2AF7A0FF"/>
    <w:rsid w:val="2AF8BD2F"/>
    <w:rsid w:val="2B05E338"/>
    <w:rsid w:val="2B1B55F9"/>
    <w:rsid w:val="2B2E3CBF"/>
    <w:rsid w:val="2B46D760"/>
    <w:rsid w:val="2B52F458"/>
    <w:rsid w:val="2B578372"/>
    <w:rsid w:val="2B66BCFB"/>
    <w:rsid w:val="2B6CC0C4"/>
    <w:rsid w:val="2B6CDDB9"/>
    <w:rsid w:val="2B715579"/>
    <w:rsid w:val="2B7786D5"/>
    <w:rsid w:val="2B98D80C"/>
    <w:rsid w:val="2B9B975C"/>
    <w:rsid w:val="2B9BCDFF"/>
    <w:rsid w:val="2B9DF4F4"/>
    <w:rsid w:val="2BB7473D"/>
    <w:rsid w:val="2BC8B13A"/>
    <w:rsid w:val="2BD261AE"/>
    <w:rsid w:val="2BF89EF0"/>
    <w:rsid w:val="2C022027"/>
    <w:rsid w:val="2C28BDD6"/>
    <w:rsid w:val="2C30BC96"/>
    <w:rsid w:val="2C48812F"/>
    <w:rsid w:val="2C5C67C3"/>
    <w:rsid w:val="2C6B1F4D"/>
    <w:rsid w:val="2CAB562D"/>
    <w:rsid w:val="2CADD624"/>
    <w:rsid w:val="2CB1302E"/>
    <w:rsid w:val="2CB891C7"/>
    <w:rsid w:val="2CC78435"/>
    <w:rsid w:val="2CE830EC"/>
    <w:rsid w:val="2CEC2493"/>
    <w:rsid w:val="2D0151DB"/>
    <w:rsid w:val="2D0B469C"/>
    <w:rsid w:val="2D0F2B22"/>
    <w:rsid w:val="2D1324A5"/>
    <w:rsid w:val="2D29A4EF"/>
    <w:rsid w:val="2D2F8358"/>
    <w:rsid w:val="2D4A64C2"/>
    <w:rsid w:val="2D4A72D2"/>
    <w:rsid w:val="2D5FEF4D"/>
    <w:rsid w:val="2D60D9C6"/>
    <w:rsid w:val="2D686018"/>
    <w:rsid w:val="2D70D09F"/>
    <w:rsid w:val="2D74C7E3"/>
    <w:rsid w:val="2D7B2492"/>
    <w:rsid w:val="2D7C82CC"/>
    <w:rsid w:val="2D7E3E97"/>
    <w:rsid w:val="2D8AA49F"/>
    <w:rsid w:val="2D8FB4FF"/>
    <w:rsid w:val="2DA09FF9"/>
    <w:rsid w:val="2DAB9B40"/>
    <w:rsid w:val="2DAEE03B"/>
    <w:rsid w:val="2DC3D828"/>
    <w:rsid w:val="2DD2C3E9"/>
    <w:rsid w:val="2DE11FFB"/>
    <w:rsid w:val="2DEBDFA5"/>
    <w:rsid w:val="2DECBF92"/>
    <w:rsid w:val="2DF4DDC9"/>
    <w:rsid w:val="2E07196D"/>
    <w:rsid w:val="2E0D7BD1"/>
    <w:rsid w:val="2E18E4AD"/>
    <w:rsid w:val="2E1CB7B8"/>
    <w:rsid w:val="2E2D04A5"/>
    <w:rsid w:val="2E3FF810"/>
    <w:rsid w:val="2E46CCA2"/>
    <w:rsid w:val="2E4DFE8A"/>
    <w:rsid w:val="2E56E803"/>
    <w:rsid w:val="2E588E16"/>
    <w:rsid w:val="2E5E6BCE"/>
    <w:rsid w:val="2E656893"/>
    <w:rsid w:val="2E726EB9"/>
    <w:rsid w:val="2E77D028"/>
    <w:rsid w:val="2E8C6A67"/>
    <w:rsid w:val="2E8DC093"/>
    <w:rsid w:val="2E9F5D73"/>
    <w:rsid w:val="2EC8E50D"/>
    <w:rsid w:val="2ED41615"/>
    <w:rsid w:val="2EDB0902"/>
    <w:rsid w:val="2EEA064F"/>
    <w:rsid w:val="2EFAB3E3"/>
    <w:rsid w:val="2F0FE417"/>
    <w:rsid w:val="2F2AFF79"/>
    <w:rsid w:val="2F37E1E3"/>
    <w:rsid w:val="2F48CF57"/>
    <w:rsid w:val="2F5559AD"/>
    <w:rsid w:val="2F5B91EA"/>
    <w:rsid w:val="2F605052"/>
    <w:rsid w:val="2F62A0DC"/>
    <w:rsid w:val="2F78CD25"/>
    <w:rsid w:val="2F7AFF21"/>
    <w:rsid w:val="2F7DBCF5"/>
    <w:rsid w:val="2F8FC27C"/>
    <w:rsid w:val="2FA8B190"/>
    <w:rsid w:val="2FB0FFB5"/>
    <w:rsid w:val="2FBFF7A4"/>
    <w:rsid w:val="2FE0DC8E"/>
    <w:rsid w:val="2FE5AB2B"/>
    <w:rsid w:val="2FF32397"/>
    <w:rsid w:val="2FFBC29F"/>
    <w:rsid w:val="302C43EF"/>
    <w:rsid w:val="30340FE4"/>
    <w:rsid w:val="3039B25C"/>
    <w:rsid w:val="3055D203"/>
    <w:rsid w:val="306ACF21"/>
    <w:rsid w:val="3070BE00"/>
    <w:rsid w:val="3093DE0C"/>
    <w:rsid w:val="30A450AB"/>
    <w:rsid w:val="30A93909"/>
    <w:rsid w:val="30B4D4C7"/>
    <w:rsid w:val="30D62733"/>
    <w:rsid w:val="30FA43F5"/>
    <w:rsid w:val="30FCC148"/>
    <w:rsid w:val="3105A23E"/>
    <w:rsid w:val="31084487"/>
    <w:rsid w:val="31263992"/>
    <w:rsid w:val="31473B67"/>
    <w:rsid w:val="3154086D"/>
    <w:rsid w:val="3155C78C"/>
    <w:rsid w:val="3167C319"/>
    <w:rsid w:val="3185A669"/>
    <w:rsid w:val="3186E62A"/>
    <w:rsid w:val="3193B82E"/>
    <w:rsid w:val="31A3BBFC"/>
    <w:rsid w:val="31B383F1"/>
    <w:rsid w:val="31B5B060"/>
    <w:rsid w:val="31C158CA"/>
    <w:rsid w:val="31C1DAB2"/>
    <w:rsid w:val="31C9BCCA"/>
    <w:rsid w:val="31D84F4E"/>
    <w:rsid w:val="31DD52FD"/>
    <w:rsid w:val="31DE6B03"/>
    <w:rsid w:val="32128F79"/>
    <w:rsid w:val="32173831"/>
    <w:rsid w:val="32179550"/>
    <w:rsid w:val="322E92D4"/>
    <w:rsid w:val="323DE1A7"/>
    <w:rsid w:val="3241A1D6"/>
    <w:rsid w:val="325D3380"/>
    <w:rsid w:val="327EDCCA"/>
    <w:rsid w:val="3280720C"/>
    <w:rsid w:val="3280D583"/>
    <w:rsid w:val="3284BF49"/>
    <w:rsid w:val="32899C8B"/>
    <w:rsid w:val="32998519"/>
    <w:rsid w:val="329F8C3A"/>
    <w:rsid w:val="32A59A89"/>
    <w:rsid w:val="32B85F16"/>
    <w:rsid w:val="32BE9DCC"/>
    <w:rsid w:val="32BFE008"/>
    <w:rsid w:val="32C14420"/>
    <w:rsid w:val="32D96562"/>
    <w:rsid w:val="32DA76DE"/>
    <w:rsid w:val="32EBAFCC"/>
    <w:rsid w:val="330877E2"/>
    <w:rsid w:val="33200D79"/>
    <w:rsid w:val="3329505F"/>
    <w:rsid w:val="3336CF06"/>
    <w:rsid w:val="333BC97F"/>
    <w:rsid w:val="333E9495"/>
    <w:rsid w:val="333EE54F"/>
    <w:rsid w:val="3345B067"/>
    <w:rsid w:val="339BC674"/>
    <w:rsid w:val="33B955DA"/>
    <w:rsid w:val="33DB1665"/>
    <w:rsid w:val="33F6FC44"/>
    <w:rsid w:val="3400E33D"/>
    <w:rsid w:val="340460A7"/>
    <w:rsid w:val="340BED57"/>
    <w:rsid w:val="342612E1"/>
    <w:rsid w:val="3448898A"/>
    <w:rsid w:val="34601E72"/>
    <w:rsid w:val="346B310E"/>
    <w:rsid w:val="34825311"/>
    <w:rsid w:val="348835EE"/>
    <w:rsid w:val="348A2B09"/>
    <w:rsid w:val="349C9ADC"/>
    <w:rsid w:val="34A84742"/>
    <w:rsid w:val="34A91508"/>
    <w:rsid w:val="34B00892"/>
    <w:rsid w:val="34DA29C4"/>
    <w:rsid w:val="34DBB81D"/>
    <w:rsid w:val="34E8434D"/>
    <w:rsid w:val="353177A9"/>
    <w:rsid w:val="35345FCC"/>
    <w:rsid w:val="3534F59D"/>
    <w:rsid w:val="35469750"/>
    <w:rsid w:val="3558FFBF"/>
    <w:rsid w:val="35597015"/>
    <w:rsid w:val="3559CE0C"/>
    <w:rsid w:val="356A0CEE"/>
    <w:rsid w:val="356B32F2"/>
    <w:rsid w:val="356B3937"/>
    <w:rsid w:val="356FDD01"/>
    <w:rsid w:val="358286C0"/>
    <w:rsid w:val="3593FAF3"/>
    <w:rsid w:val="359413C1"/>
    <w:rsid w:val="359C7206"/>
    <w:rsid w:val="35A5062B"/>
    <w:rsid w:val="35ADF6B7"/>
    <w:rsid w:val="35AE2609"/>
    <w:rsid w:val="35C8D63B"/>
    <w:rsid w:val="35EC1591"/>
    <w:rsid w:val="360969BE"/>
    <w:rsid w:val="360D7290"/>
    <w:rsid w:val="361EF9FB"/>
    <w:rsid w:val="36291A85"/>
    <w:rsid w:val="363AB657"/>
    <w:rsid w:val="36448F14"/>
    <w:rsid w:val="364C5E36"/>
    <w:rsid w:val="36512F26"/>
    <w:rsid w:val="3675C75A"/>
    <w:rsid w:val="36766BB3"/>
    <w:rsid w:val="367A0CCD"/>
    <w:rsid w:val="367DA796"/>
    <w:rsid w:val="36800BDA"/>
    <w:rsid w:val="36868664"/>
    <w:rsid w:val="36886612"/>
    <w:rsid w:val="368B0275"/>
    <w:rsid w:val="368CFE7D"/>
    <w:rsid w:val="369622D0"/>
    <w:rsid w:val="36969E8B"/>
    <w:rsid w:val="36AED123"/>
    <w:rsid w:val="36B19021"/>
    <w:rsid w:val="36C1ED1D"/>
    <w:rsid w:val="36CAC812"/>
    <w:rsid w:val="36CDB7DB"/>
    <w:rsid w:val="36E638F6"/>
    <w:rsid w:val="36EBB3F1"/>
    <w:rsid w:val="370220A5"/>
    <w:rsid w:val="3715E37A"/>
    <w:rsid w:val="37207CDC"/>
    <w:rsid w:val="37298C51"/>
    <w:rsid w:val="3729B271"/>
    <w:rsid w:val="372C470D"/>
    <w:rsid w:val="372FC63B"/>
    <w:rsid w:val="373CA373"/>
    <w:rsid w:val="373CEFCD"/>
    <w:rsid w:val="3741863E"/>
    <w:rsid w:val="374921AA"/>
    <w:rsid w:val="3752357D"/>
    <w:rsid w:val="379BB04D"/>
    <w:rsid w:val="37B11AFB"/>
    <w:rsid w:val="37BC961D"/>
    <w:rsid w:val="37D6E68E"/>
    <w:rsid w:val="37DFC7B2"/>
    <w:rsid w:val="37E1DDA2"/>
    <w:rsid w:val="37EB65CA"/>
    <w:rsid w:val="37F7191A"/>
    <w:rsid w:val="37FB16CA"/>
    <w:rsid w:val="37FC282E"/>
    <w:rsid w:val="37FD651D"/>
    <w:rsid w:val="37FDA687"/>
    <w:rsid w:val="3801FE88"/>
    <w:rsid w:val="380A2C0D"/>
    <w:rsid w:val="380B8314"/>
    <w:rsid w:val="381AEB93"/>
    <w:rsid w:val="3828F120"/>
    <w:rsid w:val="382A6EDF"/>
    <w:rsid w:val="382FC384"/>
    <w:rsid w:val="3837B334"/>
    <w:rsid w:val="384776FD"/>
    <w:rsid w:val="3857382E"/>
    <w:rsid w:val="38637BD5"/>
    <w:rsid w:val="3868755F"/>
    <w:rsid w:val="3871CBF4"/>
    <w:rsid w:val="38AB8F9A"/>
    <w:rsid w:val="38CF42DE"/>
    <w:rsid w:val="38D986F1"/>
    <w:rsid w:val="38D9DA0D"/>
    <w:rsid w:val="38EC39C3"/>
    <w:rsid w:val="390FC226"/>
    <w:rsid w:val="391B91C8"/>
    <w:rsid w:val="39382D1D"/>
    <w:rsid w:val="39417987"/>
    <w:rsid w:val="396BF75A"/>
    <w:rsid w:val="39741FE8"/>
    <w:rsid w:val="397BDD86"/>
    <w:rsid w:val="397CBF40"/>
    <w:rsid w:val="39863C21"/>
    <w:rsid w:val="3997BDA8"/>
    <w:rsid w:val="39A7FFC3"/>
    <w:rsid w:val="39B82390"/>
    <w:rsid w:val="39B963A1"/>
    <w:rsid w:val="39D7758E"/>
    <w:rsid w:val="39F2D4D2"/>
    <w:rsid w:val="3A13FE74"/>
    <w:rsid w:val="3A1462CB"/>
    <w:rsid w:val="3A14704A"/>
    <w:rsid w:val="3A260ECB"/>
    <w:rsid w:val="3A2D2FF2"/>
    <w:rsid w:val="3A4F0950"/>
    <w:rsid w:val="3A58471E"/>
    <w:rsid w:val="3A5ADAB2"/>
    <w:rsid w:val="3A6E4554"/>
    <w:rsid w:val="3A78E5FD"/>
    <w:rsid w:val="3A935F4D"/>
    <w:rsid w:val="3AA57140"/>
    <w:rsid w:val="3AABE3CD"/>
    <w:rsid w:val="3AAD1DC1"/>
    <w:rsid w:val="3AADC829"/>
    <w:rsid w:val="3AB32247"/>
    <w:rsid w:val="3AE5395F"/>
    <w:rsid w:val="3AE5D227"/>
    <w:rsid w:val="3AE89812"/>
    <w:rsid w:val="3AEDF51A"/>
    <w:rsid w:val="3AF572FF"/>
    <w:rsid w:val="3B13C1BB"/>
    <w:rsid w:val="3B22CFEC"/>
    <w:rsid w:val="3B46CFA4"/>
    <w:rsid w:val="3B49BF75"/>
    <w:rsid w:val="3B4E0B77"/>
    <w:rsid w:val="3B52ECE1"/>
    <w:rsid w:val="3B56CE9E"/>
    <w:rsid w:val="3B854AFB"/>
    <w:rsid w:val="3B9D9E3E"/>
    <w:rsid w:val="3BB08D5C"/>
    <w:rsid w:val="3BCECEF8"/>
    <w:rsid w:val="3BD480F2"/>
    <w:rsid w:val="3BDA0323"/>
    <w:rsid w:val="3BDC21F0"/>
    <w:rsid w:val="3C0CC114"/>
    <w:rsid w:val="3C0EEFC1"/>
    <w:rsid w:val="3C120C89"/>
    <w:rsid w:val="3C226FF9"/>
    <w:rsid w:val="3C28FDF3"/>
    <w:rsid w:val="3C381AA9"/>
    <w:rsid w:val="3C399B44"/>
    <w:rsid w:val="3C482B61"/>
    <w:rsid w:val="3C6E70DB"/>
    <w:rsid w:val="3C727D36"/>
    <w:rsid w:val="3C72E51D"/>
    <w:rsid w:val="3C8B9DD3"/>
    <w:rsid w:val="3C9A191E"/>
    <w:rsid w:val="3CA0A681"/>
    <w:rsid w:val="3CA5341A"/>
    <w:rsid w:val="3CB43F9F"/>
    <w:rsid w:val="3CB52CF9"/>
    <w:rsid w:val="3CC5FDF5"/>
    <w:rsid w:val="3CD7C6D6"/>
    <w:rsid w:val="3CDA8DE5"/>
    <w:rsid w:val="3CE3FF90"/>
    <w:rsid w:val="3CF79A0C"/>
    <w:rsid w:val="3D056C3F"/>
    <w:rsid w:val="3D158504"/>
    <w:rsid w:val="3D16DBBE"/>
    <w:rsid w:val="3D1A1486"/>
    <w:rsid w:val="3D1B01F5"/>
    <w:rsid w:val="3D1D1904"/>
    <w:rsid w:val="3D32C2D2"/>
    <w:rsid w:val="3D4E46D1"/>
    <w:rsid w:val="3D53BDA4"/>
    <w:rsid w:val="3D66796A"/>
    <w:rsid w:val="3D66D719"/>
    <w:rsid w:val="3D6A341A"/>
    <w:rsid w:val="3D6A6107"/>
    <w:rsid w:val="3D700192"/>
    <w:rsid w:val="3D719E9B"/>
    <w:rsid w:val="3D9AD8AA"/>
    <w:rsid w:val="3DAF7F0C"/>
    <w:rsid w:val="3DDBAE30"/>
    <w:rsid w:val="3DE0AED0"/>
    <w:rsid w:val="3DE347B7"/>
    <w:rsid w:val="3DE564A6"/>
    <w:rsid w:val="3DEAD695"/>
    <w:rsid w:val="3DECE4FE"/>
    <w:rsid w:val="3E00AF39"/>
    <w:rsid w:val="3E073055"/>
    <w:rsid w:val="3E1068FB"/>
    <w:rsid w:val="3E151ECD"/>
    <w:rsid w:val="3E282CE6"/>
    <w:rsid w:val="3E41EB45"/>
    <w:rsid w:val="3E428259"/>
    <w:rsid w:val="3E5755E6"/>
    <w:rsid w:val="3E5C056B"/>
    <w:rsid w:val="3E5C3ED4"/>
    <w:rsid w:val="3E63F2F8"/>
    <w:rsid w:val="3E85EE96"/>
    <w:rsid w:val="3E8628D7"/>
    <w:rsid w:val="3E86D89D"/>
    <w:rsid w:val="3E8FF9B8"/>
    <w:rsid w:val="3E925ACF"/>
    <w:rsid w:val="3E997C58"/>
    <w:rsid w:val="3EB26851"/>
    <w:rsid w:val="3EB56680"/>
    <w:rsid w:val="3EB92E27"/>
    <w:rsid w:val="3ECD0628"/>
    <w:rsid w:val="3EF2BB55"/>
    <w:rsid w:val="3EF9CAC4"/>
    <w:rsid w:val="3EFD08F9"/>
    <w:rsid w:val="3EFFBABC"/>
    <w:rsid w:val="3F04A445"/>
    <w:rsid w:val="3F064904"/>
    <w:rsid w:val="3F0AFD28"/>
    <w:rsid w:val="3F145FD5"/>
    <w:rsid w:val="3F1618C8"/>
    <w:rsid w:val="3F3A80B2"/>
    <w:rsid w:val="3F3C0EA9"/>
    <w:rsid w:val="3F430BC1"/>
    <w:rsid w:val="3F432A76"/>
    <w:rsid w:val="3F58EA30"/>
    <w:rsid w:val="3F61C96C"/>
    <w:rsid w:val="3F624159"/>
    <w:rsid w:val="3F637FD2"/>
    <w:rsid w:val="3F838C1D"/>
    <w:rsid w:val="3F8FE922"/>
    <w:rsid w:val="3F9EB5ED"/>
    <w:rsid w:val="3FA780A3"/>
    <w:rsid w:val="3FAC704C"/>
    <w:rsid w:val="3FB2DCAC"/>
    <w:rsid w:val="3FC02ACC"/>
    <w:rsid w:val="3FD164CE"/>
    <w:rsid w:val="3FD67934"/>
    <w:rsid w:val="3FF76E89"/>
    <w:rsid w:val="3FFD2510"/>
    <w:rsid w:val="4006EBB3"/>
    <w:rsid w:val="402458BE"/>
    <w:rsid w:val="4026385F"/>
    <w:rsid w:val="4030A6FF"/>
    <w:rsid w:val="4034CE3C"/>
    <w:rsid w:val="404D3DE3"/>
    <w:rsid w:val="4059DB26"/>
    <w:rsid w:val="405F8482"/>
    <w:rsid w:val="40630829"/>
    <w:rsid w:val="4068352C"/>
    <w:rsid w:val="4068D6B7"/>
    <w:rsid w:val="4075F85B"/>
    <w:rsid w:val="407B7049"/>
    <w:rsid w:val="4086B9F1"/>
    <w:rsid w:val="40A536B9"/>
    <w:rsid w:val="40BB63E4"/>
    <w:rsid w:val="40C0A385"/>
    <w:rsid w:val="40C4D0B4"/>
    <w:rsid w:val="40D04D13"/>
    <w:rsid w:val="40D0CCEC"/>
    <w:rsid w:val="40D35E0E"/>
    <w:rsid w:val="40D74B6A"/>
    <w:rsid w:val="40D9D022"/>
    <w:rsid w:val="41033F4F"/>
    <w:rsid w:val="41092293"/>
    <w:rsid w:val="411F2AC8"/>
    <w:rsid w:val="413D8CAF"/>
    <w:rsid w:val="4140E186"/>
    <w:rsid w:val="414A5A6B"/>
    <w:rsid w:val="415135D3"/>
    <w:rsid w:val="41578C26"/>
    <w:rsid w:val="4159A4A3"/>
    <w:rsid w:val="416070F3"/>
    <w:rsid w:val="416CB930"/>
    <w:rsid w:val="4178974F"/>
    <w:rsid w:val="41834034"/>
    <w:rsid w:val="419A5921"/>
    <w:rsid w:val="41ACC244"/>
    <w:rsid w:val="41B13359"/>
    <w:rsid w:val="41B4A72B"/>
    <w:rsid w:val="41CA152D"/>
    <w:rsid w:val="41DA8AF8"/>
    <w:rsid w:val="41F21F9B"/>
    <w:rsid w:val="421712FE"/>
    <w:rsid w:val="423647E0"/>
    <w:rsid w:val="4236ECDA"/>
    <w:rsid w:val="424B9CC0"/>
    <w:rsid w:val="424BD8ED"/>
    <w:rsid w:val="426BCF0B"/>
    <w:rsid w:val="426CC7B8"/>
    <w:rsid w:val="42752947"/>
    <w:rsid w:val="427917F5"/>
    <w:rsid w:val="42863A43"/>
    <w:rsid w:val="429275A4"/>
    <w:rsid w:val="4298F16D"/>
    <w:rsid w:val="42A59B6D"/>
    <w:rsid w:val="42A91C1B"/>
    <w:rsid w:val="42CF51AD"/>
    <w:rsid w:val="42D75428"/>
    <w:rsid w:val="42FCB109"/>
    <w:rsid w:val="4313761D"/>
    <w:rsid w:val="4316B80E"/>
    <w:rsid w:val="43191EB5"/>
    <w:rsid w:val="431E5786"/>
    <w:rsid w:val="4321881D"/>
    <w:rsid w:val="4359AF8A"/>
    <w:rsid w:val="436167E9"/>
    <w:rsid w:val="43773408"/>
    <w:rsid w:val="439F2F90"/>
    <w:rsid w:val="43A1D410"/>
    <w:rsid w:val="43A9080E"/>
    <w:rsid w:val="43C13D2D"/>
    <w:rsid w:val="43C22D8F"/>
    <w:rsid w:val="43CBC649"/>
    <w:rsid w:val="43D0759F"/>
    <w:rsid w:val="43EAF1BC"/>
    <w:rsid w:val="440D0FC2"/>
    <w:rsid w:val="441E04E1"/>
    <w:rsid w:val="442873B2"/>
    <w:rsid w:val="442A9D07"/>
    <w:rsid w:val="4458A589"/>
    <w:rsid w:val="4459EED4"/>
    <w:rsid w:val="445DF2EB"/>
    <w:rsid w:val="446C019D"/>
    <w:rsid w:val="4478B5E9"/>
    <w:rsid w:val="447920C3"/>
    <w:rsid w:val="448179E5"/>
    <w:rsid w:val="4488E1F4"/>
    <w:rsid w:val="448A9998"/>
    <w:rsid w:val="44A38FB0"/>
    <w:rsid w:val="44BB90A2"/>
    <w:rsid w:val="44BE7486"/>
    <w:rsid w:val="44C27113"/>
    <w:rsid w:val="44D8E29B"/>
    <w:rsid w:val="44E260C2"/>
    <w:rsid w:val="44E62C71"/>
    <w:rsid w:val="44F2E527"/>
    <w:rsid w:val="44F55F70"/>
    <w:rsid w:val="44F994ED"/>
    <w:rsid w:val="450AE328"/>
    <w:rsid w:val="4513C722"/>
    <w:rsid w:val="45218677"/>
    <w:rsid w:val="452239B4"/>
    <w:rsid w:val="45300EA2"/>
    <w:rsid w:val="455246A2"/>
    <w:rsid w:val="4554FBC4"/>
    <w:rsid w:val="455B4097"/>
    <w:rsid w:val="45606979"/>
    <w:rsid w:val="4565E2C5"/>
    <w:rsid w:val="458BFAA6"/>
    <w:rsid w:val="45AA517C"/>
    <w:rsid w:val="45C28ED7"/>
    <w:rsid w:val="45C6669E"/>
    <w:rsid w:val="45CB3D94"/>
    <w:rsid w:val="45CD52D4"/>
    <w:rsid w:val="45D2B103"/>
    <w:rsid w:val="45E12A62"/>
    <w:rsid w:val="45E8911C"/>
    <w:rsid w:val="45E9512C"/>
    <w:rsid w:val="45ED75BB"/>
    <w:rsid w:val="460FE8CD"/>
    <w:rsid w:val="4612FA28"/>
    <w:rsid w:val="4619D6CD"/>
    <w:rsid w:val="4629D3B0"/>
    <w:rsid w:val="462B4504"/>
    <w:rsid w:val="463B746C"/>
    <w:rsid w:val="4641B453"/>
    <w:rsid w:val="46496381"/>
    <w:rsid w:val="464A099C"/>
    <w:rsid w:val="4657E25B"/>
    <w:rsid w:val="466CA25C"/>
    <w:rsid w:val="4673909C"/>
    <w:rsid w:val="46836153"/>
    <w:rsid w:val="468B1AC0"/>
    <w:rsid w:val="469499CA"/>
    <w:rsid w:val="46BA4923"/>
    <w:rsid w:val="46BEEFDE"/>
    <w:rsid w:val="46C448E4"/>
    <w:rsid w:val="46D4FECB"/>
    <w:rsid w:val="46DC25B8"/>
    <w:rsid w:val="46E7B6CD"/>
    <w:rsid w:val="46F9D6AB"/>
    <w:rsid w:val="46FCB6CB"/>
    <w:rsid w:val="47207DA8"/>
    <w:rsid w:val="4725BB11"/>
    <w:rsid w:val="4734F45D"/>
    <w:rsid w:val="47378D8A"/>
    <w:rsid w:val="47444B4F"/>
    <w:rsid w:val="474C99E3"/>
    <w:rsid w:val="476466F7"/>
    <w:rsid w:val="47654664"/>
    <w:rsid w:val="476DC7BE"/>
    <w:rsid w:val="477BA35A"/>
    <w:rsid w:val="47F33429"/>
    <w:rsid w:val="47F647FF"/>
    <w:rsid w:val="480318DA"/>
    <w:rsid w:val="480544A3"/>
    <w:rsid w:val="4811433C"/>
    <w:rsid w:val="48225C43"/>
    <w:rsid w:val="483684C3"/>
    <w:rsid w:val="485B962C"/>
    <w:rsid w:val="485DB49C"/>
    <w:rsid w:val="4889F01B"/>
    <w:rsid w:val="488CCDCB"/>
    <w:rsid w:val="48ACBA09"/>
    <w:rsid w:val="48BF9048"/>
    <w:rsid w:val="48CD67B6"/>
    <w:rsid w:val="48E3E760"/>
    <w:rsid w:val="48E810CF"/>
    <w:rsid w:val="48F60189"/>
    <w:rsid w:val="492091EC"/>
    <w:rsid w:val="49280E3F"/>
    <w:rsid w:val="492BCFD6"/>
    <w:rsid w:val="493F4D23"/>
    <w:rsid w:val="4965231C"/>
    <w:rsid w:val="496675C8"/>
    <w:rsid w:val="49697786"/>
    <w:rsid w:val="496A7E88"/>
    <w:rsid w:val="49706010"/>
    <w:rsid w:val="497BB30C"/>
    <w:rsid w:val="497F0288"/>
    <w:rsid w:val="4980D3C3"/>
    <w:rsid w:val="4986E05B"/>
    <w:rsid w:val="499B3C36"/>
    <w:rsid w:val="49B7BDDF"/>
    <w:rsid w:val="49E426D9"/>
    <w:rsid w:val="49E724F5"/>
    <w:rsid w:val="49FF1C0A"/>
    <w:rsid w:val="4A03B141"/>
    <w:rsid w:val="4A0EF25E"/>
    <w:rsid w:val="4A234F38"/>
    <w:rsid w:val="4A3B0265"/>
    <w:rsid w:val="4A56AF41"/>
    <w:rsid w:val="4A5E1C81"/>
    <w:rsid w:val="4A83EA90"/>
    <w:rsid w:val="4A852672"/>
    <w:rsid w:val="4A8B0E41"/>
    <w:rsid w:val="4A8E40BE"/>
    <w:rsid w:val="4ABB92D6"/>
    <w:rsid w:val="4AC0B3DE"/>
    <w:rsid w:val="4AC67634"/>
    <w:rsid w:val="4ACE21D9"/>
    <w:rsid w:val="4AEB7B56"/>
    <w:rsid w:val="4B174770"/>
    <w:rsid w:val="4B24FB89"/>
    <w:rsid w:val="4B41581E"/>
    <w:rsid w:val="4B479062"/>
    <w:rsid w:val="4B6E3A95"/>
    <w:rsid w:val="4B945DCA"/>
    <w:rsid w:val="4B9D0DB3"/>
    <w:rsid w:val="4BC63EBE"/>
    <w:rsid w:val="4BD0B7E2"/>
    <w:rsid w:val="4BE8FCEB"/>
    <w:rsid w:val="4BECEE2F"/>
    <w:rsid w:val="4BFBCA15"/>
    <w:rsid w:val="4BFE3D00"/>
    <w:rsid w:val="4C0F77D6"/>
    <w:rsid w:val="4C0FC5DA"/>
    <w:rsid w:val="4C2DB6F1"/>
    <w:rsid w:val="4C3043B6"/>
    <w:rsid w:val="4C37CC0F"/>
    <w:rsid w:val="4C3E89A0"/>
    <w:rsid w:val="4C47F11B"/>
    <w:rsid w:val="4C565C51"/>
    <w:rsid w:val="4C58355B"/>
    <w:rsid w:val="4C680A58"/>
    <w:rsid w:val="4C7D19FA"/>
    <w:rsid w:val="4C8AE4F5"/>
    <w:rsid w:val="4C8F2B1B"/>
    <w:rsid w:val="4C929FE9"/>
    <w:rsid w:val="4C979ABC"/>
    <w:rsid w:val="4C99D106"/>
    <w:rsid w:val="4CDE092E"/>
    <w:rsid w:val="4CE42029"/>
    <w:rsid w:val="4D0E99D0"/>
    <w:rsid w:val="4D102C16"/>
    <w:rsid w:val="4D27C930"/>
    <w:rsid w:val="4D3125BF"/>
    <w:rsid w:val="4D456365"/>
    <w:rsid w:val="4D4990B7"/>
    <w:rsid w:val="4D50A8DA"/>
    <w:rsid w:val="4D61D3DE"/>
    <w:rsid w:val="4D65903E"/>
    <w:rsid w:val="4D66EF6F"/>
    <w:rsid w:val="4D76F044"/>
    <w:rsid w:val="4D7E11FE"/>
    <w:rsid w:val="4DD2CDFA"/>
    <w:rsid w:val="4DEB3442"/>
    <w:rsid w:val="4DFDDAC7"/>
    <w:rsid w:val="4DFF04EE"/>
    <w:rsid w:val="4E1908F3"/>
    <w:rsid w:val="4E199006"/>
    <w:rsid w:val="4E2AF376"/>
    <w:rsid w:val="4E332F55"/>
    <w:rsid w:val="4E466876"/>
    <w:rsid w:val="4E49F32E"/>
    <w:rsid w:val="4E4CF39D"/>
    <w:rsid w:val="4E53FDAE"/>
    <w:rsid w:val="4E58C900"/>
    <w:rsid w:val="4E6269CA"/>
    <w:rsid w:val="4E62BBD8"/>
    <w:rsid w:val="4E8FBDCC"/>
    <w:rsid w:val="4E9BAA01"/>
    <w:rsid w:val="4EA2178A"/>
    <w:rsid w:val="4EA9D719"/>
    <w:rsid w:val="4EA9E7EB"/>
    <w:rsid w:val="4EAB1FC1"/>
    <w:rsid w:val="4EB4E03D"/>
    <w:rsid w:val="4EBAB80A"/>
    <w:rsid w:val="4EC32EBB"/>
    <w:rsid w:val="4EC8A84F"/>
    <w:rsid w:val="4EE7FA1B"/>
    <w:rsid w:val="4EF6B0C9"/>
    <w:rsid w:val="4EF96A8A"/>
    <w:rsid w:val="4F1C2DC4"/>
    <w:rsid w:val="4F3C91EF"/>
    <w:rsid w:val="4F490D2E"/>
    <w:rsid w:val="4F4F103B"/>
    <w:rsid w:val="4F52FC1E"/>
    <w:rsid w:val="4F544E0C"/>
    <w:rsid w:val="4F5FF163"/>
    <w:rsid w:val="4F693BE7"/>
    <w:rsid w:val="4F724AF3"/>
    <w:rsid w:val="4F90B9EC"/>
    <w:rsid w:val="4FA3D658"/>
    <w:rsid w:val="4FB4E55D"/>
    <w:rsid w:val="4FC72765"/>
    <w:rsid w:val="4FDAC3C4"/>
    <w:rsid w:val="4FDE21F6"/>
    <w:rsid w:val="4FE71F66"/>
    <w:rsid w:val="4FE94CBB"/>
    <w:rsid w:val="4FEF22AF"/>
    <w:rsid w:val="4FF50EA4"/>
    <w:rsid w:val="501B6A28"/>
    <w:rsid w:val="501F517E"/>
    <w:rsid w:val="502D494C"/>
    <w:rsid w:val="50396AF2"/>
    <w:rsid w:val="50478BD7"/>
    <w:rsid w:val="5067202A"/>
    <w:rsid w:val="5076B5CC"/>
    <w:rsid w:val="507CC97A"/>
    <w:rsid w:val="507ED750"/>
    <w:rsid w:val="507F511A"/>
    <w:rsid w:val="50800655"/>
    <w:rsid w:val="50835164"/>
    <w:rsid w:val="50926E56"/>
    <w:rsid w:val="5096FD41"/>
    <w:rsid w:val="50A035A6"/>
    <w:rsid w:val="50B8877B"/>
    <w:rsid w:val="50CA4186"/>
    <w:rsid w:val="50D7AB84"/>
    <w:rsid w:val="50DC856F"/>
    <w:rsid w:val="50E0EA4A"/>
    <w:rsid w:val="50F3680D"/>
    <w:rsid w:val="50F59292"/>
    <w:rsid w:val="5107D571"/>
    <w:rsid w:val="510B6DF7"/>
    <w:rsid w:val="511209E2"/>
    <w:rsid w:val="513160F5"/>
    <w:rsid w:val="51455336"/>
    <w:rsid w:val="51534DB7"/>
    <w:rsid w:val="517D84F1"/>
    <w:rsid w:val="5180BCA1"/>
    <w:rsid w:val="5182633B"/>
    <w:rsid w:val="519A1D88"/>
    <w:rsid w:val="51C08B14"/>
    <w:rsid w:val="51CA05CD"/>
    <w:rsid w:val="51F87D39"/>
    <w:rsid w:val="51FE61CA"/>
    <w:rsid w:val="52170C3C"/>
    <w:rsid w:val="523C185E"/>
    <w:rsid w:val="525B60B4"/>
    <w:rsid w:val="52657828"/>
    <w:rsid w:val="527EAA37"/>
    <w:rsid w:val="5284940E"/>
    <w:rsid w:val="528DF4FB"/>
    <w:rsid w:val="5293011E"/>
    <w:rsid w:val="52A3362B"/>
    <w:rsid w:val="52C2F7A9"/>
    <w:rsid w:val="52CB7742"/>
    <w:rsid w:val="52DD58B5"/>
    <w:rsid w:val="52DF9506"/>
    <w:rsid w:val="5315437F"/>
    <w:rsid w:val="531EA565"/>
    <w:rsid w:val="532B30D3"/>
    <w:rsid w:val="5337AFC5"/>
    <w:rsid w:val="53613B6F"/>
    <w:rsid w:val="536AE2A9"/>
    <w:rsid w:val="538FC30C"/>
    <w:rsid w:val="53910F6B"/>
    <w:rsid w:val="53AD6206"/>
    <w:rsid w:val="53B38FDE"/>
    <w:rsid w:val="53DBF799"/>
    <w:rsid w:val="53EDE27D"/>
    <w:rsid w:val="53EE5FC7"/>
    <w:rsid w:val="53F698D4"/>
    <w:rsid w:val="53F6EC2E"/>
    <w:rsid w:val="541D7B00"/>
    <w:rsid w:val="54208F9C"/>
    <w:rsid w:val="542AECFF"/>
    <w:rsid w:val="542CA972"/>
    <w:rsid w:val="542CBD99"/>
    <w:rsid w:val="543528FA"/>
    <w:rsid w:val="543E2B41"/>
    <w:rsid w:val="544247B6"/>
    <w:rsid w:val="5448EEB3"/>
    <w:rsid w:val="5454BE9C"/>
    <w:rsid w:val="54670AD8"/>
    <w:rsid w:val="54759146"/>
    <w:rsid w:val="54786256"/>
    <w:rsid w:val="547F3683"/>
    <w:rsid w:val="5494A10B"/>
    <w:rsid w:val="549FD373"/>
    <w:rsid w:val="54A6363A"/>
    <w:rsid w:val="54C18CAA"/>
    <w:rsid w:val="54DD0E2B"/>
    <w:rsid w:val="54F2AB6E"/>
    <w:rsid w:val="550DBBE3"/>
    <w:rsid w:val="55196FD0"/>
    <w:rsid w:val="551A5ECF"/>
    <w:rsid w:val="55379703"/>
    <w:rsid w:val="554495AC"/>
    <w:rsid w:val="55560DFD"/>
    <w:rsid w:val="555AB431"/>
    <w:rsid w:val="5569F841"/>
    <w:rsid w:val="5573684E"/>
    <w:rsid w:val="557DC663"/>
    <w:rsid w:val="558FEB49"/>
    <w:rsid w:val="559A890E"/>
    <w:rsid w:val="55B8E668"/>
    <w:rsid w:val="55C0E66E"/>
    <w:rsid w:val="55CF047A"/>
    <w:rsid w:val="55EAEBAC"/>
    <w:rsid w:val="55FBC92C"/>
    <w:rsid w:val="5610EDBC"/>
    <w:rsid w:val="561EC37E"/>
    <w:rsid w:val="561FA90C"/>
    <w:rsid w:val="56272294"/>
    <w:rsid w:val="563A92A6"/>
    <w:rsid w:val="565ED5EC"/>
    <w:rsid w:val="567572D8"/>
    <w:rsid w:val="5687D598"/>
    <w:rsid w:val="568E94E9"/>
    <w:rsid w:val="56951ACA"/>
    <w:rsid w:val="56A2AF03"/>
    <w:rsid w:val="56A60CD3"/>
    <w:rsid w:val="56AF2C6E"/>
    <w:rsid w:val="56B0DB48"/>
    <w:rsid w:val="56CDCB67"/>
    <w:rsid w:val="56DA178D"/>
    <w:rsid w:val="56DF0C72"/>
    <w:rsid w:val="56E3957E"/>
    <w:rsid w:val="56E9D393"/>
    <w:rsid w:val="5705A0DE"/>
    <w:rsid w:val="57335FA7"/>
    <w:rsid w:val="573CEC92"/>
    <w:rsid w:val="57637FE2"/>
    <w:rsid w:val="5767F76D"/>
    <w:rsid w:val="5779E7EE"/>
    <w:rsid w:val="5787E1EB"/>
    <w:rsid w:val="5795C882"/>
    <w:rsid w:val="57983741"/>
    <w:rsid w:val="57CBCAF8"/>
    <w:rsid w:val="57CC6D08"/>
    <w:rsid w:val="57F5DAEA"/>
    <w:rsid w:val="58119164"/>
    <w:rsid w:val="5818F3A0"/>
    <w:rsid w:val="583834B3"/>
    <w:rsid w:val="5838E507"/>
    <w:rsid w:val="584F8E3A"/>
    <w:rsid w:val="58677F04"/>
    <w:rsid w:val="5887426F"/>
    <w:rsid w:val="589B9A1B"/>
    <w:rsid w:val="58AC76AC"/>
    <w:rsid w:val="58B29999"/>
    <w:rsid w:val="58B373C8"/>
    <w:rsid w:val="58C4C9F6"/>
    <w:rsid w:val="58D99803"/>
    <w:rsid w:val="58E19B58"/>
    <w:rsid w:val="58E5AD6C"/>
    <w:rsid w:val="58F591EE"/>
    <w:rsid w:val="5901B1AD"/>
    <w:rsid w:val="590C7AF6"/>
    <w:rsid w:val="5912817B"/>
    <w:rsid w:val="59343C6E"/>
    <w:rsid w:val="5936BBD7"/>
    <w:rsid w:val="5948726B"/>
    <w:rsid w:val="59524543"/>
    <w:rsid w:val="5957D1E8"/>
    <w:rsid w:val="595DD592"/>
    <w:rsid w:val="59682139"/>
    <w:rsid w:val="5968A843"/>
    <w:rsid w:val="598127DA"/>
    <w:rsid w:val="59821A14"/>
    <w:rsid w:val="598451FC"/>
    <w:rsid w:val="598766F1"/>
    <w:rsid w:val="598E1EBD"/>
    <w:rsid w:val="599CFCDC"/>
    <w:rsid w:val="59BD4802"/>
    <w:rsid w:val="59CD12F1"/>
    <w:rsid w:val="59D067EF"/>
    <w:rsid w:val="59F23F3A"/>
    <w:rsid w:val="59FCF319"/>
    <w:rsid w:val="59FE6DF0"/>
    <w:rsid w:val="5A0EE3EE"/>
    <w:rsid w:val="5A2F3DEC"/>
    <w:rsid w:val="5A4D1E2F"/>
    <w:rsid w:val="5A4D419F"/>
    <w:rsid w:val="5A661C84"/>
    <w:rsid w:val="5A908E09"/>
    <w:rsid w:val="5A95DBC2"/>
    <w:rsid w:val="5A9D6708"/>
    <w:rsid w:val="5AA228BB"/>
    <w:rsid w:val="5AA5486A"/>
    <w:rsid w:val="5AC4F65A"/>
    <w:rsid w:val="5AC80443"/>
    <w:rsid w:val="5AD30C18"/>
    <w:rsid w:val="5AD9FF64"/>
    <w:rsid w:val="5AF11B03"/>
    <w:rsid w:val="5B13BB5A"/>
    <w:rsid w:val="5B1636E2"/>
    <w:rsid w:val="5B174416"/>
    <w:rsid w:val="5B27121D"/>
    <w:rsid w:val="5B375159"/>
    <w:rsid w:val="5B4733B9"/>
    <w:rsid w:val="5B49355C"/>
    <w:rsid w:val="5B557B44"/>
    <w:rsid w:val="5B6253AB"/>
    <w:rsid w:val="5B70B5B9"/>
    <w:rsid w:val="5B746045"/>
    <w:rsid w:val="5B883A2C"/>
    <w:rsid w:val="5BA84AFC"/>
    <w:rsid w:val="5BA91EC2"/>
    <w:rsid w:val="5BBC0B74"/>
    <w:rsid w:val="5BC7A22A"/>
    <w:rsid w:val="5BCD0B83"/>
    <w:rsid w:val="5BE67E33"/>
    <w:rsid w:val="5BEF577F"/>
    <w:rsid w:val="5BF2E38B"/>
    <w:rsid w:val="5C17845D"/>
    <w:rsid w:val="5C2A2215"/>
    <w:rsid w:val="5C5337D4"/>
    <w:rsid w:val="5C5529ED"/>
    <w:rsid w:val="5C5E2E8F"/>
    <w:rsid w:val="5C6CFEDB"/>
    <w:rsid w:val="5C79960C"/>
    <w:rsid w:val="5C7B8EF9"/>
    <w:rsid w:val="5C8644A5"/>
    <w:rsid w:val="5C8B841F"/>
    <w:rsid w:val="5CA3B186"/>
    <w:rsid w:val="5CB7A2E7"/>
    <w:rsid w:val="5CCE1E39"/>
    <w:rsid w:val="5CD50C5B"/>
    <w:rsid w:val="5CDCA279"/>
    <w:rsid w:val="5CFF56A8"/>
    <w:rsid w:val="5D055C25"/>
    <w:rsid w:val="5D0AE66C"/>
    <w:rsid w:val="5D0B9F5A"/>
    <w:rsid w:val="5D0BC3DC"/>
    <w:rsid w:val="5D1E8135"/>
    <w:rsid w:val="5D22C805"/>
    <w:rsid w:val="5D2DCD13"/>
    <w:rsid w:val="5D382AE4"/>
    <w:rsid w:val="5D3A242C"/>
    <w:rsid w:val="5D57C4AC"/>
    <w:rsid w:val="5D5815BF"/>
    <w:rsid w:val="5D6443BA"/>
    <w:rsid w:val="5D8021E9"/>
    <w:rsid w:val="5D83AD3A"/>
    <w:rsid w:val="5D9FF225"/>
    <w:rsid w:val="5DA9DD0F"/>
    <w:rsid w:val="5DBD262C"/>
    <w:rsid w:val="5DD460ED"/>
    <w:rsid w:val="5DE2F360"/>
    <w:rsid w:val="5DFBD3F5"/>
    <w:rsid w:val="5DFD2326"/>
    <w:rsid w:val="5E019FB5"/>
    <w:rsid w:val="5E0945BA"/>
    <w:rsid w:val="5E137D54"/>
    <w:rsid w:val="5E1AAD91"/>
    <w:rsid w:val="5E2A58AB"/>
    <w:rsid w:val="5E38181F"/>
    <w:rsid w:val="5E4C2072"/>
    <w:rsid w:val="5E5FC168"/>
    <w:rsid w:val="5E76CDBA"/>
    <w:rsid w:val="5EA2DD36"/>
    <w:rsid w:val="5EBDD9F0"/>
    <w:rsid w:val="5EC41FD3"/>
    <w:rsid w:val="5ECD6F88"/>
    <w:rsid w:val="5EEA9409"/>
    <w:rsid w:val="5EEBDA8E"/>
    <w:rsid w:val="5EF92839"/>
    <w:rsid w:val="5F0D87A4"/>
    <w:rsid w:val="5F201541"/>
    <w:rsid w:val="5F36DBAA"/>
    <w:rsid w:val="5F4E0C9B"/>
    <w:rsid w:val="5F4F99C1"/>
    <w:rsid w:val="5F5D46DF"/>
    <w:rsid w:val="5F691375"/>
    <w:rsid w:val="5F76264C"/>
    <w:rsid w:val="5F81C345"/>
    <w:rsid w:val="5F876788"/>
    <w:rsid w:val="5F98CDE8"/>
    <w:rsid w:val="5FC1EBEA"/>
    <w:rsid w:val="5FC1FE79"/>
    <w:rsid w:val="5FDB29A5"/>
    <w:rsid w:val="5FEBB0D5"/>
    <w:rsid w:val="5FEF433A"/>
    <w:rsid w:val="5FF02115"/>
    <w:rsid w:val="60039340"/>
    <w:rsid w:val="600AC860"/>
    <w:rsid w:val="600F6A88"/>
    <w:rsid w:val="602035FE"/>
    <w:rsid w:val="60487C9E"/>
    <w:rsid w:val="6052DE39"/>
    <w:rsid w:val="6059E40B"/>
    <w:rsid w:val="60621A62"/>
    <w:rsid w:val="6077009D"/>
    <w:rsid w:val="607BB141"/>
    <w:rsid w:val="60805905"/>
    <w:rsid w:val="60855933"/>
    <w:rsid w:val="60AB36B2"/>
    <w:rsid w:val="60B1FFCB"/>
    <w:rsid w:val="60B8C7E1"/>
    <w:rsid w:val="60B94F0F"/>
    <w:rsid w:val="60BDBB30"/>
    <w:rsid w:val="60D62ABE"/>
    <w:rsid w:val="60DAD12E"/>
    <w:rsid w:val="60DFBF9A"/>
    <w:rsid w:val="61084312"/>
    <w:rsid w:val="6134A498"/>
    <w:rsid w:val="6141B6D1"/>
    <w:rsid w:val="61439FDC"/>
    <w:rsid w:val="614798BC"/>
    <w:rsid w:val="616FA0B7"/>
    <w:rsid w:val="6174A22C"/>
    <w:rsid w:val="61784B81"/>
    <w:rsid w:val="617AC842"/>
    <w:rsid w:val="617D94B8"/>
    <w:rsid w:val="61883363"/>
    <w:rsid w:val="6188D1D1"/>
    <w:rsid w:val="618BED6C"/>
    <w:rsid w:val="6194CCC7"/>
    <w:rsid w:val="6198E50F"/>
    <w:rsid w:val="619AB49E"/>
    <w:rsid w:val="61A093ED"/>
    <w:rsid w:val="61A94245"/>
    <w:rsid w:val="61AC8B44"/>
    <w:rsid w:val="61B8176F"/>
    <w:rsid w:val="61BA65AE"/>
    <w:rsid w:val="61C97803"/>
    <w:rsid w:val="61CADB01"/>
    <w:rsid w:val="61D8E6FC"/>
    <w:rsid w:val="61DA6E42"/>
    <w:rsid w:val="61DDFF7F"/>
    <w:rsid w:val="61E27D1B"/>
    <w:rsid w:val="61E65231"/>
    <w:rsid w:val="61FAB473"/>
    <w:rsid w:val="6203BE3F"/>
    <w:rsid w:val="62042BF3"/>
    <w:rsid w:val="62099AF3"/>
    <w:rsid w:val="620A454B"/>
    <w:rsid w:val="620D4A0E"/>
    <w:rsid w:val="621120C8"/>
    <w:rsid w:val="6227E534"/>
    <w:rsid w:val="622CC5FD"/>
    <w:rsid w:val="62334529"/>
    <w:rsid w:val="623496BE"/>
    <w:rsid w:val="6243E927"/>
    <w:rsid w:val="624A3A26"/>
    <w:rsid w:val="6252EBC2"/>
    <w:rsid w:val="62602ECD"/>
    <w:rsid w:val="6260E7FE"/>
    <w:rsid w:val="6296303A"/>
    <w:rsid w:val="62A886D6"/>
    <w:rsid w:val="62BDF5A6"/>
    <w:rsid w:val="62C4C153"/>
    <w:rsid w:val="62D53857"/>
    <w:rsid w:val="62E20C8C"/>
    <w:rsid w:val="62E28BC8"/>
    <w:rsid w:val="62F2A9AF"/>
    <w:rsid w:val="62FA4F4E"/>
    <w:rsid w:val="6313DE4C"/>
    <w:rsid w:val="63166071"/>
    <w:rsid w:val="6330ACCF"/>
    <w:rsid w:val="6358B579"/>
    <w:rsid w:val="6360E778"/>
    <w:rsid w:val="6366BEDC"/>
    <w:rsid w:val="6371111B"/>
    <w:rsid w:val="6375AA22"/>
    <w:rsid w:val="6376DA2A"/>
    <w:rsid w:val="637F9B63"/>
    <w:rsid w:val="638C1005"/>
    <w:rsid w:val="6390D7D7"/>
    <w:rsid w:val="639B1BF6"/>
    <w:rsid w:val="63A2250B"/>
    <w:rsid w:val="63A26046"/>
    <w:rsid w:val="63B62C58"/>
    <w:rsid w:val="63B892E3"/>
    <w:rsid w:val="63CD3598"/>
    <w:rsid w:val="63EA8C9D"/>
    <w:rsid w:val="6406741F"/>
    <w:rsid w:val="64102444"/>
    <w:rsid w:val="64286423"/>
    <w:rsid w:val="64375C08"/>
    <w:rsid w:val="643F8898"/>
    <w:rsid w:val="6445FA00"/>
    <w:rsid w:val="6454F91D"/>
    <w:rsid w:val="645A2FD5"/>
    <w:rsid w:val="6461BA7C"/>
    <w:rsid w:val="64663B56"/>
    <w:rsid w:val="646A6EB6"/>
    <w:rsid w:val="647B2778"/>
    <w:rsid w:val="647BC77F"/>
    <w:rsid w:val="647D8455"/>
    <w:rsid w:val="64816F29"/>
    <w:rsid w:val="64A79A5A"/>
    <w:rsid w:val="64C3319C"/>
    <w:rsid w:val="64DF3677"/>
    <w:rsid w:val="64E34D02"/>
    <w:rsid w:val="64F41D9A"/>
    <w:rsid w:val="64FAC20B"/>
    <w:rsid w:val="65108CA8"/>
    <w:rsid w:val="65167E39"/>
    <w:rsid w:val="65245F20"/>
    <w:rsid w:val="6524BF9C"/>
    <w:rsid w:val="652819D7"/>
    <w:rsid w:val="652A9E7D"/>
    <w:rsid w:val="6559B7A0"/>
    <w:rsid w:val="655C6BEA"/>
    <w:rsid w:val="6594F75E"/>
    <w:rsid w:val="659F609C"/>
    <w:rsid w:val="65C18443"/>
    <w:rsid w:val="65C31296"/>
    <w:rsid w:val="65F029FB"/>
    <w:rsid w:val="6607B9B4"/>
    <w:rsid w:val="662CF1BC"/>
    <w:rsid w:val="6648B51D"/>
    <w:rsid w:val="66494333"/>
    <w:rsid w:val="665BCC00"/>
    <w:rsid w:val="6686C1E8"/>
    <w:rsid w:val="668A27A8"/>
    <w:rsid w:val="6692B971"/>
    <w:rsid w:val="669A497F"/>
    <w:rsid w:val="66A3342D"/>
    <w:rsid w:val="66BA4FCD"/>
    <w:rsid w:val="66D70326"/>
    <w:rsid w:val="66E4BFD3"/>
    <w:rsid w:val="66EACF7F"/>
    <w:rsid w:val="66EDD801"/>
    <w:rsid w:val="66F71E97"/>
    <w:rsid w:val="66F9F07A"/>
    <w:rsid w:val="671BD584"/>
    <w:rsid w:val="671F6036"/>
    <w:rsid w:val="6721202E"/>
    <w:rsid w:val="6732F71F"/>
    <w:rsid w:val="673E61DB"/>
    <w:rsid w:val="674C2F97"/>
    <w:rsid w:val="677DF0F4"/>
    <w:rsid w:val="6788BD37"/>
    <w:rsid w:val="67A69082"/>
    <w:rsid w:val="67AADA58"/>
    <w:rsid w:val="67AE6DE2"/>
    <w:rsid w:val="67B43887"/>
    <w:rsid w:val="67B49573"/>
    <w:rsid w:val="67B55D01"/>
    <w:rsid w:val="67C557E9"/>
    <w:rsid w:val="67CF0766"/>
    <w:rsid w:val="67D262C0"/>
    <w:rsid w:val="67DE28EE"/>
    <w:rsid w:val="67F30F94"/>
    <w:rsid w:val="67F974D0"/>
    <w:rsid w:val="67FA78F9"/>
    <w:rsid w:val="68007305"/>
    <w:rsid w:val="680E6315"/>
    <w:rsid w:val="6811EDAA"/>
    <w:rsid w:val="6817E6F5"/>
    <w:rsid w:val="6821F557"/>
    <w:rsid w:val="6824CF59"/>
    <w:rsid w:val="68317264"/>
    <w:rsid w:val="68473541"/>
    <w:rsid w:val="684AA7B2"/>
    <w:rsid w:val="68601F13"/>
    <w:rsid w:val="6860531B"/>
    <w:rsid w:val="68718F0D"/>
    <w:rsid w:val="687916F0"/>
    <w:rsid w:val="6880AEDF"/>
    <w:rsid w:val="6894CDB7"/>
    <w:rsid w:val="68B873BB"/>
    <w:rsid w:val="68BCDC37"/>
    <w:rsid w:val="68CA3ED5"/>
    <w:rsid w:val="68D3DCF8"/>
    <w:rsid w:val="68DA5928"/>
    <w:rsid w:val="68F1A4AE"/>
    <w:rsid w:val="68FB5BCB"/>
    <w:rsid w:val="68FB9D5C"/>
    <w:rsid w:val="690B98EE"/>
    <w:rsid w:val="690DEC5E"/>
    <w:rsid w:val="692EE1D7"/>
    <w:rsid w:val="6932C792"/>
    <w:rsid w:val="694B25D0"/>
    <w:rsid w:val="694F6554"/>
    <w:rsid w:val="6950A0AA"/>
    <w:rsid w:val="695F1A6D"/>
    <w:rsid w:val="69652970"/>
    <w:rsid w:val="69677640"/>
    <w:rsid w:val="696C844C"/>
    <w:rsid w:val="6972CAA6"/>
    <w:rsid w:val="69979D44"/>
    <w:rsid w:val="699FBE25"/>
    <w:rsid w:val="69A32E47"/>
    <w:rsid w:val="69B82E3E"/>
    <w:rsid w:val="69BC27F6"/>
    <w:rsid w:val="69C6BA3E"/>
    <w:rsid w:val="69C7447D"/>
    <w:rsid w:val="69CBD178"/>
    <w:rsid w:val="69D3EF62"/>
    <w:rsid w:val="69DC214A"/>
    <w:rsid w:val="69E3A990"/>
    <w:rsid w:val="69EBAD20"/>
    <w:rsid w:val="69EF2297"/>
    <w:rsid w:val="69F2517E"/>
    <w:rsid w:val="6A01BEF0"/>
    <w:rsid w:val="6A078B04"/>
    <w:rsid w:val="6A1449CC"/>
    <w:rsid w:val="6A1EF992"/>
    <w:rsid w:val="6A35A090"/>
    <w:rsid w:val="6A3CE5EF"/>
    <w:rsid w:val="6A4DB845"/>
    <w:rsid w:val="6A5C848C"/>
    <w:rsid w:val="6A5CACAA"/>
    <w:rsid w:val="6A7B48E8"/>
    <w:rsid w:val="6A93D3E4"/>
    <w:rsid w:val="6AA08AC4"/>
    <w:rsid w:val="6ACF434B"/>
    <w:rsid w:val="6AD188DC"/>
    <w:rsid w:val="6ADA9CBF"/>
    <w:rsid w:val="6B027B67"/>
    <w:rsid w:val="6B093C68"/>
    <w:rsid w:val="6B14F1E1"/>
    <w:rsid w:val="6B27037C"/>
    <w:rsid w:val="6B343C85"/>
    <w:rsid w:val="6B390372"/>
    <w:rsid w:val="6B51AAF4"/>
    <w:rsid w:val="6B640BF9"/>
    <w:rsid w:val="6B75C350"/>
    <w:rsid w:val="6B764D0C"/>
    <w:rsid w:val="6B7E6118"/>
    <w:rsid w:val="6B7F55B7"/>
    <w:rsid w:val="6B87B468"/>
    <w:rsid w:val="6BBF04FB"/>
    <w:rsid w:val="6BC54327"/>
    <w:rsid w:val="6BC69C9D"/>
    <w:rsid w:val="6BD98EE4"/>
    <w:rsid w:val="6BEC2DF0"/>
    <w:rsid w:val="6C1CA61C"/>
    <w:rsid w:val="6C230B11"/>
    <w:rsid w:val="6C2FC848"/>
    <w:rsid w:val="6C30F647"/>
    <w:rsid w:val="6C5EECB7"/>
    <w:rsid w:val="6C7F7089"/>
    <w:rsid w:val="6C884255"/>
    <w:rsid w:val="6CA0859F"/>
    <w:rsid w:val="6CAC8BB6"/>
    <w:rsid w:val="6CBB5690"/>
    <w:rsid w:val="6CBC6194"/>
    <w:rsid w:val="6CC2C206"/>
    <w:rsid w:val="6CCD31B7"/>
    <w:rsid w:val="6CD0E8DE"/>
    <w:rsid w:val="6CEF5715"/>
    <w:rsid w:val="6D07B169"/>
    <w:rsid w:val="6D2ECB3A"/>
    <w:rsid w:val="6D3030F3"/>
    <w:rsid w:val="6D3DBF3A"/>
    <w:rsid w:val="6D42A2FE"/>
    <w:rsid w:val="6D4B56C5"/>
    <w:rsid w:val="6D4E06FA"/>
    <w:rsid w:val="6D4F5256"/>
    <w:rsid w:val="6D62510A"/>
    <w:rsid w:val="6D6A5DA4"/>
    <w:rsid w:val="6D7136EF"/>
    <w:rsid w:val="6D73F5AB"/>
    <w:rsid w:val="6D82419A"/>
    <w:rsid w:val="6D8726EF"/>
    <w:rsid w:val="6D918506"/>
    <w:rsid w:val="6D9536D1"/>
    <w:rsid w:val="6D9551CD"/>
    <w:rsid w:val="6DAE68B8"/>
    <w:rsid w:val="6DC3C272"/>
    <w:rsid w:val="6DCD610B"/>
    <w:rsid w:val="6DD29849"/>
    <w:rsid w:val="6DDB958F"/>
    <w:rsid w:val="6DE3E0F1"/>
    <w:rsid w:val="6DE759EF"/>
    <w:rsid w:val="6DEB9DFA"/>
    <w:rsid w:val="6DFC07CC"/>
    <w:rsid w:val="6E0980C4"/>
    <w:rsid w:val="6E0CC2BD"/>
    <w:rsid w:val="6E1F82F9"/>
    <w:rsid w:val="6E283068"/>
    <w:rsid w:val="6E302684"/>
    <w:rsid w:val="6E33601B"/>
    <w:rsid w:val="6E53BE6C"/>
    <w:rsid w:val="6E5C572D"/>
    <w:rsid w:val="6E60C32C"/>
    <w:rsid w:val="6E6A2BDC"/>
    <w:rsid w:val="6E6DEBDE"/>
    <w:rsid w:val="6E787ABF"/>
    <w:rsid w:val="6E90C614"/>
    <w:rsid w:val="6E956E52"/>
    <w:rsid w:val="6E963645"/>
    <w:rsid w:val="6ED515AF"/>
    <w:rsid w:val="6EDC2080"/>
    <w:rsid w:val="6EE34C0C"/>
    <w:rsid w:val="6EE85496"/>
    <w:rsid w:val="6EEB2878"/>
    <w:rsid w:val="6F15F734"/>
    <w:rsid w:val="6F20650F"/>
    <w:rsid w:val="6F264275"/>
    <w:rsid w:val="6F3F44D1"/>
    <w:rsid w:val="6F439AF7"/>
    <w:rsid w:val="6F4AC87C"/>
    <w:rsid w:val="6F703270"/>
    <w:rsid w:val="6F7D1595"/>
    <w:rsid w:val="6FA98ACE"/>
    <w:rsid w:val="6FD005BE"/>
    <w:rsid w:val="6FE458FA"/>
    <w:rsid w:val="6FEBEB0E"/>
    <w:rsid w:val="7026F2A9"/>
    <w:rsid w:val="70286650"/>
    <w:rsid w:val="704A6740"/>
    <w:rsid w:val="704BE0B3"/>
    <w:rsid w:val="7056CE11"/>
    <w:rsid w:val="7056FFA6"/>
    <w:rsid w:val="708B5B22"/>
    <w:rsid w:val="708EF3B4"/>
    <w:rsid w:val="70966784"/>
    <w:rsid w:val="709C0D65"/>
    <w:rsid w:val="70A955D3"/>
    <w:rsid w:val="70B723F2"/>
    <w:rsid w:val="70C52044"/>
    <w:rsid w:val="70D7FF05"/>
    <w:rsid w:val="70E17DAA"/>
    <w:rsid w:val="70E5609E"/>
    <w:rsid w:val="70FB7BE5"/>
    <w:rsid w:val="70FF2CC3"/>
    <w:rsid w:val="7104CF39"/>
    <w:rsid w:val="710B8B6A"/>
    <w:rsid w:val="715CAF4F"/>
    <w:rsid w:val="71602DB9"/>
    <w:rsid w:val="716715D7"/>
    <w:rsid w:val="71685282"/>
    <w:rsid w:val="716DC4AC"/>
    <w:rsid w:val="71AA4988"/>
    <w:rsid w:val="71AD3283"/>
    <w:rsid w:val="71D4DAAB"/>
    <w:rsid w:val="71E3A8F7"/>
    <w:rsid w:val="71EA9923"/>
    <w:rsid w:val="71F946B7"/>
    <w:rsid w:val="71FF0142"/>
    <w:rsid w:val="7207C115"/>
    <w:rsid w:val="720A3CF4"/>
    <w:rsid w:val="72105604"/>
    <w:rsid w:val="7228ABDD"/>
    <w:rsid w:val="7234DF09"/>
    <w:rsid w:val="72495E48"/>
    <w:rsid w:val="726E4154"/>
    <w:rsid w:val="727CA46D"/>
    <w:rsid w:val="72869E03"/>
    <w:rsid w:val="728B8B86"/>
    <w:rsid w:val="72931107"/>
    <w:rsid w:val="72965C8F"/>
    <w:rsid w:val="72A101D9"/>
    <w:rsid w:val="72A2EE0E"/>
    <w:rsid w:val="72C4DE6B"/>
    <w:rsid w:val="72C909BC"/>
    <w:rsid w:val="72D52CC4"/>
    <w:rsid w:val="72FB0012"/>
    <w:rsid w:val="7303C183"/>
    <w:rsid w:val="730FD45E"/>
    <w:rsid w:val="73165670"/>
    <w:rsid w:val="733D231F"/>
    <w:rsid w:val="7345DA47"/>
    <w:rsid w:val="7346CA2C"/>
    <w:rsid w:val="734C4CAE"/>
    <w:rsid w:val="734EA511"/>
    <w:rsid w:val="7367CFC4"/>
    <w:rsid w:val="736D5F00"/>
    <w:rsid w:val="73769328"/>
    <w:rsid w:val="7379CC3F"/>
    <w:rsid w:val="7383A250"/>
    <w:rsid w:val="738995A2"/>
    <w:rsid w:val="739247BA"/>
    <w:rsid w:val="73A30C23"/>
    <w:rsid w:val="73AE141D"/>
    <w:rsid w:val="73DC616A"/>
    <w:rsid w:val="73DEB48A"/>
    <w:rsid w:val="73E1AFBD"/>
    <w:rsid w:val="73EC6F47"/>
    <w:rsid w:val="73F54F0F"/>
    <w:rsid w:val="73F98D59"/>
    <w:rsid w:val="74015F9A"/>
    <w:rsid w:val="7408CFEF"/>
    <w:rsid w:val="7428311C"/>
    <w:rsid w:val="743A31F2"/>
    <w:rsid w:val="743DE006"/>
    <w:rsid w:val="7450772E"/>
    <w:rsid w:val="7455EB28"/>
    <w:rsid w:val="746C5C5D"/>
    <w:rsid w:val="7476C051"/>
    <w:rsid w:val="7476DFC1"/>
    <w:rsid w:val="747B2FF3"/>
    <w:rsid w:val="7480E4DA"/>
    <w:rsid w:val="7489F97B"/>
    <w:rsid w:val="74A23F24"/>
    <w:rsid w:val="74B8EE13"/>
    <w:rsid w:val="74BDBB1F"/>
    <w:rsid w:val="74FC0972"/>
    <w:rsid w:val="752ABCC3"/>
    <w:rsid w:val="753897D8"/>
    <w:rsid w:val="75482B92"/>
    <w:rsid w:val="75696D72"/>
    <w:rsid w:val="756CD3BB"/>
    <w:rsid w:val="75819E03"/>
    <w:rsid w:val="75945DB7"/>
    <w:rsid w:val="7596D896"/>
    <w:rsid w:val="75A5C32A"/>
    <w:rsid w:val="75C79FD0"/>
    <w:rsid w:val="75C80E53"/>
    <w:rsid w:val="75CCCA6A"/>
    <w:rsid w:val="75E877C4"/>
    <w:rsid w:val="76065654"/>
    <w:rsid w:val="7614AB3B"/>
    <w:rsid w:val="7616D289"/>
    <w:rsid w:val="761C11D4"/>
    <w:rsid w:val="76267149"/>
    <w:rsid w:val="762F3885"/>
    <w:rsid w:val="76302D1E"/>
    <w:rsid w:val="7631B84E"/>
    <w:rsid w:val="76341BCD"/>
    <w:rsid w:val="76350AD3"/>
    <w:rsid w:val="7635A930"/>
    <w:rsid w:val="76672343"/>
    <w:rsid w:val="766D3531"/>
    <w:rsid w:val="767E036E"/>
    <w:rsid w:val="769395AB"/>
    <w:rsid w:val="76990188"/>
    <w:rsid w:val="76A7D3C1"/>
    <w:rsid w:val="76A95876"/>
    <w:rsid w:val="76D56807"/>
    <w:rsid w:val="76DE7850"/>
    <w:rsid w:val="76E08AE4"/>
    <w:rsid w:val="76ED9373"/>
    <w:rsid w:val="76EF7781"/>
    <w:rsid w:val="770A11C5"/>
    <w:rsid w:val="771301B7"/>
    <w:rsid w:val="771B658C"/>
    <w:rsid w:val="771B8E9C"/>
    <w:rsid w:val="771DB124"/>
    <w:rsid w:val="7727C173"/>
    <w:rsid w:val="7732DD4B"/>
    <w:rsid w:val="773489FE"/>
    <w:rsid w:val="773BC2BC"/>
    <w:rsid w:val="7752D80F"/>
    <w:rsid w:val="7755A97F"/>
    <w:rsid w:val="77898430"/>
    <w:rsid w:val="77A0C036"/>
    <w:rsid w:val="77AFC456"/>
    <w:rsid w:val="77BFD27D"/>
    <w:rsid w:val="77D12F35"/>
    <w:rsid w:val="77DF2C12"/>
    <w:rsid w:val="77DF4BA3"/>
    <w:rsid w:val="77E8503F"/>
    <w:rsid w:val="77F39A31"/>
    <w:rsid w:val="77F4AB07"/>
    <w:rsid w:val="78042593"/>
    <w:rsid w:val="7804FA37"/>
    <w:rsid w:val="780824B0"/>
    <w:rsid w:val="7819B664"/>
    <w:rsid w:val="78217DA6"/>
    <w:rsid w:val="782501D9"/>
    <w:rsid w:val="78267139"/>
    <w:rsid w:val="783B1270"/>
    <w:rsid w:val="783D66F1"/>
    <w:rsid w:val="7848D776"/>
    <w:rsid w:val="7848DA7B"/>
    <w:rsid w:val="784F9F47"/>
    <w:rsid w:val="7855C261"/>
    <w:rsid w:val="78722483"/>
    <w:rsid w:val="787E01BF"/>
    <w:rsid w:val="788C1B3E"/>
    <w:rsid w:val="789029B0"/>
    <w:rsid w:val="789BB5D7"/>
    <w:rsid w:val="789E013F"/>
    <w:rsid w:val="789FD6B4"/>
    <w:rsid w:val="78A54126"/>
    <w:rsid w:val="78C234B2"/>
    <w:rsid w:val="78C4081C"/>
    <w:rsid w:val="78D50BF1"/>
    <w:rsid w:val="78F00DA8"/>
    <w:rsid w:val="78F4C685"/>
    <w:rsid w:val="78FE26AD"/>
    <w:rsid w:val="790AA86F"/>
    <w:rsid w:val="792ED659"/>
    <w:rsid w:val="7938DA62"/>
    <w:rsid w:val="793B699F"/>
    <w:rsid w:val="7942EA3C"/>
    <w:rsid w:val="79558D74"/>
    <w:rsid w:val="7959FBE4"/>
    <w:rsid w:val="79765856"/>
    <w:rsid w:val="79814059"/>
    <w:rsid w:val="79891410"/>
    <w:rsid w:val="79AEC6B0"/>
    <w:rsid w:val="79B9F401"/>
    <w:rsid w:val="79BE2F76"/>
    <w:rsid w:val="79BF9987"/>
    <w:rsid w:val="79DA57AB"/>
    <w:rsid w:val="79DE90AE"/>
    <w:rsid w:val="79E76E49"/>
    <w:rsid w:val="79FDC970"/>
    <w:rsid w:val="7A0877BE"/>
    <w:rsid w:val="7A13CE9E"/>
    <w:rsid w:val="7A164DD5"/>
    <w:rsid w:val="7A24E213"/>
    <w:rsid w:val="7A2F71CF"/>
    <w:rsid w:val="7A32A30A"/>
    <w:rsid w:val="7A341B2E"/>
    <w:rsid w:val="7A510A5F"/>
    <w:rsid w:val="7A74C29E"/>
    <w:rsid w:val="7A7FE749"/>
    <w:rsid w:val="7AA38F58"/>
    <w:rsid w:val="7AA85028"/>
    <w:rsid w:val="7ABF187C"/>
    <w:rsid w:val="7AC8847A"/>
    <w:rsid w:val="7AC9682F"/>
    <w:rsid w:val="7AD9F55E"/>
    <w:rsid w:val="7AE3034F"/>
    <w:rsid w:val="7B001FB6"/>
    <w:rsid w:val="7B03F09E"/>
    <w:rsid w:val="7B23B100"/>
    <w:rsid w:val="7B37F186"/>
    <w:rsid w:val="7B431CAB"/>
    <w:rsid w:val="7B44B56D"/>
    <w:rsid w:val="7B4CEF3F"/>
    <w:rsid w:val="7B59BCDF"/>
    <w:rsid w:val="7B7CC999"/>
    <w:rsid w:val="7B8B94AC"/>
    <w:rsid w:val="7BAC43BA"/>
    <w:rsid w:val="7BC69ABA"/>
    <w:rsid w:val="7BE73904"/>
    <w:rsid w:val="7BE7F982"/>
    <w:rsid w:val="7BEA4754"/>
    <w:rsid w:val="7BF03D42"/>
    <w:rsid w:val="7C0BB216"/>
    <w:rsid w:val="7C0FEABD"/>
    <w:rsid w:val="7C19BE36"/>
    <w:rsid w:val="7C29DCB5"/>
    <w:rsid w:val="7C34FCE8"/>
    <w:rsid w:val="7C459932"/>
    <w:rsid w:val="7C60AAFE"/>
    <w:rsid w:val="7C8C3CD5"/>
    <w:rsid w:val="7C939BF5"/>
    <w:rsid w:val="7C95AE36"/>
    <w:rsid w:val="7C96860A"/>
    <w:rsid w:val="7C9D09EE"/>
    <w:rsid w:val="7CAB7334"/>
    <w:rsid w:val="7CABEC60"/>
    <w:rsid w:val="7CACFC1B"/>
    <w:rsid w:val="7CAD8BB1"/>
    <w:rsid w:val="7CB7547B"/>
    <w:rsid w:val="7CBFEAE4"/>
    <w:rsid w:val="7CC76879"/>
    <w:rsid w:val="7CD5C192"/>
    <w:rsid w:val="7CE3CD45"/>
    <w:rsid w:val="7CE55A92"/>
    <w:rsid w:val="7CE96041"/>
    <w:rsid w:val="7CEDB04C"/>
    <w:rsid w:val="7CFBFEEC"/>
    <w:rsid w:val="7CFF2EC5"/>
    <w:rsid w:val="7D055644"/>
    <w:rsid w:val="7D4362B8"/>
    <w:rsid w:val="7D439740"/>
    <w:rsid w:val="7D580A45"/>
    <w:rsid w:val="7D5B3DB3"/>
    <w:rsid w:val="7D817C09"/>
    <w:rsid w:val="7D8EF031"/>
    <w:rsid w:val="7D927DE0"/>
    <w:rsid w:val="7D963DC4"/>
    <w:rsid w:val="7DA866C6"/>
    <w:rsid w:val="7DABBB90"/>
    <w:rsid w:val="7DAFBF76"/>
    <w:rsid w:val="7DB7541E"/>
    <w:rsid w:val="7DBE063E"/>
    <w:rsid w:val="7DCA17A3"/>
    <w:rsid w:val="7DCD0AA5"/>
    <w:rsid w:val="7DCD0EDD"/>
    <w:rsid w:val="7DE0BFA3"/>
    <w:rsid w:val="7DE2F327"/>
    <w:rsid w:val="7DE486F8"/>
    <w:rsid w:val="7E018185"/>
    <w:rsid w:val="7E177202"/>
    <w:rsid w:val="7E1F862C"/>
    <w:rsid w:val="7E202807"/>
    <w:rsid w:val="7E27033E"/>
    <w:rsid w:val="7E389C2E"/>
    <w:rsid w:val="7E3CE867"/>
    <w:rsid w:val="7E44DE62"/>
    <w:rsid w:val="7E569226"/>
    <w:rsid w:val="7E589D63"/>
    <w:rsid w:val="7E68AC21"/>
    <w:rsid w:val="7E79CC30"/>
    <w:rsid w:val="7E83C3A9"/>
    <w:rsid w:val="7E88BD01"/>
    <w:rsid w:val="7E89CC16"/>
    <w:rsid w:val="7EAAD493"/>
    <w:rsid w:val="7EB4C319"/>
    <w:rsid w:val="7ECF5B3C"/>
    <w:rsid w:val="7EDFCB72"/>
    <w:rsid w:val="7EEB5342"/>
    <w:rsid w:val="7EF773A4"/>
    <w:rsid w:val="7EFAF214"/>
    <w:rsid w:val="7EFB4016"/>
    <w:rsid w:val="7F058D09"/>
    <w:rsid w:val="7F106D82"/>
    <w:rsid w:val="7F130659"/>
    <w:rsid w:val="7F167B42"/>
    <w:rsid w:val="7F39F3B9"/>
    <w:rsid w:val="7F425605"/>
    <w:rsid w:val="7F489C81"/>
    <w:rsid w:val="7F5362B3"/>
    <w:rsid w:val="7F693F71"/>
    <w:rsid w:val="7F81E095"/>
    <w:rsid w:val="7F940A9A"/>
    <w:rsid w:val="7F94FF3B"/>
    <w:rsid w:val="7FA00AE7"/>
    <w:rsid w:val="7FAB69F3"/>
    <w:rsid w:val="7FBBA3B1"/>
    <w:rsid w:val="7FC8A5AF"/>
    <w:rsid w:val="7FDD3DC7"/>
    <w:rsid w:val="7FDF81A0"/>
    <w:rsid w:val="7FE32CDF"/>
    <w:rsid w:val="7FFD1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717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40" w:lineRule="atLeast"/>
      <w:jc w:val="both"/>
    </w:pPr>
    <w:rPr>
      <w:rFonts w:ascii="EC Square Sans Pro" w:hAnsi="EC Square Sans Pro"/>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rsid w:val="00D85738"/>
    <w:pPr>
      <w:spacing w:after="0" w:line="240" w:lineRule="auto"/>
      <w:jc w:val="left"/>
    </w:pPr>
  </w:style>
  <w:style w:type="paragraph" w:styleId="FootnoteText">
    <w:name w:val="footnote text"/>
    <w:basedOn w:val="Normal"/>
    <w:link w:val="FootnoteTextChar"/>
    <w:uiPriority w:val="99"/>
    <w:rsid w:val="00D85738"/>
    <w:pPr>
      <w:spacing w:after="0" w:line="240" w:lineRule="auto"/>
      <w:ind w:left="283" w:hanging="283"/>
    </w:pPr>
    <w:rPr>
      <w:sz w:val="16"/>
      <w:szCs w:val="20"/>
    </w:rPr>
  </w:style>
  <w:style w:type="paragraph" w:customStyle="1" w:styleId="ChapterName">
    <w:name w:val="Chapter Name"/>
    <w:basedOn w:val="Normal"/>
    <w:next w:val="Normal"/>
    <w:rsid w:val="00D85738"/>
    <w:pPr>
      <w:spacing w:before="1080" w:line="240" w:lineRule="auto"/>
      <w:jc w:val="left"/>
    </w:pPr>
    <w:rPr>
      <w:b/>
      <w:color w:val="808080"/>
      <w:sz w:val="72"/>
    </w:rPr>
  </w:style>
  <w:style w:type="paragraph" w:customStyle="1" w:styleId="ChapterTitle">
    <w:name w:val="Chapter Title"/>
    <w:basedOn w:val="Normal"/>
    <w:next w:val="Normal"/>
    <w:rsid w:val="00D85738"/>
    <w:pPr>
      <w:spacing w:line="240" w:lineRule="auto"/>
      <w:jc w:val="left"/>
    </w:pPr>
    <w:rPr>
      <w:color w:val="333399"/>
      <w:sz w:val="36"/>
    </w:rPr>
  </w:style>
  <w:style w:type="paragraph" w:customStyle="1" w:styleId="SectionTitle">
    <w:name w:val="Section Title"/>
    <w:basedOn w:val="Normal"/>
    <w:next w:val="SectionSubtitle"/>
    <w:rsid w:val="00D85738"/>
    <w:pPr>
      <w:keepNext/>
      <w:spacing w:before="1080" w:line="240" w:lineRule="auto"/>
      <w:ind w:left="567" w:hanging="567"/>
      <w:jc w:val="left"/>
    </w:pPr>
    <w:rPr>
      <w:caps/>
      <w:color w:val="333399"/>
      <w:sz w:val="28"/>
    </w:rPr>
  </w:style>
  <w:style w:type="paragraph" w:customStyle="1" w:styleId="SectionTitletwolines">
    <w:name w:val="Section Title (two lines)"/>
    <w:basedOn w:val="Normal"/>
    <w:next w:val="SectionSubtitle"/>
    <w:rsid w:val="00D85738"/>
    <w:pPr>
      <w:keepNext/>
      <w:spacing w:before="600" w:after="0" w:line="240" w:lineRule="auto"/>
      <w:ind w:left="567" w:hanging="567"/>
      <w:jc w:val="left"/>
    </w:pPr>
    <w:rPr>
      <w:caps/>
      <w:color w:val="333399"/>
      <w:sz w:val="28"/>
    </w:rPr>
  </w:style>
  <w:style w:type="paragraph" w:customStyle="1" w:styleId="SectionSubtitle">
    <w:name w:val="Section Subtitle"/>
    <w:basedOn w:val="Normal"/>
    <w:next w:val="Normal"/>
    <w:rsid w:val="00D85738"/>
    <w:pPr>
      <w:spacing w:after="360" w:line="240" w:lineRule="auto"/>
      <w:ind w:left="567"/>
      <w:jc w:val="left"/>
    </w:pPr>
    <w:rPr>
      <w:color w:val="333399"/>
      <w:sz w:val="24"/>
    </w:rPr>
  </w:style>
  <w:style w:type="paragraph" w:customStyle="1" w:styleId="HeaderTitleLeft">
    <w:name w:val="Header Title Left"/>
    <w:basedOn w:val="Normal"/>
    <w:next w:val="Normal"/>
    <w:rsid w:val="00D85738"/>
    <w:pPr>
      <w:tabs>
        <w:tab w:val="right" w:pos="8220"/>
      </w:tabs>
      <w:spacing w:before="100" w:after="40" w:line="240" w:lineRule="auto"/>
      <w:ind w:left="-1502"/>
    </w:pPr>
    <w:rPr>
      <w:rFonts w:ascii="EC Square Sans Pro Thin" w:hAnsi="EC Square Sans Pro Thin"/>
      <w:color w:val="333399"/>
      <w:sz w:val="14"/>
    </w:rPr>
  </w:style>
  <w:style w:type="paragraph" w:customStyle="1" w:styleId="HeaderSubtitleLeft">
    <w:name w:val="Header Subtitle Left"/>
    <w:basedOn w:val="Normal"/>
    <w:next w:val="Normal"/>
    <w:rsid w:val="00D85738"/>
    <w:pPr>
      <w:tabs>
        <w:tab w:val="right" w:pos="8220"/>
      </w:tabs>
      <w:spacing w:after="0" w:line="240" w:lineRule="auto"/>
      <w:ind w:left="-1502"/>
    </w:pPr>
    <w:rPr>
      <w:rFonts w:ascii="EC Square Sans Pro Thin" w:hAnsi="EC Square Sans Pro Thin"/>
      <w:color w:val="333399"/>
      <w:sz w:val="14"/>
    </w:rPr>
  </w:style>
  <w:style w:type="paragraph" w:customStyle="1" w:styleId="HeaderTitleRight">
    <w:name w:val="Header Title Right"/>
    <w:basedOn w:val="Normal"/>
    <w:next w:val="Normal"/>
    <w:rsid w:val="00D85738"/>
    <w:pPr>
      <w:spacing w:before="100" w:after="40" w:line="240" w:lineRule="auto"/>
      <w:ind w:right="-1502"/>
      <w:jc w:val="right"/>
    </w:pPr>
    <w:rPr>
      <w:rFonts w:ascii="EC Square Sans Pro Thin" w:hAnsi="EC Square Sans Pro Thin"/>
      <w:color w:val="333399"/>
      <w:sz w:val="14"/>
    </w:rPr>
  </w:style>
  <w:style w:type="paragraph" w:customStyle="1" w:styleId="HeaderSubtitleRight">
    <w:name w:val="Header Subtitle Right"/>
    <w:basedOn w:val="Normal"/>
    <w:next w:val="Normal"/>
    <w:rsid w:val="00D85738"/>
    <w:pPr>
      <w:spacing w:after="0" w:line="240" w:lineRule="auto"/>
      <w:ind w:right="-1502"/>
      <w:jc w:val="right"/>
    </w:pPr>
    <w:rPr>
      <w:rFonts w:ascii="EC Square Sans Pro Thin" w:hAnsi="EC Square Sans Pro Thin"/>
      <w:color w:val="333399"/>
      <w:sz w:val="14"/>
    </w:rPr>
  </w:style>
  <w:style w:type="paragraph" w:customStyle="1" w:styleId="FooterPageNumber">
    <w:name w:val="Footer PageNumber"/>
    <w:basedOn w:val="Normal"/>
    <w:next w:val="Normal"/>
    <w:rsid w:val="00D85738"/>
    <w:pPr>
      <w:framePr w:w="567" w:hSpace="992" w:wrap="around" w:vAnchor="page" w:hAnchor="page" w:xAlign="outside" w:y="16046"/>
      <w:spacing w:after="0" w:line="240" w:lineRule="auto"/>
      <w:jc w:val="center"/>
    </w:pPr>
    <w:rPr>
      <w:color w:val="333399"/>
      <w:sz w:val="18"/>
    </w:rPr>
  </w:style>
  <w:style w:type="paragraph" w:customStyle="1" w:styleId="AnnexTitle">
    <w:name w:val="Annex Title"/>
    <w:basedOn w:val="Normal"/>
    <w:rsid w:val="00D85738"/>
    <w:pPr>
      <w:spacing w:before="120" w:line="240" w:lineRule="auto"/>
      <w:jc w:val="left"/>
    </w:pPr>
    <w:rPr>
      <w:rFonts w:ascii="Century Gothic" w:hAnsi="Century Gothic"/>
      <w:color w:val="333399"/>
      <w:sz w:val="28"/>
    </w:rPr>
  </w:style>
  <w:style w:type="paragraph" w:customStyle="1" w:styleId="PublicationTitle">
    <w:name w:val="Publication Title"/>
    <w:basedOn w:val="Normal"/>
    <w:next w:val="Normal"/>
    <w:rsid w:val="00D85738"/>
    <w:pPr>
      <w:spacing w:after="240" w:line="240" w:lineRule="auto"/>
      <w:jc w:val="center"/>
    </w:pPr>
    <w:rPr>
      <w:color w:val="333399"/>
      <w:sz w:val="48"/>
    </w:rPr>
  </w:style>
  <w:style w:type="paragraph" w:customStyle="1" w:styleId="PublicationSubtitle">
    <w:name w:val="Publication Subtitle"/>
    <w:basedOn w:val="Normal"/>
    <w:next w:val="Normal"/>
    <w:rsid w:val="00D85738"/>
    <w:pPr>
      <w:spacing w:after="240" w:line="240" w:lineRule="auto"/>
      <w:jc w:val="center"/>
    </w:pPr>
    <w:rPr>
      <w:sz w:val="32"/>
    </w:rPr>
  </w:style>
  <w:style w:type="paragraph" w:customStyle="1" w:styleId="Series">
    <w:name w:val="Series"/>
    <w:basedOn w:val="Normal"/>
    <w:next w:val="Normal"/>
    <w:rsid w:val="00D85738"/>
    <w:pPr>
      <w:tabs>
        <w:tab w:val="right" w:pos="8787"/>
      </w:tabs>
      <w:spacing w:before="6240" w:line="240" w:lineRule="auto"/>
      <w:jc w:val="left"/>
    </w:pPr>
    <w:rPr>
      <w:color w:val="333399"/>
    </w:rPr>
  </w:style>
  <w:style w:type="paragraph" w:customStyle="1" w:styleId="Institution">
    <w:name w:val="Institution"/>
    <w:basedOn w:val="Normal"/>
    <w:next w:val="Normal"/>
    <w:rsid w:val="00D85738"/>
    <w:pPr>
      <w:spacing w:line="240" w:lineRule="auto"/>
      <w:jc w:val="left"/>
    </w:pPr>
    <w:rPr>
      <w:sz w:val="24"/>
    </w:rPr>
  </w:style>
  <w:style w:type="paragraph" w:customStyle="1" w:styleId="InstitutionSubtitle">
    <w:name w:val="Institution Subtitle"/>
    <w:basedOn w:val="Normal"/>
    <w:next w:val="Normal"/>
    <w:rsid w:val="00D85738"/>
    <w:pPr>
      <w:spacing w:line="240" w:lineRule="auto"/>
      <w:jc w:val="left"/>
    </w:pPr>
  </w:style>
  <w:style w:type="paragraph" w:customStyle="1" w:styleId="PartTitle">
    <w:name w:val="Part Title"/>
    <w:basedOn w:val="Normal"/>
    <w:next w:val="Normal"/>
    <w:rsid w:val="00D85738"/>
    <w:pPr>
      <w:spacing w:before="1080" w:line="240" w:lineRule="auto"/>
      <w:jc w:val="left"/>
    </w:pPr>
    <w:rPr>
      <w:color w:val="333399"/>
      <w:sz w:val="40"/>
    </w:rPr>
  </w:style>
  <w:style w:type="paragraph" w:customStyle="1" w:styleId="PartSubtitle">
    <w:name w:val="Part Subtitle"/>
    <w:basedOn w:val="Normal"/>
    <w:next w:val="Normal"/>
    <w:rsid w:val="00D85738"/>
    <w:pPr>
      <w:spacing w:line="240" w:lineRule="auto"/>
      <w:jc w:val="left"/>
    </w:pPr>
    <w:rPr>
      <w:color w:val="333399"/>
      <w:sz w:val="32"/>
    </w:rPr>
  </w:style>
  <w:style w:type="character" w:customStyle="1" w:styleId="SectionNumber">
    <w:name w:val="Section Number"/>
    <w:rsid w:val="00D85738"/>
    <w:rPr>
      <w:rFonts w:ascii="EC Square Sans Pro" w:hAnsi="EC Square Sans Pro" w:cs="Times New Roman"/>
      <w:b/>
      <w:color w:val="808080"/>
      <w:sz w:val="72"/>
    </w:rPr>
  </w:style>
  <w:style w:type="paragraph" w:customStyle="1" w:styleId="HeaderTitleLeft30">
    <w:name w:val="Header Title Left (30)"/>
    <w:basedOn w:val="Normal"/>
    <w:next w:val="Normal"/>
    <w:rsid w:val="00D85738"/>
    <w:pPr>
      <w:tabs>
        <w:tab w:val="right" w:pos="8504"/>
      </w:tabs>
      <w:spacing w:before="100" w:after="40" w:line="240" w:lineRule="auto"/>
      <w:ind w:left="-850"/>
    </w:pPr>
    <w:rPr>
      <w:rFonts w:ascii="EC Square Sans Pro Thin" w:hAnsi="EC Square Sans Pro Thin"/>
      <w:color w:val="333399"/>
      <w:sz w:val="14"/>
    </w:rPr>
  </w:style>
  <w:style w:type="paragraph" w:customStyle="1" w:styleId="HeaderSubtitleLeft30">
    <w:name w:val="Header Subtitle Left (30)"/>
    <w:basedOn w:val="Normal"/>
    <w:next w:val="Normal"/>
    <w:rsid w:val="00D85738"/>
    <w:pPr>
      <w:tabs>
        <w:tab w:val="right" w:pos="8504"/>
      </w:tabs>
      <w:spacing w:after="0" w:line="240" w:lineRule="auto"/>
      <w:ind w:left="-850"/>
    </w:pPr>
    <w:rPr>
      <w:rFonts w:ascii="EC Square Sans Pro Thin" w:hAnsi="EC Square Sans Pro Thin"/>
      <w:color w:val="333399"/>
      <w:sz w:val="14"/>
    </w:rPr>
  </w:style>
  <w:style w:type="paragraph" w:customStyle="1" w:styleId="HeaderTitleRight30">
    <w:name w:val="Header Title Right (30)"/>
    <w:basedOn w:val="Normal"/>
    <w:next w:val="Normal"/>
    <w:rsid w:val="00D85738"/>
    <w:pPr>
      <w:spacing w:before="100" w:after="40" w:line="240" w:lineRule="auto"/>
      <w:ind w:right="-850"/>
      <w:jc w:val="right"/>
    </w:pPr>
    <w:rPr>
      <w:rFonts w:ascii="EC Square Sans Pro Thin" w:hAnsi="EC Square Sans Pro Thin"/>
      <w:color w:val="333399"/>
      <w:sz w:val="14"/>
    </w:rPr>
  </w:style>
  <w:style w:type="paragraph" w:customStyle="1" w:styleId="HeaderSubtitleRight30">
    <w:name w:val="Header Subtitle Right (30)"/>
    <w:basedOn w:val="Normal"/>
    <w:next w:val="Normal"/>
    <w:rsid w:val="00D85738"/>
    <w:pPr>
      <w:spacing w:after="0" w:line="240" w:lineRule="auto"/>
      <w:ind w:right="-850"/>
      <w:jc w:val="right"/>
    </w:pPr>
    <w:rPr>
      <w:rFonts w:ascii="EC Square Sans Pro Thin" w:hAnsi="EC Square Sans Pro Thin"/>
      <w:color w:val="333399"/>
      <w:sz w:val="14"/>
    </w:rPr>
  </w:style>
  <w:style w:type="paragraph" w:customStyle="1" w:styleId="FooterPageNumber30">
    <w:name w:val="Footer PageNumber (30)"/>
    <w:basedOn w:val="Normal"/>
    <w:next w:val="Normal"/>
    <w:rsid w:val="00D85738"/>
    <w:pPr>
      <w:framePr w:w="567" w:hSpace="567" w:wrap="around" w:vAnchor="page" w:hAnchor="page" w:xAlign="outside" w:y="16046"/>
      <w:spacing w:after="0" w:line="240" w:lineRule="auto"/>
      <w:jc w:val="center"/>
    </w:pPr>
    <w:rPr>
      <w:color w:val="333399"/>
      <w:sz w:val="18"/>
    </w:rPr>
  </w:style>
  <w:style w:type="paragraph" w:customStyle="1" w:styleId="FooterPageNumber15">
    <w:name w:val="Footer PageNumber (15)"/>
    <w:basedOn w:val="Normal"/>
    <w:next w:val="Normal"/>
    <w:rsid w:val="00D85738"/>
    <w:pPr>
      <w:framePr w:w="567" w:wrap="around" w:vAnchor="page" w:hAnchor="margin" w:xAlign="outside" w:y="16046"/>
      <w:spacing w:after="0" w:line="240" w:lineRule="auto"/>
      <w:jc w:val="center"/>
    </w:pPr>
    <w:rPr>
      <w:color w:val="333399"/>
      <w:sz w:val="18"/>
    </w:rPr>
  </w:style>
  <w:style w:type="paragraph" w:customStyle="1" w:styleId="SectionTitlelarge">
    <w:name w:val="Section Title (large)"/>
    <w:basedOn w:val="Normal"/>
    <w:next w:val="SectionSubtitle"/>
    <w:rsid w:val="00D85738"/>
    <w:pPr>
      <w:keepNext/>
      <w:spacing w:before="1080" w:line="240" w:lineRule="auto"/>
      <w:ind w:left="567" w:hanging="567"/>
      <w:jc w:val="left"/>
    </w:pPr>
    <w:rPr>
      <w:caps/>
      <w:color w:val="333399"/>
      <w:sz w:val="32"/>
    </w:rPr>
  </w:style>
  <w:style w:type="paragraph" w:customStyle="1" w:styleId="SectionTitletwolineslarge">
    <w:name w:val="Section Title (two lines) (large)"/>
    <w:basedOn w:val="Normal"/>
    <w:next w:val="SectionSubtitle"/>
    <w:rsid w:val="00D85738"/>
    <w:pPr>
      <w:keepNext/>
      <w:spacing w:before="1080" w:after="40" w:line="240" w:lineRule="auto"/>
      <w:ind w:left="567" w:hanging="567"/>
      <w:jc w:val="left"/>
    </w:pPr>
    <w:rPr>
      <w:caps/>
      <w:color w:val="333399"/>
      <w:sz w:val="32"/>
    </w:rPr>
  </w:style>
  <w:style w:type="character" w:styleId="FootnoteReference">
    <w:name w:val="footnote reference"/>
    <w:link w:val="FootnotesymbolCarZchn"/>
    <w:uiPriority w:val="99"/>
    <w:rsid w:val="00D85738"/>
    <w:rPr>
      <w:vertAlign w:val="superscript"/>
    </w:rPr>
  </w:style>
  <w:style w:type="paragraph" w:customStyle="1" w:styleId="Heading">
    <w:name w:val="Heading"/>
    <w:basedOn w:val="Normal"/>
    <w:next w:val="Normal"/>
    <w:rsid w:val="00D85738"/>
    <w:pPr>
      <w:keepNext/>
      <w:spacing w:before="120"/>
    </w:pPr>
    <w:rPr>
      <w:rFonts w:ascii="EC Square Sans Pro Medium" w:hAnsi="EC Square Sans Pro Medium"/>
      <w:color w:val="333399"/>
    </w:rPr>
  </w:style>
  <w:style w:type="paragraph" w:customStyle="1" w:styleId="SideNote">
    <w:name w:val="Side Note"/>
    <w:basedOn w:val="Normal"/>
    <w:next w:val="Normal"/>
    <w:rsid w:val="00D85738"/>
    <w:pPr>
      <w:keepNext/>
      <w:framePr w:w="1701" w:h="567" w:hSpace="227" w:wrap="around" w:vAnchor="text" w:hAnchor="page" w:xAlign="outside" w:y="1"/>
      <w:spacing w:after="200" w:line="240" w:lineRule="auto"/>
      <w:jc w:val="left"/>
    </w:pPr>
    <w:rPr>
      <w:color w:val="333399"/>
      <w:sz w:val="14"/>
    </w:rPr>
  </w:style>
  <w:style w:type="paragraph" w:customStyle="1" w:styleId="Abbreviation">
    <w:name w:val="Abbreviation"/>
    <w:basedOn w:val="Normal"/>
    <w:rsid w:val="00D85738"/>
    <w:pPr>
      <w:spacing w:after="0"/>
      <w:ind w:left="1134" w:hanging="1134"/>
    </w:pPr>
  </w:style>
  <w:style w:type="paragraph" w:customStyle="1" w:styleId="BoxShape">
    <w:name w:val="Box Shape"/>
    <w:basedOn w:val="Normal"/>
    <w:next w:val="Normal"/>
    <w:rsid w:val="00D85738"/>
    <w:pPr>
      <w:spacing w:before="120"/>
      <w:jc w:val="center"/>
    </w:pPr>
  </w:style>
  <w:style w:type="paragraph" w:customStyle="1" w:styleId="BoxContinueTop">
    <w:name w:val="Box Continue Top"/>
    <w:basedOn w:val="Normal"/>
    <w:next w:val="Normal"/>
    <w:rsid w:val="00D85738"/>
    <w:pPr>
      <w:spacing w:before="20" w:after="0" w:line="240" w:lineRule="auto"/>
      <w:ind w:left="283"/>
    </w:pPr>
    <w:rPr>
      <w:rFonts w:ascii="EC Square Sans Pro Thin" w:hAnsi="EC Square Sans Pro Thin"/>
      <w:i/>
      <w:color w:val="333399"/>
      <w:sz w:val="14"/>
    </w:rPr>
  </w:style>
  <w:style w:type="paragraph" w:customStyle="1" w:styleId="BoxContinueBottom">
    <w:name w:val="Box Continue Bottom"/>
    <w:basedOn w:val="Normal"/>
    <w:next w:val="Normal"/>
    <w:rsid w:val="00D85738"/>
    <w:pPr>
      <w:spacing w:after="20" w:line="240" w:lineRule="auto"/>
      <w:ind w:right="283"/>
      <w:jc w:val="right"/>
    </w:pPr>
    <w:rPr>
      <w:rFonts w:ascii="EC Square Sans Pro Thin" w:hAnsi="EC Square Sans Pro Thin"/>
      <w:i/>
      <w:color w:val="333399"/>
      <w:sz w:val="14"/>
    </w:rPr>
  </w:style>
  <w:style w:type="paragraph" w:customStyle="1" w:styleId="BottomTable">
    <w:name w:val="Bottom Table"/>
    <w:basedOn w:val="Normal"/>
    <w:next w:val="Normal"/>
    <w:rsid w:val="00D85738"/>
    <w:pPr>
      <w:spacing w:after="0" w:line="240" w:lineRule="auto"/>
      <w:jc w:val="left"/>
    </w:pPr>
  </w:style>
  <w:style w:type="paragraph" w:customStyle="1" w:styleId="DefaultTable">
    <w:name w:val="Default Table"/>
    <w:basedOn w:val="Normal"/>
    <w:next w:val="Normal"/>
    <w:rsid w:val="00D85738"/>
    <w:pPr>
      <w:spacing w:after="0" w:line="240" w:lineRule="auto"/>
      <w:jc w:val="left"/>
    </w:pPr>
  </w:style>
  <w:style w:type="paragraph" w:customStyle="1" w:styleId="BottomCenterTable">
    <w:name w:val="Bottom Center Table"/>
    <w:basedOn w:val="Normal"/>
    <w:next w:val="Normal"/>
    <w:rsid w:val="00D85738"/>
    <w:pPr>
      <w:spacing w:before="160" w:after="0" w:line="240" w:lineRule="auto"/>
      <w:jc w:val="center"/>
    </w:pPr>
  </w:style>
  <w:style w:type="paragraph" w:customStyle="1" w:styleId="BottomTableRestrictedShape">
    <w:name w:val="Bottom Table Restricted Shape"/>
    <w:basedOn w:val="Normal"/>
    <w:next w:val="Normal"/>
    <w:rsid w:val="00D85738"/>
    <w:pPr>
      <w:spacing w:before="160" w:after="0" w:line="240" w:lineRule="auto"/>
      <w:jc w:val="center"/>
    </w:pPr>
  </w:style>
  <w:style w:type="paragraph" w:customStyle="1" w:styleId="GraphTitle">
    <w:name w:val="Graph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GraphSource">
    <w:name w:val="Graph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GraphShape">
    <w:name w:val="Graph Shape"/>
    <w:basedOn w:val="Normal"/>
    <w:next w:val="Normal"/>
    <w:rsid w:val="00D85738"/>
    <w:pPr>
      <w:keepNext/>
      <w:spacing w:after="0" w:line="240" w:lineRule="auto"/>
    </w:pPr>
  </w:style>
  <w:style w:type="paragraph" w:customStyle="1" w:styleId="TableTitle">
    <w:name w:val="Table Title"/>
    <w:basedOn w:val="Normal"/>
    <w:next w:val="Normal"/>
    <w:rsid w:val="00D85738"/>
    <w:pPr>
      <w:keepNext/>
      <w:pBdr>
        <w:top w:val="single" w:sz="2" w:space="5" w:color="auto"/>
        <w:bottom w:val="single" w:sz="2" w:space="5" w:color="auto"/>
      </w:pBdr>
      <w:spacing w:before="60" w:after="0" w:line="240" w:lineRule="auto"/>
      <w:ind w:right="100"/>
    </w:pPr>
    <w:rPr>
      <w:rFonts w:ascii="Century Gothic" w:hAnsi="Century Gothic"/>
      <w:color w:val="333399"/>
      <w:sz w:val="14"/>
    </w:rPr>
  </w:style>
  <w:style w:type="paragraph" w:customStyle="1" w:styleId="TableSource">
    <w:name w:val="Table Source"/>
    <w:basedOn w:val="Normal"/>
    <w:next w:val="Normal"/>
    <w:rsid w:val="00D85738"/>
    <w:pPr>
      <w:pBdr>
        <w:top w:val="single" w:sz="2" w:space="5" w:color="auto"/>
        <w:bottom w:val="single" w:sz="2" w:space="5" w:color="auto"/>
      </w:pBdr>
      <w:spacing w:before="60" w:after="60" w:line="240" w:lineRule="auto"/>
      <w:ind w:right="100"/>
    </w:pPr>
    <w:rPr>
      <w:rFonts w:ascii="Century Gothic" w:hAnsi="Century Gothic"/>
      <w:sz w:val="14"/>
    </w:rPr>
  </w:style>
  <w:style w:type="paragraph" w:customStyle="1" w:styleId="TableShape">
    <w:name w:val="Table Shape"/>
    <w:basedOn w:val="Normal"/>
    <w:next w:val="Normal"/>
    <w:rsid w:val="00D85738"/>
    <w:pPr>
      <w:keepNext/>
      <w:spacing w:after="0" w:line="240" w:lineRule="auto"/>
    </w:pPr>
  </w:style>
  <w:style w:type="paragraph" w:customStyle="1" w:styleId="SNText">
    <w:name w:val="SN Text"/>
    <w:basedOn w:val="Normal"/>
    <w:rsid w:val="00F64EC0"/>
  </w:style>
  <w:style w:type="paragraph" w:customStyle="1" w:styleId="SectionTitleSingleBase">
    <w:name w:val="Section Title (Single Base)"/>
    <w:basedOn w:val="Normal"/>
    <w:rsid w:val="00F64EC0"/>
  </w:style>
  <w:style w:type="paragraph" w:customStyle="1" w:styleId="HEADINGTOC">
    <w:name w:val="HEADING TOC"/>
    <w:basedOn w:val="Normal"/>
    <w:rsid w:val="00F64EC0"/>
  </w:style>
  <w:style w:type="paragraph" w:customStyle="1" w:styleId="FooterPageNumber45">
    <w:name w:val="Footer PageNumber (45)"/>
    <w:basedOn w:val="Normal"/>
    <w:rsid w:val="00F64EC0"/>
  </w:style>
  <w:style w:type="paragraph" w:customStyle="1" w:styleId="SNNumberedHeading1">
    <w:name w:val="SN Numbered Heading 1"/>
    <w:basedOn w:val="Normal"/>
    <w:rsid w:val="00F64EC0"/>
  </w:style>
  <w:style w:type="paragraph" w:customStyle="1" w:styleId="SNNumberedHeading2">
    <w:name w:val="SN Numbered Heading 2"/>
    <w:basedOn w:val="Normal"/>
    <w:rsid w:val="00F64EC0"/>
  </w:style>
  <w:style w:type="paragraph" w:customStyle="1" w:styleId="NumberedHeading1">
    <w:name w:val="Numbered Heading 1"/>
    <w:basedOn w:val="Normal"/>
    <w:rsid w:val="00F64EC0"/>
    <w:pPr>
      <w:jc w:val="left"/>
    </w:pPr>
    <w:rPr>
      <w:rFonts w:ascii="EC Square Sans Pro Medium" w:hAnsi="EC Square Sans Pro Medium"/>
    </w:rPr>
  </w:style>
  <w:style w:type="paragraph" w:customStyle="1" w:styleId="NumberedHeading2">
    <w:name w:val="Numbered Heading 2"/>
    <w:basedOn w:val="Normal"/>
    <w:rsid w:val="00F64EC0"/>
    <w:pPr>
      <w:jc w:val="left"/>
    </w:pPr>
  </w:style>
  <w:style w:type="paragraph" w:customStyle="1" w:styleId="NumberedHeading3">
    <w:name w:val="Numbered Heading 3"/>
    <w:basedOn w:val="Normal"/>
    <w:rsid w:val="00F64EC0"/>
    <w:pPr>
      <w:jc w:val="left"/>
    </w:pPr>
    <w:rPr>
      <w:sz w:val="18"/>
    </w:rPr>
  </w:style>
  <w:style w:type="paragraph" w:customStyle="1" w:styleId="ChapterSubtitle">
    <w:name w:val="Chapter Subtitle"/>
    <w:basedOn w:val="SectionSubtitle"/>
    <w:rsid w:val="00F64EC0"/>
    <w:pPr>
      <w:ind w:left="0"/>
    </w:pPr>
  </w:style>
  <w:style w:type="paragraph" w:customStyle="1" w:styleId="SectionTitleoverview">
    <w:name w:val="Section Title (overview)"/>
    <w:basedOn w:val="SectionTitletwolineslarge"/>
    <w:rsid w:val="00F64EC0"/>
    <w:pPr>
      <w:ind w:left="2268" w:hanging="2268"/>
    </w:pPr>
  </w:style>
  <w:style w:type="paragraph" w:customStyle="1" w:styleId="SectionSubtitleoverview">
    <w:name w:val="Section Subtitle (overview)"/>
    <w:basedOn w:val="SectionSubtitle"/>
    <w:rsid w:val="00F64EC0"/>
    <w:pPr>
      <w:ind w:left="2268"/>
    </w:pPr>
  </w:style>
  <w:style w:type="paragraph" w:customStyle="1" w:styleId="SubsectionTitle">
    <w:name w:val="Subsection Title"/>
    <w:basedOn w:val="Normal"/>
    <w:rsid w:val="00F64EC0"/>
  </w:style>
  <w:style w:type="paragraph" w:customStyle="1" w:styleId="SNSideNote">
    <w:name w:val="SN SideNote"/>
    <w:basedOn w:val="Normal"/>
    <w:rsid w:val="00F64EC0"/>
  </w:style>
  <w:style w:type="paragraph" w:customStyle="1" w:styleId="Abstract">
    <w:name w:val="Abstract"/>
    <w:basedOn w:val="Normal"/>
    <w:rsid w:val="00F64EC0"/>
    <w:pPr>
      <w:framePr w:w="8164" w:wrap="around" w:vAnchor="text" w:hAnchor="text" w:y="1"/>
      <w:ind w:left="57" w:right="57"/>
    </w:pPr>
  </w:style>
  <w:style w:type="paragraph" w:customStyle="1" w:styleId="PublicationSupertitle">
    <w:name w:val="Publication Supertitle"/>
    <w:basedOn w:val="Normal"/>
    <w:rsid w:val="00F64EC0"/>
    <w:pPr>
      <w:spacing w:before="2640" w:after="240"/>
      <w:jc w:val="center"/>
    </w:pPr>
  </w:style>
  <w:style w:type="paragraph" w:customStyle="1" w:styleId="SectionTitlenonumber">
    <w:name w:val="Section Title (no number)"/>
    <w:basedOn w:val="Normal"/>
    <w:rsid w:val="00F64EC0"/>
    <w:pPr>
      <w:keepNext/>
      <w:spacing w:before="1080" w:after="40" w:line="240" w:lineRule="auto"/>
      <w:jc w:val="left"/>
    </w:pPr>
    <w:rPr>
      <w:caps/>
      <w:color w:val="333399"/>
      <w:sz w:val="32"/>
    </w:rPr>
  </w:style>
  <w:style w:type="paragraph" w:customStyle="1" w:styleId="TableContinueTop">
    <w:name w:val="Table Continue Top"/>
    <w:basedOn w:val="Normal"/>
    <w:rsid w:val="00F64EC0"/>
    <w:rPr>
      <w:rFonts w:ascii="EC Square Sans Pro Thin" w:hAnsi="EC Square Sans Pro Thin"/>
    </w:rPr>
  </w:style>
  <w:style w:type="paragraph" w:customStyle="1" w:styleId="TableContinueBottom">
    <w:name w:val="Table Continue Bottom"/>
    <w:basedOn w:val="Normal"/>
    <w:rsid w:val="00F64EC0"/>
    <w:rPr>
      <w:rFonts w:ascii="EC Square Sans Pro Thin" w:hAnsi="EC Square Sans Pro Thin"/>
    </w:rPr>
  </w:style>
  <w:style w:type="paragraph" w:styleId="TOC1">
    <w:name w:val="toc 1"/>
    <w:basedOn w:val="Normal"/>
    <w:next w:val="Normal"/>
    <w:autoRedefine/>
    <w:semiHidden/>
    <w:unhideWhenUsed/>
    <w:rsid w:val="00F64EC0"/>
    <w:pPr>
      <w:tabs>
        <w:tab w:val="left" w:pos="709"/>
        <w:tab w:val="right" w:pos="8504"/>
      </w:tabs>
      <w:spacing w:after="100"/>
      <w:ind w:left="709"/>
    </w:pPr>
  </w:style>
  <w:style w:type="paragraph" w:styleId="TOC2">
    <w:name w:val="toc 2"/>
    <w:basedOn w:val="Normal"/>
    <w:next w:val="Normal"/>
    <w:autoRedefine/>
    <w:semiHidden/>
    <w:unhideWhenUsed/>
    <w:rsid w:val="00F64EC0"/>
    <w:pPr>
      <w:tabs>
        <w:tab w:val="left" w:pos="1786"/>
        <w:tab w:val="right" w:pos="8504"/>
      </w:tabs>
      <w:spacing w:after="100"/>
      <w:ind w:left="1786" w:hanging="425"/>
    </w:pPr>
  </w:style>
  <w:style w:type="paragraph" w:styleId="TOC3">
    <w:name w:val="toc 3"/>
    <w:basedOn w:val="Normal"/>
    <w:next w:val="Normal"/>
    <w:autoRedefine/>
    <w:semiHidden/>
    <w:unhideWhenUsed/>
    <w:rsid w:val="00F64EC0"/>
    <w:pPr>
      <w:tabs>
        <w:tab w:val="left" w:pos="1361"/>
        <w:tab w:val="right" w:pos="8504"/>
      </w:tabs>
      <w:spacing w:before="40" w:after="40"/>
      <w:ind w:left="1361" w:hanging="652"/>
    </w:pPr>
    <w:rPr>
      <w:caps/>
      <w:color w:val="333399"/>
    </w:rPr>
  </w:style>
  <w:style w:type="paragraph" w:styleId="TOC4">
    <w:name w:val="toc 4"/>
    <w:basedOn w:val="Normal"/>
    <w:next w:val="Normal"/>
    <w:autoRedefine/>
    <w:semiHidden/>
    <w:unhideWhenUsed/>
    <w:rsid w:val="00F64EC0"/>
    <w:pPr>
      <w:tabs>
        <w:tab w:val="left" w:pos="2211"/>
        <w:tab w:val="right" w:pos="8504"/>
      </w:tabs>
      <w:spacing w:after="100"/>
      <w:ind w:left="2211" w:hanging="850"/>
    </w:pPr>
    <w:rPr>
      <w:color w:val="333399"/>
    </w:rPr>
  </w:style>
  <w:style w:type="paragraph" w:styleId="TOC5">
    <w:name w:val="toc 5"/>
    <w:basedOn w:val="Normal"/>
    <w:next w:val="Normal"/>
    <w:autoRedefine/>
    <w:semiHidden/>
    <w:unhideWhenUsed/>
    <w:rsid w:val="00F64EC0"/>
    <w:pPr>
      <w:tabs>
        <w:tab w:val="left" w:pos="2211"/>
        <w:tab w:val="right" w:pos="8504"/>
      </w:tabs>
      <w:spacing w:after="100"/>
      <w:ind w:left="800"/>
    </w:pPr>
  </w:style>
  <w:style w:type="paragraph" w:styleId="TOC6">
    <w:name w:val="toc 6"/>
    <w:basedOn w:val="Normal"/>
    <w:next w:val="Normal"/>
    <w:autoRedefine/>
    <w:semiHidden/>
    <w:unhideWhenUsed/>
    <w:rsid w:val="00F64EC0"/>
    <w:pPr>
      <w:keepNext/>
      <w:tabs>
        <w:tab w:val="right" w:pos="8504"/>
      </w:tabs>
      <w:spacing w:before="120" w:after="60"/>
      <w:ind w:left="1000"/>
    </w:pPr>
    <w:rPr>
      <w:sz w:val="22"/>
    </w:rPr>
  </w:style>
  <w:style w:type="paragraph" w:styleId="TOC7">
    <w:name w:val="toc 7"/>
    <w:basedOn w:val="Normal"/>
    <w:next w:val="Normal"/>
    <w:autoRedefine/>
    <w:semiHidden/>
    <w:unhideWhenUsed/>
    <w:rsid w:val="00F64EC0"/>
    <w:pPr>
      <w:tabs>
        <w:tab w:val="right" w:pos="8504"/>
      </w:tabs>
      <w:spacing w:after="100"/>
      <w:ind w:left="1200"/>
    </w:pPr>
  </w:style>
  <w:style w:type="paragraph" w:customStyle="1" w:styleId="HeaderTitleLeft45">
    <w:name w:val="Header Title Left (45)"/>
    <w:basedOn w:val="Normal"/>
    <w:rsid w:val="00F64EC0"/>
    <w:rPr>
      <w:rFonts w:ascii="EC Square Sans Pro Thin" w:hAnsi="EC Square Sans Pro Thin"/>
    </w:rPr>
  </w:style>
  <w:style w:type="paragraph" w:customStyle="1" w:styleId="HeaderSubtitleLeft15">
    <w:name w:val="Header Subtitle Left (15)"/>
    <w:basedOn w:val="Normal"/>
    <w:rsid w:val="00F64EC0"/>
    <w:rPr>
      <w:rFonts w:ascii="EC Square Sans Pro Thin" w:hAnsi="EC Square Sans Pro Thin"/>
    </w:rPr>
  </w:style>
  <w:style w:type="paragraph" w:customStyle="1" w:styleId="HeaderSubtitleLeft45">
    <w:name w:val="Header Subtitle Left (45)"/>
    <w:basedOn w:val="Normal"/>
    <w:rsid w:val="00F64EC0"/>
    <w:rPr>
      <w:rFonts w:ascii="EC Square Sans Pro Thin" w:hAnsi="EC Square Sans Pro Thin"/>
    </w:rPr>
  </w:style>
  <w:style w:type="paragraph" w:customStyle="1" w:styleId="HeaderTitleLeft15">
    <w:name w:val="Header Title Left (15)"/>
    <w:basedOn w:val="Normal"/>
    <w:rsid w:val="00F64EC0"/>
    <w:pPr>
      <w:tabs>
        <w:tab w:val="right" w:pos="9921"/>
      </w:tabs>
      <w:spacing w:before="100" w:after="40"/>
    </w:pPr>
    <w:rPr>
      <w:rFonts w:ascii="EC Square Sans Pro Thin" w:hAnsi="EC Square Sans Pro Thin"/>
      <w:color w:val="333399"/>
      <w:sz w:val="14"/>
    </w:rPr>
  </w:style>
  <w:style w:type="paragraph" w:customStyle="1" w:styleId="HeaderSubitleLeft15">
    <w:name w:val="Header Subitle Left (15)"/>
    <w:basedOn w:val="Normal"/>
    <w:rsid w:val="00F64EC0"/>
    <w:pPr>
      <w:tabs>
        <w:tab w:val="right" w:pos="9921"/>
      </w:tabs>
    </w:pPr>
    <w:rPr>
      <w:rFonts w:ascii="EC Square Sans Pro Thin" w:hAnsi="EC Square Sans Pro Thin"/>
      <w:color w:val="333399"/>
      <w:sz w:val="14"/>
    </w:rPr>
  </w:style>
  <w:style w:type="paragraph" w:customStyle="1" w:styleId="HeaderTitleRight45">
    <w:name w:val="Header Title Right (45)"/>
    <w:basedOn w:val="Normal"/>
    <w:rsid w:val="00F64EC0"/>
    <w:rPr>
      <w:rFonts w:ascii="EC Square Sans Pro Thin" w:hAnsi="EC Square Sans Pro Thin"/>
    </w:rPr>
  </w:style>
  <w:style w:type="paragraph" w:customStyle="1" w:styleId="HeaderSubtitleRight15">
    <w:name w:val="Header Subtitle Right (15)"/>
    <w:basedOn w:val="Normal"/>
    <w:rsid w:val="00F64EC0"/>
    <w:rPr>
      <w:rFonts w:ascii="EC Square Sans Pro Thin" w:hAnsi="EC Square Sans Pro Thin"/>
    </w:rPr>
  </w:style>
  <w:style w:type="paragraph" w:customStyle="1" w:styleId="HeaderSubtitleRight45">
    <w:name w:val="Header Subtitle Right (45)"/>
    <w:basedOn w:val="Normal"/>
    <w:rsid w:val="00F64EC0"/>
    <w:rPr>
      <w:rFonts w:ascii="EC Square Sans Pro Thin" w:hAnsi="EC Square Sans Pro Thin"/>
    </w:rPr>
  </w:style>
  <w:style w:type="paragraph" w:customStyle="1" w:styleId="HeaderTitleRight15">
    <w:name w:val="Header Title Right (15)"/>
    <w:basedOn w:val="Normal"/>
    <w:rsid w:val="00F64EC0"/>
    <w:pPr>
      <w:spacing w:before="100" w:after="40"/>
      <w:jc w:val="right"/>
    </w:pPr>
    <w:rPr>
      <w:rFonts w:ascii="EC Square Sans Pro Thin" w:hAnsi="EC Square Sans Pro Thin"/>
      <w:color w:val="333399"/>
      <w:sz w:val="14"/>
    </w:rPr>
  </w:style>
  <w:style w:type="paragraph" w:customStyle="1" w:styleId="HeaderSubitleRight15">
    <w:name w:val="Header Subitle Right (15)"/>
    <w:basedOn w:val="Normal"/>
    <w:rsid w:val="00F64EC0"/>
    <w:pPr>
      <w:jc w:val="right"/>
    </w:pPr>
    <w:rPr>
      <w:rFonts w:ascii="EC Square Sans Pro Thin" w:hAnsi="EC Square Sans Pro Thin"/>
      <w:color w:val="333399"/>
      <w:sz w:val="14"/>
    </w:rPr>
  </w:style>
  <w:style w:type="paragraph" w:customStyle="1" w:styleId="SectionTitletop">
    <w:name w:val="Section Title (top)"/>
    <w:basedOn w:val="SectionTitlelarge"/>
    <w:rsid w:val="00F64EC0"/>
    <w:pPr>
      <w:spacing w:before="600"/>
    </w:pPr>
  </w:style>
  <w:style w:type="paragraph" w:customStyle="1" w:styleId="SectionTitlethreelineslarge">
    <w:name w:val="Section Title (three lines) (large)"/>
    <w:basedOn w:val="Normal"/>
    <w:rsid w:val="00F64EC0"/>
    <w:pPr>
      <w:ind w:left="567" w:hanging="567"/>
    </w:pPr>
  </w:style>
  <w:style w:type="paragraph" w:customStyle="1" w:styleId="MapTitle">
    <w:name w:val="Map Title"/>
    <w:basedOn w:val="Normal"/>
    <w:rsid w:val="00F64EC0"/>
    <w:pPr>
      <w:spacing w:after="0"/>
    </w:pPr>
  </w:style>
  <w:style w:type="paragraph" w:styleId="Header">
    <w:name w:val="header"/>
    <w:basedOn w:val="Normal"/>
    <w:link w:val="HeaderChar"/>
    <w:unhideWhenUsed/>
    <w:rsid w:val="00F64EC0"/>
    <w:pPr>
      <w:tabs>
        <w:tab w:val="center" w:pos="4513"/>
        <w:tab w:val="right" w:pos="9026"/>
      </w:tabs>
      <w:spacing w:after="0" w:line="240" w:lineRule="auto"/>
    </w:pPr>
  </w:style>
  <w:style w:type="character" w:customStyle="1" w:styleId="HeaderChar">
    <w:name w:val="Header Char"/>
    <w:basedOn w:val="DefaultParagraphFont"/>
    <w:link w:val="Header"/>
    <w:rsid w:val="00F64EC0"/>
    <w:rPr>
      <w:rFonts w:ascii="EC Square Sans Pro" w:hAnsi="EC Square Sans Pro"/>
      <w:color w:val="000000"/>
      <w:szCs w:val="24"/>
      <w:lang w:val="en-GB"/>
    </w:rPr>
  </w:style>
  <w:style w:type="paragraph" w:styleId="ListParagraph">
    <w:name w:val="List Paragraph"/>
    <w:basedOn w:val="Normal"/>
    <w:uiPriority w:val="34"/>
    <w:qFormat/>
    <w:rsid w:val="003C562C"/>
    <w:pPr>
      <w:ind w:left="720"/>
      <w:contextualSpacing/>
    </w:pPr>
  </w:style>
  <w:style w:type="paragraph" w:customStyle="1" w:styleId="Text1">
    <w:name w:val="Text 1"/>
    <w:basedOn w:val="Normal"/>
    <w:uiPriority w:val="99"/>
    <w:rsid w:val="00861E10"/>
    <w:pPr>
      <w:spacing w:before="120" w:line="240" w:lineRule="auto"/>
      <w:ind w:left="850"/>
    </w:pPr>
    <w:rPr>
      <w:rFonts w:ascii="Times New Roman" w:hAnsi="Times New Roman"/>
      <w:color w:val="auto"/>
      <w:sz w:val="24"/>
      <w:szCs w:val="20"/>
      <w:lang w:eastAsia="en-GB"/>
    </w:rPr>
  </w:style>
  <w:style w:type="character" w:styleId="CommentReference">
    <w:name w:val="annotation reference"/>
    <w:basedOn w:val="DefaultParagraphFont"/>
    <w:semiHidden/>
    <w:unhideWhenUsed/>
    <w:rsid w:val="00C25B3E"/>
    <w:rPr>
      <w:sz w:val="16"/>
      <w:szCs w:val="16"/>
    </w:rPr>
  </w:style>
  <w:style w:type="paragraph" w:styleId="CommentText">
    <w:name w:val="annotation text"/>
    <w:basedOn w:val="Normal"/>
    <w:link w:val="CommentTextChar"/>
    <w:unhideWhenUsed/>
    <w:rsid w:val="00C25B3E"/>
    <w:pPr>
      <w:spacing w:line="240" w:lineRule="auto"/>
    </w:pPr>
    <w:rPr>
      <w:szCs w:val="20"/>
    </w:rPr>
  </w:style>
  <w:style w:type="character" w:customStyle="1" w:styleId="CommentTextChar">
    <w:name w:val="Comment Text Char"/>
    <w:basedOn w:val="DefaultParagraphFont"/>
    <w:link w:val="CommentText"/>
    <w:rsid w:val="00C25B3E"/>
    <w:rPr>
      <w:rFonts w:ascii="EC Square Sans Pro" w:hAnsi="EC Square Sans Pro"/>
      <w:color w:val="000000"/>
      <w:lang w:val="en-GB"/>
    </w:rPr>
  </w:style>
  <w:style w:type="paragraph" w:styleId="CommentSubject">
    <w:name w:val="annotation subject"/>
    <w:basedOn w:val="CommentText"/>
    <w:next w:val="CommentText"/>
    <w:link w:val="CommentSubjectChar"/>
    <w:semiHidden/>
    <w:unhideWhenUsed/>
    <w:rsid w:val="00C25B3E"/>
    <w:rPr>
      <w:b/>
      <w:bCs/>
    </w:rPr>
  </w:style>
  <w:style w:type="character" w:customStyle="1" w:styleId="CommentSubjectChar">
    <w:name w:val="Comment Subject Char"/>
    <w:basedOn w:val="CommentTextChar"/>
    <w:link w:val="CommentSubject"/>
    <w:semiHidden/>
    <w:rsid w:val="00C25B3E"/>
    <w:rPr>
      <w:rFonts w:ascii="EC Square Sans Pro" w:hAnsi="EC Square Sans Pro"/>
      <w:b/>
      <w:bCs/>
      <w:color w:val="000000"/>
      <w:lang w:val="en-GB"/>
    </w:rPr>
  </w:style>
  <w:style w:type="paragraph" w:styleId="Revision">
    <w:name w:val="Revision"/>
    <w:hidden/>
    <w:uiPriority w:val="99"/>
    <w:semiHidden/>
    <w:rsid w:val="008D530F"/>
    <w:rPr>
      <w:rFonts w:ascii="EC Square Sans Pro" w:hAnsi="EC Square Sans Pro"/>
      <w:color w:val="000000"/>
      <w:szCs w:val="24"/>
      <w:lang w:val="en-GB"/>
    </w:rPr>
  </w:style>
  <w:style w:type="character" w:styleId="Hyperlink">
    <w:name w:val="Hyperlink"/>
    <w:basedOn w:val="DefaultParagraphFont"/>
    <w:uiPriority w:val="99"/>
    <w:unhideWhenUsed/>
    <w:rsid w:val="2C28BDD6"/>
    <w:rPr>
      <w:color w:val="0000FF"/>
      <w:u w:val="single"/>
    </w:rPr>
  </w:style>
  <w:style w:type="character" w:customStyle="1" w:styleId="FootnoteTextChar">
    <w:name w:val="Footnote Text Char"/>
    <w:basedOn w:val="DefaultParagraphFont"/>
    <w:link w:val="FootnoteText"/>
    <w:uiPriority w:val="99"/>
    <w:rsid w:val="009C6F80"/>
    <w:rPr>
      <w:rFonts w:ascii="EC Square Sans Pro" w:hAnsi="EC Square Sans Pro"/>
      <w:color w:val="000000"/>
      <w:sz w:val="16"/>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518DF"/>
    <w:pPr>
      <w:spacing w:after="160" w:line="240" w:lineRule="exact"/>
    </w:pPr>
    <w:rPr>
      <w:rFonts w:ascii="Times New Roman" w:hAnsi="Times New Roman"/>
      <w:color w:val="auto"/>
      <w:szCs w:val="20"/>
      <w:vertAlign w:val="superscript"/>
      <w:lang w:val="en-US"/>
    </w:rPr>
  </w:style>
  <w:style w:type="character" w:customStyle="1" w:styleId="Mention1">
    <w:name w:val="Mention1"/>
    <w:basedOn w:val="DefaultParagraphFont"/>
    <w:uiPriority w:val="99"/>
    <w:unhideWhenUsed/>
    <w:rsid w:val="005652EF"/>
    <w:rPr>
      <w:color w:val="2B579A"/>
      <w:shd w:val="clear" w:color="auto" w:fill="E1DFDD"/>
    </w:rPr>
  </w:style>
  <w:style w:type="character" w:customStyle="1" w:styleId="Marker">
    <w:name w:val="Marker"/>
    <w:basedOn w:val="DefaultParagraphFont"/>
    <w:rsid w:val="00E46E5E"/>
    <w:rPr>
      <w:color w:val="0000FF"/>
      <w:shd w:val="clear" w:color="auto" w:fill="auto"/>
    </w:rPr>
  </w:style>
  <w:style w:type="paragraph" w:customStyle="1" w:styleId="Pagedecouverture">
    <w:name w:val="Page de couverture"/>
    <w:basedOn w:val="Normal"/>
    <w:next w:val="Normal"/>
    <w:rsid w:val="00E46E5E"/>
    <w:pPr>
      <w:spacing w:after="0" w:line="240" w:lineRule="auto"/>
    </w:pPr>
    <w:rPr>
      <w:rFonts w:ascii="Times New Roman" w:eastAsiaTheme="minorHAnsi" w:hAnsi="Times New Roman"/>
      <w:color w:val="auto"/>
      <w:sz w:val="24"/>
      <w:szCs w:val="22"/>
    </w:rPr>
  </w:style>
  <w:style w:type="paragraph" w:customStyle="1" w:styleId="FooterCoverPage">
    <w:name w:val="Footer Cover Page"/>
    <w:basedOn w:val="Normal"/>
    <w:link w:val="FooterCoverPageChar"/>
    <w:rsid w:val="00E46E5E"/>
    <w:pPr>
      <w:tabs>
        <w:tab w:val="center" w:pos="4535"/>
        <w:tab w:val="right" w:pos="9071"/>
        <w:tab w:val="right" w:pos="9921"/>
      </w:tabs>
      <w:spacing w:before="360" w:after="0" w:line="240" w:lineRule="auto"/>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E46E5E"/>
    <w:rPr>
      <w:color w:val="000000"/>
      <w:sz w:val="24"/>
      <w:szCs w:val="24"/>
      <w:lang w:val="en-GB"/>
    </w:rPr>
  </w:style>
  <w:style w:type="paragraph" w:customStyle="1" w:styleId="FooterSensitivity">
    <w:name w:val="Footer Sensitivity"/>
    <w:basedOn w:val="Normal"/>
    <w:link w:val="FooterSensitivityChar"/>
    <w:rsid w:val="00E46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FooterSensitivityChar">
    <w:name w:val="Footer Sensitivity Char"/>
    <w:basedOn w:val="DefaultParagraphFont"/>
    <w:link w:val="FooterSensitivity"/>
    <w:rsid w:val="00E46E5E"/>
    <w:rPr>
      <w:b/>
      <w:color w:val="000000"/>
      <w:sz w:val="32"/>
      <w:szCs w:val="24"/>
      <w:lang w:val="en-GB"/>
    </w:rPr>
  </w:style>
  <w:style w:type="paragraph" w:customStyle="1" w:styleId="HeaderCoverPage">
    <w:name w:val="Header Cover Page"/>
    <w:basedOn w:val="Normal"/>
    <w:link w:val="HeaderCoverPageChar"/>
    <w:rsid w:val="00E46E5E"/>
    <w:pPr>
      <w:tabs>
        <w:tab w:val="center" w:pos="4535"/>
        <w:tab w:val="right" w:pos="9071"/>
      </w:tabs>
      <w:spacing w:line="240" w:lineRule="auto"/>
    </w:pPr>
    <w:rPr>
      <w:rFonts w:ascii="Times New Roman" w:hAnsi="Times New Roman"/>
      <w:sz w:val="24"/>
    </w:rPr>
  </w:style>
  <w:style w:type="character" w:customStyle="1" w:styleId="HeaderCoverPageChar">
    <w:name w:val="Header Cover Page Char"/>
    <w:basedOn w:val="DefaultParagraphFont"/>
    <w:link w:val="HeaderCoverPage"/>
    <w:rsid w:val="00E46E5E"/>
    <w:rPr>
      <w:color w:val="000000"/>
      <w:sz w:val="24"/>
      <w:szCs w:val="24"/>
      <w:lang w:val="en-GB"/>
    </w:rPr>
  </w:style>
  <w:style w:type="paragraph" w:customStyle="1" w:styleId="HeaderSensitivity">
    <w:name w:val="Header Sensitivity"/>
    <w:basedOn w:val="Normal"/>
    <w:link w:val="HeaderSensitivityChar"/>
    <w:rsid w:val="00E46E5E"/>
    <w:pPr>
      <w:pBdr>
        <w:top w:val="single" w:sz="4" w:space="1" w:color="auto"/>
        <w:left w:val="single" w:sz="4" w:space="4" w:color="auto"/>
        <w:bottom w:val="single" w:sz="4" w:space="1" w:color="auto"/>
        <w:right w:val="single" w:sz="4" w:space="4" w:color="auto"/>
      </w:pBdr>
      <w:spacing w:line="240" w:lineRule="auto"/>
      <w:ind w:left="113" w:right="113"/>
      <w:jc w:val="center"/>
    </w:pPr>
    <w:rPr>
      <w:rFonts w:ascii="Times New Roman" w:hAnsi="Times New Roman"/>
      <w:b/>
      <w:sz w:val="32"/>
    </w:rPr>
  </w:style>
  <w:style w:type="character" w:customStyle="1" w:styleId="HeaderSensitivityChar">
    <w:name w:val="Header Sensitivity Char"/>
    <w:basedOn w:val="DefaultParagraphFont"/>
    <w:link w:val="HeaderSensitivity"/>
    <w:rsid w:val="00E46E5E"/>
    <w:rPr>
      <w:b/>
      <w:color w:val="000000"/>
      <w:sz w:val="32"/>
      <w:szCs w:val="24"/>
      <w:lang w:val="en-GB"/>
    </w:rPr>
  </w:style>
  <w:style w:type="paragraph" w:customStyle="1" w:styleId="HeaderSensitivityRight">
    <w:name w:val="Header Sensitivity Right"/>
    <w:basedOn w:val="Normal"/>
    <w:link w:val="HeaderSensitivityRightChar"/>
    <w:rsid w:val="00E46E5E"/>
    <w:pPr>
      <w:spacing w:line="240" w:lineRule="auto"/>
      <w:jc w:val="right"/>
    </w:pPr>
    <w:rPr>
      <w:rFonts w:ascii="Times New Roman" w:hAnsi="Times New Roman"/>
      <w:sz w:val="28"/>
    </w:rPr>
  </w:style>
  <w:style w:type="character" w:customStyle="1" w:styleId="HeaderSensitivityRightChar">
    <w:name w:val="Header Sensitivity Right Char"/>
    <w:basedOn w:val="DefaultParagraphFont"/>
    <w:link w:val="HeaderSensitivityRight"/>
    <w:rsid w:val="00E46E5E"/>
    <w:rPr>
      <w:color w:val="000000"/>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294892">
      <w:bodyDiv w:val="1"/>
      <w:marLeft w:val="0"/>
      <w:marRight w:val="0"/>
      <w:marTop w:val="0"/>
      <w:marBottom w:val="0"/>
      <w:divBdr>
        <w:top w:val="none" w:sz="0" w:space="0" w:color="auto"/>
        <w:left w:val="none" w:sz="0" w:space="0" w:color="auto"/>
        <w:bottom w:val="none" w:sz="0" w:space="0" w:color="auto"/>
        <w:right w:val="none" w:sz="0" w:space="0" w:color="auto"/>
      </w:divBdr>
    </w:div>
    <w:div w:id="1664044294">
      <w:bodyDiv w:val="1"/>
      <w:marLeft w:val="0"/>
      <w:marRight w:val="0"/>
      <w:marTop w:val="0"/>
      <w:marBottom w:val="0"/>
      <w:divBdr>
        <w:top w:val="none" w:sz="0" w:space="0" w:color="auto"/>
        <w:left w:val="none" w:sz="0" w:space="0" w:color="auto"/>
        <w:bottom w:val="none" w:sz="0" w:space="0" w:color="auto"/>
        <w:right w:val="none" w:sz="0" w:space="0" w:color="auto"/>
      </w:divBdr>
    </w:div>
    <w:div w:id="1784107409">
      <w:bodyDiv w:val="1"/>
      <w:marLeft w:val="0"/>
      <w:marRight w:val="0"/>
      <w:marTop w:val="0"/>
      <w:marBottom w:val="0"/>
      <w:divBdr>
        <w:top w:val="none" w:sz="0" w:space="0" w:color="auto"/>
        <w:left w:val="none" w:sz="0" w:space="0" w:color="auto"/>
        <w:bottom w:val="none" w:sz="0" w:space="0" w:color="auto"/>
        <w:right w:val="none" w:sz="0" w:space="0" w:color="auto"/>
      </w:divBdr>
    </w:div>
    <w:div w:id="202947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footer" Target="footer4.xml"/><Relationship Id="rId30"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EPKit\Templates\EPExtern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091BF-A68F-4D14-9E4D-E2A98A14A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EPExternal.dotm</Template>
  <TotalTime>0</TotalTime>
  <Pages>20</Pages>
  <Words>11086</Words>
  <Characters>59200</Characters>
  <Application>Microsoft Office Word</Application>
  <DocSecurity>4</DocSecurity>
  <Lines>789</Lines>
  <Paragraphs>116</Paragraphs>
  <ScaleCrop>false</ScaleCrop>
  <Manager/>
  <Company/>
  <LinksUpToDate>false</LinksUpToDate>
  <CharactersWithSpaces>70170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2026-06-24T06:58:00Z</dcterms:created>
  <dcterms:modified xsi:type="dcterms:W3CDTF">2026-06-24T06:58:00Z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2026-06-21T17:54:01Z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fa656a86-fab6-4f66-8563-8c7c48af66ff</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