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85873" w14:textId="3E768824" w:rsidR="00E46E5E" w:rsidRDefault="005D00FB" w:rsidP="005D00FB">
      <w:pPr>
        <w:pStyle w:val="Pagedecouverture"/>
        <w:rPr>
          <w:noProof/>
        </w:rPr>
      </w:pPr>
      <w:bookmarkStart w:id="0" w:name="GUID0C83FB94D4D5468DAEDF020B9CAAF142"/>
      <w:bookmarkStart w:id="1" w:name="LW_BM_COVERPAGE"/>
      <w:r>
        <w:rPr>
          <w:noProof/>
        </w:rPr>
        <w:pict w14:anchorId="6B1F3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32058C-6F64-493B-9CEA-690702610D52" style="width:455.25pt;height:396.75pt">
            <v:imagedata r:id="rId8" o:title=""/>
          </v:shape>
        </w:pict>
      </w:r>
    </w:p>
    <w:bookmarkEnd w:id="1"/>
    <w:p w14:paraId="56819F7E" w14:textId="09535223" w:rsidR="00C3471D" w:rsidRPr="00C3471D" w:rsidRDefault="00C3471D" w:rsidP="00C3471D">
      <w:pPr>
        <w:pStyle w:val="Pagedecouverture"/>
        <w:rPr>
          <w:noProof/>
        </w:rPr>
        <w:sectPr w:rsidR="00C3471D" w:rsidRPr="00C3471D" w:rsidSect="005D00FB">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7" w:h="16839"/>
          <w:pgMar w:top="1134" w:right="1417" w:bottom="1134" w:left="1417" w:header="709" w:footer="709" w:gutter="0"/>
          <w:pgNumType w:start="0"/>
          <w:cols w:space="720"/>
          <w:docGrid w:linePitch="360"/>
        </w:sectPr>
      </w:pPr>
    </w:p>
    <w:p w14:paraId="3F4D3AAB" w14:textId="77777777" w:rsidR="009331D7" w:rsidRDefault="009331D7" w:rsidP="00D85738">
      <w:pPr>
        <w:rPr>
          <w:noProof/>
        </w:rPr>
      </w:pPr>
      <w:bookmarkStart w:id="2" w:name="_GoBack"/>
      <w:bookmarkEnd w:id="2"/>
    </w:p>
    <w:p w14:paraId="5AF1D865" w14:textId="46CFB80F" w:rsidR="009331D7" w:rsidRPr="00D00781" w:rsidRDefault="009331D7" w:rsidP="00D00781">
      <w:pPr>
        <w:numPr>
          <w:ilvl w:val="0"/>
          <w:numId w:val="1"/>
        </w:numPr>
        <w:ind w:left="567" w:hanging="567"/>
        <w:rPr>
          <w:b/>
          <w:bCs/>
          <w:noProof/>
        </w:rPr>
      </w:pPr>
      <w:r>
        <w:rPr>
          <w:b/>
          <w:noProof/>
        </w:rPr>
        <w:t>OBJET DU RAPPORT</w:t>
      </w:r>
    </w:p>
    <w:p w14:paraId="06DCB12B" w14:textId="2639A77B" w:rsidR="00F410AB" w:rsidRDefault="00F410AB" w:rsidP="004D64E3">
      <w:pPr>
        <w:ind w:left="567"/>
        <w:rPr>
          <w:noProof/>
        </w:rPr>
      </w:pPr>
      <w:r>
        <w:rPr>
          <w:noProof/>
        </w:rPr>
        <w:t>L’euro a vocation à devenir la monnaie unique de toute l’Union européenne. Il est actuellement utilisé chaque jour par environ 355 millions de personnes dans les 21 États membres de la zone euro. Parmi les avantages pratiques de l’euro figurent la stabilité accrue des prix, la réduction des coûts de transaction pour les personnes et les entreprises, des marchés plus transparents et compétitifs et l’intensification du commerce au sein de l’UE et avec le reste du monde. L’euro est actuellement la deuxième monnaie la plus utilisée dans le monde.</w:t>
      </w:r>
    </w:p>
    <w:p w14:paraId="63AE047A" w14:textId="40F99D16" w:rsidR="009C6F80" w:rsidRDefault="00F410AB" w:rsidP="004D64E3">
      <w:pPr>
        <w:ind w:left="567"/>
        <w:rPr>
          <w:noProof/>
        </w:rPr>
      </w:pPr>
      <w:r>
        <w:rPr>
          <w:noProof/>
        </w:rPr>
        <w:t>Conformément à l’article 140, paragraphe 1, du traité sur le fonctionnement de l’Union européenne (TFUE), tous les deux ans au moins ou à la demande de l’un des États membres faisant l’objet d’une dérogation</w:t>
      </w:r>
      <w:r>
        <w:rPr>
          <w:rStyle w:val="FootnoteReference"/>
          <w:noProof/>
        </w:rPr>
        <w:footnoteReference w:id="2"/>
      </w:r>
      <w:r>
        <w:rPr>
          <w:noProof/>
        </w:rPr>
        <w:t xml:space="preserve">, la Commission et la Banque centrale européenne (BCE) font rapport au Conseil sur les progrès réalisés par les États membres faisant l’objet d’une dérogation dans l’accomplissement de leurs obligations pour la réalisation de l’Union économique et monétaire. Les derniers rapports périodiques de la Commission et de la BCE sur l’état de la convergence ont été adoptés en juin 2024. </w:t>
      </w:r>
    </w:p>
    <w:p w14:paraId="011A551A" w14:textId="76607163" w:rsidR="009C6F80" w:rsidRDefault="2CB1302E" w:rsidP="009C6F80">
      <w:pPr>
        <w:ind w:left="567"/>
        <w:rPr>
          <w:noProof/>
        </w:rPr>
      </w:pPr>
      <w:r>
        <w:rPr>
          <w:noProof/>
        </w:rPr>
        <w:t>Le 25 février 2025, la Bulgarie a demandé une évaluation ad hoc de la convergence. À la suite de l’élaboration d’un rapport sur l’état de la convergence concernant la Bulgarie et sur la base d’une proposition de la Commission, le Conseil a conclu, en juillet 2025, que la Bulgarie remplissait les conditions nécessaires pour adopter l’euro le 1</w:t>
      </w:r>
      <w:r>
        <w:rPr>
          <w:noProof/>
          <w:vertAlign w:val="superscript"/>
        </w:rPr>
        <w:t>er</w:t>
      </w:r>
      <w:r>
        <w:rPr>
          <w:noProof/>
        </w:rPr>
        <w:t> janvier 2026</w:t>
      </w:r>
      <w:r>
        <w:rPr>
          <w:rStyle w:val="FootnoteReference"/>
          <w:noProof/>
        </w:rPr>
        <w:footnoteReference w:id="3"/>
      </w:r>
      <w:r>
        <w:rPr>
          <w:noProof/>
        </w:rPr>
        <w:t xml:space="preserve">. </w:t>
      </w:r>
    </w:p>
    <w:p w14:paraId="293A9D79" w14:textId="6CEAEC15" w:rsidR="00F410AB" w:rsidRDefault="00F410AB" w:rsidP="004D64E3">
      <w:pPr>
        <w:ind w:left="567"/>
        <w:rPr>
          <w:noProof/>
        </w:rPr>
      </w:pPr>
      <w:r>
        <w:rPr>
          <w:noProof/>
        </w:rPr>
        <w:t>Le présent rapport de 2026 sur l’état de la convergence concerne les cinq États membres suivants faisant l’objet d’une dérogation: la Tchéquie, la Hongrie, la Pologne, la Roumanie et la Suède</w:t>
      </w:r>
      <w:r>
        <w:rPr>
          <w:rStyle w:val="FootnoteReference"/>
          <w:noProof/>
        </w:rPr>
        <w:footnoteReference w:id="4"/>
      </w:r>
      <w:r>
        <w:rPr>
          <w:noProof/>
        </w:rPr>
        <w:t>. Le document de travail des services de la Commission joint au présent rapport contient une évaluation plus détaillée de l’état de la convergence dans ces pays</w:t>
      </w:r>
      <w:r>
        <w:rPr>
          <w:rStyle w:val="FootnoteReference"/>
          <w:noProof/>
        </w:rPr>
        <w:footnoteReference w:id="5"/>
      </w:r>
      <w:r>
        <w:rPr>
          <w:noProof/>
        </w:rPr>
        <w:t>.</w:t>
      </w:r>
    </w:p>
    <w:p w14:paraId="175EA11C" w14:textId="5ACDA170" w:rsidR="00D85CC2" w:rsidRDefault="00D85CC2" w:rsidP="00D85CC2">
      <w:pPr>
        <w:ind w:left="567"/>
        <w:rPr>
          <w:noProof/>
        </w:rPr>
      </w:pPr>
      <w:r>
        <w:rPr>
          <w:noProof/>
        </w:rPr>
        <w:t>En vertu de l’article 140, paragraphe 1, du TFUE, les rapports doivent examiner notamment si la législation nationale de chacun des États membres faisant l’objet d’une dérogation, y compris les statuts de sa banque centrale nationale, est compatible avec les articles 130 et 131 du TFUE et avec les statuts du Système européen de banques centrales (SEBC) et de la Banque centrale européenne (BCE). Ils doivent aussi examiner si l’État membre concerné a atteint un degré élevé de convergence durable: i) sur la base des quatre critères de convergence (stabilité des prix, situation des finances publiques, stabilité du taux de change et taux d’intérêt à long terme) et ii) compte tenu également des autres facteurs relatifs à l’intégration économique et à la convergence énumérés à l’article 140, paragraphe 1, dernier alinéa, du TFUE. Les quatre critères de convergence sont développés dans un protocole annexé aux traités (protocole nº 13 sur les critères de convergence).</w:t>
      </w:r>
    </w:p>
    <w:p w14:paraId="2EFDAC89" w14:textId="30C5D669" w:rsidR="0027082F" w:rsidRDefault="0027082F" w:rsidP="0027082F">
      <w:pPr>
        <w:ind w:left="567"/>
        <w:rPr>
          <w:noProof/>
        </w:rPr>
      </w:pPr>
      <w:r>
        <w:rPr>
          <w:noProof/>
        </w:rPr>
        <w:t xml:space="preserve">L’évaluation de la convergence exposée dans le présent rapport s’inscrit dans le contexte de plusieurs évolutions économiques et politiques majeures intervenues au cours de l’année 2025 et du premier semestre de 2026. </w:t>
      </w:r>
      <w:bookmarkStart w:id="3" w:name="_Hlk232343565"/>
      <w:r>
        <w:rPr>
          <w:noProof/>
        </w:rPr>
        <w:t xml:space="preserve">En 2025, l’augmentation des droits de douane américains, bien qu’inférieure à ce qui avait été initialement annoncé, et la volatilité de la politique commerciale américaine ont perturbé les flux commerciaux mondiaux et entraîné une incertitude politique accrue. Toutefois, en dépit de cet environnement extérieur difficile, l’économie de l’UE a fait preuve de résilience et continué de croître à un rythme régulier. Après avoir enregistré une croissance économique modérée de 1,0 % en 2024, l’économie de l’UE a repris de la vigueur en 2025, ce qui s’est traduit par une hausse du PIB de 1,4 %. Cette croissance a été soutenue par un marché du travail solide, l’apaisement des tensions inflationnistes et des conditions financières </w:t>
      </w:r>
      <w:r>
        <w:rPr>
          <w:noProof/>
        </w:rPr>
        <w:lastRenderedPageBreak/>
        <w:t xml:space="preserve">favorables. Après avoir culminé en 2022-23, la hausse annuelle des prix à la consommation est tombée à 2,6 % en 2024 et à 2,5 % en 2025. Sous l’effet de la baisse des prix de l’énergie et de la baisse de l’inflation des services, elle a continué de diminuer dans l’ensemble de l’UE au cours du premier semestre de 2025, avant de se stabiliser aux alentours de 2 % au cours du second semestre de l’année et des deux premiers mois de 2026. </w:t>
      </w:r>
    </w:p>
    <w:bookmarkEnd w:id="3"/>
    <w:p w14:paraId="4A3E1D3A" w14:textId="4EA7EB95" w:rsidR="00816876" w:rsidRDefault="00816876" w:rsidP="00816876">
      <w:pPr>
        <w:ind w:left="567"/>
        <w:rPr>
          <w:noProof/>
        </w:rPr>
      </w:pPr>
      <w:r>
        <w:rPr>
          <w:noProof/>
        </w:rPr>
        <w:t>Toutefois, le début de la guerre au Moyen-Orient le 28 février 2026 a bouleversé cette situation en provoquant la rupture mondiale d’approvisionnement énergétique la plus importante de l’histoire récente. Le conflit au Moyen-Orient a été suivi par la fermeture virtuelle du détroit d’Ormuz, qui a réduit les flux maritimes de pétrole et de GNL et entraîné une flambée des prix de l’énergie. Entre le début du conflit au Moyen-Orient et le 29 avril, date butoir pour les hypothèses techniques des prévisions économiques du printemps 2026 de la Commission, qui servent de base à l’évaluation de la durabilité figurant dans le présent rapport sur l’état de la convergence, les prix du pétrole et du gaz ont augmenté respectivement de 65 % et de 50 %, ce qui a entraîné une forte accélération de l’inflation énergétique. Les pressions sur les prix devraient s’étendre progressivement, à mesure que la hausse des coûts de l’énergie se répercute tout au long de la chaîne de production et en partie sur les consommateurs. Les hypothèses externes des prévisions économiques du printemps 2026 de la Commission tiennent compte de l’évolution prévue des prix des matières premières énergétiques à la date de finalisation des prévisions. Ces hypothèses relatives aux matières premières énergétiques supposent une normalisation relativement rapide, bien que partielle, des conditions d’approvisionnement. Les prix du pétrole et du gaz devraient en effet se stabiliser d’ici à 2027 et rester supérieurs d’environ 20 % à leurs niveaux d’avant la guerre.</w:t>
      </w:r>
    </w:p>
    <w:p w14:paraId="348908B6" w14:textId="2872B05C" w:rsidR="0027082F" w:rsidRDefault="0027082F" w:rsidP="0027082F">
      <w:pPr>
        <w:ind w:left="567"/>
        <w:rPr>
          <w:noProof/>
        </w:rPr>
      </w:pPr>
      <w:r>
        <w:rPr>
          <w:noProof/>
        </w:rPr>
        <w:t>Parallèlement, la guerre d’agression que la Russie continue de mener contre l’Ukraine fait peser une menace importante sur la sécurité européenne et exige une augmentation des dépenses de défense dans un avenir proche. Dans ce contexte, en mars 2025, la Commission a présenté, dans le cadre du plan «ReArm Europe»/Préparation à l’horizon 2030, un train de mesures en matière de défense. Dans le cadre de ce plan, la Commission a invité les États membres à demander l’activation de la clause dérogatoire nationale du pacte de stabilité et de croissance, qui leur accorde une marge de manœuvre budgétaire supplémentaire pour passer à un niveau durablement plus élevé de dépenses de défense, dans le respect des règles budgétaires de l’Union. Le montant de l’écart prévu par rapport à la trajectoire recommandée des dépenses nettes au titre de la clause dérogatoire est plafonné à 1,5 % du PIB, disponible pour une période de quatre ans. Par ailleurs, le nouvel instrument «Agir pour la sécurité de l’Europe» (SAFE) fournit jusqu’à 150 milliards d’EUR de prêts afin d’aider les États membres de l’Union à accroître rapidement et sensiblement leurs investissements dans les capacités de défense de l’Europe.</w:t>
      </w:r>
    </w:p>
    <w:p w14:paraId="081FEEC9" w14:textId="1988B75D" w:rsidR="0027082F" w:rsidRPr="00834F0C" w:rsidRDefault="00B812A0" w:rsidP="0027082F">
      <w:pPr>
        <w:ind w:left="567"/>
        <w:rPr>
          <w:noProof/>
        </w:rPr>
      </w:pPr>
      <w:r>
        <w:rPr>
          <w:noProof/>
        </w:rPr>
        <w:t xml:space="preserve">Une mise en œuvre plus rapide des plans nationaux pour la reprise et la résilience (PRR), avant la clôture de la facilité pour la reprise et la résilience (FRR) à la fin de l’année, ainsi que les progrès réalisés dans la mise en œuvre des programmes de la politique de cohésion pour la période 2021-2027, devraient compenser en partie les conséquences négatives de l’instabilité géopolitique actuelle et contribuer au processus de convergence des États membres de l’UE n’appartenant pas à la zone euro. En plus de contribuer à l’accélération de la croissance et à l’amélioration des finances publiques, la FRR et les programmes de la politique de cohésion renforcent la croissance et la résilience à long terme des États membres en soutenant des réformes et des investissements majeurs qui contribuent à relever tant des défis de longue date que des défis nouveaux, tels que la diversification de l’approvisionnement énergétique. À la fin du mois de mai 2026, les décaissements au titre de la FRR ont atteint 405,9 milliards d’EUR, soit environ 70 % du montant total de l’aide engagée au titre de la FRR. Pour la période 2021-2027, l’UE fournira aux États membres un financement de 420 milliards d’EUR au titre de la politique de cohésion. La politique de cohésion se concentre sur des domaines essentiels à la promotion de la convergence et de la compétitivité. Elle soutient des investissements à long terme conformes aux priorités de l’UE, encourage la croissance du PIB de l’UE et a une incidence particulièrement élevée sur les États membres et les régions qui en sont les principaux bénéficiaires. L’examen à mi-parcours de la politique de cohésion, qui s’est achevé à l’automne 2025, a offert aux États membres davantage de flexibilité et d’incitations pour déployer plus rapidement les ressources existantes, accélérer la mise en œuvre des programmes et mieux aligner le financement sur les principales priorités de l’UE. </w:t>
      </w:r>
    </w:p>
    <w:p w14:paraId="4C183F21" w14:textId="2967696B" w:rsidR="0027082F" w:rsidRDefault="0027082F" w:rsidP="0027082F">
      <w:pPr>
        <w:ind w:left="567"/>
        <w:rPr>
          <w:noProof/>
        </w:rPr>
      </w:pPr>
      <w:r>
        <w:rPr>
          <w:noProof/>
        </w:rPr>
        <w:t xml:space="preserve">Le 22 avril 2026, la Commission a adopté la communication «AccelerateEU», dans laquelle elle présente un ensemble complet d’actions et de mesures visant à faire face à la hausse des coûts de l’énergie et à réduire encore la dépendance à l’égard des marchés volatils des combustibles fossiles, tout en plaçant l’Europe sur une trajectoire stable vers l’indépendance énergétique. Cette communication vise à soulager les consommateurs confrontés à des flambées des prix de l’énergie et à accélérer la transition vers une énergie propre, sûre et abordable. De nombreux États membres ont adopté des mesures de politique budgétaire afin d’atténuer les conséquences sociales et économiques des prix élevés de l’énergie sur les ménages et les entreprises. Selon les prévisions économiques du printemps 2026 de la Commission, le coût budgétaire total de ces mesures s’élève à 14,6 milliards d’EUR, soit 0,07 % du PIB de l’UE en 2026, les écarts entre les États membres étant importants. </w:t>
      </w:r>
    </w:p>
    <w:p w14:paraId="6B464E2F" w14:textId="3FBDA7EA" w:rsidR="009A1B23" w:rsidRDefault="009A1B23" w:rsidP="009A1B23">
      <w:pPr>
        <w:ind w:left="567"/>
        <w:rPr>
          <w:noProof/>
        </w:rPr>
      </w:pPr>
      <w:r>
        <w:rPr>
          <w:noProof/>
        </w:rPr>
        <w:t xml:space="preserve">Le 3 juin 2026, la Commission a publié son paquet de printemps du Semestre européen 2026, qui comprend l’évaluation par la Commission du respect des recommandations pertinentes du Conseil sur la politique budgétaire. Pour les dix États membres faisant actuellement l’objet d’une procédure concernant les déficits excessifs (PDE), dont la Hongrie, la Pologne et la Roumanie, la Commission a évalué les mesures prises en réponse aux recommandations du Conseil au titre de la PDE. Pour les autres États membres (qui ne font pas actuellement l’objet d’une PDE), dont la Tchéquie et la Suède, la Commission a évalué les progrès accomplis dans la mise en œuvre des plans à moyen terme et le respect des recommandations pertinentes du Conseil. Pour les États membres qui bénéficient d’une période d’ajustement budgétaire de sept ans, au lieu de quatre, dans le cadre de leurs plans à moyen terme, parmi lesquels la Roumanie, la Commission a également évalué la mise en œuvre des étapes clés des réformes et investissements justifiant la prolongation de la période d’ajustement. Par ailleurs, elle a annoncé que les États membres prenant des mesures pour renforcer la sécurité énergétique de l’Europe et accélérer la transition vers une sortie des combustibles fossiles pourraient demander une flexibilité budgétaire limitée au titre de l’actuelle clause dérogatoire nationale prévue pour les dépenses de défense. À la demande de l’État membre, le champ d’application de la clause peut être étendu pour inclure des mesures, prises depuis février 2026, qui réduisent la dépendance à l’égard des combustibles fossiles importés, sous réserve d’un plafond annuel spécifique pour la période 2026-2028 (0,3 % du PIB) et d’un plafond cumulé (0,6 % du PIB). </w:t>
      </w:r>
    </w:p>
    <w:p w14:paraId="46CB412A" w14:textId="77777777" w:rsidR="001B33BE" w:rsidRPr="00B60C8D" w:rsidRDefault="001B33BE" w:rsidP="001B33BE">
      <w:pPr>
        <w:ind w:left="567"/>
        <w:rPr>
          <w:i/>
          <w:iCs/>
          <w:noProof/>
          <w:u w:val="single"/>
        </w:rPr>
      </w:pPr>
      <w:r>
        <w:rPr>
          <w:i/>
          <w:noProof/>
          <w:u w:val="single"/>
        </w:rPr>
        <w:t>Critères de convergence</w:t>
      </w:r>
    </w:p>
    <w:p w14:paraId="7E8FB402" w14:textId="1D92510E" w:rsidR="001B33BE" w:rsidRDefault="001B33BE" w:rsidP="001B33BE">
      <w:pPr>
        <w:ind w:left="567"/>
        <w:rPr>
          <w:noProof/>
        </w:rPr>
      </w:pPr>
      <w:r>
        <w:rPr>
          <w:noProof/>
        </w:rPr>
        <w:t xml:space="preserve">L’examen de </w:t>
      </w:r>
      <w:r>
        <w:rPr>
          <w:b/>
          <w:noProof/>
        </w:rPr>
        <w:t>la compatibilité de la législation nationale</w:t>
      </w:r>
      <w:r>
        <w:rPr>
          <w:noProof/>
        </w:rPr>
        <w:t xml:space="preserve"> des États membres faisant l’objet d’une dérogation, y compris les statuts de leur banque centrale nationale respective, avec l’article 130 et avec les obligations imposées par l’article 131 du TFUE, comprend une évaluation du respect de l’interdiction de financement monétaire (article 123 du TFUE) et de l’interdiction d’accès privilégié aux institutions financières (article 124 du TFUE), de la cohérence avec les objectifs du SEBC (article 127, paragraphe 1, du TFUE) et avec ses missions (article 127, paragraphe 2, du TFUE), ainsi que d’autres aspects liés à l’intégration des banques centrales nationales dans l’Eurosystème</w:t>
      </w:r>
      <w:r>
        <w:rPr>
          <w:rStyle w:val="FootnoteReference"/>
          <w:noProof/>
        </w:rPr>
        <w:footnoteReference w:id="6"/>
      </w:r>
      <w:r>
        <w:rPr>
          <w:noProof/>
        </w:rPr>
        <w:t xml:space="preserve">. </w:t>
      </w:r>
    </w:p>
    <w:p w14:paraId="69F9A311" w14:textId="77777777" w:rsidR="001B33BE" w:rsidRDefault="001B33BE" w:rsidP="001B33BE">
      <w:pPr>
        <w:ind w:left="567"/>
        <w:rPr>
          <w:i/>
          <w:iCs/>
          <w:noProof/>
        </w:rPr>
      </w:pPr>
      <w:r>
        <w:rPr>
          <w:noProof/>
        </w:rPr>
        <w:t xml:space="preserve">L’article 140, paragraphe 1, premier tiret, du TFUE définit le </w:t>
      </w:r>
      <w:r>
        <w:rPr>
          <w:b/>
          <w:noProof/>
        </w:rPr>
        <w:t>critère de stabilité des prix</w:t>
      </w:r>
      <w:r>
        <w:rPr>
          <w:noProof/>
        </w:rPr>
        <w:t xml:space="preserve"> comme </w:t>
      </w:r>
      <w:r>
        <w:rPr>
          <w:i/>
          <w:noProof/>
        </w:rPr>
        <w:t>«la réalisation d’un degré élevé de stabilité des prix; cela ressortira d’un taux d’inflation proche de celui des trois États membres, au plus, présentant les meilleurs résultats en matière de stabilité des prix».</w:t>
      </w:r>
    </w:p>
    <w:p w14:paraId="28F1A436" w14:textId="77777777" w:rsidR="001B33BE" w:rsidRDefault="001B33BE" w:rsidP="001B33BE">
      <w:pPr>
        <w:ind w:left="567"/>
        <w:rPr>
          <w:i/>
          <w:iCs/>
          <w:noProof/>
        </w:rPr>
      </w:pPr>
      <w:r>
        <w:rPr>
          <w:noProof/>
        </w:rPr>
        <w:t>L’article 1</w:t>
      </w:r>
      <w:r>
        <w:rPr>
          <w:noProof/>
          <w:vertAlign w:val="superscript"/>
        </w:rPr>
        <w:t>er</w:t>
      </w:r>
      <w:r>
        <w:rPr>
          <w:noProof/>
        </w:rPr>
        <w:t xml:space="preserve"> du protocole sur les critères de convergence précise que «</w:t>
      </w:r>
      <w:r>
        <w:rPr>
          <w:i/>
          <w:noProof/>
        </w:rPr>
        <w:t>le critère de stabilité des prix […] signifie qu’un État membre a un degré de stabilité des prix durable et un taux d’inflation moyen, observé au cours d’une période d’un an avant l’examen, qui ne dépasse pas de plus d’1,5 point de pourcentage celui des trois États membres, au plus, présentant les meilleurs résultats en matière de stabilité des prix</w:t>
      </w:r>
      <w:r>
        <w:rPr>
          <w:noProof/>
        </w:rPr>
        <w:t>.</w:t>
      </w:r>
      <w:r>
        <w:rPr>
          <w:i/>
          <w:noProof/>
        </w:rPr>
        <w:t xml:space="preserve"> L’inflation est calculée au moyen de l’indice des prix à la consommation sur une base comparable, compte tenu des différences dans les définitions nationales»</w:t>
      </w:r>
      <w:r>
        <w:rPr>
          <w:rStyle w:val="FootnoteReference"/>
          <w:i/>
          <w:iCs/>
          <w:noProof/>
        </w:rPr>
        <w:footnoteReference w:id="7"/>
      </w:r>
      <w:r>
        <w:rPr>
          <w:i/>
          <w:noProof/>
        </w:rPr>
        <w:t>.</w:t>
      </w:r>
    </w:p>
    <w:p w14:paraId="593567B5" w14:textId="77777777" w:rsidR="001B33BE" w:rsidRPr="00975939" w:rsidRDefault="001B33BE" w:rsidP="001B33BE">
      <w:pPr>
        <w:ind w:left="567"/>
        <w:rPr>
          <w:noProof/>
        </w:rPr>
      </w:pPr>
      <w:r>
        <w:rPr>
          <w:noProof/>
        </w:rPr>
        <w:t>Pour que la condition du caractère durable soit respectée, les résultats satisfaisants en matière d’inflation doivent être imputés au comportement du coût des intrants et aux autres facteurs structurels qui influencent l’évolution des prix, plutôt qu’à des facteurs temporaires. Par conséquent, l’examen de la convergence comporte une évaluation des facteurs qui influent sur les perspectives d’inflation et est complété par une référence aux prévisions les plus récentes de la Commission en matière d’inflation</w:t>
      </w:r>
      <w:r>
        <w:rPr>
          <w:rStyle w:val="FootnoteReference"/>
          <w:noProof/>
        </w:rPr>
        <w:footnoteReference w:id="8"/>
      </w:r>
      <w:r>
        <w:rPr>
          <w:noProof/>
        </w:rPr>
        <w:t xml:space="preserve">. </w:t>
      </w:r>
    </w:p>
    <w:p w14:paraId="70D87E84" w14:textId="1FC77FEB" w:rsidR="001B33BE" w:rsidRDefault="001B33BE" w:rsidP="001B33BE">
      <w:pPr>
        <w:ind w:left="567"/>
        <w:rPr>
          <w:noProof/>
        </w:rPr>
      </w:pPr>
      <w:r>
        <w:rPr>
          <w:noProof/>
        </w:rPr>
        <w:t>La valeur de référence pour l’inflation a été établie à 2,7 % en mai 2026, Chypre, la France et le Danemark étant les trois «États membres présentant les meilleurs résultats</w:t>
      </w:r>
      <w:r>
        <w:rPr>
          <w:rStyle w:val="FootnoteReference"/>
          <w:noProof/>
        </w:rPr>
        <w:footnoteReference w:id="9"/>
      </w:r>
      <w:r>
        <w:rPr>
          <w:noProof/>
        </w:rPr>
        <w:t>.</w:t>
      </w:r>
    </w:p>
    <w:p w14:paraId="3C7A8025" w14:textId="77777777" w:rsidR="001B33BE" w:rsidRDefault="001B33BE" w:rsidP="001B33BE">
      <w:pPr>
        <w:ind w:left="567"/>
        <w:rPr>
          <w:noProof/>
        </w:rPr>
      </w:pPr>
      <w:r>
        <w:rPr>
          <w:noProof/>
        </w:rPr>
        <w:t>Aucun État membre n’a été exclu en ce qui concerne l’inflation aux fins du calcul de la valeur de référence, car aucun n’a fait état d’un taux d’inflation s’écartant considérablement de la moyenne de la zone euro en raison de circonstances propres à chaque pays.</w:t>
      </w:r>
    </w:p>
    <w:p w14:paraId="4292DE63" w14:textId="113C35E5" w:rsidR="001B33BE" w:rsidRDefault="001B33BE" w:rsidP="001B33BE">
      <w:pPr>
        <w:ind w:left="567"/>
        <w:rPr>
          <w:i/>
          <w:iCs/>
          <w:noProof/>
        </w:rPr>
      </w:pPr>
      <w:r>
        <w:rPr>
          <w:noProof/>
        </w:rPr>
        <w:t xml:space="preserve">L’article 140, paragraphe 1, deuxième tiret, TFUE définit le </w:t>
      </w:r>
      <w:r>
        <w:rPr>
          <w:b/>
          <w:noProof/>
        </w:rPr>
        <w:t>critère de convergence relatif aux finances publiques</w:t>
      </w:r>
      <w:r>
        <w:rPr>
          <w:noProof/>
        </w:rPr>
        <w:t xml:space="preserve"> comme étant </w:t>
      </w:r>
      <w:r>
        <w:rPr>
          <w:i/>
          <w:noProof/>
        </w:rPr>
        <w:t xml:space="preserve">«le caractère soutenable de la situation des finances publiques; cela ressortira d’une situation budgétaire qui n’accuse pas de déficit public excessif au sens de l’article 126, paragraphe 6». </w:t>
      </w:r>
    </w:p>
    <w:p w14:paraId="176A58BB" w14:textId="77777777" w:rsidR="001B33BE" w:rsidRDefault="001B33BE" w:rsidP="001B33BE">
      <w:pPr>
        <w:ind w:left="567"/>
        <w:rPr>
          <w:noProof/>
        </w:rPr>
      </w:pPr>
      <w:r>
        <w:rPr>
          <w:noProof/>
        </w:rPr>
        <w:t>L’article 2 du protocole sur les critères de convergence précise que le respect de ce critère signifie qu’un «</w:t>
      </w:r>
      <w:r>
        <w:rPr>
          <w:i/>
          <w:noProof/>
        </w:rPr>
        <w:t>État membre ne fait pas l’objet, au moment de l’examen, d’une décision du Conseil visée à l’article 126, paragraphe 6, dudit traité concernant l’existence d’un déficit excessif dans l’État membre concerné</w:t>
      </w:r>
      <w:r>
        <w:rPr>
          <w:noProof/>
        </w:rPr>
        <w:t>».</w:t>
      </w:r>
    </w:p>
    <w:p w14:paraId="65DAAC76" w14:textId="77777777" w:rsidR="001B33BE" w:rsidRPr="00065E75" w:rsidRDefault="001B33BE" w:rsidP="001B33BE">
      <w:pPr>
        <w:ind w:left="567"/>
        <w:rPr>
          <w:i/>
          <w:iCs/>
          <w:noProof/>
        </w:rPr>
      </w:pPr>
      <w:r>
        <w:rPr>
          <w:noProof/>
        </w:rPr>
        <w:t xml:space="preserve">L’article 140, paragraphe 1, troisième tiret, du TFUE définit le </w:t>
      </w:r>
      <w:r>
        <w:rPr>
          <w:b/>
          <w:noProof/>
        </w:rPr>
        <w:t>critère du taux de change</w:t>
      </w:r>
      <w:r>
        <w:rPr>
          <w:noProof/>
        </w:rPr>
        <w:t xml:space="preserve"> comme «</w:t>
      </w:r>
      <w:r>
        <w:rPr>
          <w:i/>
          <w:noProof/>
        </w:rPr>
        <w:t>le respect des marges normales de fluctuation prévues par le mécanisme de taux de change du système monétaire européen pendant deux ans au moins, sans dévaluation de la monnaie par rapport à l’euro</w:t>
      </w:r>
      <w:r>
        <w:rPr>
          <w:noProof/>
        </w:rPr>
        <w:t>».</w:t>
      </w:r>
    </w:p>
    <w:p w14:paraId="1117235B" w14:textId="77777777" w:rsidR="001B33BE" w:rsidRPr="00065E75" w:rsidRDefault="001B33BE" w:rsidP="001B33BE">
      <w:pPr>
        <w:ind w:left="567"/>
        <w:rPr>
          <w:i/>
          <w:iCs/>
          <w:noProof/>
        </w:rPr>
      </w:pPr>
      <w:r>
        <w:rPr>
          <w:noProof/>
        </w:rPr>
        <w:t xml:space="preserve">L’article 3 du protocole sur les critères de convergence dispose ce qui suit: </w:t>
      </w:r>
      <w:r>
        <w:rPr>
          <w:i/>
          <w:noProof/>
        </w:rPr>
        <w:t>«Le critère de participation au mécanisme de change du système monétaire européen […] signifie qu’un État membre a respecté les marges normales de fluctuation prévues par le mécanisme de change du système monétaire européen sans connaître de tensions graves pendant au moins les deux dernières années précédant l’examen. Notamment, l’État membre n’a, de sa propre initiative, pas dévalué le taux central bilatéral de sa monnaie par rapport à l’euro pendant la même période»</w:t>
      </w:r>
      <w:r>
        <w:rPr>
          <w:rStyle w:val="FootnoteReference"/>
          <w:i/>
          <w:iCs/>
          <w:noProof/>
        </w:rPr>
        <w:footnoteReference w:id="10"/>
      </w:r>
      <w:r>
        <w:rPr>
          <w:i/>
          <w:noProof/>
        </w:rPr>
        <w:t>.</w:t>
      </w:r>
    </w:p>
    <w:p w14:paraId="3FB41088" w14:textId="7EE7D4C6" w:rsidR="001B33BE" w:rsidRDefault="001B33BE" w:rsidP="001B33BE">
      <w:pPr>
        <w:ind w:left="567"/>
        <w:rPr>
          <w:noProof/>
        </w:rPr>
      </w:pPr>
      <w:r>
        <w:rPr>
          <w:noProof/>
        </w:rPr>
        <w:t xml:space="preserve">La période de deux ans prise en compte pour l’évaluation de la stabilité du taux de change dans le présent rapport s’étendait du 18 juin 2024 au 17 juin 2026. Dans son évaluation de la stabilité du taux de change, la Commission tient compte de l’évolution d’indicateurs auxiliaires tels que l’évolution de la réserve de devises et les taux d’intérêt à court terme. Elle tient également compte du rôle des mesures politiques (notamment les interventions sur le marché des changes) et l’assistance financière internationale (le cas échéant) dans le maintien de la stabilité du taux de change. </w:t>
      </w:r>
    </w:p>
    <w:p w14:paraId="79EB0D44" w14:textId="77777777" w:rsidR="001B33BE" w:rsidRDefault="001B33BE" w:rsidP="001B33BE">
      <w:pPr>
        <w:ind w:left="567"/>
        <w:rPr>
          <w:i/>
          <w:iCs/>
          <w:noProof/>
        </w:rPr>
      </w:pPr>
      <w:r>
        <w:rPr>
          <w:noProof/>
        </w:rPr>
        <w:t>L’article 140, paragraphe 1, quatrième tiret, du TFUE impose que «</w:t>
      </w:r>
      <w:r>
        <w:rPr>
          <w:i/>
          <w:noProof/>
        </w:rPr>
        <w:t>le caractère durable de la convergence atteinte par l’État membre faisant l’objet d’une dérogation et de sa participation au mécanisme de taux de change</w:t>
      </w:r>
      <w:r>
        <w:rPr>
          <w:noProof/>
        </w:rPr>
        <w:t>» [...] «</w:t>
      </w:r>
      <w:r>
        <w:rPr>
          <w:i/>
          <w:noProof/>
        </w:rPr>
        <w:t xml:space="preserve">se reflète dans les </w:t>
      </w:r>
      <w:r>
        <w:rPr>
          <w:b/>
          <w:i/>
          <w:noProof/>
        </w:rPr>
        <w:t>niveaux des taux d’intérêt à long terme</w:t>
      </w:r>
      <w:r>
        <w:rPr>
          <w:noProof/>
        </w:rPr>
        <w:t>».</w:t>
      </w:r>
    </w:p>
    <w:p w14:paraId="4968DE11" w14:textId="77777777" w:rsidR="001B33BE" w:rsidRDefault="001B33BE" w:rsidP="001B33BE">
      <w:pPr>
        <w:ind w:left="567"/>
        <w:rPr>
          <w:i/>
          <w:iCs/>
          <w:noProof/>
        </w:rPr>
      </w:pPr>
      <w:r>
        <w:rPr>
          <w:noProof/>
        </w:rPr>
        <w:t>L’article 4 du protocole sur les critères de convergence précise que «</w:t>
      </w:r>
      <w:r>
        <w:rPr>
          <w:i/>
          <w:noProof/>
        </w:rPr>
        <w:t>le critère de convergence des taux d’intérêt […], au cours d’une période d’un an précédant l’examen, signifie qu’un État membre a eu un taux d’intérêt nominal moyen à long terme qui n’excède pas de plus de deux points de pourcentage celui des trois États membres, au plus, présentant les meilleurs résultats en matière de stabilité des prix. Les taux d’intérêt sont calculés sur la base d’obligations d’État à long terme ou de titres comparables, compte tenu des différences dans les définitions nationales».</w:t>
      </w:r>
    </w:p>
    <w:p w14:paraId="571C0F76" w14:textId="0B484DFD" w:rsidR="001B33BE" w:rsidRDefault="001B33BE" w:rsidP="001B33BE">
      <w:pPr>
        <w:ind w:left="567"/>
        <w:rPr>
          <w:noProof/>
        </w:rPr>
      </w:pPr>
      <w:r>
        <w:rPr>
          <w:noProof/>
        </w:rPr>
        <w:t>La valeur de référence pour le taux d’intérêt a été établie à 5,1 % en mai 2026</w:t>
      </w:r>
      <w:r>
        <w:rPr>
          <w:rStyle w:val="FootnoteReference"/>
          <w:noProof/>
        </w:rPr>
        <w:footnoteReference w:id="11"/>
      </w:r>
      <w:r>
        <w:rPr>
          <w:noProof/>
        </w:rPr>
        <w:t>.</w:t>
      </w:r>
    </w:p>
    <w:p w14:paraId="6A8A012C" w14:textId="4DEC4152" w:rsidR="001B33BE" w:rsidRDefault="001B33BE" w:rsidP="001B33BE">
      <w:pPr>
        <w:ind w:left="567"/>
        <w:rPr>
          <w:noProof/>
        </w:rPr>
      </w:pPr>
      <w:r>
        <w:rPr>
          <w:noProof/>
        </w:rPr>
        <w:t>L’article 140, paragraphe 1, du TFUE exige également que les rapports tiennent compte d’</w:t>
      </w:r>
      <w:r>
        <w:rPr>
          <w:b/>
          <w:noProof/>
        </w:rPr>
        <w:t>autres facteurs</w:t>
      </w:r>
      <w:r>
        <w:rPr>
          <w:noProof/>
        </w:rPr>
        <w:t xml:space="preserve"> pertinents pour l’intégration économique et la convergence: l’intégration des marchés, l’évolution du compte des transactions courantes de la balance des paiements, des coûts salariaux unitaires et d’autres indices de prix. Les facteurs supplémentaires devant être pris en compte sont des indicateurs importants pour établir si l’intégration d’un État membre dans la zone euro s’effectuerait sans difficulté. Ils élargissent en outre l’analyse du degré élevé requis de convergence durable.</w:t>
      </w:r>
    </w:p>
    <w:p w14:paraId="4B5BF6FC" w14:textId="65B1BB9B" w:rsidR="001B33BE" w:rsidRDefault="001B33BE" w:rsidP="001B33BE">
      <w:pPr>
        <w:ind w:left="567"/>
        <w:rPr>
          <w:noProof/>
        </w:rPr>
      </w:pPr>
      <w:r>
        <w:rPr>
          <w:noProof/>
        </w:rPr>
        <w:t>L’évaluation du degré de convergence durable pour les États membres faisant l’objet d’une dérogation présentée dans le présent rapport s’appuie sur les prévisions économiques du printemps 2026 de la Commission et sur les orientations politiques du paquet de printemps du Semestre européen 2026</w:t>
      </w:r>
      <w:r>
        <w:rPr>
          <w:rStyle w:val="FootnoteReference"/>
          <w:noProof/>
        </w:rPr>
        <w:footnoteReference w:id="12"/>
      </w:r>
      <w:r>
        <w:rPr>
          <w:noProof/>
        </w:rPr>
        <w:t>, et tout particulièrement: sur la communication chapeau sur le paquet de printemps, notamment ses conclusions i) sur la surveillance budgétaire menée dans le cadre du pacte de stabilité et de croissance et ii) sur la procédure concernant les déséquilibres macroéconomiques. L’évaluation fait également référence aux conclusions des bilans approfondis de 2026 et des rapports par pays de 2026. Elle est également le reflet des évaluations effectuées par la Commission des risques liés à la viabilité budgétaire et du cadre budgétaire national, ainsi que de la mise en œuvre des PRR. Les performances du marché du travail et des produits, la participation au marché du travail, la disponibilité des compétences, la formation des salaires, la résilience sociale et la cohésion territoriale sont également des facteurs pertinents, car ils contribuent à façonner la capacité d’ajustement, la compétitivité et la capacité à participer sans heurts à la zone euro.</w:t>
      </w:r>
    </w:p>
    <w:p w14:paraId="0DB4D347" w14:textId="77777777" w:rsidR="00A97E17" w:rsidRDefault="00A97E17" w:rsidP="00F62737">
      <w:pPr>
        <w:ind w:left="567"/>
        <w:rPr>
          <w:noProof/>
        </w:rPr>
      </w:pPr>
    </w:p>
    <w:p w14:paraId="14CBCF34" w14:textId="522550A8" w:rsidR="009331D7" w:rsidRDefault="003C562C" w:rsidP="003C562C">
      <w:pPr>
        <w:numPr>
          <w:ilvl w:val="0"/>
          <w:numId w:val="1"/>
        </w:numPr>
        <w:ind w:left="567" w:hanging="567"/>
        <w:rPr>
          <w:b/>
          <w:bCs/>
          <w:noProof/>
        </w:rPr>
      </w:pPr>
      <w:r>
        <w:rPr>
          <w:b/>
          <w:noProof/>
        </w:rPr>
        <w:t>TCHÉQUIE</w:t>
      </w:r>
    </w:p>
    <w:p w14:paraId="6F74E9F8" w14:textId="60B310C5" w:rsidR="003834D9" w:rsidRPr="003834D9" w:rsidRDefault="003834D9" w:rsidP="003834D9">
      <w:pPr>
        <w:ind w:left="567"/>
        <w:rPr>
          <w:b/>
          <w:bCs/>
          <w:noProof/>
        </w:rPr>
      </w:pPr>
      <w:r>
        <w:rPr>
          <w:b/>
          <w:noProof/>
        </w:rPr>
        <w:t>À la lumière de son évaluation de la compatibilité de la législation et du respect des critères de convergence, et compte tenu des autres facteurs pertinents, la Commission considère que la Tchéquie ne remplit pas les conditions exigées pour l’adoption de l’euro.</w:t>
      </w:r>
    </w:p>
    <w:p w14:paraId="7340D1B1" w14:textId="2884BF56" w:rsidR="003834D9" w:rsidRDefault="003834D9" w:rsidP="003834D9">
      <w:pPr>
        <w:ind w:left="567"/>
        <w:rPr>
          <w:noProof/>
        </w:rPr>
      </w:pPr>
      <w:r>
        <w:rPr>
          <w:noProof/>
        </w:rPr>
        <w:t xml:space="preserve">La </w:t>
      </w:r>
      <w:r>
        <w:rPr>
          <w:b/>
          <w:noProof/>
        </w:rPr>
        <w:t>législation de la Tchéquie</w:t>
      </w:r>
      <w:r>
        <w:rPr>
          <w:noProof/>
        </w:rPr>
        <w:t xml:space="preserve"> – en particulier la loi du Conseil national tchèque nº 6/1993 sur la Banque nationale tchèque Česká národní banka (la «loi sur la ČNB») – </w:t>
      </w:r>
      <w:r>
        <w:rPr>
          <w:b/>
          <w:noProof/>
        </w:rPr>
        <w:t>n’est pas totalement compatible</w:t>
      </w:r>
      <w:r>
        <w:rPr>
          <w:noProof/>
        </w:rPr>
        <w:t xml:space="preserve"> avec les obligations prévues par l’article 131 du TFUE. Les points d’incompatibilité concernent notamment l’indépendance de la banque centrale, l’interdiction du financement monétaire et l’intégration de la banque centrale dans l’Eurosystème en ce qui concerne les objectifs de la ČNB et les objectifs et les missions du SEBC/de la BCE prévues à l’article 127, paragraphes 1 et 2, du TFUE et aux articles 2 et 3 des statuts du SEBC et de la BCE. En outre, la loi sur la ČNB contient également des imperfections relatives aux missions du SEBC.</w:t>
      </w:r>
    </w:p>
    <w:p w14:paraId="22BD389F" w14:textId="52053BAB" w:rsidR="00F32307" w:rsidRDefault="00F32307" w:rsidP="00F32307">
      <w:pPr>
        <w:ind w:left="567"/>
        <w:rPr>
          <w:noProof/>
        </w:rPr>
      </w:pPr>
      <w:r>
        <w:rPr>
          <w:b/>
          <w:noProof/>
        </w:rPr>
        <w:t>La Tchéquie satisfait au critère de stabilité des prix.</w:t>
      </w:r>
      <w:r>
        <w:rPr>
          <w:noProof/>
        </w:rPr>
        <w:t xml:space="preserve"> Au cours de la période de 12 mois qui s’est terminée en mai 2026, le taux d’inflation moyen en Tchéquie était de 1,9 %, ce qui est inférieur à la valeur de référence de 2,7 %. Il devrait augmenter d’ici à la fin de 2026 et diminuer au second semestre de 2027, mais rester inférieur à la valeur de référence au cours des deux années. </w:t>
      </w:r>
    </w:p>
    <w:p w14:paraId="630586EC" w14:textId="115C5ABB" w:rsidR="003C562C" w:rsidRDefault="004E632A" w:rsidP="00B73DB6">
      <w:pPr>
        <w:ind w:left="567"/>
        <w:jc w:val="center"/>
        <w:rPr>
          <w:noProof/>
        </w:rPr>
      </w:pPr>
      <w:r w:rsidRPr="004E632A">
        <w:rPr>
          <w:noProof/>
          <w:lang w:val="en-GB" w:eastAsia="en-GB"/>
        </w:rPr>
        <w:drawing>
          <wp:inline distT="0" distB="0" distL="0" distR="0" wp14:anchorId="58F219B9" wp14:editId="2758B674">
            <wp:extent cx="3951605" cy="2901950"/>
            <wp:effectExtent l="0" t="0" r="0" b="0"/>
            <wp:docPr id="18335521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51605" cy="2901950"/>
                    </a:xfrm>
                    <a:prstGeom prst="rect">
                      <a:avLst/>
                    </a:prstGeom>
                    <a:noFill/>
                    <a:ln>
                      <a:noFill/>
                    </a:ln>
                  </pic:spPr>
                </pic:pic>
              </a:graphicData>
            </a:graphic>
          </wp:inline>
        </w:drawing>
      </w:r>
    </w:p>
    <w:p w14:paraId="1C6CC779" w14:textId="070EC78B" w:rsidR="003D6E40" w:rsidRDefault="003D6E40" w:rsidP="003834D9">
      <w:pPr>
        <w:ind w:left="567"/>
        <w:rPr>
          <w:noProof/>
        </w:rPr>
      </w:pPr>
      <w:r>
        <w:rPr>
          <w:noProof/>
        </w:rPr>
        <w:t xml:space="preserve">Après une période d’inflation élevée en 2021-2023, qui a débuté avec la reprise post-COVID et a été aggravée par le choc sur les prix de l’énergie à la suite de l’invasion à grande échelle de l’Ukraine par la Russie, l’inflation mesurée par l’IPCH a commencé à ralentir en 2024 (2,7 %) et en 2025 (2,3 %). La baisse de l’inflation globale s’explique par un ralentissement des prix des produits alimentaires en 2024 et des prix de l’énergie en 2025. L’inflation des services, qui est généralement relativement persistante et alimentée par les salaires, s’est ralentie au cours de cette période, mais est restée nettement supérieure à l’inflation globale. L’inflation annuelle a encore ralenti lors des deux premiers mois de 2026, avant d’augmenter au cours des mois suivants pour atteindre </w:t>
      </w:r>
      <w:r>
        <w:rPr>
          <w:noProof/>
          <w:color w:val="000000" w:themeColor="text1"/>
        </w:rPr>
        <w:t xml:space="preserve">1.8 % en mai 2026, sous l’effet de l’inflation des services et d’une flambée de l’inflation énergétique liée au conflit au Moyen-Orient. </w:t>
      </w:r>
      <w:r>
        <w:rPr>
          <w:noProof/>
        </w:rPr>
        <w:t xml:space="preserve">En 2024 et 2025, les taux annuels d’inflation basés sur l’IPCH ont été en moyenne légèrement plus élevés en Tchéquie que dans la zone euro dans son ensemble.  </w:t>
      </w:r>
    </w:p>
    <w:p w14:paraId="3E89551C" w14:textId="3D82A540" w:rsidR="00B468F6" w:rsidRDefault="05BEE697" w:rsidP="46BA4923">
      <w:pPr>
        <w:ind w:left="567"/>
        <w:rPr>
          <w:noProof/>
        </w:rPr>
      </w:pPr>
      <w:r>
        <w:rPr>
          <w:noProof/>
        </w:rPr>
        <w:t>Selon les prévisions économiques du printemps 2026 de la Commission, le taux annuel moyen de l’inflation basé sur l’IPCH devrait augmenter pour atteindre 2,7 % en 2026, et 2,8 % en 2027. Cette hausse prévue s’explique par des flambées des prix de l’énergie, qui ne sont que partiellement compensées par un ralentissement de la hausse des prix des services et des denrées alimentaires. En Tchéquie, le niveau des prix à la consommation était d’environ 88 % de la moyenne de la zone euro en 2024, ce qui donne à penser qu’il reste possible que la convergence des prix se poursuive à long terme.</w:t>
      </w:r>
    </w:p>
    <w:p w14:paraId="06819DD6" w14:textId="3C35D1EC" w:rsidR="00E40A43" w:rsidRDefault="007E7E5E" w:rsidP="00A96F61">
      <w:pPr>
        <w:ind w:left="567"/>
        <w:rPr>
          <w:noProof/>
        </w:rPr>
      </w:pPr>
      <w:bookmarkStart w:id="4" w:name="_Hlk169705889"/>
      <w:r>
        <w:rPr>
          <w:b/>
          <w:noProof/>
        </w:rPr>
        <w:t xml:space="preserve">La Tchéquie satisfait au critère relatif aux finances publiques. </w:t>
      </w:r>
      <w:r>
        <w:rPr>
          <w:noProof/>
        </w:rPr>
        <w:t>La Tchéquie</w:t>
      </w:r>
      <w:r>
        <w:rPr>
          <w:b/>
          <w:noProof/>
        </w:rPr>
        <w:t xml:space="preserve"> </w:t>
      </w:r>
      <w:r>
        <w:rPr>
          <w:noProof/>
        </w:rPr>
        <w:t xml:space="preserve">ne fait pas l’objet d’une décision du Conseil concernant l’existence d’un déficit public excessif. Le déficit public est passé de 2,0 % du PIB en 2024 à 2,1 % en 2025, sous l’effet de la hausse des salaires de la fonction publique et de l’augmentation des subventions publiques en faveur des sources d’énergie renouvelables, malgré une croissance plus forte du PIB. Selon les prévisions économiques du printemps 2026 de la Commission, le déficit public devrait atteindre 2,8 % du PIB en 2026 en raison, entre autres, de la suppression progressive de la taxe sur les bénéfices exceptionnels des entreprises du secteur de l’énergie et de la prise en charge, par le gouvernement, du paiement de la taxe sur les énergies renouvelables incombant aux consommateurs d’électricité. En 2027, le ratio de déficit public devrait s’établir à 2,9 %. </w:t>
      </w:r>
    </w:p>
    <w:p w14:paraId="03E695B4" w14:textId="15DA5C02" w:rsidR="00E059CD" w:rsidRDefault="0061106F" w:rsidP="003834D9">
      <w:pPr>
        <w:ind w:left="567"/>
        <w:rPr>
          <w:rFonts w:eastAsia="EC Square Sans Pro" w:cs="EC Square Sans Pro"/>
          <w:noProof/>
        </w:rPr>
      </w:pPr>
      <w:r>
        <w:rPr>
          <w:noProof/>
        </w:rPr>
        <w:t>Le 21 janvier 2025, le Conseil a adopté une recommandation approuvant le plan budgétaire et structurel à moyen terme de la Tchéquie. Le plan définit une trajectoire d’ajustement budgétaire sur quatre ans, avec une croissance maximale des dépenses nettes de 4,5 % en 2025, de 2,5 % en 2026, de 2,6 % en 2027 et de 2,9 % en 2028. En juillet 2025, le Conseil a activé la clause dérogatoire nationale pour l’augmentation des dépenses de défense de la Tchéquie, ce qui lui a permis de s’écarter de la trajectoire des dépenses nettes prévue dans le plan budgétaire et structurel à moyen terme et de la dépasser. Le 3 juin 2026, la Commission a conclu que les dépenses nettes de la Tchéquie ont augmenté de 4,9 % en 2025 et de 6,0 %, en cumulé, sur 2024 et 2025. La croissance des dépenses nettes en 2025 était supérieure au taux de croissance maximal recommandé, avec un écart de 0,2 % du PIB en termes annuels. Si l’on examine conjointement les années 2024 et 2025, le taux de croissance cumulé des dépenses nettes est inférieur au taux de croissance maximal recommandé. Étant donné que la Tchéquie bénéficie d’une flexibilité au titre de la clause dérogatoire nationale, l’évaluation de la conformité se concentre sur cette dernière comparaison.</w:t>
      </w:r>
    </w:p>
    <w:p w14:paraId="4D92DB86" w14:textId="4BCAB049" w:rsidR="00A87607" w:rsidRDefault="00D20B86" w:rsidP="00630DB4">
      <w:pPr>
        <w:ind w:left="567"/>
        <w:rPr>
          <w:noProof/>
        </w:rPr>
      </w:pPr>
      <w:bookmarkStart w:id="5" w:name="_Hlk226539012"/>
      <w:r>
        <w:rPr>
          <w:noProof/>
        </w:rPr>
        <w:t xml:space="preserve">Les dépenses nettes devraient augmenter de 6,4 % en 2026, ce qui est supérieur à la croissance recommandée (2,5 %). </w:t>
      </w:r>
      <w:bookmarkEnd w:id="5"/>
      <w:r>
        <w:rPr>
          <w:noProof/>
        </w:rPr>
        <w:t xml:space="preserve">L’écart par rapport au maximum recommandé correspond à un écart annuel de 1,5 % du PIB et a un écart cumulé de 0,1 % du PIB, si l’on examine conjointement les années 2024, 2025 et 2026. Compte tenu de la flexibilité permise par la clause dérogatoire nationale, l’écart prévu pour 2026 se situe dans les limites de la flexibilité prévue par ladite clause sur la base des projections actuelles relatives aux dépenses de défense. </w:t>
      </w:r>
    </w:p>
    <w:p w14:paraId="33E5B0D3" w14:textId="7258CDC3" w:rsidR="00F7067F" w:rsidRPr="00823399" w:rsidRDefault="00F60C20" w:rsidP="00630DB4">
      <w:pPr>
        <w:ind w:left="567"/>
        <w:rPr>
          <w:noProof/>
        </w:rPr>
      </w:pPr>
      <w:r>
        <w:rPr>
          <w:noProof/>
        </w:rPr>
        <w:t>Le ratio de la dette publique au PIB a augmenté, passant de 43,3 % en 2024 à 44,3 % en 2025, et devrait poursuivre sa hausse pour atteindre 45,8 % du PIB en 2026, puis 47,2 % en 2027. Cette augmentation est due à un solde primaire négatif, aux dépenses d’intérêts et, dans une moindre mesure, à l’ajustement stocks-flux de nature à accroître la dette, mais est partiellement compensée par la croissance du PIB nominal. À moyen terme, les risques pesant sur la soutenabilité de la dette semblent modérés; la dette publique devrait en effet passer d’environ 44 % du PIB en 2025 à environ 56 % en 2036. Le cadre budgétaire national tchèque fonctionne bien, mais est confronté à des défis croissants en raison, entre autres, d’une forte augmentation de la dette publique depuis la pandémie, du respect de la règle relative au solde structurel nécessitant des mesures d’assainissement supplémentaires avant 2028 et de l’exclusion des dépenses de défense supérieures à 2 % du PIB du cadre de dépenses national.</w:t>
      </w:r>
    </w:p>
    <w:bookmarkEnd w:id="4"/>
    <w:p w14:paraId="7A100D7C" w14:textId="03A83475" w:rsidR="003834D9" w:rsidRDefault="00D42A50" w:rsidP="00FA20AB">
      <w:pPr>
        <w:ind w:left="567"/>
        <w:jc w:val="center"/>
        <w:rPr>
          <w:noProof/>
        </w:rPr>
      </w:pPr>
      <w:r w:rsidRPr="00D42A50">
        <w:rPr>
          <w:noProof/>
          <w:lang w:val="en-GB" w:eastAsia="en-GB"/>
        </w:rPr>
        <w:drawing>
          <wp:inline distT="0" distB="0" distL="0" distR="0" wp14:anchorId="206EDF39" wp14:editId="0B23D974">
            <wp:extent cx="4277802" cy="2492752"/>
            <wp:effectExtent l="0" t="0" r="8890" b="3175"/>
            <wp:docPr id="7059419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7796" cy="2498576"/>
                    </a:xfrm>
                    <a:prstGeom prst="rect">
                      <a:avLst/>
                    </a:prstGeom>
                    <a:noFill/>
                    <a:ln>
                      <a:noFill/>
                    </a:ln>
                  </pic:spPr>
                </pic:pic>
              </a:graphicData>
            </a:graphic>
          </wp:inline>
        </w:drawing>
      </w:r>
    </w:p>
    <w:p w14:paraId="3851E414" w14:textId="2E8C3497" w:rsidR="004236D7" w:rsidRDefault="004236D7" w:rsidP="004236D7">
      <w:pPr>
        <w:ind w:left="567"/>
        <w:rPr>
          <w:noProof/>
        </w:rPr>
      </w:pPr>
      <w:r>
        <w:rPr>
          <w:b/>
          <w:noProof/>
        </w:rPr>
        <w:t>La Tchéquie ne satisfait pas au critère du taux de change.</w:t>
      </w:r>
      <w:r>
        <w:rPr>
          <w:noProof/>
        </w:rPr>
        <w:t xml:space="preserve"> La couronne tchèque ne participe pas au mécanisme européen de taux de change II. Depuis la fin des années 1990, la ČNB applique un système de ciblage explicite de l’inflation combiné à un régime de taux de change flottant, qui permet à la banque centrale d’intervenir sur le marché des changes. Entre avril 2024 et janvier 2025, la couronne tchèque s’échangeait à environ 25,2 CZK pour un euro. À la fin de l’année 2025, la couronne tchèque s’était appréciée à environ 24,3 et a fluctué autour de ce niveau jusqu’à la mi-2026. En mai 2026, la couronne était d’environ 2 % plus forte par rapport à l’euro que deux ans auparavant. Le cycle d’assouplissement de la politique monétaire de la ČNB entre décembre 2023 et mai 2025 a entraîné une baisse importante et constante du PRIBOR à trois mois et, par conséquent, de l’écart par rapport à la zone euro, qui est tombé en dessous de 100 points de base au second semestre 2024. À partir de septembre 2024, cet écart a commencé à se creuser légèrement jusqu’à la mi-2025. Par la suite, l’écart s’est stabilisé autour de 150 points de base, avant d’atteindre 133 points de base en mai 2026.</w:t>
      </w:r>
    </w:p>
    <w:p w14:paraId="1D398712" w14:textId="274D7880" w:rsidR="00B922E3" w:rsidRDefault="00B922E3" w:rsidP="00B922E3">
      <w:pPr>
        <w:ind w:left="567"/>
        <w:rPr>
          <w:noProof/>
        </w:rPr>
      </w:pPr>
      <w:r>
        <w:rPr>
          <w:b/>
          <w:noProof/>
        </w:rPr>
        <w:t>La Tchéquie satisfait au critère de convergence des taux d’intérêt à long terme.</w:t>
      </w:r>
      <w:r>
        <w:rPr>
          <w:noProof/>
        </w:rPr>
        <w:t xml:space="preserve"> Au cours de la période de 12 mois qui s’est terminée en mai 2026, le taux d’intérêt à long terme moyen a été de 4,5 %, ce qui est inférieur à la valeur de référence de 5,1 %. Le taux d’intérêt à long terme de la Tchéquie a diminué au second semestre de 2024 et atteint 3,8 % en septembre de la même année. Il a ensuite augmenté progressivement pour atteindre 4,7 % en décembre 2025, parallèlement à la montée des tensions inflationnistes. Le taux d’intérêt à long terme a atteint 4,9 % en mai 2026, accusant un écart de 184 points de base par rapport à l’obligation de référence allemande.</w:t>
      </w:r>
    </w:p>
    <w:p w14:paraId="3744AA9D" w14:textId="47D48400" w:rsidR="00504C37" w:rsidRDefault="00552C51" w:rsidP="009F0DD6">
      <w:pPr>
        <w:ind w:left="567"/>
        <w:rPr>
          <w:noProof/>
        </w:rPr>
      </w:pPr>
      <w:r>
        <w:rPr>
          <w:noProof/>
        </w:rPr>
        <w:t xml:space="preserve">La Commission a également examiné </w:t>
      </w:r>
      <w:r>
        <w:rPr>
          <w:b/>
          <w:noProof/>
        </w:rPr>
        <w:t>d’autres facteurs</w:t>
      </w:r>
      <w:r>
        <w:rPr>
          <w:noProof/>
        </w:rPr>
        <w:t xml:space="preserve">, notamment l’évolution de la balance des paiements, l’intégration des marchés et l’environnement institutionnel. Le solde extérieur de la Tchéquie (c’est-à-dire combinant le compte des transactions courantes et le compte de capital) a enregistré un excédent de 2,2 % du PIB en 2025. L’économie tchèque est fortement intégrée dans la zone euro par le biais des échanges commerciaux et des investissements. D’après une sélection d’indicateurs concernant l’environnement institutionnel, la Tchéquie obtient des résultats meilleurs que la moyenne des États membres de la zone euro à cet égard. Le secteur financier tchèque est plus petit et moins développé que dans la zone euro. Le financement par les marchés de capitaux est moins développé, ce que reflète la très petite taille des marchés d’actions et des marchés d’obligations du secteur privé. Le secteur bancaire tchèque est fortement intégré dans le système financier de la zone euro, notamment du fait d’un niveau élevé de participation étrangère au capital des banques. Dans le cadre de la procédure concernant les déséquilibres macroéconomiques, la Commission a conclu, dans son rapport sur le mécanisme d’alerte de 2026, qu’un bilan approfondi n’était pas nécessaire pour la Tchéquie. </w:t>
      </w:r>
    </w:p>
    <w:p w14:paraId="2072B6D8" w14:textId="6AB4872E" w:rsidR="00504C37" w:rsidRPr="009F0DD6" w:rsidRDefault="00552C51" w:rsidP="00504C37">
      <w:pPr>
        <w:ind w:left="567"/>
        <w:rPr>
          <w:noProof/>
        </w:rPr>
      </w:pPr>
      <w:r>
        <w:rPr>
          <w:noProof/>
        </w:rPr>
        <w:t>Le PRR de la Tchéquie comprend des mesures visant à relever une série de défis structurels, en synergie avec d’autres fonds de l’UE, y compris les fonds de la politique de cohésion, en vue de renforcer sa compétitivité, de stimuler la croissance durable ainsi que de réduire les disparités territoriales et sociales du pays. Dans le cadre des financements accordés au titre de la FRR, la Tchéquie peut bénéficier de</w:t>
      </w:r>
      <w:r>
        <w:rPr>
          <w:rFonts w:ascii="Arial" w:hAnsi="Arial"/>
          <w:noProof/>
        </w:rPr>
        <w:t xml:space="preserve"> </w:t>
      </w:r>
      <w:r>
        <w:rPr>
          <w:noProof/>
        </w:rPr>
        <w:t>8,4 milliards d’EUR sous forme de subventions et de 343 millions d’EUR sous forme de prêts sur la période 2021-2026. La Tchéquie a présenté six demandes de paiement, dont cinq ont déjà été évaluées, ce qui s’est traduit par un décaissement total de 6,8 milliards d’EUR à la fin du mois de mai 2026. Elle a en outre atteint environ 71 % des jalons et cibles figurant dans son PRR. Parmi les réformes clés du PRR de la Tchéquie figurent celles dans les domaines des énergies renouvelables, de la mobilité à émissions nulles, des soins de longue durée, du logement abordable, ainsi que des règles en matière de conflits d’intérêts et de lobbying. En outre, la politique de cohésion accorde à la Tchéquie 24,2 milliards d’EUR pour la période 2021-2027. Le financement au titre de la politique de cohésion vise en particulier à renforcer davantage la compétitivité de la Tchéquie en soutenant la recherche et l’innovation, la compétitivité des PME, l’amélioration de l’efficacité énergétique, la modernisation des services publics de l’emploi, le développement des compétences et l’apprentissage tout au long de la vie, ainsi que l’équilibre entre vie professionnelle et vie privée et l’égalité des chances.</w:t>
      </w:r>
      <w:r>
        <w:rPr>
          <w:noProof/>
          <w:color w:val="000000" w:themeColor="text1"/>
        </w:rPr>
        <w:t xml:space="preserve"> </w:t>
      </w:r>
    </w:p>
    <w:p w14:paraId="13D6B77B" w14:textId="77777777" w:rsidR="000F5A07" w:rsidRPr="003834D9" w:rsidRDefault="000F5A07" w:rsidP="009F0DD6">
      <w:pPr>
        <w:rPr>
          <w:noProof/>
        </w:rPr>
      </w:pPr>
    </w:p>
    <w:p w14:paraId="5CF84788" w14:textId="10EB0C37" w:rsidR="003C562C" w:rsidRDefault="003C562C" w:rsidP="003C562C">
      <w:pPr>
        <w:numPr>
          <w:ilvl w:val="0"/>
          <w:numId w:val="1"/>
        </w:numPr>
        <w:ind w:left="567" w:hanging="567"/>
        <w:rPr>
          <w:b/>
          <w:bCs/>
          <w:noProof/>
        </w:rPr>
      </w:pPr>
      <w:r>
        <w:rPr>
          <w:b/>
          <w:noProof/>
        </w:rPr>
        <w:t>HONGRIE</w:t>
      </w:r>
    </w:p>
    <w:p w14:paraId="11683222" w14:textId="2AB2D40B" w:rsidR="00BE229E" w:rsidRDefault="1E1CCAE5" w:rsidP="52A3362B">
      <w:pPr>
        <w:ind w:left="567"/>
        <w:rPr>
          <w:rFonts w:eastAsia="EC Square Sans Pro" w:cs="EC Square Sans Pro"/>
          <w:b/>
          <w:bCs/>
          <w:noProof/>
          <w:color w:val="000000" w:themeColor="text1"/>
          <w:szCs w:val="20"/>
        </w:rPr>
      </w:pPr>
      <w:r>
        <w:rPr>
          <w:b/>
          <w:noProof/>
          <w:color w:val="000000" w:themeColor="text1"/>
        </w:rPr>
        <w:t>À la lumière de l’évaluation de la compatibilité de la législation et du respect des critères de convergence, et compte tenu des autres facteurs pertinents, la Commission considère que la Hongrie ne remplit pas les conditions d’adoption de l’euro.</w:t>
      </w:r>
    </w:p>
    <w:p w14:paraId="6F525D64" w14:textId="7CA55CA3" w:rsidR="1E1CCAE5" w:rsidRDefault="1E1CCAE5" w:rsidP="004B2463">
      <w:pPr>
        <w:ind w:left="567"/>
        <w:rPr>
          <w:rFonts w:eastAsia="EC Square Sans Pro" w:cs="EC Square Sans Pro"/>
          <w:noProof/>
          <w:color w:val="000000" w:themeColor="text1"/>
        </w:rPr>
      </w:pPr>
      <w:r>
        <w:rPr>
          <w:b/>
          <w:noProof/>
          <w:color w:val="000000" w:themeColor="text1"/>
        </w:rPr>
        <w:t>La législation de la Hongrie</w:t>
      </w:r>
      <w:r>
        <w:rPr>
          <w:noProof/>
          <w:color w:val="000000" w:themeColor="text1"/>
        </w:rPr>
        <w:t xml:space="preserve"> – en particulier la loi sur la Banque nationale hongroise Magyar Nemzeti Bank (ci-après, la «MNB») – </w:t>
      </w:r>
      <w:r>
        <w:rPr>
          <w:b/>
          <w:noProof/>
          <w:color w:val="000000" w:themeColor="text1"/>
        </w:rPr>
        <w:t>n’est pas totalement compatible</w:t>
      </w:r>
      <w:r>
        <w:rPr>
          <w:noProof/>
          <w:color w:val="000000" w:themeColor="text1"/>
        </w:rPr>
        <w:t xml:space="preserve"> avec les obligations prévues par l’article 131 du TFUE. Les incompatibilités concernent notamment l’indépendance de la MNB, l’interdiction du financement monétaire et l’intégration de la banque centrale dans l’Eurosystème au moment de l’adoption de l’euro en ce qui concerne les missions du SEBC et de la BCE prévues à l’article 127, paragraphes 1 et 2, du TFUE et aux articles 2 et 3 des statuts du SEBC et de la BCE. En outre, la loi sur la MNB contient des imperfections relatives à l’indépendance de la MNB et à son intégration dans l’Eurosystème.</w:t>
      </w:r>
    </w:p>
    <w:p w14:paraId="2AFE0462" w14:textId="0DAC9CE3" w:rsidR="001D5865" w:rsidRPr="00C25B3E" w:rsidRDefault="1E1CCAE5" w:rsidP="001D5865">
      <w:pPr>
        <w:ind w:left="567"/>
        <w:rPr>
          <w:noProof/>
          <w:color w:val="000000" w:themeColor="text1"/>
        </w:rPr>
      </w:pPr>
      <w:r>
        <w:rPr>
          <w:b/>
          <w:noProof/>
          <w:color w:val="000000" w:themeColor="text1"/>
        </w:rPr>
        <w:t>La Hongrie ne satisfait pas au critère de stabilité des prix.</w:t>
      </w:r>
      <w:r>
        <w:rPr>
          <w:noProof/>
          <w:color w:val="000000" w:themeColor="text1"/>
        </w:rPr>
        <w:t xml:space="preserve"> Au cours de la période de douze mois qui s’est terminée en mai 2026, le taux d’inflation moyen en Hongrie a été de 3,3 %, ce qui est supérieur à la valeur de référence de 2,7 %. L’inflation devrait décroître et tomber sous la valeur de référence d’ici la fin de 2026. Elle devrait dépasser la valeur de référence au cours du premier semestre de 2027, mais retomber en dessous de cette valeur d’ici la fin de 2027.</w:t>
      </w:r>
    </w:p>
    <w:p w14:paraId="3E708E26" w14:textId="292AA011" w:rsidR="1E1CCAE5" w:rsidRDefault="00715FDE" w:rsidP="000E6CFF">
      <w:pPr>
        <w:ind w:left="567"/>
        <w:jc w:val="center"/>
        <w:rPr>
          <w:rFonts w:eastAsia="EC Square Sans Pro" w:cs="EC Square Sans Pro"/>
          <w:noProof/>
          <w:color w:val="000000" w:themeColor="text1"/>
          <w:szCs w:val="20"/>
        </w:rPr>
      </w:pPr>
      <w:r w:rsidRPr="00715FDE">
        <w:rPr>
          <w:rFonts w:eastAsia="EC Square Sans Pro"/>
          <w:noProof/>
          <w:lang w:val="en-GB" w:eastAsia="en-GB"/>
        </w:rPr>
        <w:drawing>
          <wp:inline distT="0" distB="0" distL="0" distR="0" wp14:anchorId="515692E6" wp14:editId="17E78D76">
            <wp:extent cx="4071620" cy="2415540"/>
            <wp:effectExtent l="0" t="0" r="0" b="0"/>
            <wp:docPr id="11842614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71620" cy="2415540"/>
                    </a:xfrm>
                    <a:prstGeom prst="rect">
                      <a:avLst/>
                    </a:prstGeom>
                    <a:noFill/>
                    <a:ln>
                      <a:noFill/>
                    </a:ln>
                  </pic:spPr>
                </pic:pic>
              </a:graphicData>
            </a:graphic>
          </wp:inline>
        </w:drawing>
      </w:r>
    </w:p>
    <w:p w14:paraId="54376244" w14:textId="33684426" w:rsidR="1E1CCAE5" w:rsidRDefault="1E1CCAE5" w:rsidP="0004215E">
      <w:pPr>
        <w:ind w:left="567"/>
        <w:rPr>
          <w:rFonts w:eastAsia="EC Square Sans Pro" w:cs="EC Square Sans Pro"/>
          <w:noProof/>
          <w:color w:val="000000" w:themeColor="text1"/>
          <w:szCs w:val="20"/>
        </w:rPr>
      </w:pPr>
      <w:r>
        <w:rPr>
          <w:noProof/>
          <w:color w:val="000000" w:themeColor="text1"/>
        </w:rPr>
        <w:t xml:space="preserve">L’inflation annuelle basée sur l’IPCH en Hongrie a ralenti en 2024, puis s’est accélérée à nouveau en 2025, atteignant respectivement 3,7 % et 4,4 % en moyenne. Elle est passée de 3,9 % en mai 2024 à 5,7 % en janvier et février 2025. La hausse de l’inflation en 2024 et au début de l’année 2025 était principalement due à une inflation élevée des services, alimentée par une forte demande des consommateurs, une croissance des salaires marquée et des hausses d’impôts sectorielles, bien que les prix administrés aient permis de modérer cette hausse en 2024. L’inflation globale a ensuite ralenti pour s’établir à 3,3 % en décembre 2025, principalement en raison de la baisse de l’inflation énergétique. Elle a encore reculé début 2026, tombant à 1,6 % en février, avant de remonter progressivement au cours des mois suivants. </w:t>
      </w:r>
      <w:r>
        <w:rPr>
          <w:noProof/>
        </w:rPr>
        <w:t>L’inflation basée sur l’IPCH s’est établie à 2,3 % en mai 2026, en raison d’un recul de l’inflation des produits alimentaires, d’une révision modérée des prix des services et de la réglementation des prix des carburants visant à limiter l’incidence de la hausse des prix du pétrole due au conflit au Moyen-Orient.</w:t>
      </w:r>
      <w:r>
        <w:rPr>
          <w:noProof/>
          <w:color w:val="000000" w:themeColor="text1"/>
        </w:rPr>
        <w:t xml:space="preserve"> En 2024 et 2025, les taux annuels d’inflation basés sur l’IPCH ont été en moyenne plus élevés en Hongrie que dans la zone euro dans son ensemble.</w:t>
      </w:r>
    </w:p>
    <w:p w14:paraId="1D16E7F3" w14:textId="0814A40C" w:rsidR="1E1CCAE5" w:rsidRDefault="1E1CCAE5" w:rsidP="00962466">
      <w:pPr>
        <w:ind w:left="567"/>
        <w:rPr>
          <w:rFonts w:eastAsia="EC Square Sans Pro" w:cs="EC Square Sans Pro"/>
          <w:noProof/>
          <w:color w:val="000000" w:themeColor="text1"/>
        </w:rPr>
      </w:pPr>
      <w:r>
        <w:rPr>
          <w:noProof/>
          <w:color w:val="000000" w:themeColor="text1"/>
        </w:rPr>
        <w:t>Selon les prévisions économiques du printemps 2026 de la Commission, l’inflation annuelle basée sur l’IPCH devrait diminuer pour s’établir à 3,2 % en 2026 et à 3,1 % en 2027, puisque l’appréciation de la monnaie en 2026 devrait permettre de modérer l’inflation. En Hongrie, le niveau des prix à la consommation était d’environ 70 % de la moyenne de la zone euro en 2024, ce qui donne à penser qu’il reste possible que la convergence des prix se poursuive à long terme.</w:t>
      </w:r>
      <w:r>
        <w:rPr>
          <w:noProof/>
        </w:rPr>
        <w:t xml:space="preserve"> </w:t>
      </w:r>
    </w:p>
    <w:p w14:paraId="2AD9157D" w14:textId="5076ED80" w:rsidR="00E40A43" w:rsidRDefault="1D6A1A2D" w:rsidP="00E40A43">
      <w:pPr>
        <w:ind w:left="540"/>
        <w:rPr>
          <w:rFonts w:eastAsia="EC Square Sans Pro" w:cs="EC Square Sans Pro"/>
          <w:noProof/>
          <w:color w:val="000000" w:themeColor="text1"/>
        </w:rPr>
      </w:pPr>
      <w:r>
        <w:rPr>
          <w:b/>
          <w:noProof/>
          <w:color w:val="000000" w:themeColor="text1"/>
        </w:rPr>
        <w:t>La Hongrie ne remplit pas le critère relatif aux finances publiques.</w:t>
      </w:r>
      <w:r>
        <w:rPr>
          <w:noProof/>
          <w:color w:val="000000" w:themeColor="text1"/>
        </w:rPr>
        <w:t xml:space="preserve"> La Hongrie fait l’objet d’une décision du Conseil concernant l’existence d’un déficit public excessif. Depuis 2020, le déficit public de la Hongrie est resté supérieur à la valeur de référence de 3 % du PIB prévue par le traité. Bien que le déficit public ait diminué, passant de 5,1 % du PIB en 2024 à 4,7 % du PIB en 2025, il est tout de même resté supérieur à la valeur de référence de 3 % du PIB prévue par le traité. La baisse enregistrée en 2025 était due à une hausse des recettes plus rapide que celle des dépenses, principalement en raison d’une croissance soutenue des recettes de TVA, sous l’effet d’une forte consommation, d’importantes hausses des salaires ayant entraîné une augmentation des cotisations de sécurité sociale ainsi que d’importantes réductions de l’investissement public. Selon les prévisions économiques du printemps 2026 de la Commission, le déficit public devrait augmenter et atteindre 6,2 % du PIB en 2026, notamment en raison de réductions de l’impôt sur le revenu des personnes physiques, de la croissance des salaires dans le secteur public, ainsi que de primes et de dépassements de dépenses. En 2027, le ratio de déficit public devrait diminuer pour s’établir à 5,8 %.</w:t>
      </w:r>
    </w:p>
    <w:p w14:paraId="4AAFB4BD" w14:textId="078A52A6" w:rsidR="00085BE8" w:rsidRDefault="00FF3F7D" w:rsidP="00492002">
      <w:pPr>
        <w:ind w:left="540"/>
        <w:rPr>
          <w:rFonts w:eastAsia="EC Square Sans Pro" w:cs="EC Square Sans Pro"/>
          <w:noProof/>
        </w:rPr>
      </w:pPr>
      <w:r>
        <w:rPr>
          <w:noProof/>
          <w:color w:val="000000" w:themeColor="text1"/>
        </w:rPr>
        <w:t>Le 18 février 2025, le Conseil a approuvé le plan budgétaire et structurel national à moyen terme de la Hongrie. Le plan définit une trajectoire d’ajustement budgétaire sur quatre ans, avec une croissance maximale des dépenses nettes de 4,3 % en 2025, de 4,0 % en 2026, de 3,9 % en 2027 et de 3,7 % en 2028.</w:t>
      </w:r>
      <w:r>
        <w:rPr>
          <w:noProof/>
        </w:rPr>
        <w:t xml:space="preserve"> </w:t>
      </w:r>
      <w:r>
        <w:rPr>
          <w:noProof/>
          <w:color w:val="000000" w:themeColor="text1"/>
        </w:rPr>
        <w:t>Le Conseil a également adopté une recommandation visant à ce qu’il soit mis un terme à la situation de déficit excessif. Les taux de croissance maximaux des dépenses nettes recommandés dans le cadre de la procédure concernant les déficits excessifs (PDE) étaient conformes à ceux fixés dans le plan budgétaire et structurel à moyen terme. Ces taux sont compatibles avec un ajustement structurel annuel minimal d’au moins 0,5 % du PIB à titre de référence dans le cadre d’une PDE. Le délai de correction au titre de la PDE est fixé à 2026, date à laquelle le plan table sur un déficit de 2,5 % du PIB.</w:t>
      </w:r>
      <w:r>
        <w:rPr>
          <w:noProof/>
          <w:sz w:val="24"/>
        </w:rPr>
        <w:t xml:space="preserve"> </w:t>
      </w:r>
      <w:r>
        <w:rPr>
          <w:noProof/>
        </w:rPr>
        <w:t xml:space="preserve">En juillet 2025, le Conseil a activé la clause dérogatoire nationale pour l’augmentation des dépenses de défense de la Hongrie, ce qui a permis à cette dernière de s’écarter de la trajectoire de correction prévue dans le cadre de la PDE et de la trajectoire des dépenses nettes prévue dans le plan budgétaire et structurel à moyen terme et de les dépasser. </w:t>
      </w:r>
    </w:p>
    <w:p w14:paraId="7A0DEB00" w14:textId="58DD2132" w:rsidR="002F19E2" w:rsidRPr="0098405B" w:rsidRDefault="00085BE8" w:rsidP="00492002">
      <w:pPr>
        <w:ind w:left="540"/>
        <w:rPr>
          <w:rFonts w:eastAsia="EC Square Sans Pro" w:cs="EC Square Sans Pro"/>
          <w:noProof/>
          <w:color w:val="auto"/>
        </w:rPr>
      </w:pPr>
      <w:r>
        <w:rPr>
          <w:noProof/>
        </w:rPr>
        <w:t xml:space="preserve">Les dépenses nettes devraient augmenter de 9,7 % en 2026, ce qui est supérieur au taux de croissance recommandé (4,0 %). L’écart par rapport au maximum recommandé correspond à un écart annuel de 2,3 % du PIB et a un écart cumulé de 3,0 % du PIB. </w:t>
      </w:r>
      <w:r>
        <w:rPr>
          <w:noProof/>
          <w:color w:val="000000" w:themeColor="text1"/>
        </w:rPr>
        <w:t>Le 3 juin 2026, la Commission a conclu, compte tenu de la flexibilité offerte par la clause dérogatoire nationale, que la Hongrie avait respecté le taux de croissance maximal recommandé des dépenses nettes en 2025, tandis que, selon les projections, elle est exposée à un risque de non-respect significatif de ce taux en 2026.</w:t>
      </w:r>
      <w:r>
        <w:rPr>
          <w:noProof/>
          <w:color w:val="auto"/>
        </w:rPr>
        <w:t xml:space="preserve"> À ce stade, la Commission considère néanmoins que la Hongrie a engagé une action suivie d’effets en 2025. La PDE est donc suspendue. </w:t>
      </w:r>
    </w:p>
    <w:p w14:paraId="09A4008F" w14:textId="420B3754" w:rsidR="1E1CCAE5" w:rsidRPr="00893F33" w:rsidRDefault="00B74B7F" w:rsidP="2D686018">
      <w:pPr>
        <w:ind w:left="540"/>
        <w:rPr>
          <w:rFonts w:eastAsia="EC Square Sans Pro" w:cs="EC Square Sans Pro"/>
          <w:noProof/>
          <w:color w:val="000000" w:themeColor="text1"/>
          <w:highlight w:val="yellow"/>
        </w:rPr>
      </w:pPr>
      <w:r>
        <w:rPr>
          <w:noProof/>
          <w:color w:val="000000" w:themeColor="text1"/>
        </w:rPr>
        <w:t>Le ratio de la dette publique au PIB a augmenté entre 2024 et 2025, passant de 73,5 % à 74,6 %. Il devrait atteindre 75,1 % en 2026 et 76,8 % en 2027, en raison d’un déficit primaire et de dépenses d’intérêts élevés. À moyen terme, les risques pesant sur la soutenabilité de la dette hongroise semblent élevés; la dette publique devrait en effet passer d’environ 75 % du PIB en 2025 à environ 103 % en 2036. Le cadre budgétaire de la Hongrie est progressivement devenu plus conforme aux exigences légales de l’UE, mais il n’est pas allé dans le sens d’une plus grande transparence ni d’une orientation budgétaire prudente. La mise en place d’un cadre budgétaire national à moyen terme réaliste et stable permettrait de renforcer la crédibilité et l’efficacité de la politique budgétaire du pays. En outre, le rôle et l’indépendance du conseil budgétaire pourraient être renforcés.</w:t>
      </w:r>
    </w:p>
    <w:p w14:paraId="412D9F25" w14:textId="252CC517" w:rsidR="1E1CCAE5" w:rsidRDefault="0079608B" w:rsidP="004B2463">
      <w:pPr>
        <w:ind w:left="567"/>
        <w:jc w:val="center"/>
        <w:rPr>
          <w:noProof/>
        </w:rPr>
      </w:pPr>
      <w:r w:rsidRPr="0079608B">
        <w:rPr>
          <w:noProof/>
          <w:lang w:val="en-GB" w:eastAsia="en-GB"/>
        </w:rPr>
        <w:drawing>
          <wp:inline distT="0" distB="0" distL="0" distR="0" wp14:anchorId="4D97702C" wp14:editId="1C312A34">
            <wp:extent cx="4754880" cy="2345690"/>
            <wp:effectExtent l="0" t="0" r="7620" b="0"/>
            <wp:docPr id="11856731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54880" cy="2345690"/>
                    </a:xfrm>
                    <a:prstGeom prst="rect">
                      <a:avLst/>
                    </a:prstGeom>
                    <a:noFill/>
                    <a:ln>
                      <a:noFill/>
                    </a:ln>
                  </pic:spPr>
                </pic:pic>
              </a:graphicData>
            </a:graphic>
          </wp:inline>
        </w:drawing>
      </w:r>
    </w:p>
    <w:p w14:paraId="39AC2768" w14:textId="38AD02BE" w:rsidR="1E1CCAE5" w:rsidRDefault="37207CDC" w:rsidP="004B2463">
      <w:pPr>
        <w:ind w:left="567"/>
        <w:rPr>
          <w:rFonts w:eastAsia="EC Square Sans Pro" w:cs="EC Square Sans Pro"/>
          <w:noProof/>
          <w:color w:val="000000" w:themeColor="text1"/>
        </w:rPr>
      </w:pPr>
      <w:r>
        <w:rPr>
          <w:b/>
          <w:noProof/>
          <w:color w:val="000000" w:themeColor="text1"/>
        </w:rPr>
        <w:t>La Hongrie ne satisfait pas au critère du taux de change.</w:t>
      </w:r>
      <w:r>
        <w:rPr>
          <w:noProof/>
          <w:color w:val="000000" w:themeColor="text1"/>
        </w:rPr>
        <w:t xml:space="preserve"> Le forint ne participe pas au mécanisme de change II. La Hongrie applique un régime de taux de change flottant qui permet à la banque centrale d’intervenir sur le marché des changes. Le forint s’est déprécié par rapport à l’euro en 2024, mais s’est apprécié au cours de l’année 2025 jusqu’à fin février 2026. Ces évolutions reflètent les différences entre les politiques monétaires de la MNB et de la BCE, les différences de profil d’évolution des taux d’inflation et le renforcement de l’incertitude tout au long de la période. En mars 2026, l’incertitude liée au conflit au Moyen-Orient a entraîné une dépréciation temporaire du forint. Pour autant, étant donné que l’inflation a convergé vers la moyenne de la zone euro et à la suite des résultats des élections nationales d’avril, le forint s’est de nouveau apprécié. En mai 2026, par rapport à deux ans plus tôt, le forint était environ 8 % plus fort que l’euro. Les différentiels de taux d’intérêt à court terme par rapport à la zone euro se sont réduits en 2024 pour atteindre un écart minimal de 299 points de base en août, la MNB ayant abaissé son taux directeur beaucoup plus rapidement que la BCE. L’écart à court terme s’est ensuite creusé en 2025, la MNB ayant maintenu son taux inchangé et la BCE ayant continué d’assouplir sa politique. L’écart à court terme a de nouveau légèrement diminué en 2026, pour atteindre 390 points de base en mai, la MNB ayant abaissé son taux directeur en février 2026, tandis que la BCE n’a pas modifié ses taux. Les taux d’intérêt à court terme ont également baissé à la suite des élections d’avril. </w:t>
      </w:r>
    </w:p>
    <w:p w14:paraId="456810BA" w14:textId="6A66B4EC" w:rsidR="1E1CCAE5" w:rsidRDefault="5C6CFEDB" w:rsidP="7755A97F">
      <w:pPr>
        <w:ind w:left="567"/>
        <w:rPr>
          <w:rFonts w:eastAsia="EC Square Sans Pro" w:cs="EC Square Sans Pro"/>
          <w:noProof/>
          <w:color w:val="000000" w:themeColor="text1"/>
        </w:rPr>
      </w:pPr>
      <w:r>
        <w:rPr>
          <w:b/>
          <w:noProof/>
          <w:color w:val="000000" w:themeColor="text1"/>
        </w:rPr>
        <w:t>La Hongrie ne satisfait pas au critère de convergence des taux d’intérêt à long terme.</w:t>
      </w:r>
      <w:r>
        <w:rPr>
          <w:noProof/>
          <w:color w:val="000000" w:themeColor="text1"/>
        </w:rPr>
        <w:t xml:space="preserve"> Au cours de la période de douze mois qui s’est terminée en mai 2026, le taux d’intérêt à long terme moyen a été de 6,7 %, ce qui est bien supérieur à la valeur de référence de 5,1 %. Le taux d’intérêt à long terme de la Hongrie est resté relativement stable depuis le rapport précédent; en effet, le taux directeur n’a connu que des évolutions mineures et l’inflation a été relativement stable. </w:t>
      </w:r>
      <w:bookmarkStart w:id="6" w:name="_Hlk232445258"/>
      <w:r>
        <w:rPr>
          <w:noProof/>
          <w:color w:val="000000" w:themeColor="text1"/>
        </w:rPr>
        <w:t xml:space="preserve">La baisse du taux directeur en février et la chute de l’inflation début 2026 ont entraîné une diminution du taux d’intérêt à long terme de la Hongrie. Toutefois, les risques accrus dus à la guerre au Moyen-Orient ont temporairement porté ce taux à 7,1 % en mars, soit son niveau le plus élevé depuis 2023. Les résultats des élections d’avril ont entraîné un retour à la baisse du taux d’intérêt à long terme, qui a atteint 5,7 % en mai 2026. </w:t>
      </w:r>
      <w:bookmarkEnd w:id="6"/>
      <w:r>
        <w:rPr>
          <w:noProof/>
          <w:color w:val="000000" w:themeColor="text1"/>
        </w:rPr>
        <w:t>L’écart de taux d’intérêt à long terme par rapport à l’Allemagne est resté relativement stable en 2025, avant de se réduire en 2026 en raison de la baisse du taux d’intérêt à long terme. L’écart à long terme par rapport à l’obligation de référence allemande était de 260 points de base en mai 2026.</w:t>
      </w:r>
    </w:p>
    <w:p w14:paraId="5C9FCB92" w14:textId="364CEE51" w:rsidR="1E1CCAE5" w:rsidRDefault="5C6CFEDB" w:rsidP="004B2463">
      <w:pPr>
        <w:ind w:left="567"/>
        <w:rPr>
          <w:rFonts w:eastAsia="EC Square Sans Pro" w:cs="EC Square Sans Pro"/>
          <w:noProof/>
          <w:color w:val="000000" w:themeColor="text1"/>
        </w:rPr>
      </w:pPr>
      <w:r>
        <w:rPr>
          <w:noProof/>
          <w:color w:val="000000" w:themeColor="text1"/>
        </w:rPr>
        <w:t xml:space="preserve">La Commission a également examiné </w:t>
      </w:r>
      <w:r>
        <w:rPr>
          <w:b/>
          <w:noProof/>
          <w:color w:val="000000" w:themeColor="text1"/>
        </w:rPr>
        <w:t>d’autres facteurs</w:t>
      </w:r>
      <w:r>
        <w:rPr>
          <w:noProof/>
          <w:color w:val="000000" w:themeColor="text1"/>
        </w:rPr>
        <w:t xml:space="preserve">, notamment l’évolution de la balance des paiements, l’intégration des marchés et l’environnement institutionnel. Le solde extérieur de la Hongrie (combinant le compte des transactions courantes et le compte de capital) s’est amélioré pour atteindre 2,2 % du PIB en 2024, principalement sous l’effet d’une amélioration de la balance commerciale. Ce solde est resté à 2,2 % du PIB en 2025, le déficit commercial croissant des biens et l’excédent commercial des services s’étant annulés mutuellement. L’économie de la Hongrie est fortement intégrée dans la zone euro par le biais des échanges commerciaux et des investissements. D’après une sélection d’indicateurs concernant l’environnement institutionnel, la Hongrie obtient des résultats moins bons que de nombreux États membres de la zone euro dans ce domaine. La Hongrie fait face à des défis liés notamment à la qualité de la réglementation et au contrôle de la corruption. Elle obtient également des résultats inférieurs à la moyenne de la zone euro en ce qui concerne l’efficacité des pouvoirs publics et l’état de droit. Le système financier hongrois se caractérise par la présence importante de holdings étrangères qui ne jouent pas de rôle d’intermédiation financière dans l’économie nationale. Si l’on exclut ces holdings, le système financier hongrois est moins développé que la moyenne de la zone euro. Le secteur bancaire de la Hongrie a un poids important et relativement stable dans le secteur financier et il est bien intégré dans le système financier de la zone euro en raison d’une proportion relativement importante de participations étrangères. Le marché des actions et le marché obligataire sont de petite taille et relativement moins développés. Dans le cadre de la procédure concernant les déséquilibres macroéconomiques, la Commission a conclu, dans son rapport sur le mécanisme d’alerte de 2026, qu’un bilan approfondi se justifiait pour la Hongrie. Ce dernier a permis de conclure que la Hongrie était confrontée à des vulnérabilités liées au niveau élevé de sa dette publique et de ses besoins en matière de financement public, ainsi qu’à la compétitivité des coûts et aux prix de l’immobilier. </w:t>
      </w:r>
      <w:r>
        <w:rPr>
          <w:noProof/>
        </w:rPr>
        <w:t>Compte tenu de cette évaluation dans le bilan approfondi, la Commission, dans sa communication sur le paquet de printemps du Semestre européen 2026, considère que la Hongrie continue de connaître des déséquilibres macroéconomiques.</w:t>
      </w:r>
    </w:p>
    <w:p w14:paraId="741597F9" w14:textId="281811EA" w:rsidR="52A3362B" w:rsidRDefault="00F96617" w:rsidP="11E801D1">
      <w:pPr>
        <w:ind w:left="567"/>
        <w:rPr>
          <w:rFonts w:eastAsia="EC Square Sans Pro" w:cs="EC Square Sans Pro"/>
          <w:noProof/>
          <w:color w:val="000000" w:themeColor="text1"/>
        </w:rPr>
      </w:pPr>
      <w:r>
        <w:rPr>
          <w:noProof/>
        </w:rPr>
        <w:t>Le plan pour la reprise et la résilience (PRR) de la Hongrie comprend des mesures visant à relever toute une série de défis structurels, en synergie avec d’autres fonds de l’UE, y compris les fonds de la politique de cohésion, en vue de renforcer sa compétitivité, de stimuler la croissance durable ainsi que de réduire les disparités territoriales et sociales du pays. Dans le cadre des financements accordés au titre de la FRR, la Hongrie peut bénéficier de 10 milliards d’EUR sur la période 2021-2026. Parmi les réformes clés du PRR de la Hongrie figurent celles dans les domaines de l’état de droit (par exemple, le système judiciaire, la lutte contre la corruption, les marchés publics), des transports durables, de l’énergie, de la gestion de l’eau et de l’économie circulaire, de la fiscalité et du cadre budgétaire.</w:t>
      </w:r>
      <w:r>
        <w:rPr>
          <w:noProof/>
          <w:color w:val="000000" w:themeColor="text1"/>
        </w:rPr>
        <w:t xml:space="preserve"> </w:t>
      </w:r>
      <w:r>
        <w:rPr>
          <w:noProof/>
        </w:rPr>
        <w:t>En outre, la politique de cohésion octroie à la Hongrie 23,7 milliards d’EUR pour la période 2021-2027. Les financements prévus au titre de la politique de cohésion visent à apporter un soutien supplémentaire à la compétitivité de la Hongrie, notamment grâce à l’innovation et à l’adoption de technologies de pointe, à la transition écologique et à la convergence sociale ascendante, en œuvrant, entre autres, à la lutte contre la pauvreté et à l’amélioration des systèmes éducatifs et des compétences. Si la Hongrie a progressé dans la mise en œuvre de la politique de cohésion, des défis subsistent et d’importantes disparités sociales et régionales persistent.</w:t>
      </w:r>
    </w:p>
    <w:p w14:paraId="04B6DE89" w14:textId="77777777" w:rsidR="00303E27" w:rsidRDefault="00303E27" w:rsidP="009F0DD6">
      <w:pPr>
        <w:rPr>
          <w:b/>
          <w:bCs/>
          <w:noProof/>
        </w:rPr>
      </w:pPr>
    </w:p>
    <w:p w14:paraId="52FC46C2" w14:textId="57CD1792" w:rsidR="003C562C" w:rsidRDefault="003C562C" w:rsidP="003C562C">
      <w:pPr>
        <w:numPr>
          <w:ilvl w:val="0"/>
          <w:numId w:val="1"/>
        </w:numPr>
        <w:ind w:left="567" w:hanging="567"/>
        <w:rPr>
          <w:b/>
          <w:bCs/>
          <w:noProof/>
        </w:rPr>
      </w:pPr>
      <w:r>
        <w:rPr>
          <w:b/>
          <w:noProof/>
        </w:rPr>
        <w:t xml:space="preserve">POLOGNE </w:t>
      </w:r>
    </w:p>
    <w:p w14:paraId="7E57616E" w14:textId="6D3ECE6A" w:rsidR="003C562C" w:rsidRPr="00893F33" w:rsidRDefault="3C399B44" w:rsidP="2C28BDD6">
      <w:pPr>
        <w:ind w:left="567"/>
        <w:rPr>
          <w:b/>
          <w:bCs/>
          <w:noProof/>
        </w:rPr>
      </w:pPr>
      <w:r>
        <w:rPr>
          <w:b/>
          <w:noProof/>
        </w:rPr>
        <w:t>À la lumière de l’évaluation de la compatibilité de la législation et du respect des critères de convergence, et compte tenu des autres facteurs pertinents, la Commission considère que la Pologne ne remplit pas les conditions d’adoption de l’euro.</w:t>
      </w:r>
    </w:p>
    <w:p w14:paraId="1F8AF5D0" w14:textId="4C6F6A33" w:rsidR="00E01E11" w:rsidRPr="00C7355D" w:rsidRDefault="26288E5A" w:rsidP="2C28BDD6">
      <w:pPr>
        <w:ind w:left="567"/>
        <w:rPr>
          <w:noProof/>
        </w:rPr>
      </w:pPr>
      <w:r>
        <w:rPr>
          <w:b/>
          <w:noProof/>
        </w:rPr>
        <w:t>La législation de la Pologne</w:t>
      </w:r>
      <w:r>
        <w:rPr>
          <w:noProof/>
        </w:rPr>
        <w:t xml:space="preserve"> – en particulier la loi sur la banque centrale polonaise Narodowy Bank Polski (ci-après, la «loi sur la NBP») et la Constitution de la République de Pologne – </w:t>
      </w:r>
      <w:r>
        <w:rPr>
          <w:b/>
          <w:noProof/>
        </w:rPr>
        <w:t>n’est pas totalement compatible</w:t>
      </w:r>
      <w:r>
        <w:rPr>
          <w:noProof/>
        </w:rPr>
        <w:t xml:space="preserve"> avec les obligations prévues par l’article 131 du TFUE. Les points d’incompatibilité concernent l’indépendance de la banque centrale, l’interdiction du financement monétaire et l’intégration de la banque centrale dans l’Eurosystème. En outre, la loi sur la NBP contient certaines imperfections touchant à l’indépendance de la NBP et à son intégration dans l’Eurosystème au regard des missions du SEBC et de la BCE prévues à l’article 127, paragraphe 2, du TFUE et à l’article 3 des statuts du SEBC et de la BCE.</w:t>
      </w:r>
    </w:p>
    <w:p w14:paraId="67B5C6FE" w14:textId="7A464DC8" w:rsidR="2E0D7BD1" w:rsidRDefault="090B982B" w:rsidP="4D65903E">
      <w:pPr>
        <w:ind w:left="567"/>
        <w:rPr>
          <w:noProof/>
          <w:color w:val="000000" w:themeColor="text1"/>
        </w:rPr>
      </w:pPr>
      <w:r>
        <w:rPr>
          <w:b/>
          <w:noProof/>
          <w:color w:val="000000" w:themeColor="text1"/>
        </w:rPr>
        <w:t>La Pologne ne remplit pas le critère de stabilité des prix.</w:t>
      </w:r>
      <w:r>
        <w:rPr>
          <w:noProof/>
          <w:color w:val="000000" w:themeColor="text1"/>
        </w:rPr>
        <w:t xml:space="preserve"> Au cours de la période de douze mois qui s’est terminée en mai 2026, le taux d’inflation moyen en Pologne a été de 2,9 %, ce qui est légèrement supérieur à la valeur de référence de 2,7 %. L’inflation devrait croître et rester supérieure à la valeur de référence jusqu’à la fin de 2026. Elle devrait toutefois décroître pendant la majeure partie de l’année 2027 et descendre en dessous de la valeur de référence d’ici la fin de 2027.  </w:t>
      </w:r>
    </w:p>
    <w:p w14:paraId="5C5F2DCE" w14:textId="5B68D02F" w:rsidR="0059245A" w:rsidRPr="00C25B3E" w:rsidRDefault="00E94A8B" w:rsidP="000D4AFA">
      <w:pPr>
        <w:ind w:left="567"/>
        <w:jc w:val="center"/>
        <w:rPr>
          <w:noProof/>
          <w:color w:val="000000" w:themeColor="text1"/>
        </w:rPr>
      </w:pPr>
      <w:r w:rsidRPr="00E94A8B">
        <w:rPr>
          <w:noProof/>
          <w:lang w:val="en-GB" w:eastAsia="en-GB"/>
        </w:rPr>
        <w:drawing>
          <wp:inline distT="0" distB="0" distL="0" distR="0" wp14:anchorId="20253D1F" wp14:editId="3D8611E2">
            <wp:extent cx="4730750" cy="3371215"/>
            <wp:effectExtent l="0" t="0" r="0" b="0"/>
            <wp:docPr id="18588837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30750" cy="3371215"/>
                    </a:xfrm>
                    <a:prstGeom prst="rect">
                      <a:avLst/>
                    </a:prstGeom>
                    <a:noFill/>
                    <a:ln>
                      <a:noFill/>
                    </a:ln>
                  </pic:spPr>
                </pic:pic>
              </a:graphicData>
            </a:graphic>
          </wp:inline>
        </w:drawing>
      </w:r>
    </w:p>
    <w:p w14:paraId="28270791" w14:textId="59A43EE0" w:rsidR="6DFC07CC" w:rsidRPr="00D75BFE" w:rsidRDefault="21C75418" w:rsidP="004A57FE">
      <w:pPr>
        <w:ind w:left="567"/>
        <w:rPr>
          <w:rFonts w:eastAsia="EC Square Sans Pro" w:cs="EC Square Sans Pro"/>
          <w:noProof/>
          <w:color w:val="000000" w:themeColor="text1"/>
        </w:rPr>
      </w:pPr>
      <w:r>
        <w:rPr>
          <w:noProof/>
          <w:color w:val="000000" w:themeColor="text1"/>
        </w:rPr>
        <w:t xml:space="preserve">L’inflation globale a fortement chuté, passant de 10,8 % en 2023 à une moyenne de 3,7 % en 2024 et de 3,3 % en 2025. La plupart des composantes de l’inflation, à l’exception des services et des produits alimentaires transformés, ont contribué à cette réduction. Les prix des denrées alimentaires ont été affectés par la suppression du taux de TVA nul temporaire appliqué aux produits alimentaires de base à la fin du mois de mars 2024. En 2025, le gel des prix du gaz et de l’électricité pour les ménages a également pris fin. </w:t>
      </w:r>
      <w:r>
        <w:rPr>
          <w:noProof/>
          <w:color w:val="auto"/>
        </w:rPr>
        <w:t xml:space="preserve">Après être descendue à 2,5 % en janvier et février 2026, l’inflation basée sur l’IPCH a augmenté au cours des trois mois suivants, atteignant 3,3 % en mai 2026, sous l’effet de la hausse des prix mondiaux des matières premières résultant du conflit au Moyen-Orient. Cette augmentation de l’inflation basée sur l’IPCH a toutefois été atténuée par une réduction temporaire des taxes sur les carburants et un plafonnement journalier des prix introduits fin mars 2026. </w:t>
      </w:r>
      <w:r>
        <w:rPr>
          <w:noProof/>
          <w:color w:val="000000" w:themeColor="text1"/>
        </w:rPr>
        <w:t>En 2024 et 2025, le taux annuel d’inflation basé sur l’IPCH en Pologne était en moyenne plus élevé que dans la zone euro dans son ensemble.</w:t>
      </w:r>
    </w:p>
    <w:p w14:paraId="199636C6" w14:textId="1379DA79" w:rsidR="6DFC07CC" w:rsidRDefault="2AEA9FDB" w:rsidP="29A56CAE">
      <w:pPr>
        <w:ind w:left="567"/>
        <w:rPr>
          <w:rFonts w:eastAsia="EC Square Sans Pro" w:cs="EC Square Sans Pro"/>
          <w:noProof/>
          <w:color w:val="000000" w:themeColor="text1"/>
        </w:rPr>
      </w:pPr>
      <w:r>
        <w:rPr>
          <w:noProof/>
          <w:color w:val="000000" w:themeColor="text1"/>
        </w:rPr>
        <w:t>L’inflation devrait augmenter en 2026, puis diminuer en 2027, tout en restant supérieure à la moyenne de la zone euro au cours de ces deux années. Selon les prévisions économiques du printemps 2026 de la Commission, le taux annuel de l’inflation basé sur l’IPCH devrait se situer en moyenne à 3,6 % en 2026 et à 2,9 % en 2027. Les perspectives d’inflation demeurent incertaines en raison des risques liés aux prix mondiaux des matières premières et à la situation géopolitique. En Pologne, le niveau des prix à la consommation était d’environ 69 % de la moyenne de la zone euro en 2024, ce qui donne à penser qu’il reste possible que la convergence des prix se poursuive à long terme.</w:t>
      </w:r>
    </w:p>
    <w:p w14:paraId="12DE7102" w14:textId="5CCFABE2" w:rsidR="00B74B7F" w:rsidRDefault="6E302684" w:rsidP="00B74B7F">
      <w:pPr>
        <w:ind w:left="567"/>
        <w:rPr>
          <w:rFonts w:eastAsia="EC Square Sans Pro" w:cs="EC Square Sans Pro"/>
          <w:noProof/>
          <w:color w:val="000000" w:themeColor="text1"/>
        </w:rPr>
      </w:pPr>
      <w:r>
        <w:rPr>
          <w:b/>
          <w:noProof/>
          <w:color w:val="000000" w:themeColor="text1"/>
        </w:rPr>
        <w:t>La Pologne ne remplit pas le critère relatif aux finances publiques.</w:t>
      </w:r>
      <w:r>
        <w:rPr>
          <w:noProof/>
          <w:color w:val="000000" w:themeColor="text1"/>
        </w:rPr>
        <w:t xml:space="preserve"> La Pologne fait l’objet d’une décision du Conseil concernant l’existence d’un déficit public excessif. Depuis 2022, le déficit public de la Pologne est resté supérieur à la valeur de référence de 3 % du PIB prévue par le traité, passant de 3,4 % du PIB en 2022 à 6,4 % du PIB en 2024 et à 7,3 % du PIB en 2025. Ces chiffres s’expliquent par l’augmentation des dépenses publiques sous l’effet d’investissements substantiels dans le domaine de la défense, de la hausse des prestations sociales (y compris l’indexation des retraites ainsi que les nouveaux programmes pour les parents actifs et pour la pension de veuve), de l’augmentation des coûts du service de la dette publique, de la hausse des salaires dans le secteur public et de l’augmentation des dépenses de soins de santé. Selon les prévisions économiques du printemps 2026 de la Commission, le déficit public devrait retomber à 6,5 % du PIB en 2026, en raison des restrictions frappant les dépenses financées au niveau national et des mesures discrétionnaires en matière de recettes ayant été adoptées. En 2027, le ratio de déficit public devrait s’établir à 6,3 %. </w:t>
      </w:r>
    </w:p>
    <w:p w14:paraId="2E87A3F4" w14:textId="330C65C8" w:rsidR="1A91F675" w:rsidRDefault="1A91F675" w:rsidP="43D0759F">
      <w:pPr>
        <w:ind w:left="567"/>
        <w:rPr>
          <w:rFonts w:eastAsia="EC Square Sans Pro" w:cs="EC Square Sans Pro"/>
          <w:noProof/>
          <w:color w:val="000000" w:themeColor="text1"/>
        </w:rPr>
      </w:pPr>
      <w:r>
        <w:rPr>
          <w:noProof/>
          <w:color w:val="000000" w:themeColor="text1"/>
        </w:rPr>
        <w:t xml:space="preserve">Le 21 janvier 2025, le Conseil a adopté une recommandation approuvant le plan budgétaire et structurel national à moyen terme de la Pologne. Le plan définit une trajectoire d’ajustement budgétaire sur quatre ans, avec une croissance maximale des dépenses nettes de 6,3 % en 2025, de 4,4 % en 2026, de 4,0 % en 2027 et de 3,5 % en 2028. Le Conseil a également adopté une recommandation visant à ce qu’il soit mis un terme à la situation de déficit excessif. Les taux de croissance maximaux des dépenses nettes recommandés dans le cadre de la procédure concernant les déficits excessifs (PDE) étaient conformes à ceux fixés dans le plan budgétaire et structurel à moyen terme. Ces taux sont compatibles avec un ajustement structurel annuel minimal d’au moins 0,5 % du PIB à titre de référence dans le cadre d’une PDE. Le délai de correction au titre de la PDE est fixé à 2028, date à laquelle le plan table sur un déficit de 2,9 % du PIB. En juillet 2025, le Conseil a activé la clause dérogatoire nationale pour l’augmentation des dépenses de défense de la Pologne, ce qui a permis à cette dernière de s’écarter de la trajectoire de correction prévue dans le cadre de la PDE et de la trajectoire des dépenses nettes prévue dans le plan budgétaire et structurel à moyen terme et de les dépasser. </w:t>
      </w:r>
      <w:r>
        <w:rPr>
          <w:noProof/>
        </w:rPr>
        <w:t>Le 3 juin 2026, la Commission a conclu que, sur la base de son évaluation visant à déterminer si des actions suivies d’effets ont été entreprises, la procédure concernant les déficits excessifs à l’égard de la Pologne était suspendue.</w:t>
      </w:r>
    </w:p>
    <w:p w14:paraId="4FAF4E17" w14:textId="3173EA99" w:rsidR="002A5DD3" w:rsidRDefault="7BE7F982">
      <w:pPr>
        <w:ind w:left="567"/>
        <w:rPr>
          <w:noProof/>
        </w:rPr>
      </w:pPr>
      <w:r>
        <w:rPr>
          <w:noProof/>
          <w:color w:val="000000" w:themeColor="text1"/>
        </w:rPr>
        <w:t>Les dépenses nettes devraient augmenter de 4,0 % en 2026, ce qui est inférieur à la croissance recommandée (4,4 %). L’écart cumulé par rapport au maximum recommandé équivaut à 1,0 % du PIB.</w:t>
      </w:r>
      <w:r>
        <w:rPr>
          <w:noProof/>
          <w:color w:val="auto"/>
        </w:rPr>
        <w:t xml:space="preserve"> Toutefois, l’écart anticipé est dans les limites de la flexibilité prévue au titre de la clause dérogatoire nationale sur la base des projections actuelles pour les dépenses de défense. </w:t>
      </w:r>
    </w:p>
    <w:p w14:paraId="398DFD64" w14:textId="39905812" w:rsidR="23E6F968" w:rsidRDefault="2D5FEF4D" w:rsidP="7D817C09">
      <w:pPr>
        <w:ind w:left="567"/>
        <w:rPr>
          <w:rFonts w:eastAsia="EC Square Sans Pro" w:cs="EC Square Sans Pro"/>
          <w:noProof/>
          <w:color w:val="000000" w:themeColor="text1"/>
        </w:rPr>
      </w:pPr>
      <w:r>
        <w:rPr>
          <w:noProof/>
          <w:color w:val="000000" w:themeColor="text1"/>
        </w:rPr>
        <w:t xml:space="preserve">Le ratio de la dette publique au PIB a augmenté, passant de 54,8 % en 2024 à 59,7 % en 2025, et devrait poursuivre sa hausse pour atteindre 64,5 % du PIB en 2026, puis 68,3 % en 2027. Cette augmentation s’explique par un déficit primaire et des dépenses d’intérêts élevés, ainsi que par des ajustements stocks-flux à la hausse. À moyen terme, les risques pesant sur la soutenabilité de la dette polonaise semblent élevés, la dette publique devant connaître une augmentation constante d’environ 60 % du PIB en 2025 à environ 107 % en 2036. Le cadre budgétaire de la Pologne a fait l’objet de deux réformes importantes en 2024, qui ont renforcé la discipline et la viabilité budgétaires de la Pologne en introduisant un mécanisme de correction ex ante dans la règle en matière de dépenses nationales afin de garantir le respect des exigences budgétaires de l’UE et un mandat de suivi de la politique budgétaire complet pour le conseil budgétaire.  </w:t>
      </w:r>
    </w:p>
    <w:p w14:paraId="396AB193" w14:textId="55F27961" w:rsidR="00B436C7" w:rsidRPr="00C25B3E" w:rsidRDefault="00100632" w:rsidP="00B436C7">
      <w:pPr>
        <w:ind w:left="567"/>
        <w:jc w:val="center"/>
        <w:rPr>
          <w:noProof/>
        </w:rPr>
      </w:pPr>
      <w:r w:rsidRPr="00100632">
        <w:rPr>
          <w:noProof/>
          <w:lang w:val="en-GB" w:eastAsia="en-GB"/>
        </w:rPr>
        <w:drawing>
          <wp:inline distT="0" distB="0" distL="0" distR="0" wp14:anchorId="2AFD6761" wp14:editId="4C82EE08">
            <wp:extent cx="4718685" cy="2760345"/>
            <wp:effectExtent l="0" t="0" r="5715" b="1905"/>
            <wp:docPr id="10528074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18685" cy="2760345"/>
                    </a:xfrm>
                    <a:prstGeom prst="rect">
                      <a:avLst/>
                    </a:prstGeom>
                    <a:noFill/>
                    <a:ln>
                      <a:noFill/>
                    </a:ln>
                  </pic:spPr>
                </pic:pic>
              </a:graphicData>
            </a:graphic>
          </wp:inline>
        </w:drawing>
      </w:r>
    </w:p>
    <w:p w14:paraId="17CDF6CF" w14:textId="7E9A5A4F" w:rsidR="0045714E" w:rsidRDefault="2ABF2AE3" w:rsidP="009A7AD3">
      <w:pPr>
        <w:ind w:left="567"/>
        <w:rPr>
          <w:rFonts w:eastAsia="EC Square Sans Pro" w:cs="EC Square Sans Pro"/>
          <w:noProof/>
          <w:color w:val="000000" w:themeColor="text1"/>
        </w:rPr>
      </w:pPr>
      <w:r>
        <w:rPr>
          <w:b/>
          <w:noProof/>
        </w:rPr>
        <w:t>La Pologne ne satisfait pas au critère du taux de change</w:t>
      </w:r>
      <w:r>
        <w:rPr>
          <w:noProof/>
        </w:rPr>
        <w:t>.</w:t>
      </w:r>
      <w:r>
        <w:rPr>
          <w:b/>
          <w:noProof/>
        </w:rPr>
        <w:t xml:space="preserve"> </w:t>
      </w:r>
      <w:r>
        <w:rPr>
          <w:noProof/>
          <w:color w:val="000000" w:themeColor="text1"/>
        </w:rPr>
        <w:t>Le zloty ne participe pas au mécanisme de change II. Depuis avril 2000, la Pologne applique un régime de taux de change flottant librement qui permet à la banque centrale d’intervenir sur le marché des changes, si elle le juge nécessaire, afin d’atteindre l’objectif d’inflation. Tout au long de l’année 2024, le zloty est resté relativement stable, avec un taux de change moyen d’environ 4,31 PLN/EUR. Entre janvier et mars 2025, il s’est légèrement renforcé, passant de 4,25 à environ 4,18. Il s’est ensuite brièvement déprécié, avant de connaître une période de fluctuations relativement mineures autour de 4,24. Entre mai 2025 et la fin de l’année, le taux de change est resté proche de 4,25 PLN/EUR. En mai 2026, le taux de change du zloty contre l’euro se situait en moyenne à 4,25. Par rapport à deux ans plus tôt, le zloty était environ 1 % plus fort que l’euro.</w:t>
      </w:r>
    </w:p>
    <w:p w14:paraId="724350A0" w14:textId="4371DFE6" w:rsidR="0045714E" w:rsidRPr="004A57FE" w:rsidRDefault="6BC54327" w:rsidP="2EEA064F">
      <w:pPr>
        <w:ind w:left="567"/>
        <w:rPr>
          <w:noProof/>
          <w:color w:val="000000" w:themeColor="text1"/>
        </w:rPr>
      </w:pPr>
      <w:r>
        <w:rPr>
          <w:noProof/>
          <w:color w:val="000000" w:themeColor="text1"/>
        </w:rPr>
        <w:t>Le différentiel de taux d’intérêt à court terme par rapport à la zone euro n’a cessé de s’accentuer en 2024 et au cours des trois premiers mois de 2025, pour atteindre 341 points de base en mars 2025. Au cours de cette période, à mesure que la BCE assouplissait son taux directeur, le taux à court terme de la zone euro a continué à baisser, tandis que le taux à trois mois polonais est resté stable. À partir de mai 2025, la NBP s’est engagée dans un cycle d’assouplissement qui a conduit à une réduction importante du différentiel de taux d’intérêt, qui est tombé à 200 points de base en décembre. Cette tendance s’est poursuivie en 2026, le différentiel de taux d’intérêt ayant atteint 162 points de base en mai.</w:t>
      </w:r>
    </w:p>
    <w:p w14:paraId="74E498E7" w14:textId="75BA5D26" w:rsidR="0045714E" w:rsidRPr="004A57FE" w:rsidRDefault="0CC8EAC1" w:rsidP="2EEA064F">
      <w:pPr>
        <w:ind w:left="567"/>
        <w:rPr>
          <w:noProof/>
          <w:color w:val="000000" w:themeColor="text1"/>
        </w:rPr>
      </w:pPr>
      <w:r>
        <w:rPr>
          <w:b/>
          <w:noProof/>
          <w:color w:val="000000" w:themeColor="text1"/>
        </w:rPr>
        <w:t>La Pologne ne satisfait pas au critère de convergence des taux d’intérêt à long terme.</w:t>
      </w:r>
      <w:r>
        <w:rPr>
          <w:noProof/>
          <w:color w:val="000000" w:themeColor="text1"/>
        </w:rPr>
        <w:t xml:space="preserve"> Au cours de la période de douze mois qui s’est terminée en mai 2026, le taux d’intérêt à long terme moyen a été de 5,4 %, ce qui est légèrement supérieur à la valeur de référence de 5,1 %. Le taux d’intérêt à long terme de la Pologne a d’abord légèrement augmenté en 2024, culminant à 5,7 % en juin 2024, dans un contexte de politique monétaire restrictive et de déficit budgétaire important. Au cours de cette période, l’écart de taux d’intérêt à long terme par rapport à l’obligation de référence allemande est resté relativement stable, avant de passer de 319 points de base en juillet 2024 à un pic de 355 points de base en décembre 2024. Depuis janvier 2025, le taux d’intérêt à long terme diminue progressivement, malgré certaines fluctuations dues à l’assouplissement de la politique monétaire, et a atteint 5,7 % en mai 2026. En conséquence, l’écart de taux d’intérêt à long terme par rapport à l’obligation de référence allemande s’est progressivement réduit pour atteindre environ 269 points de base au cours du mois de mai 2026.</w:t>
      </w:r>
    </w:p>
    <w:p w14:paraId="3B6C3229" w14:textId="058FB07B" w:rsidR="0045714E" w:rsidRDefault="26806A35" w:rsidP="2C28BDD6">
      <w:pPr>
        <w:ind w:left="567"/>
        <w:rPr>
          <w:noProof/>
        </w:rPr>
      </w:pPr>
      <w:r>
        <w:rPr>
          <w:noProof/>
        </w:rPr>
        <w:t xml:space="preserve">La Commission a également examiné </w:t>
      </w:r>
      <w:r>
        <w:rPr>
          <w:b/>
          <w:noProof/>
        </w:rPr>
        <w:t>d’autres facteurs</w:t>
      </w:r>
      <w:r>
        <w:rPr>
          <w:noProof/>
        </w:rPr>
        <w:t xml:space="preserve">, notamment l’évolution de la balance des paiements, l’intégration des marchés et l’environnement institutionnel. </w:t>
      </w:r>
      <w:r>
        <w:rPr>
          <w:noProof/>
          <w:color w:val="000000" w:themeColor="text1"/>
        </w:rPr>
        <w:t xml:space="preserve">Le solde extérieur de la Pologne (combinant le compte des transactions courantes et le compte de capital) s’est détérioré en 2024 et en 2025, principalement sous l’effet d’une baisse du solde du compte de transactions courantes, les prix à l’exportation ayant chuté plus rapidement que les prix à l’importation. </w:t>
      </w:r>
      <w:r>
        <w:rPr>
          <w:noProof/>
        </w:rPr>
        <w:t xml:space="preserve">Le solde extérieur est passé d’un excédent en 2024 (0,6 % du PIB) à une position neutre en 2025. </w:t>
      </w:r>
      <w:r>
        <w:rPr>
          <w:noProof/>
          <w:color w:val="000000" w:themeColor="text1"/>
        </w:rPr>
        <w:t xml:space="preserve">L’économie de la Pologne est bien intégrée dans la zone euro par le biais des échanges commerciaux et des investissements. D’après une sélection d’indicateurs concernant l’environnement institutionnel, la Pologne obtient des résultats inférieurs à la moyenne des États membres de la zone euro à cet égard. </w:t>
      </w:r>
      <w:bookmarkStart w:id="7" w:name="_Hlk227311494"/>
      <w:r>
        <w:rPr>
          <w:noProof/>
        </w:rPr>
        <w:t>Le</w:t>
      </w:r>
      <w:bookmarkEnd w:id="7"/>
      <w:r>
        <w:rPr>
          <w:noProof/>
        </w:rPr>
        <w:t xml:space="preserve"> secteur financier polonais est plus petit et moins développé que dans la zone euro. Il est dominé par les banques, qui sont bien intégrées dans le système financier de la zone euro grâce à un niveau élevé de participations étrangères. Le financement par les marchés de capitaux est moins développé que dans la zone euro, ce dont témoigne la très petite taille des marchés d’actions et des marchés de la dette privée. Dans le cadre de la procédure concernant les déséquilibres macroéconomiques, la Commission a conclu, dans son rapport sur le mécanisme d’alerte de 2026, qu’un bilan approfondi n’était pas justifié </w:t>
      </w:r>
      <w:r>
        <w:rPr>
          <w:noProof/>
          <w:color w:val="000000" w:themeColor="text1"/>
        </w:rPr>
        <w:t>pour la Pologne</w:t>
      </w:r>
      <w:r>
        <w:rPr>
          <w:noProof/>
        </w:rPr>
        <w:t>.</w:t>
      </w:r>
    </w:p>
    <w:p w14:paraId="68B3CE9F" w14:textId="7269B57B" w:rsidR="0045714E" w:rsidRPr="009F0DD6" w:rsidRDefault="00D77FB1" w:rsidP="009F0DD6">
      <w:pPr>
        <w:spacing w:after="0"/>
        <w:ind w:left="567"/>
        <w:rPr>
          <w:rFonts w:eastAsia="EC Square Sans Pro" w:cs="EC Square Sans Pro"/>
          <w:noProof/>
          <w:color w:val="000000" w:themeColor="text1"/>
        </w:rPr>
      </w:pPr>
      <w:r>
        <w:rPr>
          <w:noProof/>
          <w:color w:val="000000" w:themeColor="text1"/>
        </w:rPr>
        <w:t>Le plan pour la reprise et la résilience (PRR) de la Pologne comprend des mesures visant à relever toute une série de défis structurels, en synergie avec d’autres fonds de l’UE, y compris les fonds de la politique de cohésion, en vue de renforcer sa compétitivité, de stimuler la croissance durable ainsi que de réduire les disparités territoriales et sociales du pays. Le financement au titre de la FRR octroie à la Pologne 54,7 milliards d’EUR sous forme de subventions et de prêts sur la période 2021-2026. La mise en œuvre du PRR de la Pologne est en cours, avec un décaissement total de 34,15 milliards d’EUR (soit 62,4 % du montant total) à la fin du mois de juin 2026. Parmi les réformes clés du PRR de la Pologne figurent celles dans les domaines de la décarbonation de l’économie polonaise, de la facilitation du développement des infrastructures de réseau afin de garantir un accès universel à l’internet, ainsi que de la santé et des institutions du marché du travail. En outre, la politique de cohésion accorde à la Pologne 80,6 milliards d’EUR pour la période 2021-2027. Les financements prévus au titre de la politique de cohésion visent en particulier à apporter un soutien supplémentaire à la compétitivité, à la durabilité environnementale, aux compétences et à l’équité sociale de la Pologne. La Pologne a progressé dans la mise en œuvre de la politique de cohésion, mais des défis subsistent et les disparités régionales entre les régions orientales et le reste du pays n’ont cessé de se creuser.</w:t>
      </w:r>
    </w:p>
    <w:p w14:paraId="393F5560" w14:textId="77777777" w:rsidR="00A97E17" w:rsidRPr="00BC3C52" w:rsidRDefault="00A97E17" w:rsidP="2C28BDD6">
      <w:pPr>
        <w:rPr>
          <w:noProof/>
        </w:rPr>
      </w:pPr>
    </w:p>
    <w:p w14:paraId="014DECDB" w14:textId="40A58569" w:rsidR="003C562C" w:rsidRDefault="003C562C" w:rsidP="002C4D79">
      <w:pPr>
        <w:keepNext/>
        <w:keepLines/>
        <w:widowControl w:val="0"/>
        <w:numPr>
          <w:ilvl w:val="0"/>
          <w:numId w:val="1"/>
        </w:numPr>
        <w:ind w:left="567" w:hanging="567"/>
        <w:rPr>
          <w:b/>
          <w:bCs/>
          <w:noProof/>
        </w:rPr>
      </w:pPr>
      <w:r>
        <w:rPr>
          <w:b/>
          <w:noProof/>
        </w:rPr>
        <w:t>ROUMANIE</w:t>
      </w:r>
    </w:p>
    <w:p w14:paraId="2C0E0325" w14:textId="5C6423AC" w:rsidR="003C562C" w:rsidRDefault="0017458C" w:rsidP="002C4D79">
      <w:pPr>
        <w:keepNext/>
        <w:keepLines/>
        <w:widowControl w:val="0"/>
        <w:ind w:left="567"/>
        <w:rPr>
          <w:b/>
          <w:bCs/>
          <w:noProof/>
        </w:rPr>
      </w:pPr>
      <w:r>
        <w:rPr>
          <w:b/>
          <w:noProof/>
        </w:rPr>
        <w:t>À la lumière de son évaluation de la compatibilité de la législation et du respect des critères de convergence, et compte tenu des autres facteurs pertinents, la Commission considère que la Roumanie ne remplit pas les conditions exigées pour l’adoption de l’euro.</w:t>
      </w:r>
    </w:p>
    <w:p w14:paraId="39FF0844" w14:textId="3A25ADE2" w:rsidR="009A28D7" w:rsidRDefault="009A28D7" w:rsidP="00A345CC">
      <w:pPr>
        <w:ind w:left="567"/>
        <w:rPr>
          <w:noProof/>
        </w:rPr>
      </w:pPr>
      <w:r>
        <w:rPr>
          <w:noProof/>
        </w:rPr>
        <w:t xml:space="preserve">La </w:t>
      </w:r>
      <w:r>
        <w:rPr>
          <w:b/>
          <w:noProof/>
        </w:rPr>
        <w:t>législation de la Roumanie</w:t>
      </w:r>
      <w:r>
        <w:rPr>
          <w:noProof/>
        </w:rPr>
        <w:t xml:space="preserve"> – en particulier la loi nº 312 du 28 juin 2004 sur les statuts de la Banque nationale de Roumanie (la «loi sur la BNR») – </w:t>
      </w:r>
      <w:r>
        <w:rPr>
          <w:b/>
          <w:noProof/>
        </w:rPr>
        <w:t>n’est pas totalement compatible</w:t>
      </w:r>
      <w:r>
        <w:rPr>
          <w:noProof/>
        </w:rPr>
        <w:t xml:space="preserve"> avec les obligations prévues par l’article 131 du TFUE. Les points d’incompatibilité concernent l’indépendance de la banque centrale, l’interdiction du financement monétaire et l’intégration de la banque centrale dans l’Eurosystème. En outre, la loi sur la BNR contient des imperfections touchant à l’indépendance de la banque centrale et à son intégration dans l’Eurosystème au regard des missions du SEBC et de la BCE prévues à l’article 127, paragraphe 2, du TFUE et à l’article 3 des statuts du SEBC et de la BCE.</w:t>
      </w:r>
    </w:p>
    <w:p w14:paraId="0014EC95" w14:textId="445783DB" w:rsidR="003A705A" w:rsidRDefault="17C4E04A" w:rsidP="00F94D3B">
      <w:pPr>
        <w:ind w:left="567"/>
        <w:rPr>
          <w:noProof/>
        </w:rPr>
      </w:pPr>
      <w:r>
        <w:rPr>
          <w:b/>
          <w:noProof/>
        </w:rPr>
        <w:t xml:space="preserve">La Roumanie ne satisfait pas au critère de stabilité des prix. </w:t>
      </w:r>
      <w:r>
        <w:rPr>
          <w:noProof/>
        </w:rPr>
        <w:t xml:space="preserve">Sur la période de douze mois qui s’est terminée en mai 2026, le taux d’inflation moyen en Roumanie a été de 8,4 %, bien au-delà de la valeur de référence de 2,7 %. Ce taux devrait diminuer au cours du second semestre de 2026, mais rester nettement supérieur à la valeur de référence d’ici la fin de 2026. Il devrait poursuivre son recul en 2027, mais rester supérieur à la valeur de référence jusqu’à la fin de 2027. </w:t>
      </w:r>
    </w:p>
    <w:p w14:paraId="038CA1F5" w14:textId="06E24A51" w:rsidR="00F24393" w:rsidRDefault="72D52CC4" w:rsidP="00F94D3B">
      <w:pPr>
        <w:ind w:left="567"/>
        <w:rPr>
          <w:noProof/>
        </w:rPr>
      </w:pPr>
      <w:r>
        <w:rPr>
          <w:noProof/>
        </w:rPr>
        <w:t xml:space="preserve">L’inflation annuelle basée sur l’IPCH en Roumanie a augmenté pour s’établir à 6,8 % en 2025, contre 5,8 % en 2024. La désinflation, qui a fait suite au choc des prix de l’énergie en 2022, a marqué le pas, avant de s’inverser à la mi-2025. En glissement annuel, la hausse de l’IPCH global est passée de 7,3 % en janvier 2024 à 4,9 % en avril 2025, avant de remonter de manière constante et significative pour s’établir à 8,6 % en septembre et de se maintenir à ce niveau en décembre 2025. La flambée des prix des denrées alimentaires et de l’énergie a été la principale cause de la hausse de l’inflation globale. La hausse de l’inflation au cours du second semestre de 2025 a en grande partie résulté de la suppression du plafonnement des prix de l’électricité pour les ménages en juillet 2025, combinée à des hausses de la  TVA et des droits d’accise. Les prix des produits alimentaires non transformés ont augmenté en raison de l’impact de conditions météorologiques défavorables sur l’agriculture, tandis que l’inflation des services est restée invariablement élevée, en raison d’une croissance des salaires certes forte, mais modérée malgré tout en 2025 du fait du gel des salaires dans le secteur public. La hausse des prix de l’énergie à la suite du conflit au Moyen-Orient a entraîné une hausse de l’inflation globale, qui est passée de 8,3 % en février 2026 à 9,7 % en mai 2026. En 2024 et 2025, les taux annuels d’inflation basés sur l’IPCH ont été plus élevés en Roumanie que dans la zone euro considérée dans son ensemble. </w:t>
      </w:r>
    </w:p>
    <w:p w14:paraId="243751EE" w14:textId="1937D022" w:rsidR="005E11EB" w:rsidRDefault="00A345CC" w:rsidP="00A345CC">
      <w:pPr>
        <w:ind w:left="567"/>
        <w:rPr>
          <w:noProof/>
        </w:rPr>
      </w:pPr>
      <w:r>
        <w:rPr>
          <w:noProof/>
        </w:rPr>
        <w:t>Selon les prévisions économiques du printemps 2026 de la Commission, le taux d’inflation annuel moyen repartira légèrement à la hausse pour atteindre 7,0 % en 2026, avant de décélérer pour s’établir à 3,7 % en 2027. La désinflation au cours de la période de prévision devrait être soutenue par une forte modération de la croissance des salaires, tandis qu’une hausse des prix de l’énergie viendra la ralentir. Le niveau relativement faible des prix en Roumanie, qui s’élevait à environ 61 % de la moyenne de la zone euro en 2024, indique un potentiel de convergence des niveaux de prix à long terme.</w:t>
      </w:r>
    </w:p>
    <w:p w14:paraId="60FCBE0F" w14:textId="42EB942D" w:rsidR="005865F4" w:rsidRDefault="0079608B" w:rsidP="00FE48D9">
      <w:pPr>
        <w:ind w:left="567"/>
        <w:jc w:val="center"/>
        <w:rPr>
          <w:b/>
          <w:bCs/>
          <w:noProof/>
        </w:rPr>
      </w:pPr>
      <w:r w:rsidRPr="0079608B">
        <w:rPr>
          <w:noProof/>
          <w:lang w:val="en-GB" w:eastAsia="en-GB"/>
        </w:rPr>
        <w:drawing>
          <wp:inline distT="0" distB="0" distL="0" distR="0" wp14:anchorId="47680A00" wp14:editId="559B53D2">
            <wp:extent cx="4746625" cy="3458845"/>
            <wp:effectExtent l="0" t="0" r="0" b="0"/>
            <wp:docPr id="115672171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46625" cy="3458845"/>
                    </a:xfrm>
                    <a:prstGeom prst="rect">
                      <a:avLst/>
                    </a:prstGeom>
                    <a:noFill/>
                    <a:ln>
                      <a:noFill/>
                    </a:ln>
                  </pic:spPr>
                </pic:pic>
              </a:graphicData>
            </a:graphic>
          </wp:inline>
        </w:drawing>
      </w:r>
    </w:p>
    <w:p w14:paraId="5C935E50" w14:textId="473EE4DF" w:rsidR="00DF3C6F" w:rsidRDefault="7B44B56D" w:rsidP="00070E58">
      <w:pPr>
        <w:ind w:left="567"/>
        <w:rPr>
          <w:noProof/>
        </w:rPr>
      </w:pPr>
      <w:r>
        <w:rPr>
          <w:b/>
          <w:noProof/>
        </w:rPr>
        <w:t xml:space="preserve">La Roumanie ne remplit pas le critère relatif aux finances publiques. </w:t>
      </w:r>
      <w:r>
        <w:rPr>
          <w:noProof/>
        </w:rPr>
        <w:t>La Roumanie fait l’objet d’une décision du Conseil concernant l’existence d’un déficit public excessif. Bien que le déficit public ait enregistré une amélioration, passant de 9,3 % du PIB en 2024 à 7,9 % du PIB en 2025, il est demeuré bien au-delà de la valeur de référence de 3 % du PIB prévue par le traité. Cette amélioration était due à une meilleure perception de l’impôt et à deux grands trains de mesures d’assainissement budgétaire en 2025, dont l’impact combiné – entre hausse des recettes et baisse des dépenses – est estimé à environ 3,7 points de pourcentage du PIB. Selon les prévisions économiques du printemps 2026 de la Commission, le déficit public devrait diminuer pour s’établir à 6,2 % du PIB en 2026, reflétant l’effet sur l’ensemble de l’année des trains de mesures d’ajustement budgétaire de 2025 ainsi que des recettes supplémentaires de 2026, sous la forme d’une hausse de la TVA et des droits d’accise, d’une augmentation de l’impôt sur les dividendes, de modifications de l’impôt foncier et de l’élargissement de l’assiette des cotisations de santé, parallèlement à un contrôle plus strict des dépenses courantes. En 2027, le ratio de déficit public devrait s’établir à 5,8 %.</w:t>
      </w:r>
    </w:p>
    <w:p w14:paraId="1144688C" w14:textId="1B0991A1" w:rsidR="00264A46" w:rsidRDefault="673E61DB" w:rsidP="00D567A3">
      <w:pPr>
        <w:ind w:left="567"/>
        <w:rPr>
          <w:noProof/>
        </w:rPr>
      </w:pPr>
      <w:r>
        <w:rPr>
          <w:noProof/>
        </w:rPr>
        <w:t xml:space="preserve">Le 20 juin 2025, le Conseil a adopté une décision au titre de l’article 126, paragraphe 8, du TFUE par laquelle il a établi que la Roumanie n’avait pris aucune action suivie d’effets pour corriger son déficit excessif. Le 8 juillet 2025, le Conseil a ensuite révisé la trajectoire d’ajustement budgétaire de la Roumanie dans le cadre de la PDE, en vertu de laquelle la Roumanie doit maintenir la croissance des dépenses nettes nominales en dessous de 2,8 % en 2025, de 2,6 % en 2026, de 4,6 % en 2027, de 4,4 % en 2028, de 4,2 % en 2029 et de 4,0 % en 2030. Ces taux maximaux de croissance des dépenses nettes correspondent à un ajustement annuel d’environ 2 points de pourcentage par an en 2025 et 2026 et d’environ 1 point de pourcentage par la suite, ce qui </w:t>
      </w:r>
      <w:r>
        <w:rPr>
          <w:noProof/>
          <w:color w:val="000000" w:themeColor="text1"/>
        </w:rPr>
        <w:t>est supérieur à l’ajustement structurel annuel minimal d’au moins 0,5 % du PIB à titre de référence dans le cadre d’une PDE</w:t>
      </w:r>
      <w:r>
        <w:rPr>
          <w:noProof/>
        </w:rPr>
        <w:t xml:space="preserve">. Le délai de correction au titre de la PDE est fixé à 2030, date à laquelle la recommandation révisée de juillet 2025 au titre de l’article 126, paragraphe 7, du TFUE table sur un déficit de 2,8 % du PIB. La recommandation révisée de juillet 2025 a remplacé la trajectoire initiale des dépenses nettes du plan budgétaire et structurel à moyen terme de la Roumanie en tant que référence opérationnelle pour le suivi au titre de la PDE, tandis que les réformes et les investissements sous-tendant la prolongation de la période d’ajustement du plan restent en vigueur et continuent d’être surveillés par la Commission. Le 3 juin 2026, la Commission a conclu que la Roumanie avait engagé une action suivie d’effets en réponse à la recommandation du Conseil et la procédure concernant les déficits excessifs a donc été suspendue. Les dépenses nettes en 2026 devraient augmenter de 1,8 %, ce qui est inférieur au plafond, recommandé par le Conseil, de 2,6 % pour 2026, et la croissance cumulée des dépenses nettes d’ici 2026 devrait rester dans les limites du plafond cumulé recommandé de 5,5 %. </w:t>
      </w:r>
    </w:p>
    <w:p w14:paraId="4D8E7BB1" w14:textId="23D1DAF3" w:rsidR="00E94D44" w:rsidRDefault="00264A46" w:rsidP="00D567A3">
      <w:pPr>
        <w:ind w:left="567"/>
        <w:rPr>
          <w:noProof/>
        </w:rPr>
      </w:pPr>
      <w:r>
        <w:rPr>
          <w:noProof/>
        </w:rPr>
        <w:t xml:space="preserve">Le ratio de la dette publique au PIB a augmenté, passant de 54,8 % du PIB en 2024 à 59,3 % en 2025, et devrait poursuivre sa hausse pour atteindre 61,6 % du PIB en 2026 puis 63,4 % en 2027, en raison d’un déficit primaire élevé et de la hausse des paiements d’intérêts. À moyen terme, les risques pesant sur la soutenabilité de la dette de la Roumanie apparaissent élevés, les projections annonçant une augmentation rapide de la dette publique, qui s’établirait à quelque 90 % du PIB en 2036. En ce qui concerne le cadre budgétaire de la Roumanie, </w:t>
      </w:r>
      <w:bookmarkStart w:id="8" w:name="_Hlk227083429"/>
      <w:r>
        <w:rPr>
          <w:noProof/>
        </w:rPr>
        <w:t xml:space="preserve">de graves faiblesses subsistent en ce qui concerne le recrutement au sein du conseil budgétaire et la gestion des investissements publics. </w:t>
      </w:r>
    </w:p>
    <w:bookmarkEnd w:id="8"/>
    <w:p w14:paraId="4E75A418" w14:textId="65B253CE" w:rsidR="00DF1265" w:rsidRDefault="005E30B4" w:rsidP="00E408C4">
      <w:pPr>
        <w:ind w:left="567"/>
        <w:jc w:val="center"/>
        <w:rPr>
          <w:noProof/>
        </w:rPr>
      </w:pPr>
      <w:r w:rsidRPr="005E30B4">
        <w:rPr>
          <w:noProof/>
          <w:lang w:val="en-GB" w:eastAsia="en-GB"/>
        </w:rPr>
        <w:drawing>
          <wp:inline distT="0" distB="0" distL="0" distR="0" wp14:anchorId="7A353E9B" wp14:editId="642E77AF">
            <wp:extent cx="4287520" cy="2242820"/>
            <wp:effectExtent l="0" t="0" r="0" b="5080"/>
            <wp:docPr id="4333144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87520" cy="2242820"/>
                    </a:xfrm>
                    <a:prstGeom prst="rect">
                      <a:avLst/>
                    </a:prstGeom>
                    <a:noFill/>
                    <a:ln>
                      <a:noFill/>
                    </a:ln>
                  </pic:spPr>
                </pic:pic>
              </a:graphicData>
            </a:graphic>
          </wp:inline>
        </w:drawing>
      </w:r>
    </w:p>
    <w:p w14:paraId="3B2E6387" w14:textId="57A6B2B2" w:rsidR="005865F4" w:rsidRDefault="7B44B56D" w:rsidP="005865F4">
      <w:pPr>
        <w:ind w:left="567"/>
        <w:rPr>
          <w:noProof/>
        </w:rPr>
      </w:pPr>
      <w:r>
        <w:rPr>
          <w:b/>
          <w:noProof/>
        </w:rPr>
        <w:t>La Roumanie ne satisfait pas au critère du taux de change.</w:t>
      </w:r>
      <w:r>
        <w:rPr>
          <w:noProof/>
        </w:rPr>
        <w:t xml:space="preserve"> Le leu roumain ne participe pas au mécanisme de change II. La Roumanie applique un régime de taux de change dit «crawl-like», qui permet à la banque centrale d’intervenir sur le marché des changes. La BNR a recouru à la stabilité du taux de change en tant que mécanisme important visant à garantir la stabilité financière et à ancrer les anticipations d’inflation. Le leu a affiché une relative stabilité par rapport à l’euro en 2024, avant de connaître une dépréciation en 2025. En mai 2025, les pressions exercées par les sorties de capitaux dans un contexte d’incertitude politique accrue ont déclenché un épisode de forte dépréciation, avec des pertes vis-à-vis de l’euro de 2 % par rapport au mois précédent. Cette période a été suivie d’une période de volatilité modérée au second semestre de l’année. En mai 2026, par rapport à deux ans plus tôt, le leu était environ 5 % plus faible que l’euro. L’écart de taux d’intérêt à court terme par rapport à la zone euro s’est sensiblement creusé (d’environ 300 points de base) entre août 2024 et juin 2025, reflétant la pause du taux directeur de la BNR à partir de la mi-2024 et le cycle d’assouplissement de la politique monétaire dans la zone euro. L’écart s’est encore élargi dans un contexte de tensions sur le marché monétaire roumain à la fin du printemps, culminant aux alentours de 515 points de base en juin 2025. Il s’est ensuite réduit de manière constante au cours du second semestre de 2025 et au début de 2026, sous l’effet de l’amélioration des conditions de liquidité sur le marché monétaire roumain. Il s’élevait à 362 points de base en mai 2026. </w:t>
      </w:r>
    </w:p>
    <w:p w14:paraId="7DAD104D" w14:textId="1573B3B3" w:rsidR="005865F4" w:rsidRDefault="4629D3B0" w:rsidP="005865F4">
      <w:pPr>
        <w:ind w:left="567"/>
        <w:rPr>
          <w:noProof/>
        </w:rPr>
      </w:pPr>
      <w:r>
        <w:rPr>
          <w:b/>
          <w:noProof/>
        </w:rPr>
        <w:t xml:space="preserve">La Roumanie ne satisfait pas au critère de convergence des taux d’intérêt à long terme. </w:t>
      </w:r>
      <w:r>
        <w:rPr>
          <w:noProof/>
        </w:rPr>
        <w:t xml:space="preserve">Au cours de la période de douze mois qui s’est terminée en mai 2026, le taux d’intérêt à long terme moyen s’est élevé à 6,7 %, ce qui est bien supérieur à la valeur de référence de 5,1 %. Le taux d’intérêt à long terme de la Roumanie a augmenté progressivement tout au long de 2024, pour atteindre 7,1 % en janvier 2025. Après un léger reflux au cours des premiers mois de 2025, il a recommencé à grimper en avril, alimenté par une aversion accrue pour le risque de marché dans un contexte de creusement du déficit budgétaire et de préoccupations des investisseurs quant aux perspectives d’assainissement budgétaire. Le taux d’intérêt à long terme a ensuite diminué régulièrement au cours du second semestre de 2025, à la suite de l’adoption de mesures d’assainissement budgétaire par le gouvernement. </w:t>
      </w:r>
      <w:bookmarkStart w:id="9" w:name="_Hlk162022491"/>
      <w:r>
        <w:rPr>
          <w:noProof/>
        </w:rPr>
        <w:t>Au cours des cinq premiers mois de 2026, le taux d’intérêt à long terme de la Roumanie est resté globalement stable, s’établissant à 6,2 % en mai 2026. L’écart à long terme par rapport à l’obligation de référence allemande était de 312 points de base en mai 2026, contre 485 points de base en juin 2025.</w:t>
      </w:r>
    </w:p>
    <w:bookmarkEnd w:id="9"/>
    <w:p w14:paraId="73574724" w14:textId="16C18944" w:rsidR="005865F4" w:rsidRDefault="7B44B56D" w:rsidP="00857958">
      <w:pPr>
        <w:ind w:left="567"/>
        <w:rPr>
          <w:noProof/>
        </w:rPr>
      </w:pPr>
      <w:r>
        <w:rPr>
          <w:noProof/>
        </w:rPr>
        <w:t xml:space="preserve">La Commission a également examiné </w:t>
      </w:r>
      <w:r>
        <w:rPr>
          <w:b/>
          <w:noProof/>
        </w:rPr>
        <w:t>d’autres facteurs</w:t>
      </w:r>
      <w:r>
        <w:rPr>
          <w:noProof/>
        </w:rPr>
        <w:t xml:space="preserve">, notamment l’évolution de la balance des paiements, l’intégration des marchés et l’environnement institutionnel. Le solde extérieur de la Roumanie (c’est-à-dire le compte de transactions courantes et le compte de capital combinés) s’est légèrement amélioré, passant de -6,7 % du PIB en 2024 à -6,0 % en 2025, principalement en raison d’une augmentation de l’excédent du compte de capital grâce à une meilleure absorption des fonds de l’UE. Le déficit de la balance courante de la Roumanie est resté considérable, à 7,9 % du PIB en 2025, malgré une légère diminution au second semestre de l’année dans un contexte d’assainissement budgétaire et d’affaiblissement de la demande intérieure. L’économie de la Roumanie est bien intégrée dans la zone euro par le biais des échanges commerciaux et des investissements. D’après une sélection d’indicateurs concernant l’environnement institutionnel, la Roumanie obtient des résultats moins bons que de nombreux États membres de la zone euro dans ce domaine. La Roumanie est confrontée à des défis dans des domaines tels que la lutte contre la corruption. Le secteur financier roumain est plus petit et moins développé que dans la zone euro. Le secteur bancaire de la Roumanie est bien intégré dans le système financier de la zone euro, en particulier grâce à un niveau élevé de participations étrangères. Cependant, le financement par les marchés de capitaux est moins développé que dans la zone euro, ce dont témoigne la très petite taille des marchés d’actions et des marchés de la dette privée. </w:t>
      </w:r>
      <w:bookmarkStart w:id="10" w:name="_Hlk161993249"/>
      <w:r>
        <w:rPr>
          <w:noProof/>
        </w:rPr>
        <w:t>Dans le cadre de la procédure concernant les déséquilibres macroéconomiques, la Commission a conclu, dans son rapport sur le mécanisme d’alerte de 2026, qu’un bilan approfondi se justifiait pour la Roumanie. Le bilan approfondi a permis de conclure que la Roumanie continue de présenter des vulnérabilités liées à d’importants déficits budgétaires et extérieurs, malgré des améliorations depuis le second semestre de 2025. Dans le même temps, les pressions sur les salaires et les coûts se sont atténuées, ce qui pourrait avoir une incidence positive sur la compétitivité des coûts. Le déficit public élevé de la Roumanie constitue l’un des principaux facteurs de l’ampleur des déficits extérieurs et des besoins d’emprunt. Le processus d’assainissement budgétaire engagé en 2025, qui devrait se poursuivre, contribue à remédier aux vulnérabilités de la Roumanie. Compte tenu de cette évaluation dans le bilan approfondi, la Commission, dans sa communication sur le paquet de printemps du Semestre européen 2026, considère que la Roumanie continue de connaître des déséquilibres macroéconomiques excessifs.</w:t>
      </w:r>
    </w:p>
    <w:bookmarkEnd w:id="10"/>
    <w:p w14:paraId="16007571" w14:textId="4BF157A1" w:rsidR="00B064F5" w:rsidRDefault="00F62737" w:rsidP="009F0DD6">
      <w:pPr>
        <w:ind w:left="567"/>
        <w:rPr>
          <w:noProof/>
        </w:rPr>
      </w:pPr>
      <w:r>
        <w:rPr>
          <w:noProof/>
        </w:rPr>
        <w:t xml:space="preserve">Le plan pour la reprise et la résilience (PRR) de la Roumanie comprend des mesures visant à relever toute une série de défis structurels, en synergie avec d’autres fonds de l’UE, y compris les fonds de la politique de cohésion, en vue de renforcer sa compétitivité, de stimuler la croissance durable ainsi que de réduire les disparités territoriales et sociales du pays. À la suite de la révision de son PRR en 2025, l’enveloppe allouée à la Roumanie au titre de la FRR s’élève à quelque 21,4 milliards d’EUR pour la période 2021-2026, dont 13,5 milliards d’EUR sous forme de subventions et 7,8 milliards d’EUR sous forme de prêts. Dans le plan révisé, la composante «prêt» a été réduite de manière considérable, passant de 14,9 milliards d’EUR à 7,8 milliards d’EUR, en raison de retards dans la mise en œuvre et du rétrécissement du périmètre de mesures considérées comme n’étant plus pleinement réalisables. Fin 2025, la Roumanie avait présenté quatre demandes de paiement. En juin 2026, le total des décaissements s’élevait à quelque 60 % de l’enveloppe totale. Les réformes clés contenues dans le PRR de la Roumanie concernent les retraites, la décarbonation/l’abandon progressif de la production d’énergie à partir de charbon et de lignite, les entreprises publiques, l’administration fiscale et la réforme fiscale, ainsi que les services sociaux et les soins de santé. En outre, la Roumanie bénéficie de 33,7 milliards d’EUR au titre de la politique de cohésion pour la période 2021-2027. Les financements accordés au titre de la politique de cohésion visent à apporter un soutien supplémentaire à la compétitivité et à la convergence sociale ascendante de la Roumanie, notamment au moyen d’investissements dans la recherche, l’innovation, ainsi que la compétitivité des PME, la transition écologique et juste, la modernisation des institutions du marché du travail, le développement des compétences, l’amélioration de la qualité et de l’inclusivité de l’éducation et de la formation, ainsi que la réduction de la pauvreté. Bien que la Roumanie ait progressé dans la mise en œuvre de la politique de cohésion, des défis subsistent, d’importantes disparités territoriales en matière d’investissement et d’emploi existant entre la région de la capitale et les autres régions, ainsi qu’entre les zones urbaines et non urbaines. </w:t>
      </w:r>
    </w:p>
    <w:p w14:paraId="62F0F636" w14:textId="77777777" w:rsidR="00574760" w:rsidRPr="00E20F9B" w:rsidRDefault="00574760" w:rsidP="00574760">
      <w:pPr>
        <w:ind w:left="567"/>
        <w:rPr>
          <w:noProof/>
        </w:rPr>
      </w:pPr>
    </w:p>
    <w:p w14:paraId="63CE77E7" w14:textId="718937EF" w:rsidR="00B33FB6" w:rsidRPr="00222EB8" w:rsidRDefault="003C562C" w:rsidP="64663B56">
      <w:pPr>
        <w:numPr>
          <w:ilvl w:val="0"/>
          <w:numId w:val="1"/>
        </w:numPr>
        <w:ind w:left="567" w:hanging="567"/>
        <w:rPr>
          <w:b/>
          <w:bCs/>
          <w:noProof/>
        </w:rPr>
      </w:pPr>
      <w:r>
        <w:rPr>
          <w:b/>
          <w:noProof/>
        </w:rPr>
        <w:t>SUÈDE</w:t>
      </w:r>
    </w:p>
    <w:p w14:paraId="0B1EF0DB" w14:textId="04BB910F" w:rsidR="00B33FB6" w:rsidRDefault="18C99602">
      <w:pPr>
        <w:spacing w:after="0"/>
        <w:ind w:left="555"/>
        <w:rPr>
          <w:rFonts w:ascii="Calibri" w:eastAsia="Calibri" w:hAnsi="Calibri" w:cs="Calibri"/>
          <w:noProof/>
          <w:color w:val="000000" w:themeColor="text1"/>
          <w:szCs w:val="20"/>
        </w:rPr>
      </w:pPr>
      <w:r>
        <w:rPr>
          <w:b/>
          <w:noProof/>
        </w:rPr>
        <w:t>À la lumière de son évaluation de la compatibilité de la législation et du respect des critères de convergence, et compte tenu des autres facteurs pertinents, la Commission considère que la Suède ne remplit pas les conditions exigées pour l’adoption de l’euro.</w:t>
      </w:r>
      <w:r>
        <w:rPr>
          <w:rFonts w:ascii="Calibri" w:hAnsi="Calibri"/>
          <w:noProof/>
          <w:color w:val="000000" w:themeColor="text1"/>
        </w:rPr>
        <w:t xml:space="preserve"> </w:t>
      </w:r>
    </w:p>
    <w:p w14:paraId="6EF44F8E" w14:textId="77777777" w:rsidR="00716992" w:rsidRPr="00222EB8" w:rsidRDefault="00716992" w:rsidP="00790336">
      <w:pPr>
        <w:spacing w:after="0"/>
        <w:ind w:left="555"/>
        <w:rPr>
          <w:rFonts w:ascii="Calibri" w:eastAsia="Calibri" w:hAnsi="Calibri" w:cs="Calibri"/>
          <w:noProof/>
          <w:color w:val="000000" w:themeColor="text1"/>
          <w:szCs w:val="20"/>
        </w:rPr>
      </w:pPr>
    </w:p>
    <w:p w14:paraId="3F096AF4" w14:textId="313E103F" w:rsidR="00B33FB6" w:rsidRDefault="18C99602" w:rsidP="5BEF577F">
      <w:pPr>
        <w:spacing w:after="0"/>
        <w:ind w:left="555"/>
        <w:rPr>
          <w:rFonts w:eastAsia="EC Square Sans Pro" w:cs="EC Square Sans Pro"/>
          <w:noProof/>
          <w:color w:val="000000" w:themeColor="text1"/>
        </w:rPr>
      </w:pPr>
      <w:r>
        <w:rPr>
          <w:noProof/>
          <w:color w:val="000000" w:themeColor="text1"/>
        </w:rPr>
        <w:t xml:space="preserve">La </w:t>
      </w:r>
      <w:r>
        <w:rPr>
          <w:b/>
          <w:noProof/>
          <w:color w:val="000000" w:themeColor="text1"/>
        </w:rPr>
        <w:t>législation de la Suède</w:t>
      </w:r>
      <w:r>
        <w:rPr>
          <w:noProof/>
          <w:color w:val="000000" w:themeColor="text1"/>
        </w:rPr>
        <w:t xml:space="preserve"> - en particulier la loi sur la Sveriges Riksbank, </w:t>
      </w:r>
      <w:r>
        <w:rPr>
          <w:b/>
          <w:noProof/>
          <w:color w:val="000000" w:themeColor="text1"/>
        </w:rPr>
        <w:t>n’est pas totalement compatible</w:t>
      </w:r>
      <w:r>
        <w:rPr>
          <w:noProof/>
          <w:color w:val="000000" w:themeColor="text1"/>
        </w:rPr>
        <w:t xml:space="preserve"> avec les obligations prévues par l’article 131 du TFUE. Des points d’incompatibilité et imperfections persistent dans les domaines de l’indépendance de la banque centrale, de l'interdiction du financement monétaire et de l’intégration de la banque centrale dans l’Eurosystème en ce qui concerne les objectifs de la Riksbank et les missions du SEBC/de la BCE prévues à l’article 127, paragraphes 1 et 2, du TFUE et aux articles 2 et 3 des statuts du SEBC et de la BCE.</w:t>
      </w:r>
    </w:p>
    <w:p w14:paraId="0DE92A2C" w14:textId="77777777" w:rsidR="00716992" w:rsidRPr="00222EB8" w:rsidRDefault="00716992" w:rsidP="00790336">
      <w:pPr>
        <w:spacing w:after="0"/>
        <w:ind w:left="555"/>
        <w:rPr>
          <w:rFonts w:eastAsia="EC Square Sans Pro" w:cs="EC Square Sans Pro"/>
          <w:noProof/>
          <w:color w:val="000000" w:themeColor="text1"/>
          <w:szCs w:val="20"/>
        </w:rPr>
      </w:pPr>
    </w:p>
    <w:p w14:paraId="0EF24A35" w14:textId="13F48804" w:rsidR="0081542C" w:rsidRDefault="18C99602" w:rsidP="0008445A">
      <w:pPr>
        <w:spacing w:after="0"/>
        <w:ind w:left="555"/>
        <w:rPr>
          <w:rFonts w:eastAsia="EC Square Sans Pro" w:cs="EC Square Sans Pro"/>
          <w:noProof/>
        </w:rPr>
      </w:pPr>
      <w:r>
        <w:rPr>
          <w:b/>
          <w:noProof/>
        </w:rPr>
        <w:t>La Suède satisfait au critère de stabilité des prix.</w:t>
      </w:r>
      <w:r>
        <w:rPr>
          <w:rFonts w:ascii="Calibri" w:hAnsi="Calibri"/>
          <w:noProof/>
        </w:rPr>
        <w:t xml:space="preserve"> </w:t>
      </w:r>
      <w:r>
        <w:rPr>
          <w:noProof/>
        </w:rPr>
        <w:t>Sur la période de douze mois qui s’est terminée en mai 2026, le taux d’inflation moyen basé sur l’IPCH en Suède a été de 2,2 %, ce qui est inférieur à la valeur de référence de 2,7 %. Il devrait diminuer d’ici la fin de 2026, avant de repartir légèrement à la hausse en 2027, tout en restant inférieur à la valeur de référence pour ces deux années.</w:t>
      </w:r>
    </w:p>
    <w:p w14:paraId="1A36086E" w14:textId="7EBAFCB2" w:rsidR="00B33FB6" w:rsidRPr="00222EB8" w:rsidRDefault="0008445A" w:rsidP="0008445A">
      <w:pPr>
        <w:spacing w:after="0"/>
        <w:ind w:left="555"/>
        <w:rPr>
          <w:rFonts w:eastAsia="EC Square Sans Pro" w:cs="EC Square Sans Pro"/>
          <w:noProof/>
          <w:szCs w:val="20"/>
        </w:rPr>
      </w:pPr>
      <w:r>
        <w:rPr>
          <w:noProof/>
        </w:rPr>
        <w:t xml:space="preserve">  </w:t>
      </w:r>
    </w:p>
    <w:p w14:paraId="780EE280" w14:textId="1DE07FB1" w:rsidR="00B33FB6" w:rsidRPr="00222EB8" w:rsidRDefault="0079608B" w:rsidP="00790336">
      <w:pPr>
        <w:spacing w:after="0"/>
        <w:ind w:left="555"/>
        <w:jc w:val="center"/>
        <w:rPr>
          <w:noProof/>
        </w:rPr>
      </w:pPr>
      <w:r w:rsidRPr="0079608B">
        <w:rPr>
          <w:noProof/>
          <w:lang w:val="en-GB" w:eastAsia="en-GB"/>
        </w:rPr>
        <w:drawing>
          <wp:inline distT="0" distB="0" distL="0" distR="0" wp14:anchorId="01167D7A" wp14:editId="034C36D7">
            <wp:extent cx="3124835" cy="2814955"/>
            <wp:effectExtent l="0" t="0" r="0" b="0"/>
            <wp:docPr id="10750591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24835" cy="2814955"/>
                    </a:xfrm>
                    <a:prstGeom prst="rect">
                      <a:avLst/>
                    </a:prstGeom>
                    <a:noFill/>
                    <a:ln>
                      <a:noFill/>
                    </a:ln>
                  </pic:spPr>
                </pic:pic>
              </a:graphicData>
            </a:graphic>
          </wp:inline>
        </w:drawing>
      </w:r>
    </w:p>
    <w:p w14:paraId="76F3C17B" w14:textId="77777777" w:rsidR="000248FD" w:rsidRDefault="000248FD">
      <w:pPr>
        <w:spacing w:after="0"/>
        <w:ind w:left="555"/>
        <w:rPr>
          <w:rFonts w:eastAsia="EC Square Sans Pro" w:cs="EC Square Sans Pro"/>
          <w:noProof/>
          <w:szCs w:val="20"/>
        </w:rPr>
      </w:pPr>
    </w:p>
    <w:p w14:paraId="2D4EACF0" w14:textId="4EA4AD22" w:rsidR="00B33FB6" w:rsidRDefault="0074798B">
      <w:pPr>
        <w:spacing w:after="0"/>
        <w:ind w:left="555"/>
        <w:rPr>
          <w:rFonts w:eastAsia="EC Square Sans Pro" w:cs="EC Square Sans Pro"/>
          <w:noProof/>
        </w:rPr>
      </w:pPr>
      <w:r>
        <w:rPr>
          <w:noProof/>
        </w:rPr>
        <w:t>L’inflation annuelle basée sur l’IPCH de la Suède a été en moyenne de 2,0 % en 2024 et a progressé en 2025, à 2,6 %. Ces taux d’inflation ont été globalement conformes à ceux de la zone euro. La baisse des prix de l’énergie, les effets de base et la croissance modérée des salaires sous l’effet d’accords salariaux pluriannuels modérés ont contribué à la désinflation au cours des deux années. La forte décélération des prix des produits alimentaires en 2024 et la modération prononcée des hausses du prix des produits manufacturés hors énergie au cours des deux années ont également contribué au ralentissement de l’inflation globale, tandis que l’inflation des services est restée élevée, tout en étant ramenée de 4,9 % en 2024 à 3,8 % en 2025. En 2025, la légère hausse du prix des produits alimentaires et de l’énergie a été à l’origine du rebond de l’inflation globale. L’incidence décalée du taux de change effectif plus élevé de la couronne en 2024 a contribué à freiner les hausses de prix des biens et services importés. L’inflation basée sur l’IPCH a ralenti au cours des premiers mois de 2026, les répercussions du conflit au Moyen-Orient ayant été compensées, à partir d’avril, par des baisses substantielles de la fiscalité indirecte sur les produits alimentaires et les carburants, conjuguées à la faiblesse de l’inflation sous-jacente.</w:t>
      </w:r>
    </w:p>
    <w:p w14:paraId="2E6FD91E" w14:textId="77777777" w:rsidR="006522B0" w:rsidRPr="00222EB8" w:rsidRDefault="006522B0" w:rsidP="00790336">
      <w:pPr>
        <w:spacing w:after="0"/>
        <w:ind w:left="555"/>
        <w:rPr>
          <w:rFonts w:eastAsia="EC Square Sans Pro" w:cs="EC Square Sans Pro"/>
          <w:noProof/>
          <w:szCs w:val="20"/>
        </w:rPr>
      </w:pPr>
    </w:p>
    <w:p w14:paraId="5A03842F" w14:textId="0B27A95A" w:rsidR="00B33FB6" w:rsidRDefault="007F0F03">
      <w:pPr>
        <w:spacing w:after="0"/>
        <w:ind w:left="555"/>
        <w:rPr>
          <w:rFonts w:eastAsia="EC Square Sans Pro" w:cs="EC Square Sans Pro"/>
          <w:noProof/>
        </w:rPr>
      </w:pPr>
      <w:r>
        <w:rPr>
          <w:noProof/>
        </w:rPr>
        <w:t>Selon les prévisions économiques du printemps 2026 de la Commission, le taux annuel moyen de l’inflation basé sur l’IPCH devrait retomber à quelque 1,5 % en 2026, avant de connaître une légère hausse pour s’établir à 1,8 % en 2027. Les évolutions de l’inflation en 2026 reflètent l’incidence de la hausse des prix à l’importation, en particulier pour les produits pétroliers, partiellement compensée par des réductions de la TVA et des accises, des augmentations salariales modérées et l’incidence décalée d’une couronne plus forte, des facteurs particuliers censés s’estomper en 2027. Le niveau des prix en Suède est relativement élevé, aux alentours de 110 % de la moyenne de la zone euro en 2024.</w:t>
      </w:r>
    </w:p>
    <w:p w14:paraId="1CFB0E52" w14:textId="77777777" w:rsidR="006522B0" w:rsidRPr="00222EB8" w:rsidRDefault="006522B0" w:rsidP="00790336">
      <w:pPr>
        <w:spacing w:after="0"/>
        <w:ind w:left="555"/>
        <w:rPr>
          <w:rFonts w:eastAsia="EC Square Sans Pro" w:cs="EC Square Sans Pro"/>
          <w:noProof/>
          <w:szCs w:val="20"/>
        </w:rPr>
      </w:pPr>
    </w:p>
    <w:p w14:paraId="6BFD1C1D" w14:textId="177234DF" w:rsidR="002F7DB2" w:rsidRDefault="18C99602" w:rsidP="0098405B">
      <w:pPr>
        <w:ind w:left="555"/>
        <w:rPr>
          <w:rFonts w:eastAsia="EC Square Sans Pro" w:cs="EC Square Sans Pro"/>
          <w:noProof/>
        </w:rPr>
      </w:pPr>
      <w:r>
        <w:rPr>
          <w:b/>
          <w:noProof/>
        </w:rPr>
        <w:t>La Suède satisfait au critère relatif aux finances publiques.</w:t>
      </w:r>
      <w:r>
        <w:rPr>
          <w:rFonts w:ascii="Calibri" w:hAnsi="Calibri"/>
          <w:noProof/>
        </w:rPr>
        <w:t xml:space="preserve"> </w:t>
      </w:r>
      <w:bookmarkStart w:id="11" w:name="_Hlk225944620"/>
      <w:r>
        <w:rPr>
          <w:noProof/>
        </w:rPr>
        <w:t>La Suède ne fait pas l’objet d’une décision du Conseil concernant l’existence d’un déficit public excessif. Le déficit des administrations publiques s’est légèrement amélioré, passant de 1,5 % du PIB en 2024 à 1,3 % en 2025, reflétant une croissance économique atone. Selon les prévisions économiques du printemps 2026 de la Commission, le déficit public devrait atteindre 2,8 % du PIB en 2026 en raison de l’affaiblissement des recettes totales. En 2027, le ratio de déficit public devrait s’établir à 2,5 %.</w:t>
      </w:r>
    </w:p>
    <w:p w14:paraId="22B1AFDD" w14:textId="13630C88" w:rsidR="0005765E" w:rsidRDefault="00E45E80" w:rsidP="00790336">
      <w:pPr>
        <w:spacing w:after="0"/>
        <w:ind w:left="555"/>
        <w:rPr>
          <w:rFonts w:eastAsia="EC Square Sans Pro" w:cs="EC Square Sans Pro"/>
          <w:noProof/>
        </w:rPr>
      </w:pPr>
      <w:r>
        <w:rPr>
          <w:noProof/>
        </w:rPr>
        <w:t>Le 21 janvier 2025, le Conseil a adopté une recommandation approuvant le plan budgétaire et structurel national à moyen terme de la Suède. Ce plan couvre la période 2025-2028 et fixe une limite supérieure pour la croissance des dépenses nettes sur les quatre années, avec des taux de croissance maximaux des dépenses nettes de 4,0 % en 2025, de 4,4 % en 2026, de 4,4 % en 2027 et de 4,6 % en 2028. Le 3 juin 2026, la Commission a conclu que les dépenses nettes devraient croître de 6,5 % en 2026, ce qui est supérieur à la croissance recommandée de 4,4 %.</w:t>
      </w:r>
      <w:r>
        <w:rPr>
          <w:noProof/>
          <w:color w:val="auto"/>
        </w:rPr>
        <w:t xml:space="preserve"> L’écart par rapport au maximum recommandé équivaut à un écart annuel de 1,0 % du PIB. Cependant, si l’on examine conjointement les années 2024, 2025 et 2026, le taux de croissance cumulé des dépenses nettes devrait être en deçà du taux de croissance maximal recommandé. </w:t>
      </w:r>
      <w:r>
        <w:rPr>
          <w:noProof/>
        </w:rPr>
        <w:t xml:space="preserve">Les dépenses nettes en 2026 devraient augmenter de 6,5 %, ce qui est supérieur au plafond de 4,4 % pour 2026 recommandé par le Conseil, et la croissance cumulée des dépenses nettes d’ici 2026 devrait rester dans les limites du plafond cumulé recommandé de 15,5 %. </w:t>
      </w:r>
      <w:bookmarkEnd w:id="11"/>
    </w:p>
    <w:p w14:paraId="77292B88" w14:textId="77777777" w:rsidR="00D24D56" w:rsidRDefault="00D24D56" w:rsidP="00790336">
      <w:pPr>
        <w:spacing w:after="0"/>
        <w:ind w:left="555"/>
        <w:rPr>
          <w:rFonts w:eastAsia="EC Square Sans Pro" w:cs="EC Square Sans Pro"/>
          <w:noProof/>
        </w:rPr>
      </w:pPr>
    </w:p>
    <w:p w14:paraId="0C33E84D" w14:textId="437F2594" w:rsidR="00B33FB6" w:rsidRDefault="0005765E" w:rsidP="00790336">
      <w:pPr>
        <w:spacing w:after="0"/>
        <w:ind w:left="555"/>
        <w:rPr>
          <w:rFonts w:eastAsia="EC Square Sans Pro" w:cs="EC Square Sans Pro"/>
          <w:noProof/>
        </w:rPr>
      </w:pPr>
      <w:r>
        <w:rPr>
          <w:noProof/>
        </w:rPr>
        <w:t>Le ratio de la dette publique au PIB a augmenté, passant de 34,1 % en 2024 à 35,1 % en 2025, et devrait poursuivre sa hausse pour atteindre 36,5 % du PIB en 2026 puis 37,7 % en 2027, en raison d’un déficit primaire plus élevé.</w:t>
      </w:r>
      <w:r>
        <w:rPr>
          <w:rFonts w:ascii="Calibri" w:hAnsi="Calibri"/>
          <w:noProof/>
        </w:rPr>
        <w:t xml:space="preserve"> </w:t>
      </w:r>
      <w:r>
        <w:rPr>
          <w:noProof/>
        </w:rPr>
        <w:t>À moyen terme, les risques pesant sur la soutenabilité de la dette de la Suède apparaissent faibles, et ce même si les projections annoncent une hausse de la dette publique, laquelle atteindrait aux alentours de 44 % du PIB d’ici 2036.</w:t>
      </w:r>
      <w:r>
        <w:rPr>
          <w:rFonts w:ascii="Calibri" w:hAnsi="Calibri"/>
          <w:noProof/>
        </w:rPr>
        <w:t xml:space="preserve"> </w:t>
      </w:r>
      <w:r>
        <w:rPr>
          <w:noProof/>
        </w:rPr>
        <w:t>La Suède dispose d’un cadre budgétaire solide, doté de règles claires et axé sur le moyen terme, qui maintient l’ancrage de la dette à 35 % du PIB.</w:t>
      </w:r>
    </w:p>
    <w:p w14:paraId="51D2F86D" w14:textId="77777777" w:rsidR="008839EE" w:rsidRPr="00222EB8" w:rsidRDefault="008839EE" w:rsidP="00790336">
      <w:pPr>
        <w:spacing w:after="0"/>
        <w:ind w:left="555"/>
        <w:rPr>
          <w:rFonts w:eastAsia="EC Square Sans Pro" w:cs="EC Square Sans Pro"/>
          <w:noProof/>
        </w:rPr>
      </w:pPr>
    </w:p>
    <w:p w14:paraId="09B0ADFC" w14:textId="0000C77A" w:rsidR="00B33FB6" w:rsidRPr="00222EB8" w:rsidRDefault="005E30B4" w:rsidP="00790336">
      <w:pPr>
        <w:spacing w:after="0"/>
        <w:ind w:left="555"/>
        <w:jc w:val="center"/>
        <w:rPr>
          <w:noProof/>
        </w:rPr>
      </w:pPr>
      <w:r w:rsidRPr="005E30B4">
        <w:rPr>
          <w:noProof/>
          <w:lang w:val="en-GB" w:eastAsia="en-GB"/>
        </w:rPr>
        <w:drawing>
          <wp:inline distT="0" distB="0" distL="0" distR="0" wp14:anchorId="02128AD7" wp14:editId="34DF926A">
            <wp:extent cx="3795395" cy="2346325"/>
            <wp:effectExtent l="0" t="0" r="0" b="0"/>
            <wp:docPr id="12319368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95395" cy="2346325"/>
                    </a:xfrm>
                    <a:prstGeom prst="rect">
                      <a:avLst/>
                    </a:prstGeom>
                    <a:noFill/>
                    <a:ln>
                      <a:noFill/>
                    </a:ln>
                  </pic:spPr>
                </pic:pic>
              </a:graphicData>
            </a:graphic>
          </wp:inline>
        </w:drawing>
      </w:r>
    </w:p>
    <w:p w14:paraId="48BDBF03" w14:textId="77777777" w:rsidR="00AB2F7D" w:rsidRDefault="00AB2F7D">
      <w:pPr>
        <w:spacing w:after="0"/>
        <w:ind w:left="555"/>
        <w:rPr>
          <w:rFonts w:eastAsia="EC Square Sans Pro" w:cs="EC Square Sans Pro"/>
          <w:b/>
          <w:bCs/>
          <w:noProof/>
          <w:szCs w:val="20"/>
        </w:rPr>
      </w:pPr>
    </w:p>
    <w:p w14:paraId="32B8C0A6" w14:textId="13B39213" w:rsidR="00B33FB6" w:rsidRDefault="18C99602">
      <w:pPr>
        <w:spacing w:after="0"/>
        <w:ind w:left="555"/>
        <w:rPr>
          <w:rFonts w:ascii="Calibri" w:eastAsia="Calibri" w:hAnsi="Calibri" w:cs="Calibri"/>
          <w:noProof/>
          <w:color w:val="000000" w:themeColor="text1"/>
        </w:rPr>
      </w:pPr>
      <w:r>
        <w:rPr>
          <w:b/>
          <w:noProof/>
        </w:rPr>
        <w:t>La Suède ne satisfait pas au critère du taux de change.</w:t>
      </w:r>
      <w:r>
        <w:rPr>
          <w:rFonts w:ascii="Calibri" w:hAnsi="Calibri"/>
          <w:noProof/>
        </w:rPr>
        <w:t xml:space="preserve"> </w:t>
      </w:r>
      <w:r>
        <w:rPr>
          <w:noProof/>
        </w:rPr>
        <w:t>La couronne suédoise ne participe pas au mécanisme de change II. La Suède applique un régime de taux de change flottant librement qui permet à la banque centrale d’intervenir sur le marché des changes. Après une longue période de dépréciation par rapport à l’euro, la couronne passant de 8,3 SEK/EUR en août 2012 à 11,8 SEK/EUR en septembre 2023, la devise suédoise s’est quelque peu redressée en 2024 et 2025, atteignant 10,6 SEK/EUR en février 2026, avant de s’affaiblir à nouveau légèrement. L’écart STIBOR-EURIBOR à trois mois a affiché une certaine volatilité ces dernières années. Après une augmentation courte mais forte en 2022, il a ensuite diminué, devenant négatif au second semestre 2024. Depuis lors, il a fluctué entre -20 et 20 points de base, soit un niveau nettement inférieur à celui des années antérieures à 2022 (environ 50 points de base). En mai 2026, l’écart s’établissait à - 21 points de base et le taux de change était de 10,9 SEK/EUR, soit plus avantageux de 7 % par rapport à l’euro que deux ans auparavant.</w:t>
      </w:r>
      <w:r>
        <w:rPr>
          <w:rFonts w:ascii="Calibri" w:hAnsi="Calibri"/>
          <w:noProof/>
          <w:color w:val="000000" w:themeColor="text1"/>
        </w:rPr>
        <w:t xml:space="preserve"> </w:t>
      </w:r>
    </w:p>
    <w:p w14:paraId="494D72C5" w14:textId="77777777" w:rsidR="006522B0" w:rsidRPr="00222EB8" w:rsidRDefault="006522B0" w:rsidP="00790336">
      <w:pPr>
        <w:spacing w:after="0"/>
        <w:ind w:left="555"/>
        <w:rPr>
          <w:rFonts w:ascii="Calibri" w:eastAsia="Calibri" w:hAnsi="Calibri" w:cs="Calibri"/>
          <w:noProof/>
          <w:color w:val="000000" w:themeColor="text1"/>
          <w:szCs w:val="20"/>
        </w:rPr>
      </w:pPr>
    </w:p>
    <w:p w14:paraId="025F6052" w14:textId="4ED408E8" w:rsidR="00B33FB6" w:rsidRPr="001C1C9C" w:rsidRDefault="18C99602">
      <w:pPr>
        <w:spacing w:after="0"/>
        <w:ind w:left="555"/>
        <w:rPr>
          <w:rFonts w:eastAsia="EC Square Sans Pro" w:cs="EC Square Sans Pro"/>
          <w:noProof/>
        </w:rPr>
      </w:pPr>
      <w:r>
        <w:rPr>
          <w:b/>
          <w:noProof/>
        </w:rPr>
        <w:t>La Suède satisfait au critère de convergence des taux d’intérêt à long terme.</w:t>
      </w:r>
      <w:r>
        <w:rPr>
          <w:rFonts w:ascii="Calibri" w:hAnsi="Calibri"/>
          <w:noProof/>
        </w:rPr>
        <w:t xml:space="preserve"> </w:t>
      </w:r>
      <w:r>
        <w:rPr>
          <w:noProof/>
        </w:rPr>
        <w:t>Au cours de la période de douze mois qui s’est terminée en mai 2026, le taux d’intérêt à long terme moyen de la Suède a été de 2,6 %, ce qui est largement inférieur à la valeur de référence de 5,1 %. Après avoir considérablement augmenté en 2022 et 2023, les taux d’intérêt à long terme de la Suède ont reculé en 2024, avant de revenir aux niveaux de 2023 en 2025. Depuis le début de 2024, le taux d’intérêt à long terme fluctue entre 2,2 % et 2,8 %. L’écart par rapport à l’obligation de référence allemande est resté relativement faible, avec une certaine volatilité en 2024 et 2025. D’une manière générale, l’écart a diminué ces dernières années et est devenu légèrement négatif en 2024, atteignant -34 points de base en juillet 2024. Il s’est ensuite légèrement creusé jusqu’en janvier 2026, avant de se combler progressivement pour atteindre -31 points de base en mai 2026.</w:t>
      </w:r>
    </w:p>
    <w:p w14:paraId="51606EF8" w14:textId="77777777" w:rsidR="006522B0" w:rsidRPr="00222EB8" w:rsidRDefault="006522B0" w:rsidP="00790336">
      <w:pPr>
        <w:spacing w:after="0"/>
        <w:ind w:left="555"/>
        <w:rPr>
          <w:rFonts w:eastAsia="EC Square Sans Pro" w:cs="EC Square Sans Pro"/>
          <w:noProof/>
          <w:szCs w:val="20"/>
        </w:rPr>
      </w:pPr>
    </w:p>
    <w:p w14:paraId="39087171" w14:textId="645DDDBD" w:rsidR="006522B0" w:rsidRPr="00222EB8" w:rsidRDefault="18C99602" w:rsidP="002D7C6C">
      <w:pPr>
        <w:ind w:left="567"/>
        <w:rPr>
          <w:rFonts w:eastAsia="EC Square Sans Pro" w:cs="EC Square Sans Pro"/>
          <w:noProof/>
          <w:szCs w:val="20"/>
        </w:rPr>
      </w:pPr>
      <w:r>
        <w:rPr>
          <w:noProof/>
        </w:rPr>
        <w:t>La Commission a également examiné d’</w:t>
      </w:r>
      <w:r>
        <w:rPr>
          <w:b/>
          <w:noProof/>
        </w:rPr>
        <w:t>autres facteurs</w:t>
      </w:r>
      <w:r>
        <w:rPr>
          <w:noProof/>
        </w:rPr>
        <w:t>, notamment l’évolution de la balance des paiements, l’intégration des marchés et l’environnement institutionnel. Le solde extérieur de la Suède (combinant le compte des transactions courantes et le compte de capital) est resté excédentaire, à 7,0 % du PIB en 2024 et à 6,2 % du PIB en 2025. L’économie de la Suède est bien intégrée dans la zone euro par le biais des échanges commerciaux et des investissements.</w:t>
      </w:r>
      <w:r>
        <w:rPr>
          <w:rFonts w:ascii="Calibri" w:hAnsi="Calibri"/>
          <w:noProof/>
        </w:rPr>
        <w:t xml:space="preserve"> </w:t>
      </w:r>
      <w:r>
        <w:rPr>
          <w:noProof/>
        </w:rPr>
        <w:t>D’après une sélection d’indicateurs concernant l’environnement institutionnel, la Suède obtient de meilleurs résultats que de nombreux États membres de la zone euro dans ce domaine. Le secteur financier suédois est très développé et bien intégré dans le système financier de la zone euro. Le secteur bancaire domine le secteur financier, bien que les fonds d’assurance et de pension en occupent également une part considérable. En outre, la Suède possède l’un des marchés du crédit et des marchés des actions les plus développés de l’UE, et le niveau de financement par les marchés y est l’un des plus élevés au sein de l’UE. Dans le cadre de la procédure concernant les déséquilibres macroéconomiques, la Commission a conclu, dans son rapport sur le mécanisme d’alerte de 2026, qu’un bilan approfondi se justifiait pour la Suède.</w:t>
      </w:r>
      <w:r>
        <w:rPr>
          <w:rFonts w:ascii="Calibri" w:hAnsi="Calibri"/>
          <w:noProof/>
        </w:rPr>
        <w:t xml:space="preserve"> </w:t>
      </w:r>
      <w:r>
        <w:rPr>
          <w:noProof/>
        </w:rPr>
        <w:t>Ce dernier a permis de conclure que la Suède était confrontée à des vulnérabilités liées à son marché immobilier et à une dette privée élevée. Alors que les prix des logements connaissent une phase de relative modération par rapport à leurs niveaux de 2022 et 2023, l’endettement des ménages reste élevé et devrait continuer d’augmenter. Bien que le secteur financier soit fortement exposé à l’immobilier, il affiche une certaine rentabilité, de confortables coussins de fonds propres ayant été constitués pour faire face à toute évolution défavorable. Les rigidités caractérisant l’offre de logements persistent, le marché locatif a connu une réforme limitée, ce qui a conduit à de longues listes d’attente et à un faible taux de vacance par rapport à d’autres pays de l’UE. Compte tenu de cette évaluation dans le bilan approfondi, la Commission, dans sa communication sur le paquet de printemps du Semestre européen 2026, considère que la Suède ne connaît plus de déséquilibres macroéconomiques.</w:t>
      </w:r>
    </w:p>
    <w:p w14:paraId="18BB4049" w14:textId="7D429902" w:rsidR="00B33FB6" w:rsidRPr="009F0DD6" w:rsidRDefault="18C99602" w:rsidP="009F0DD6">
      <w:pPr>
        <w:spacing w:after="0"/>
        <w:ind w:left="555"/>
        <w:rPr>
          <w:rFonts w:eastAsia="EC Square Sans Pro" w:cs="EC Square Sans Pro"/>
          <w:noProof/>
        </w:rPr>
      </w:pPr>
      <w:r>
        <w:rPr>
          <w:noProof/>
        </w:rPr>
        <w:t>Le plan pour la reprise et la résilience (PRR) de la Suède comprend des mesures visant à relever une série de défis structurels, en synergie avec d’autres fonds de l’UE, y compris les fonds de la politique de cohésion en vue de réduire les disparités territoriales et sociales du pays. Le financement au titre de la FRR octroie à la Suède 3,4 milliards d’EUR au cours de la période 2021-2026. La Suède a présenté sa deuxième demande de paiement en janvier 2026. Parmi les investissements et réformes clés du PRR de la Suède figurent ceux dans les domaines du financement des technologies et infrastructures permettant de réduire les émissions de gaz à effet de serre, de l’isolation des logements, de la formation pour les soins aux personnes âgées et du déploiement du haut débit dans les zones à faible densité de population. Un premier remboursement au titre de la FRR a eu lieu en juillet 2025, les paiements restants étant en cours d’évaluation pour 2026. En outre, la politique de cohésion accorde à la Suède 2,4 milliards d’EUR pour la période 2021-2027. Le financement au titre de la politique de cohésion vise en particulier à améliorer davantage les conditions de la recherche et de l’innovation, à créer des possibilités d’entrepreneuriat et de transformation industrielle ainsi qu’à soutenir la numérisation, l’internationalisation et la compétitivité. La Suède a progressé dans la mise en œuvre de la politique de cohésion, mais des défis subsistent, des disparités persistant entre la région de la capitale et le reste du pays.</w:t>
      </w:r>
      <w:r>
        <w:rPr>
          <w:b/>
          <w:noProof/>
        </w:rPr>
        <w:t xml:space="preserve"> </w:t>
      </w:r>
    </w:p>
    <w:p w14:paraId="3DDA5709" w14:textId="77777777" w:rsidR="00E408C4" w:rsidRPr="00E408C4" w:rsidRDefault="00E408C4" w:rsidP="00E408C4">
      <w:pPr>
        <w:pStyle w:val="Text1"/>
        <w:ind w:left="567"/>
        <w:rPr>
          <w:rFonts w:ascii="EC Square Sans Pro" w:hAnsi="EC Square Sans Pro"/>
          <w:b/>
          <w:bCs/>
          <w:noProof/>
          <w:color w:val="000000"/>
          <w:sz w:val="20"/>
          <w:szCs w:val="24"/>
          <w:lang w:eastAsia="en-US"/>
        </w:rPr>
      </w:pPr>
    </w:p>
    <w:p w14:paraId="54903814" w14:textId="77777777" w:rsidR="009331D7" w:rsidRDefault="009331D7" w:rsidP="00D85738">
      <w:pPr>
        <w:rPr>
          <w:noProof/>
        </w:rPr>
      </w:pPr>
    </w:p>
    <w:p w14:paraId="71B37DEF" w14:textId="77777777" w:rsidR="009331D7" w:rsidRDefault="009331D7" w:rsidP="00D85738">
      <w:pPr>
        <w:rPr>
          <w:noProof/>
        </w:rPr>
      </w:pPr>
    </w:p>
    <w:bookmarkEnd w:id="0"/>
    <w:p w14:paraId="448AACF2" w14:textId="77777777" w:rsidR="009331D7" w:rsidRPr="00F64EC0" w:rsidRDefault="009331D7" w:rsidP="00D85738">
      <w:pPr>
        <w:rPr>
          <w:noProof/>
        </w:rPr>
      </w:pPr>
    </w:p>
    <w:sectPr w:rsidR="009331D7" w:rsidRPr="00F64EC0" w:rsidSect="00E46E5E">
      <w:headerReference w:type="even" r:id="rId25"/>
      <w:headerReference w:type="default" r:id="rId26"/>
      <w:footerReference w:type="even" r:id="rId27"/>
      <w:footerReference w:type="default" r:id="rId28"/>
      <w:headerReference w:type="first" r:id="rId29"/>
      <w:footerReference w:type="first" r:id="rId30"/>
      <w:footnotePr>
        <w:pos w:val="beneathText"/>
      </w:footnotePr>
      <w:pgSz w:w="11907" w:h="16839"/>
      <w:pgMar w:top="1417" w:right="1417" w:bottom="1417"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F8817" w14:textId="77777777" w:rsidR="007F4182" w:rsidRDefault="007F4182" w:rsidP="00F64EC0">
      <w:pPr>
        <w:spacing w:after="0" w:line="240" w:lineRule="auto"/>
      </w:pPr>
      <w:r>
        <w:separator/>
      </w:r>
    </w:p>
  </w:endnote>
  <w:endnote w:type="continuationSeparator" w:id="0">
    <w:p w14:paraId="4089FC6E" w14:textId="77777777" w:rsidR="007F4182" w:rsidRDefault="007F4182" w:rsidP="00F64EC0">
      <w:pPr>
        <w:spacing w:after="0" w:line="240" w:lineRule="auto"/>
      </w:pPr>
      <w:r>
        <w:continuationSeparator/>
      </w:r>
    </w:p>
  </w:endnote>
  <w:endnote w:type="continuationNotice" w:id="1">
    <w:p w14:paraId="5C368547" w14:textId="77777777" w:rsidR="007F4182" w:rsidRDefault="007F4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EC Square Sans Pro Thin">
    <w:charset w:val="00"/>
    <w:family w:val="swiss"/>
    <w:pitch w:val="variable"/>
    <w:sig w:usb0="2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EC Square Sans Pro Medium">
    <w:charset w:val="00"/>
    <w:family w:val="swiss"/>
    <w:pitch w:val="variable"/>
    <w:sig w:usb0="2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0ADA1" w14:textId="16E48A50" w:rsidR="005D00FB" w:rsidRPr="005D00FB" w:rsidRDefault="005D00FB" w:rsidP="005D00FB">
    <w:pPr>
      <w:pStyle w:val="FooterCoverPage"/>
      <w:rPr>
        <w:rFonts w:ascii="Arial" w:hAnsi="Arial" w:cs="Arial"/>
        <w:b/>
        <w:sz w:val="48"/>
      </w:rPr>
    </w:pPr>
    <w:r w:rsidRPr="005D00FB">
      <w:rPr>
        <w:rFonts w:ascii="Arial" w:hAnsi="Arial" w:cs="Arial"/>
        <w:b/>
        <w:sz w:val="48"/>
      </w:rPr>
      <w:t>FR</w:t>
    </w:r>
    <w:r w:rsidRPr="005D00FB">
      <w:rPr>
        <w:rFonts w:ascii="Arial" w:hAnsi="Arial" w:cs="Arial"/>
        <w:b/>
        <w:sz w:val="48"/>
      </w:rPr>
      <w:tab/>
    </w:r>
    <w:r w:rsidRPr="005D00FB">
      <w:rPr>
        <w:rFonts w:ascii="Arial" w:hAnsi="Arial" w:cs="Arial"/>
        <w:b/>
        <w:sz w:val="48"/>
      </w:rPr>
      <w:tab/>
    </w:r>
    <w:r w:rsidRPr="005D00FB">
      <w:tab/>
    </w:r>
    <w:r w:rsidRPr="005D00F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224EA" w14:textId="06CDC91C" w:rsidR="005D00FB" w:rsidRPr="005D00FB" w:rsidRDefault="005D00FB" w:rsidP="005D00FB">
    <w:pPr>
      <w:pStyle w:val="FooterCoverPage"/>
      <w:rPr>
        <w:rFonts w:ascii="Arial" w:hAnsi="Arial" w:cs="Arial"/>
        <w:b/>
        <w:sz w:val="48"/>
      </w:rPr>
    </w:pPr>
    <w:r w:rsidRPr="005D00FB">
      <w:rPr>
        <w:rFonts w:ascii="Arial" w:hAnsi="Arial" w:cs="Arial"/>
        <w:b/>
        <w:sz w:val="48"/>
      </w:rPr>
      <w:t>FR</w:t>
    </w:r>
    <w:r w:rsidRPr="005D00FB">
      <w:rPr>
        <w:rFonts w:ascii="Arial" w:hAnsi="Arial" w:cs="Arial"/>
        <w:b/>
        <w:sz w:val="48"/>
      </w:rPr>
      <w:tab/>
    </w:r>
    <w:r w:rsidRPr="005D00FB">
      <w:rPr>
        <w:rFonts w:ascii="Arial" w:hAnsi="Arial" w:cs="Arial"/>
        <w:b/>
        <w:sz w:val="48"/>
      </w:rPr>
      <w:tab/>
    </w:r>
    <w:r w:rsidRPr="005D00FB">
      <w:tab/>
    </w:r>
    <w:r w:rsidRPr="005D00F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A617D" w14:textId="77777777" w:rsidR="005D00FB" w:rsidRPr="005D00FB" w:rsidRDefault="005D00FB" w:rsidP="005D00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8BD96" w14:textId="38B7A451" w:rsidR="00E46E5E" w:rsidRDefault="00E46E5E" w:rsidP="00F64EC0">
    <w:pPr>
      <w:pStyle w:val="FooterPageNumber30"/>
      <w:framePr w:wrap="around"/>
    </w:pPr>
    <w:r>
      <w:fldChar w:fldCharType="begin"/>
    </w:r>
    <w:r>
      <w:instrText xml:space="preserve"> PAGE </w:instrText>
    </w:r>
    <w:r>
      <w:fldChar w:fldCharType="separate"/>
    </w:r>
    <w:r w:rsidR="00D34F1D">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2E5D" w14:textId="73986B6C" w:rsidR="00E46E5E" w:rsidRDefault="00E46E5E" w:rsidP="00F64EC0">
    <w:pPr>
      <w:pStyle w:val="FooterPageNumber30"/>
      <w:framePr w:wrap="around"/>
    </w:pPr>
    <w:r>
      <w:fldChar w:fldCharType="begin"/>
    </w:r>
    <w:r>
      <w:instrText xml:space="preserve"> PAGE </w:instrText>
    </w:r>
    <w:r>
      <w:fldChar w:fldCharType="separate"/>
    </w:r>
    <w:r w:rsidR="005D00FB">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792F2" w14:textId="5CEA34D2" w:rsidR="00E46E5E" w:rsidRDefault="00E46E5E" w:rsidP="00F64EC0">
    <w:pPr>
      <w:pStyle w:val="FooterPageNumber30"/>
      <w:framePr w:wrap="around"/>
    </w:pPr>
    <w:r>
      <w:fldChar w:fldCharType="begin"/>
    </w:r>
    <w:r>
      <w:instrText xml:space="preserve"> PAGE </w:instrText>
    </w:r>
    <w:r>
      <w:fldChar w:fldCharType="separate"/>
    </w:r>
    <w:r w:rsidR="005D00F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7ED3C" w14:textId="77777777" w:rsidR="007F4182" w:rsidRDefault="007F4182" w:rsidP="00F64EC0">
      <w:pPr>
        <w:spacing w:after="0" w:line="240" w:lineRule="auto"/>
      </w:pPr>
      <w:r>
        <w:separator/>
      </w:r>
    </w:p>
  </w:footnote>
  <w:footnote w:type="continuationSeparator" w:id="0">
    <w:p w14:paraId="02CFAC0C" w14:textId="77777777" w:rsidR="007F4182" w:rsidRDefault="007F4182" w:rsidP="00F64EC0">
      <w:pPr>
        <w:spacing w:after="0" w:line="240" w:lineRule="auto"/>
      </w:pPr>
      <w:r>
        <w:continuationSeparator/>
      </w:r>
    </w:p>
  </w:footnote>
  <w:footnote w:type="continuationNotice" w:id="1">
    <w:p w14:paraId="6F2D2B3F" w14:textId="77777777" w:rsidR="007F4182" w:rsidRDefault="007F4182" w:rsidP="00F64EC0">
      <w:pPr>
        <w:spacing w:after="0" w:line="240" w:lineRule="auto"/>
      </w:pPr>
    </w:p>
  </w:footnote>
  <w:footnote w:id="2">
    <w:p w14:paraId="48B7E7CC" w14:textId="7EF4E17A" w:rsidR="00F410AB" w:rsidRDefault="00F410AB" w:rsidP="00F410AB">
      <w:pPr>
        <w:pStyle w:val="FootnoteText"/>
      </w:pPr>
      <w:r>
        <w:rPr>
          <w:rStyle w:val="FootnoteReference"/>
        </w:rPr>
        <w:footnoteRef/>
      </w:r>
      <w:r>
        <w:t xml:space="preserve"> </w:t>
      </w:r>
      <w:r>
        <w:tab/>
        <w:t>Les États membres ne remplissant pas encore les conditions nécessaires pour l’adoption de l’euro sont dénommés ci-après «États membres faisant l’objet d’une dérogation». Le Danemark a négocié avant l’adoption du traité de Maastricht une clause de non-participation à la troisième phase de l’Union économique et monétaire.</w:t>
      </w:r>
    </w:p>
  </w:footnote>
  <w:footnote w:id="3">
    <w:p w14:paraId="32B998E1" w14:textId="17357BBA" w:rsidR="00052DDE" w:rsidRDefault="00052DDE">
      <w:pPr>
        <w:pStyle w:val="FootnoteText"/>
      </w:pPr>
      <w:r>
        <w:rPr>
          <w:rStyle w:val="FootnoteReference"/>
        </w:rPr>
        <w:footnoteRef/>
      </w:r>
      <w:r>
        <w:t xml:space="preserve"> </w:t>
      </w:r>
      <w:r>
        <w:tab/>
        <w:t>Décision (UE) 2025/1407 du Conseil du 8 juillet 2025 portant adoption par la Bulgarie de l’euro au 1</w:t>
      </w:r>
      <w:r>
        <w:rPr>
          <w:vertAlign w:val="superscript"/>
        </w:rPr>
        <w:t>er</w:t>
      </w:r>
      <w:r>
        <w:t> janvier 2026 (JO L 1407 du 14.7.2025, p. 1).</w:t>
      </w:r>
    </w:p>
  </w:footnote>
  <w:footnote w:id="4">
    <w:p w14:paraId="524469D4" w14:textId="6FD50B57" w:rsidR="00F410AB" w:rsidRDefault="00F410AB" w:rsidP="00F410AB">
      <w:pPr>
        <w:pStyle w:val="FootnoteText"/>
      </w:pPr>
      <w:r>
        <w:rPr>
          <w:rStyle w:val="FootnoteReference"/>
        </w:rPr>
        <w:footnoteRef/>
      </w:r>
      <w:r>
        <w:t xml:space="preserve"> </w:t>
      </w:r>
      <w:r>
        <w:tab/>
        <w:t>En vertu du protocole nº 16 annexé aux traités sur certaines dispositions relatives au Danemark, le Danemark bénéficie d’une dérogation concernant la monnaie unique et la procédure prévue à l’article 140 du TFUE ne peut être entamée qu’à sa demande. N’ayant pas entamé cette procédure, le Danemark n’est pas pris en considération dans l’évaluation.</w:t>
      </w:r>
    </w:p>
  </w:footnote>
  <w:footnote w:id="5">
    <w:p w14:paraId="259CD95C" w14:textId="1BB531E2" w:rsidR="00F410AB" w:rsidRDefault="00F410AB" w:rsidP="00F410AB">
      <w:pPr>
        <w:pStyle w:val="FootnoteText"/>
      </w:pPr>
      <w:r>
        <w:rPr>
          <w:rStyle w:val="FootnoteReference"/>
        </w:rPr>
        <w:footnoteRef/>
      </w:r>
      <w:r>
        <w:tab/>
        <w:t>Aucune donnée postérieure au 17 juin 2026 n’a été prise en compte dans le présent rapport. L’évaluation de la convergence repose sur une série d’indicateurs de convergence mensuels qui ont été calculés jusqu’au mois de mai 2026.</w:t>
      </w:r>
    </w:p>
  </w:footnote>
  <w:footnote w:id="6">
    <w:p w14:paraId="6F4B9465" w14:textId="32221A00" w:rsidR="00300C8F" w:rsidRDefault="00300C8F">
      <w:pPr>
        <w:pStyle w:val="FootnoteText"/>
      </w:pPr>
      <w:r>
        <w:rPr>
          <w:rStyle w:val="FootnoteReference"/>
        </w:rPr>
        <w:footnoteRef/>
      </w:r>
      <w:r>
        <w:t xml:space="preserve"> </w:t>
      </w:r>
      <w:r>
        <w:tab/>
        <w:t>L’examen de la compatibilité de la législation nationale se fonde sur la législation en vigueur à la fin du mois d’avril 2026.</w:t>
      </w:r>
    </w:p>
  </w:footnote>
  <w:footnote w:id="7">
    <w:p w14:paraId="221F0102" w14:textId="77777777" w:rsidR="001B33BE" w:rsidRDefault="001B33BE" w:rsidP="001B33BE">
      <w:pPr>
        <w:pStyle w:val="FootnoteText"/>
      </w:pPr>
      <w:r>
        <w:rPr>
          <w:rStyle w:val="FootnoteReference"/>
        </w:rPr>
        <w:footnoteRef/>
      </w:r>
      <w:r>
        <w:tab/>
        <w:t>En ce qui concerne le critère de stabilité des prix, l’inflation est mesurée au moyen de l’indice des prix à la consommation harmonisé (IPCH) défini dans le règlement (UE) 2016/792 du Conseil.</w:t>
      </w:r>
    </w:p>
  </w:footnote>
  <w:footnote w:id="8">
    <w:p w14:paraId="1A766CF1" w14:textId="3D04EB74" w:rsidR="001B33BE" w:rsidRPr="009D128C" w:rsidRDefault="001B33BE" w:rsidP="001B33BE">
      <w:pPr>
        <w:pStyle w:val="FootnoteText"/>
      </w:pPr>
      <w:r>
        <w:rPr>
          <w:rStyle w:val="FootnoteReference"/>
        </w:rPr>
        <w:footnoteRef/>
      </w:r>
      <w:r>
        <w:tab/>
        <w:t>Toutes les prévisions concernant l’inflation et les autres variables du présent rapport proviennent des prévisions économiques du printemps 2026 de la Commission, qui reposent sur une série d’hypothèses communes relatives aux variables extérieures, ainsi que sur l’hypothèse de politiques inchangées, mais tiennent compte également des mesures connues avec un degré de détail suffisant.</w:t>
      </w:r>
    </w:p>
  </w:footnote>
  <w:footnote w:id="9">
    <w:p w14:paraId="4C3E0A67" w14:textId="17B7C902" w:rsidR="001B33BE" w:rsidRDefault="001B33BE" w:rsidP="001B33BE">
      <w:pPr>
        <w:pStyle w:val="FootnoteText"/>
      </w:pPr>
      <w:r>
        <w:rPr>
          <w:rStyle w:val="FootnoteReference"/>
        </w:rPr>
        <w:footnoteRef/>
      </w:r>
      <w:r>
        <w:t xml:space="preserve"> </w:t>
      </w:r>
      <w:r>
        <w:tab/>
        <w:t>Taux d’inflation moyen sur 12 mois de respectivement 0,9 %, 1,2 % et 1,6 %.</w:t>
      </w:r>
    </w:p>
  </w:footnote>
  <w:footnote w:id="10">
    <w:p w14:paraId="0321FBBF" w14:textId="77777777" w:rsidR="001B33BE" w:rsidRPr="00EA4A22" w:rsidRDefault="001B33BE" w:rsidP="001B33BE">
      <w:pPr>
        <w:pStyle w:val="FootnoteText"/>
      </w:pPr>
      <w:r>
        <w:rPr>
          <w:rStyle w:val="FootnoteReference"/>
        </w:rPr>
        <w:footnoteRef/>
      </w:r>
      <w:r>
        <w:tab/>
        <w:t>Pour évaluer le respect du critère du taux de change, la Commission vérifie si le taux de change est resté proche du taux central du MCE II. Les raisons à la base d’une appréciation peuvent être prises en considération, conformément à la déclaration commune sur les pays adhérents et le MCE II du Conseil informel Ecofin réuni à Athènes le 5 avril 2003.</w:t>
      </w:r>
    </w:p>
  </w:footnote>
  <w:footnote w:id="11">
    <w:p w14:paraId="49C37832" w14:textId="364D673B" w:rsidR="001B33BE" w:rsidRDefault="001B33BE" w:rsidP="001B33BE">
      <w:pPr>
        <w:pStyle w:val="FootnoteText"/>
      </w:pPr>
      <w:r>
        <w:rPr>
          <w:rStyle w:val="FootnoteReference"/>
        </w:rPr>
        <w:footnoteRef/>
      </w:r>
      <w:r>
        <w:t xml:space="preserve"> </w:t>
      </w:r>
      <w:r>
        <w:tab/>
        <w:t>La valeur de référence pour mai 2026 a été calculée comme étant la moyenne simple des taux d’intérêt moyens à long terme sur 12 mois de Chypre (3,1 %), de la France (3,5 %) et du Danemark (2,6 %), plus deux points de pourcentage.</w:t>
      </w:r>
    </w:p>
  </w:footnote>
  <w:footnote w:id="12">
    <w:p w14:paraId="66852607" w14:textId="43D5BDD5" w:rsidR="00761BDF" w:rsidRDefault="00761BDF">
      <w:pPr>
        <w:pStyle w:val="FootnoteText"/>
      </w:pPr>
      <w:r>
        <w:rPr>
          <w:rStyle w:val="FootnoteReference"/>
        </w:rPr>
        <w:footnoteRef/>
      </w:r>
      <w:r>
        <w:t xml:space="preserve"> </w:t>
      </w:r>
      <w:r>
        <w:tab/>
        <w:t>COM(2026) 200 final du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A15C0" w14:textId="77777777" w:rsidR="005D00FB" w:rsidRPr="005D00FB" w:rsidRDefault="005D00FB" w:rsidP="005D00F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3838" w14:textId="77777777" w:rsidR="005D00FB" w:rsidRPr="005D00FB" w:rsidRDefault="005D00FB" w:rsidP="005D00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75A2D" w14:textId="77777777" w:rsidR="005D00FB" w:rsidRPr="005D00FB" w:rsidRDefault="005D00FB" w:rsidP="005D00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1595" w14:textId="77777777" w:rsidR="00E46E5E" w:rsidRDefault="00E46E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516C4" w14:textId="77777777" w:rsidR="00E46E5E" w:rsidRDefault="00E46E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88C73" w14:textId="77777777" w:rsidR="00E46E5E" w:rsidRDefault="00E46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8D18DD"/>
    <w:multiLevelType w:val="hybridMultilevel"/>
    <w:tmpl w:val="C5DE80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2051"/>
  </w:hdrShapeDefaults>
  <w:footnotePr>
    <w:pos w:val="beneathText"/>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pylist_Path" w:val="\\at100\user\wovo\Project\CEC\ECFIN\EPKIT\Copylist\Templates"/>
    <w:docVar w:name="CrossReferenceInformation" w:val="&lt;?xml version=&quot;1.0&quot; encoding=&quot;utf-16&quot;?&gt;&lt;CrossReferenceInformation xmlns:xsd=&quot;http://www.w3.org/2001/XMLSchema&quot; xmlns:xsi=&quot;http://www.w3.org/2001/XMLSchema-instance&quot; Version=&quot;Version 1&quot;&gt;  &lt;Date&gt;2026-06-17T18:00:02.0090526+02:00&lt;/Date&gt;  &lt;CrossReferenceTargets /&gt;&lt;/CrossReferenceInformation&gt;"/>
    <w:docVar w:name="CrossReferenceInformation_V2" w:val="&lt;?xml version=&quot;1.0&quot; encoding=&quot;utf-16&quot;?&gt;&lt;CrossReferenceInformation xmlns:xsd=&quot;http://www.w3.org/2001/XMLSchema&quot; xmlns:xsi=&quot;http://www.w3.org/2001/XMLSchema-instance&quot; Version=&quot;Version 2&quot;&gt;  &lt;Date&gt;2026-06-17T18:00:02.018052+02:00&lt;/Date&gt;  &lt;CrossReferenceTargets /&gt;&lt;/CrossReferenceInformation&gt;"/>
    <w:docVar w:name="DocStatus" w:val="Green"/>
    <w:docVar w:name="DocumentGUID" w:val="{0C83FB94-D4D5-468D-AEDF-020B9CAAF142}"/>
    <w:docVar w:name="EPKit_DocumentHasBeenSaved" w:val="true"/>
    <w:docVar w:name="LW_CORRIGENDUM" w:val="&lt;UNUSED&gt;"/>
    <w:docVar w:name="LW_COVERPAGE_EXISTS" w:val="True"/>
    <w:docVar w:name="LW_COVERPAGE_GUID" w:val="B932058C-6F64-493B-9CEA-690702610D52"/>
    <w:docVar w:name="LW_COVERPAGE_TYPE" w:val="1"/>
    <w:docVar w:name="LW_CROSSREFERENCE" w:val="{SWD(2026) 585 final}"/>
    <w:docVar w:name="LW_DocType" w:val="EPEXTERNAL"/>
    <w:docVar w:name="LW_EMISSION" w:val="24.6.2026"/>
    <w:docVar w:name="LW_EMISSION_ISODATE" w:val="2026-06-2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DE 2026 SUR L\u8217?ÉTAT DE LA CONVERGENCE _x000d__x000b__x000d__x000d__x000d__x000d__x000d__x000b__x000d__x000d__x000d__x000d__x000d__x000b__x000d__x000d__x000d__x000d__x000d__x000b_(élaboré conformément à l\u8217?article 140, paragraphe 1, du traité sur le fonctionnement de l\u8217?Union européenne)_x000b__x000b__x000b_"/>
    <w:docVar w:name="LW_TYPE.DOC.CP" w:val="RAPPORT DE LA COMMISSION AU PARLEMENT EUROPÉEN ET AU CONSEIL"/>
    <w:docVar w:name="LwApiVersions" w:val="LW4CoDe 1.24.5.0; LW 9.2, Build 20251112"/>
    <w:docVar w:name="PublicationXML" w:val="&lt;?xml version=&quot;1.0&quot;?&gt;&lt;ConvergenceReportPublication xmlns:xsi=&quot;http://www.w3.org/2001/XMLSchema-instance&quot; xsi:noNamespaceSchemaLocation=&quot;ConvergenceReport.xsd&quot;&gt;&lt;Meta&gt;&lt;Design&gt;&lt;GUID&gt;{53931CD1-282B-49CA-B62F-2E50B5C3BA1E}&lt;/GUID&gt;&lt;DisplayName&gt;2024&lt;/DisplayName&gt;&lt;/Design&gt;&lt;Create&gt;&lt;Creatable&gt;true&lt;/Creatable&gt;&lt;Template&gt;EPPublication.dot&lt;/Template&gt;&lt;/Create&gt;&lt;Version&gt;4.6.7&lt;/Version&gt;&lt;/Meta&gt;&lt;StyleDefinitions&gt;&lt;StyleDefinition&gt;&lt;Name&gt;Normal&lt;/Name&gt;&lt;Font&gt;&lt;Name&gt;EC Square Sans Pro&lt;/Name&gt;&lt;Size&gt;10&lt;/Size&gt;&lt;/Font&gt;&lt;ParagraphFormat&gt;&lt;Alignment&gt;3&lt;/Alignment&gt;&lt;SpaceAfter&gt;6&lt;/SpaceAfter&gt;&lt;/ParagraphFormat&gt;&lt;/StyleDefinition&gt;&lt;StyleDefinition&gt;&lt;Name&gt;SN Text&lt;/Name&gt;&lt;ParagraphFormat&gt;&lt;SpaceAfter&gt;6&lt;/SpaceAfter&gt;&lt;/ParagraphFormat&gt;&lt;/StyleDefinition&gt;&lt;StyleDefinition&gt;&lt;Name&gt;Side Note&lt;/Name&gt;&lt;Font&gt;&lt;Name&gt;EC Square Sans Pro&lt;/Name&gt;&lt;/Font&gt;&lt;/StyleDefinition&gt;&lt;StyleDefinition&gt;&lt;Name&gt;Section Title (Single Base)&lt;/Name&gt;&lt;Font&gt;&lt;Name&gt;EC Square Sans Pro&lt;/Name&gt;&lt;/Font&gt;&lt;/StyleDefinition&gt;&lt;StyleDefinition&gt;&lt;Name&gt;Institution&lt;/Name&gt;&lt;Font&gt;&lt;Name&gt;EC Square Sans Pro&lt;/Name&gt;&lt;/Font&gt;&lt;/StyleDefinition&gt;&lt;StyleDefinition&gt;&lt;Name&gt;Institution Subtitle&lt;/Name&gt;&lt;Font&gt;&lt;Name&gt;EC Square Sans Pro&lt;/Name&gt;&lt;/Font&gt;&lt;/StyleDefinition&gt;&lt;StyleDefinition&gt;&lt;Name&gt;Series&lt;/Name&gt;&lt;Font&gt;&lt;Name&gt;EC Square Sans Pro&lt;/Name&gt;&lt;/Font&gt;&lt;/StyleDefinition&gt;&lt;StyleDefinition&gt;&lt;Name&gt;HEADING TOC&lt;/Name&gt;&lt;Font&gt;&lt;Name&gt;EC Square Sans Pro&lt;/Name&gt;&lt;/Font&gt;&lt;/StyleDefinition&gt;&lt;StyleDefinition&gt;&lt;Name&gt;Footer PageNumber&lt;/Name&gt;&lt;Font&gt;&lt;Name&gt;EC Square Sans Pro&lt;/Name&gt;&lt;/Font&gt;&lt;/StyleDefinition&gt;&lt;StyleDefinition&gt;&lt;Name&gt;Footer PageNumber (15)&lt;/Name&gt;&lt;Font&gt;&lt;Name&gt;EC Square Sans Pro&lt;/Name&gt;&lt;/Font&gt;&lt;/StyleDefinition&gt;&lt;StyleDefinition&gt;&lt;Name&gt;Footer PageNumber (30)&lt;/Name&gt;&lt;Font&gt;&lt;Name&gt;EC Square Sans Pro&lt;/Name&gt;&lt;/Font&gt;&lt;/StyleDefinition&gt;&lt;StyleDefinition&gt;&lt;Name&gt;Footer PageNumber (45)&lt;/Name&gt;&lt;Font&gt;&lt;Name&gt;EC Square Sans Pro&lt;/Name&gt;&lt;/Font&gt;&lt;/StyleDefinition&gt;&lt;StyleDefinition&gt;&lt;Name&gt;Heading&lt;/Name&gt;&lt;Font&gt;&lt;Name&gt;EC Square Sans Pro Medium&lt;/Name&gt;&lt;Bold&gt;false&lt;/Bold&gt;&lt;Size&gt;10&lt;/Size&gt;&lt;/Font&gt;&lt;/StyleDefinition&gt;&lt;StyleDefinition&gt;&lt;Name&gt;SN Numbered Heading 1&lt;/Name&gt;&lt;Font&gt;&lt;Name&gt;EC Square Sans Pro&lt;/Name&gt;&lt;Bold&gt;false&lt;/Bold&gt;&lt;/Font&gt;&lt;/StyleDefinition&gt;&lt;StyleDefinition&gt;&lt;Name&gt;SN Numbered Heading 2&lt;/Name&gt;&lt;Font&gt;&lt;Name&gt;EC Square Sans Pro&lt;/Name&gt;&lt;Bold&gt;false&lt;/Bold&gt;&lt;/Font&gt;&lt;/StyleDefinition&gt;&lt;StyleDefinition&gt;&lt;Name&gt;Numbered Heading 1&lt;/Name&gt;&lt;Font&gt;&lt;Name&gt;EC Square Sans Pro Medium&lt;/Name&gt;&lt;Bold&gt;false&lt;/Bold&gt;&lt;Size&gt;10&lt;/Size&gt;&lt;/Font&gt;&lt;ParagraphFormat&gt;&lt;Alignment&gt;0&lt;/Alignment&gt;&lt;/ParagraphFormat&gt;&lt;/StyleDefinition&gt;&lt;StyleDefinition&gt;&lt;Name&gt;Numbered Heading 2&lt;/Name&gt;&lt;Font&gt;&lt;Name&gt;EC Square Sans Pro&lt;/Name&gt;&lt;Bold&gt;false&lt;/Bold&gt;&lt;Size&gt;10&lt;/Size&gt;&lt;/Font&gt;&lt;ParagraphFormat&gt;&lt;Alignment&gt;0&lt;/Alignment&gt;&lt;/ParagraphFormat&gt;&lt;/StyleDefinition&gt;&lt;StyleDefinition&gt;&lt;Name&gt;Numbered Heading 3&lt;/Name&gt;&lt;Font&gt;&lt;Name&gt;EC Square Sans Pro&lt;/Name&gt;&lt;Bold&gt;false&lt;/Bold&gt;&lt;Size&gt;9&lt;/Size&gt;&lt;/Font&gt;&lt;ParagraphFormat&gt;&lt;Alignment&gt;0&lt;/Alignment&gt;&lt;/ParagraphFormat&gt;&lt;/StyleDefinition&gt;&lt;StyleDefinition&gt;&lt;Name&gt;Part Title&lt;/Name&gt;&lt;Font&gt;&lt;Name&gt;EC Square Sans Pro&lt;/Name&gt;&lt;/Font&gt;&lt;/StyleDefinition&gt;&lt;StyleDefinition&gt;&lt;Name&gt;Part Subtitle&lt;/Name&gt;&lt;Font&gt;&lt;Name&gt;EC Square Sans Pro&lt;/Name&gt;&lt;/Font&gt;&lt;/StyleDefinition&gt;&lt;StyleDefinition&gt;&lt;Name&gt;Chapter Name&lt;/Name&gt;&lt;Font&gt;&lt;Name&gt;EC Square Sans Pro&lt;/Name&gt;&lt;/Font&gt;&lt;/StyleDefinition&gt;&lt;StyleDefinition&gt;&lt;Name&gt;Chapter Title&lt;/Name&gt;&lt;Font&gt;&lt;Name&gt;EC Square Sans Pro&lt;/Name&gt;&lt;/Font&gt;&lt;/StyleDefinition&gt;&lt;StyleDefinition&gt;&lt;Name&gt;Chapter Subtitle&lt;/Name&gt;&lt;BaseStyle&gt;Section Subtitle&lt;/BaseStyle&gt;&lt;ParagraphFormat&gt;&lt;LeftIndent&gt;0&lt;/LeftIndent&gt;&lt;FirstLineIndent&gt;0&lt;/FirstLineIndent&gt;&lt;/ParagraphFormat&gt;&lt;/StyleDefinition&gt;&lt;StyleDefinition&gt;&lt;Name&gt;Section Title (overview)&lt;/Name&gt;&lt;BaseStyle&gt;Section Title (two lines) (large)&lt;/BaseStyle&gt;&lt;ParagraphFormat&gt;&lt;LeftIndent&gt;4.0&lt;/LeftIndent&gt;&lt;FirstLineIndent&gt;-4.0&lt;/FirstLineIndent&gt;&lt;/ParagraphFormat&gt;&lt;/StyleDefinition&gt;&lt;StyleDefinition&gt;&lt;Name&gt;Section Subtitle (overview)&lt;/Name&gt;&lt;BaseStyle&gt;Section Subtitle&lt;/BaseStyle&gt;&lt;ParagraphFormat&gt;&lt;LeftIndent&gt;4.0&lt;/LeftIndent&gt;&lt;FirstLineIndent&gt;0&lt;/FirstLineIndent&gt;&lt;/ParagraphFormat&gt;&lt;/StyleDefinition&gt;&lt;StyleDefinition&gt;&lt;Name&gt;Section Number&lt;/Name&gt;&lt;Font&gt;&lt;Name&gt;EC Square Sans Pro&lt;/Name&gt;&lt;/Font&gt;&lt;/StyleDefinition&gt;&lt;StyleDefinition&gt;&lt;Name&gt;Subsection Title&lt;/Name&gt;&lt;Font&gt;&lt;Name&gt;EC Square Sans Pro&lt;/Name&gt;&lt;/Font&gt;&lt;/StyleDefinition&gt;&lt;StyleDefinition&gt;&lt;Name&gt;SN SideNote&lt;/Name&gt;&lt;Font&gt;&lt;Name&gt;EC Square Sans Pro&lt;/Name&gt;&lt;/Font&gt;&lt;ParagraphFormat&gt;&lt;SpaceAfter&gt;6&lt;/SpaceAfter&gt;&lt;/ParagraphFormat&gt;&lt;/StyleDefinition&gt;&lt;StyleDefinition&gt;&lt;Name&gt;SN Numbered Heading 1&lt;/Name&gt;&lt;Font&gt;&lt;Name&gt;EC Square Sans Pro&lt;/Name&gt;&lt;/Font&gt;&lt;/StyleDefinition&gt;&lt;StyleDefinition&gt;&lt;Name&gt;SN Numbered Heading 2&lt;/Name&gt;&lt;Font&gt;&lt;Name&gt;EC Square Sans Pro&lt;/Name&gt;&lt;/Font&gt;&lt;/StyleDefinition&gt;&lt;StyleDefinition&gt;&lt;Name&gt;Abstract&lt;/Name&gt;&lt;ParagraphFormat&gt;&lt;LeftIndent&gt;0.1&lt;/LeftIndent&gt;&lt;RightIndent&gt;0.1&lt;/RightIndent&gt;&lt;/ParagraphFormat&gt;&lt;Frame&gt;&lt;TextWrap&gt;true&lt;/TextWrap&gt;&lt;WidthRule&gt;0&lt;/WidthRule&gt;&lt;Width&gt;408.19&lt;/Width&gt;&lt;HeightRule&gt;0&lt;/HeightRule&gt;&lt;RelativeHorizontalPosition&gt;2&lt;/RelativeHorizontalPosition&gt;&lt;HorizontalPosition&gt;-999998&lt;/HorizontalPosition&gt;&lt;HorizontalDistanceFromText&gt;0&lt;/HorizontalDistanceFromText&gt;&lt;RelativeVerticalPosition&gt;2&lt;/RelativeVerticalPosition&gt;&lt;VerticalPosition&gt;0&lt;/VerticalPosition&gt;&lt;VerticalDistanceFromText&gt;0&lt;/VerticalDistanceFromText&gt;&lt;LockAnchor&gt;false&lt;/LockAnchor&gt;&lt;/Frame&gt;&lt;/StyleDefinition&gt;&lt;StyleDefinition&gt;&lt;Name&gt;Publication Supertitle&lt;/Name&gt;&lt;Font&gt;&lt;Name&gt;EC Square Sans Pro&lt;/Name&gt;&lt;/Font&gt;&lt;ParagraphFormat&gt;&lt;Alignment&gt;1&lt;/Alignment&gt;&lt;SpaceBefore&gt;132&lt;/SpaceBefore&gt;&lt;SpaceAfter&gt;12&lt;/SpaceAfter&gt;&lt;/ParagraphFormat&gt;&lt;/StyleDefinition&gt;&lt;StyleDefinition&gt;&lt;Name&gt;Publication Title&lt;/Name&gt;&lt;Font&gt;&lt;Name&gt;EC Square Sans Pro&lt;/Name&gt;&lt;/Font&gt;&lt;ParagraphFormat&gt;&lt;Alignment&gt;1&lt;/Alignment&gt;&lt;SpaceBefore&gt;0&lt;/SpaceBefore&gt;&lt;SpaceAfter&gt;12&lt;/SpaceAfter&gt;&lt;/ParagraphFormat&gt;&lt;/StyleDefinition&gt;&lt;StyleDefinition&gt;&lt;Name&gt;Publication Subtitle&lt;/Name&gt;&lt;Font&gt;&lt;Name&gt;EC Square Sans Pro&lt;/Name&gt;&lt;/Font&gt;&lt;ParagraphFormat&gt;&lt;Alignment&gt;1&lt;/Alignment&gt;&lt;SpaceBefore&gt;0&lt;/SpaceBefore&gt;&lt;SpaceAfter&gt;12&lt;/SpaceAfter&gt;&lt;/ParagraphFormat&gt;&lt;/StyleDefinition&gt;&lt;StyleDefinition&gt;&lt;Name&gt;Section Title (no number)&lt;/Name&gt;&lt;Font&gt;&lt;Name&gt;EC Square Sans Pro&lt;/Name&gt;&lt;Size&gt;16&lt;/Size&gt;&lt;Color&gt;10040115&lt;/Color&gt;&lt;AllCaps&gt;true&lt;/AllCaps&gt;&lt;/Font&gt;&lt;ParagraphFormat&gt;&lt;Alignment&gt;0&lt;/Alignment&gt;&lt;SpaceBefore&gt;54&lt;/SpaceBefore&gt;&lt;SpaceAfter&gt;2&lt;/SpaceAfter&gt;&lt;LineSpacingRule&gt;0&lt;/LineSpacingRule&gt;&lt;KeepWithNext&gt;true&lt;/KeepWithNext&gt;&lt;/ParagraphFormat&gt;&lt;/StyleDefinition&gt;&lt;StyleDefinition&gt;&lt;Name&gt;Box Continue Top&lt;/Name&gt;&lt;Font&gt;&lt;Name&gt;EC Square Sans Pro Thin&lt;/Name&gt;&lt;/Font&gt;&lt;/StyleDefinition&gt;&lt;StyleDefinition&gt;&lt;Name&gt;Box Continue Bottom&lt;/Name&gt;&lt;Font&gt;&lt;Name&gt;EC Square Sans Pro Thin&lt;/Name&gt;&lt;/Font&gt;&lt;/StyleDefinition&gt;&lt;StyleDefinition&gt;&lt;Name&gt;Table Continue Top&lt;/Name&gt;&lt;Font&gt;&lt;Name&gt;EC Square Sans Pro Thin&lt;/Name&gt;&lt;/Font&gt;&lt;/StyleDefinition&gt;&lt;StyleDefinition&gt;&lt;Name&gt;Table Continue Bottom&lt;/Name&gt;&lt;Font&gt;&lt;Name&gt;EC Square Sans Pro Thin&lt;/Name&gt;&lt;/Font&gt;&lt;/StyleDefinition&gt;&lt;StyleDefinition&gt;&lt;Name&gt;Toc 1&lt;/Name&gt;&lt;Font&gt;&lt;Name&gt;EC Square Sans Pro&lt;/Name&gt;&lt;/Font&gt;&lt;ParagraphFormat&gt;&lt;LeftIndent&gt;1.25&lt;/LeftIndent&gt;&lt;/ParagraphFormat&gt;&lt;TabStops&gt;&lt;TabStop&gt;&lt;Position&gt;1.25&lt;/Position&gt;&lt;/TabStop&gt;&lt;TabStop&gt;&lt;Position&gt;15&lt;/Position&gt;&lt;Alignment&gt;2&lt;/Alignment&gt;&lt;/TabStop&gt;&lt;/TabStops&gt;&lt;/StyleDefinition&gt;&lt;StyleDefinition&gt;&lt;Name&gt;Toc 2&lt;/Name&gt;&lt;Font&gt;&lt;Name&gt;EC Square Sans Pro&lt;/Name&gt;&lt;/Font&gt;&lt;ParagraphFormat&gt;&lt;LeftIndent&gt;3.15&lt;/LeftIndent&gt;&lt;FirstLineIndent&gt;-0.75&lt;/FirstLineIndent&gt;&lt;/ParagraphFormat&gt;&lt;TabStops&gt;&lt;TabStop&gt;&lt;Position&gt;3.15&lt;/Position&gt;&lt;/TabStop&gt;&lt;TabStop&gt;&lt;Position&gt;15&lt;/Position&gt;&lt;Alignment&gt;2&lt;/Alignment&gt;&lt;/TabStop&gt;&lt;/TabStops&gt;&lt;/StyleDefinition&gt;&lt;StyleDefinition&gt;&lt;Name&gt;Toc 3&lt;/Name&gt;&lt;Font&gt;&lt;Name&gt;EC Square Sans Pro&lt;/Name&gt;&lt;Size&gt;10&lt;/Size&gt;&lt;Color&gt;10040115&lt;/Color&gt;&lt;AllCaps&gt;true&lt;/AllCaps&gt;&lt;/Font&gt;&lt;ParagraphFormat&gt;&lt;LeftIndent&gt;2.4&lt;/LeftIndent&gt;&lt;FirstLineIndent&gt;-1.15&lt;/FirstLineIndent&gt;&lt;SpaceBefore&gt;2&lt;/SpaceBefore&gt;&lt;SpaceAfter&gt;2&lt;/SpaceAfter&gt;&lt;/ParagraphFormat&gt;&lt;TabStops&gt;&lt;TabStop&gt;&lt;Position&gt;2.4&lt;/Position&gt;&lt;/TabStop&gt;&lt;TabStop&gt;&lt;Position&gt;15&lt;/Position&gt;&lt;Alignment&gt;2&lt;/Alignment&gt;&lt;/TabStop&gt;&lt;/TabStops&gt;&lt;/StyleDefinition&gt;&lt;StyleDefinition&gt;&lt;Name&gt;Toc 4&lt;/Name&gt;&lt;Font&gt;&lt;Name&gt;EC Square Sans Pro&lt;/Name&gt;&lt;Size&gt;10&lt;/Size&gt;&lt;Color&gt;10040115&lt;/Color&gt;&lt;/Font&gt;&lt;ParagraphFormat&gt;&lt;LeftIndent&gt;3.9&lt;/LeftIndent&gt;&lt;FirstLineIndent&gt;-1.5&lt;/FirstLineIndent&gt;&lt;/ParagraphFormat&gt;&lt;TabStops&gt;&lt;TabStop&gt;&lt;Position&gt;3.9&lt;/Position&gt;&lt;/TabStop&gt;&lt;TabStop&gt;&lt;Position&gt;15&lt;/Position&gt;&lt;Alignment&gt;2&lt;/Alignment&gt;&lt;/TabStop&gt;&lt;/TabStops&gt;&lt;/StyleDefinition&gt;&lt;StyleDefinition&gt;&lt;Name&gt;Toc 5&lt;/Name&gt;&lt;Font&gt;&lt;Name&gt;EC Square Sans Pro&lt;/Name&gt;&lt;/Font&gt;&lt;TabStops&gt;&lt;TabStop&gt;&lt;Position&gt;3.9&lt;/Position&gt;&lt;/TabStop&gt;&lt;TabStop&gt;&lt;Position&gt;15&lt;/Position&gt;&lt;Alignment&gt;2&lt;/Alignment&gt;&lt;/TabStop&gt;&lt;/TabStops&gt;&lt;/StyleDefinition&gt;&lt;StyleDefinition&gt;&lt;Name&gt;Toc 6&lt;/Name&gt;&lt;Font&gt;&lt;Name&gt;EC Square Sans Pro&lt;/Name&gt;&lt;Size&gt;11&lt;/Size&gt;&lt;/Font&gt;&lt;ParagraphFormat&gt;&lt;SpaceBefore&gt;6&lt;/SpaceBefore&gt;&lt;SpaceAfter&gt;3&lt;/SpaceAfter&gt;&lt;KeepWithNext&gt;true&lt;/KeepWithNext&gt;&lt;/ParagraphFormat&gt;&lt;TabStops&gt;&lt;TabStop&gt;&lt;Position&gt;15&lt;/Position&gt;&lt;Alignment&gt;2&lt;/Alignment&gt;&lt;/TabStop&gt;&lt;/TabStops&gt;&lt;/StyleDefinition&gt;&lt;StyleDefinition&gt;&lt;Name&gt;Toc 7&lt;/Name&gt;&lt;Font&gt;&lt;Name&gt;EC Square Sans Pro&lt;/Name&gt;&lt;/Font&gt;&lt;TabStops&gt;&lt;TabStop&gt;&lt;Position&gt;15&lt;/Position&gt;&lt;Alignment&gt;2&lt;/Alignment&gt;&lt;/TabStop&gt;&lt;/TabStops&gt;&lt;/StyleDefinition&gt;&lt;StyleDefinition&gt;&lt;Name&gt;Header Title Left&lt;/Name&gt;&lt;Font&gt;&lt;Name&gt;EC Square Sans Pro Thin&lt;/Name&gt;&lt;/Font&gt;&lt;/StyleDefinition&gt;&lt;StyleDefinition&gt;&lt;Name&gt;Header Title Left (30)&lt;/Name&gt;&lt;Font&gt;&lt;Name&gt;EC Square Sans Pro Thin&lt;/Name&gt;&lt;/Font&gt;&lt;/StyleDefinition&gt;&lt;StyleDefinition&gt;&lt;Name&gt;Header Title Left (45)&lt;/Name&gt;&lt;Font&gt;&lt;Name&gt;EC Square Sans Pro Thin&lt;/Name&gt;&lt;/Font&gt;&lt;/StyleDefinition&gt;&lt;StyleDefinition&gt;&lt;Name&gt;Header Subtitle Left&lt;/Name&gt;&lt;Font&gt;&lt;Name&gt;EC Square Sans Pro Thin&lt;/Name&gt;&lt;/Font&gt;&lt;/StyleDefinition&gt;&lt;StyleDefinition&gt;&lt;Name&gt;Header Subtitle Left (15)&lt;/Name&gt;&lt;Font&gt;&lt;Name&gt;EC Square Sans Pro Thin&lt;/Name&gt;&lt;/Font&gt;&lt;/StyleDefinition&gt;&lt;StyleDefinition&gt;&lt;Name&gt;Header Subtitle Left (30)&lt;/Name&gt;&lt;Font&gt;&lt;Name&gt;EC Square Sans Pro Thin&lt;/Name&gt;&lt;/Font&gt;&lt;/StyleDefinition&gt;&lt;StyleDefinition&gt;&lt;Name&gt;Header Subtitle Left (45)&lt;/Name&gt;&lt;Font&gt;&lt;Name&gt;EC Square Sans Pro Thin&lt;/Name&gt;&lt;/Font&gt;&lt;/StyleDefinition&gt;&lt;StyleDefinition&gt;&lt;Name&gt;Header Title Left (15)&lt;/Name&gt;&lt;Font&gt;&lt;Name&gt;EC Square Sans Pro Thin&lt;/Name&gt;&lt;Size&gt;7&lt;/Size&gt;&lt;Color&gt;10040115&lt;/Color&gt;&lt;/Font&gt;&lt;ParagraphFormat&gt;&lt;SpaceBefore&gt;5&lt;/SpaceBefore&gt;&lt;SpaceAfter&gt;2&lt;/SpaceAfter&gt;&lt;/ParagraphFormat&gt;&lt;TabStops&gt;&lt;TabStop&gt;&lt;Position&gt;17.5&lt;/Position&gt;&lt;Alignment&gt;2&lt;/Alignment&gt;&lt;/TabStop&gt;&lt;/TabStops&gt;&lt;/StyleDefinition&gt;&lt;StyleDefinition&gt;&lt;Name&gt;Header Subitle Left (15)&lt;/Name&gt;&lt;Font&gt;&lt;Name&gt;EC Square Sans Pro Thin&lt;/Name&gt;&lt;Size&gt;7&lt;/Size&gt;&lt;Color&gt;10040115&lt;/Color&gt;&lt;/Font&gt;&lt;TabStops&gt;&lt;TabStop&gt;&lt;Position&gt;17.5&lt;/Position&gt;&lt;Alignment&gt;2&lt;/Alignment&gt;&lt;/TabStop&gt;&lt;/TabStops&gt;&lt;/StyleDefinition&gt;&lt;StyleDefinition&gt;&lt;Name&gt;Header Title Right&lt;/Name&gt;&lt;Font&gt;&lt;Name&gt;EC Square Sans Pro Thin&lt;/Name&gt;&lt;/Font&gt;&lt;/StyleDefinition&gt;&lt;StyleDefinition&gt;&lt;Name&gt;Header Title Right (30)&lt;/Name&gt;&lt;Font&gt;&lt;Name&gt;EC Square Sans Pro Thin&lt;/Name&gt;&lt;/Font&gt;&lt;/StyleDefinition&gt;&lt;StyleDefinition&gt;&lt;Name&gt;Header Title Right (45)&lt;/Name&gt;&lt;Font&gt;&lt;Name&gt;EC Square Sans Pro Thin&lt;/Name&gt;&lt;/Font&gt;&lt;/StyleDefinition&gt;&lt;StyleDefinition&gt;&lt;Name&gt;Header Subtitle Right&lt;/Name&gt;&lt;Font&gt;&lt;Name&gt;EC Square Sans Pro Thin&lt;/Name&gt;&lt;/Font&gt;&lt;/StyleDefinition&gt;&lt;StyleDefinition&gt;&lt;Name&gt;Header Subtitle Right (15)&lt;/Name&gt;&lt;Font&gt;&lt;Name&gt;EC Square Sans Pro Thin&lt;/Name&gt;&lt;/Font&gt;&lt;/StyleDefinition&gt;&lt;StyleDefinition&gt;&lt;Name&gt;Header Subtitle Right (30)&lt;/Name&gt;&lt;Font&gt;&lt;Name&gt;EC Square Sans Pro Thin&lt;/Name&gt;&lt;/Font&gt;&lt;/StyleDefinition&gt;&lt;StyleDefinition&gt;&lt;Name&gt;Header Subtitle Right (45)&lt;/Name&gt;&lt;Font&gt;&lt;Name&gt;EC Square Sans Pro Thin&lt;/Name&gt;&lt;/Font&gt;&lt;/StyleDefinition&gt;&lt;StyleDefinition&gt;&lt;Name&gt;Header Title Right (15)&lt;/Name&gt;&lt;Font&gt;&lt;Name&gt;EC Square Sans Pro Thin&lt;/Name&gt;&lt;Size&gt;7&lt;/Size&gt;&lt;Color&gt;10040115&lt;/Color&gt;&lt;/Font&gt;&lt;ParagraphFormat&gt;&lt;Alignment&gt;2&lt;/Alignment&gt;&lt;SpaceBefore&gt;5&lt;/SpaceBefore&gt;&lt;SpaceAfter&gt;2&lt;/SpaceAfter&gt;&lt;/ParagraphFormat&gt;&lt;/StyleDefinition&gt;&lt;StyleDefinition&gt;&lt;Name&gt;Header Subitle Right (15)&lt;/Name&gt;&lt;Font&gt;&lt;Name&gt;EC Square Sans Pro Thin&lt;/Name&gt;&lt;Size&gt;7&lt;/Size&gt;&lt;Color&gt;10040115&lt;/Color&gt;&lt;/Font&gt;&lt;ParagraphFormat&gt;&lt;Alignment&gt;2&lt;/Alignment&gt;&lt;/ParagraphFormat&gt;&lt;/StyleDefinition&gt;&lt;StyleDefinition&gt;&lt;Name&gt;Section Title&lt;/Name&gt;&lt;Font&gt;&lt;Name&gt;EC Square Sans Pro&lt;/Name&gt;&lt;/Font&gt;&lt;ParagraphFormat&gt;&lt;LeftIndent&gt;1&lt;/LeftIndent&gt;&lt;FirstLineIndent&gt;-1&lt;/FirstLineIndent&gt;&lt;/ParagraphFormat&gt;&lt;/StyleDefinition&gt;&lt;StyleDefinition&gt;&lt;Name&gt;Section Title (two lines)&lt;/Name&gt;&lt;Font&gt;&lt;Name&gt;EC Square Sans Pro&lt;/Name&gt;&lt;/Font&gt;&lt;ParagraphFormat&gt;&lt;LeftIndent&gt;1&lt;/LeftIndent&gt;&lt;FirstLineIndent&gt;-1&lt;/FirstLineIndent&gt;&lt;/ParagraphFormat&gt;&lt;/StyleDefinition&gt;&lt;StyleDefinition&gt;&lt;Name&gt;Section Title (large)&lt;/Name&gt;&lt;Font&gt;&lt;Name&gt;EC Square Sans Pro&lt;/Name&gt;&lt;/Font&gt;&lt;ParagraphFormat&gt;&lt;LeftIndent&gt;1&lt;/LeftIndent&gt;&lt;FirstLineIndent&gt;-1&lt;/FirstLineIndent&gt;&lt;/ParagraphFormat&gt;&lt;/StyleDefinition&gt;&lt;StyleDefinition&gt;&lt;Name&gt;Section Title (top)&lt;/Name&gt;&lt;BaseStyle&gt;Section Title (large)&lt;/BaseStyle&gt;&lt;Font&gt;&lt;Name&gt;EC Square Sans Pro&lt;/Name&gt;&lt;/Font&gt;&lt;ParagraphFormat&gt;&lt;SpaceBefore&gt;30&lt;/SpaceBefore&gt;&lt;SpaceAfter&gt;6&lt;/SpaceAfter&gt;&lt;/ParagraphFormat&gt;&lt;/StyleDefinition&gt;&lt;StyleDefinition&gt;&lt;Name&gt;Section Title (two lines) (large)&lt;/Name&gt;&lt;Font&gt;&lt;Name&gt;EC Square Sans Pro&lt;/Name&gt;&lt;/Font&gt;&lt;ParagraphFormat&gt;&lt;LeftIndent&gt;1&lt;/LeftIndent&gt;&lt;FirstLineIndent&gt;-1&lt;/FirstLineIndent&gt;&lt;/ParagraphFormat&gt;&lt;/StyleDefinition&gt;&lt;StyleDefinition&gt;&lt;Name&gt;Section Title (three lines) (large)&lt;/Name&gt;&lt;Font&gt;&lt;Name&gt;EC Square Sans Pro&lt;/Name&gt;&lt;/Font&gt;&lt;ParagraphFormat&gt;&lt;LeftIndent&gt;1&lt;/LeftIndent&gt;&lt;FirstLineIndent&gt;-1&lt;/FirstLineIndent&gt;&lt;/ParagraphFormat&gt;&lt;/StyleDefinition&gt;&lt;StyleDefinition&gt;&lt;Name&gt;Section Subtitle&lt;/Name&gt;&lt;Font&gt;&lt;Name&gt;EC Square Sans Pro&lt;/Name&gt;&lt;/Font&gt;&lt;ParagraphFormat&gt;&lt;LeftIndent&gt;1&lt;/LeftIndent&gt;&lt;/ParagraphFormat&gt;&lt;/StyleDefinition&gt;&lt;StyleDefinition&gt;&lt;Name&gt;Graph Title&lt;/Name&gt;&lt;ParagraphFormat&gt;&lt;SpaceAfter&gt;0&lt;/SpaceAfter&gt;&lt;/ParagraphFormat&gt;&lt;/StyleDefinition&gt;&lt;StyleDefinition&gt;&lt;Name&gt;Graph Title&lt;/Name&gt;&lt;ParagraphFormat&gt;&lt;SpaceAfter&gt;0&lt;/SpaceAfter&gt;&lt;/ParagraphFormat&gt;&lt;/StyleDefinition&gt;&lt;StyleDefinition&gt;&lt;Name&gt;Table Title&lt;/Name&gt;&lt;ParagraphFormat&gt;&lt;SpaceAfter&gt;0&lt;/SpaceAfter&gt;&lt;/ParagraphFormat&gt;&lt;/StyleDefinition&gt;&lt;StyleDefinition&gt;&lt;Name&gt;Map Title&lt;/Name&gt;&lt;ParagraphFormat&gt;&lt;SpaceAfter&gt;0&lt;/SpaceAfter&gt;&lt;/ParagraphFormat&gt;&lt;/StyleDefinition&gt;&lt;/StyleDefinitions&gt;&lt;TocDefinitions&gt;&lt;TableOfContents&gt;TOC \f \h \z \o&quot;3-4&quot; \t&quot;Subsection Title;3&quot;&lt;/TableOfContents&gt;&lt;/TocDefinitions&gt;&lt;Format&gt;&lt;PageSettings&gt;&lt;PageHeight&gt;841.95&lt;/PageHeight&gt;&lt;PageWidth&gt;595.35&lt;/PageWidth&gt;&lt;TopMargin&gt;99.21&lt;/TopMargin&gt;&lt;BottomMargin&gt;70.85&lt;/BottomMargin&gt;&lt;LeftMargin&gt;93.54&lt;/LeftMargin&gt;&lt;RightMargin&gt;93.54&lt;/RightMargin&gt;&lt;Gutter&gt;0&lt;/Gutter&gt;&lt;HeaderDistance&gt;35.45&lt;/HeaderDistance&gt;&lt;FooterDistance&gt;35.45&lt;/FooterDistance&gt;&lt;DifferentFirstPageHeaderFooter&gt;1&lt;/DifferentFirstPageHeaderFooter&gt;&lt;OddAndEvenPagesHeaderFooter&gt;1&lt;/OddAndEvenPagesHeaderFooter&gt;&lt;SectionStart&gt;2&lt;/SectionStart&gt;&lt;MirrorMargins&gt;true&lt;/MirrorMargins&gt;&lt;Orientation&gt;0&lt;/Orientation&gt;&lt;/PageSettings&gt;&lt;ColumnSettings&gt;&lt;SetCount&gt;1&lt;/SetCount&gt;&lt;Spacing&gt;14.2&lt;/Spacing&gt;&lt;EvenlySpaced&gt;true&lt;/EvenlySpaced&gt;&lt;LineBetween&gt;false&lt;/LineBetween&gt;&lt;/ColumnSettings&gt;&lt;CharacterFormats&gt;&lt;FontName&gt;false&lt;/FontName&gt;&lt;AllowedSpecialFonts&gt;;Wingdings;Symbol;&lt;/AllowedSpecialFonts&gt;&lt;FontColor&gt;false&lt;/FontColor&gt;&lt;FontSize&gt;false&lt;/FontSize&gt;&lt;Bold&gt;true&lt;/Bold&gt;&lt;Italic&gt;true&lt;/Italic&gt;&lt;Subscript&gt;false&lt;/Subscript&gt;&lt;Superscript&gt;true&lt;/Superscript&gt;&lt;Underline&gt;false&lt;/Underline&gt;&lt;AllCaps&gt;false&lt;/AllCaps&gt;&lt;SmallCaps&gt;false&lt;/SmallCaps&gt;&lt;StrikeThrough&gt;false&lt;/StrikeThrough&gt;&lt;DoubleStrikeThrough&gt;false&lt;/DoubleStrikeThrough&gt;&lt;Emboss&gt;false&lt;/Emboss&gt;&lt;Engrave&gt;false&lt;/Engrave&gt;&lt;Hidden&gt;false&lt;/Hidden&gt;&lt;Outline&gt;false&lt;/Outline&gt;&lt;Shadow&gt;false&lt;/Shadow&gt;&lt;/CharacterFormats&gt;&lt;Header&gt;&lt;Primary&gt;&lt;Active&gt;true&lt;/Active&gt;&lt;LinkToPrevious&gt;false&lt;/LinkToPrevious&gt;&lt;FirstLine&gt;&lt;Style&gt;Header Title Right (30)&lt;/Style&gt;&lt;Text&gt;%ChapterTitle% - %ChapterSubtitle%&lt;/Text&gt;&lt;/FirstLine&gt;&lt;SecondLine&gt;&lt;Style&gt;Header Subtitle Right (30)&lt;/Style&gt;&lt;Text&gt;%NameLevelTwo% %SectionNumber% - %SectionTitle%&lt;/Text&gt;&lt;/SecondLine&gt;&lt;/Primary&gt;&lt;FirstPage&gt;&lt;Active&gt;true&lt;/Active&gt;&lt;LinkToPrevious&gt;false&lt;/LinkToPrevious&gt;&lt;FirstLine&gt;&lt;Style&gt;Section Title (large)&lt;/Style&gt;&lt;TextWithCharacterStyle&gt;&lt;CharacterStyle&gt;&lt;/CharacterStyle&gt;&lt;TextPart&gt;%SectionNumber%.&lt;/TextPart&gt;&lt;/TextWithCharacterStyle&gt;&lt;TextWithCharacterStyle&gt;&lt;CharacterStyle&gt;&lt;/CharacterStyle&gt;&lt;TextPart&gt;_x0009_%SectionTitle%&lt;/TextPart&gt;&lt;/TextWithCharacterStyle&gt;&lt;/FirstLine&gt;&lt;/FirstPage&gt;&lt;EvenPages&gt;&lt;Active&gt;true&lt;/Active&gt;&lt;LinkToPrevious&gt;false&lt;/LinkToPrevious&gt;&lt;FirstLine&gt;&lt;Style&gt;Header Title Left (30)&lt;/Style&gt;&lt;Text&gt;European Commission&lt;/Text&gt;&lt;/FirstLine&gt;&lt;SecondLine&gt;&lt;Style&gt;Header Subtitle Left (30)&lt;/Style&gt;&lt;Text&gt;%PublicationTitle% %PublicationSubtitle%&lt;/Text&gt;&lt;/SecondLine&gt;&lt;/EvenPages&gt;&lt;/Header&gt;&lt;PageNumbers&gt;&lt;RestartNumberingAtSection&gt;false&lt;/RestartNumberingAtSection&gt;&lt;StartingNumber&gt;1&lt;/StartingNumber&gt;&lt;NumberStyle&gt;0&lt;/NumberStyle&gt;&lt;/PageNumbers&gt;&lt;Notes&gt;&lt;UsedNotesType&gt;Footnotes&lt;/UsedNotesType&gt;&lt;FootnotesNumberingRule&gt;0&lt;/FootnotesNumberingRule&gt;&lt;FootnotesNumberStyle&gt;0&lt;/FootnotesNumberStyle&gt;&lt;FootnotesLocation&gt;1&lt;/FootnotesLocation&gt;&lt;EndnotesNumberingRule&gt;1&lt;/EndnotesNumberingRule&gt;&lt;EndnotesNumberStyle&gt;0&lt;/EndnotesNumberStyle&gt;&lt;EndnotesLocation&gt;0&lt;/EndnotesLocation&gt;&lt;/Notes&gt;&lt;Footer&gt;&lt;Primary&gt;&lt;Active&gt;true&lt;/Active&gt;&lt;LinkToPrevious&gt;false&lt;/LinkToPrevious&gt;&lt;FirstLine&gt;&lt;Style&gt;Footer PageNumber (30)&lt;/Style&gt;&lt;Text&gt;%PageNumber%&lt;/Text&gt;&lt;/FirstLine&gt;&lt;/Primary&gt;&lt;FirstPage&gt;&lt;Active&gt;true&lt;/Active&gt;&lt;LinkToPrevious&gt;false&lt;/LinkToPrevious&gt;&lt;FirstLine&gt;&lt;Style&gt;Footer PageNumber (30)&lt;/Style&gt;&lt;Text&gt;%PageNumber%&lt;/Text&gt;&lt;/FirstLine&gt;&lt;/FirstPage&gt;&lt;EvenPages&gt;&lt;Active&gt;true&lt;/Active&gt;&lt;LinkToPrevious&gt;false&lt;/LinkToPrevious&gt;&lt;FirstLine&gt;&lt;Style&gt;Footer PageNumber (30)&lt;/Style&gt;&lt;Text&gt;%PageNumber%&lt;/Text&gt;&lt;/FirstLine&gt;&lt;/EvenPages&gt;&lt;/Footer&gt;&lt;AutoNumbering&gt;&lt;LevelOne&gt;&lt;Style&gt;Numbered Heading 1&lt;/Style&gt;&lt;Prefix&gt;%SectionNumber%.&lt;/Prefix&gt;&lt;/LevelOne&gt;&lt;LevelTwo&gt;&lt;Style&gt;Numbered Heading 2&lt;/Style&gt;&lt;Prefix&gt;%SectionNumber%.&lt;/Prefix&gt;&lt;/LevelTwo&gt;&lt;LevelThree&gt;&lt;Style&gt;Numbered Heading 3&lt;/Style&gt;&lt;Prefix&gt;%SectionNumber%.&lt;/Prefix&gt;&lt;/LevelThree&gt;&lt;/AutoNumbering&gt;&lt;SpecialNumbering&gt;&lt;Box&gt;%SectionNumber%.&lt;/Box&gt;&lt;Graph&gt;%SectionNumber%.&lt;/Graph&gt;&lt;Table&gt;%SectionNumber%.&lt;/Table&gt;&lt;Formula&gt;%SectionNumber%.&lt;/Formula&gt;&lt;/SpecialNumbering&gt;&lt;ToCFields&gt;&lt;Box&gt;&lt;Text&gt;%SectionNumber%.%EPShapeNumber%._x0009_%EPShapeTitle%&lt;/Text&gt;&lt;Name&gt;box&lt;/Name&gt;&lt;Level&gt;5&lt;/Level&gt;&lt;/Box&gt;&lt;Graph&gt;&lt;Text&gt;%SectionNumber%.%EPShapeNumber%._x0009_%EPShapeTitle%&lt;/Text&gt;&lt;Name&gt;graph&lt;/Name&gt;&lt;Level&gt;5&lt;/Level&gt;&lt;/Graph&gt;&lt;Table&gt;&lt;Text&gt;%SectionNumber%.%EPShapeNumber%._x0009_%EPShapeTitle%&lt;/Text&gt;&lt;Name&gt;table&lt;/Name&gt;&lt;Level&gt;5&lt;/Level&gt;&lt;/Table&gt;&lt;Map&gt;&lt;Text&gt;%SectionNumber%.%EPShapeNumber%._x0009_%EPShapeTitle%&lt;/Text&gt;&lt;Name&gt;map&lt;/Name&gt;&lt;Level&gt;5&lt;/Level&gt;&lt;/Map&gt;&lt;/ToCFields&gt;&lt;ShapeSettings&gt;&lt;NumberingInWord&gt;false&lt;/NumberingInWord&gt;&lt;ShapeInformation&gt;&lt;ShapeType&gt;BOX&lt;/ShapeType&gt;&lt;ShapePosition&gt;TOP&lt;/ShapePosition&gt;&lt;/ShapeInformation&gt;&lt;ShapeInformation&gt;&lt;ShapeType&gt;BOX&lt;/ShapeType&gt;&lt;ShapePosition&gt;BOTTOM_MAINTEXT&lt;/ShapePosition&gt;&lt;/ShapeInformation&gt;&lt;ShapeInformation&gt;&lt;ShapeType&gt;CLUSTEROFGRAPHS&lt;/ShapeType&gt;&lt;ShapePosition&gt;TOP&lt;/ShapePosition&gt;&lt;/ShapeInformation&gt;&lt;ShapeInformation&gt;&lt;ShapeType&gt;CLUSTEROFGRAPHS&lt;/ShapeType&gt;&lt;ShapePosition&gt;INLINE&lt;/ShapePosition&gt;&lt;/ShapeInformation&gt;&lt;ShapeInformation&gt;&lt;ShapeType&gt;CLUSTEROFGRAPHS&lt;/ShapeType&gt;&lt;ShapePosition&gt;INLINE_LEFT_TEXTWRAPPING&lt;/ShapePosition&gt;&lt;/ShapeInformation&gt;&lt;ShapeInformation&gt;&lt;ShapeType&gt;CLUSTEROFGRAPHS&lt;/ShapeType&gt;&lt;ShapePosition&gt;INLINE_RIGHT_TEXTWRAPPING&lt;/ShapePosition&gt;&lt;/ShapeInformation&gt;&lt;ShapeInformation&gt;&lt;ShapeType&gt;CLUSTEROFGRAPHS&lt;/ShapeType&gt;&lt;ShapePosition&gt;BOTTOM_MAINTEXT&lt;/ShapePosition&gt;&lt;/ShapeInformation&gt;&lt;ShapeInformation&gt;&lt;ShapeType&gt;GRAPH&lt;/ShapeType&gt;&lt;ShapePosition&gt;TOP&lt;/ShapePosition&gt;&lt;/ShapeInformation&gt;&lt;ShapeInformation&gt;&lt;ShapeType&gt;GRAPH&lt;/ShapeType&gt;&lt;ShapePosition&gt;INLINE&lt;/ShapePosition&gt;&lt;/ShapeInformation&gt;&lt;ShapeInformation&gt;&lt;ShapeType&gt;GRAPH&lt;/ShapeType&gt;&lt;ShapePosition&gt;INLINE_LEFT_TEXTWRAPPING&lt;/ShapePosition&gt;&lt;/ShapeInformation&gt;&lt;ShapeInformation&gt;&lt;ShapeType&gt;GRAPH&lt;/ShapeType&gt;&lt;ShapePosition&gt;INLINE_RIGHT_TEXTWRAPPING&lt;/ShapePosition&gt;&lt;/ShapeInformation&gt;&lt;ShapeInformation&gt;&lt;ShapeType&gt;GRAPH&lt;/ShapeType&gt;&lt;ShapePosition&gt;BOTTOM_MAINTEXT&lt;/ShapePosition&gt;&lt;/ShapeInformation&gt;&lt;ShapeInformation&gt;&lt;ShapeType&gt;MAP&lt;/ShapeType&gt;&lt;ShapePosition&gt;TOP&lt;/ShapePosition&gt;&lt;/ShapeInformation&gt;&lt;ShapeInformation&gt;&lt;ShapeType&gt;MAP&lt;/ShapeType&gt;&lt;ShapePosition&gt;INLINE&lt;/ShapePosition&gt;&lt;/ShapeInformation&gt;&lt;ShapeInformation&gt;&lt;ShapeType&gt;MAP&lt;/ShapeType&gt;&lt;ShapePosition&gt;INLINE_LEFT_TEXTWRAPPING&lt;/ShapePosition&gt;&lt;/ShapeInformation&gt;&lt;ShapeInformation&gt;&lt;ShapeType&gt;MAP&lt;/ShapeType&gt;&lt;ShapePosition&gt;INLINE_RIGHT_TEXTWRAPPING&lt;/ShapePosition&gt;&lt;/ShapeInformation&gt;&lt;ShapeInformation&gt;&lt;ShapeType&gt;MAP&lt;/ShapeType&gt;&lt;ShapePosition&gt;BOTTOM_MAINTEXT&lt;/ShapePosition&gt;&lt;/ShapeInformation&gt;&lt;ShapeInformation&gt;&lt;ShapeType&gt;TABLE&lt;/ShapeType&gt;&lt;ShapePosition&gt;TOP&lt;/ShapePosition&gt;&lt;/ShapeInformation&gt;&lt;ShapeInformation&gt;&lt;ShapeType&gt;TABLE&lt;/ShapeType&gt;&lt;ShapePosition&gt;INLINE&lt;/ShapePosition&gt;&lt;/ShapeInformation&gt;&lt;ShapeInformation&gt;&lt;ShapeType&gt;TABLE&lt;/ShapeType&gt;&lt;ShapePosition&gt;INLINE_LEFT_TEXTWRAPPING&lt;/ShapePosition&gt;&lt;/ShapeInformation&gt;&lt;ShapeInformation&gt;&lt;ShapeType&gt;TABLE&lt;/ShapeType&gt;&lt;ShapePosition&gt;INLINE_RIGHT_TEXTWRAPPING&lt;/ShapePosition&gt;&lt;/ShapeInformation&gt;&lt;ShapeInformation&gt;&lt;ShapeType&gt;TABLE&lt;/ShapeType&gt;&lt;ShapePosition&gt;MULTIPAGES_TOP&lt;/ShapePosition&gt;&lt;/ShapeInformation&gt;&lt;ShapeInformation&gt;&lt;ShapeType&gt;TABLE&lt;/ShapeType&gt;&lt;ShapePosition&gt;LANDSCAPE&lt;/ShapePosition&gt;&lt;/ShapeInformation&gt;&lt;ShapeInformation&gt;&lt;ShapeType&gt;TABLE&lt;/ShapeType&gt;&lt;ShapePosition&gt;BOTTOM_MAINTEXT&lt;/ShapePosition&gt;&lt;/ShapeInformation&gt;&lt;/ShapeSettings&gt;&lt;CleanupValidStyles&gt;;Normal;Normal Compact;Normal Left;Normal Right;Normal Centered;Normal Numbered;Normal Framed;Abstract;List Bullet;Heading;Numbered Heading 1;Numbered Heading 2;Numbered Heading 3;Side Note;Footnote Reference;Footnote Text;Endnote Reference;Endnote Text;List Bullet;Subsection Title;Section Title (Continuous);Footer;Footer PageNumber;Publication Supertitle;Publication Title;Publication Subtitle;Institution;Institution Subtitle;Series;Box Shape;Box Continue Top;Box Continue Bottom;Table Continue Top;Table Continue Bottom;Default Table;Bottom Table;Bottom Center Table;Bottom Table Restricted Shape;Graph Title;Graph Source;Graph Footnote;Graph Shape;Table Title;Table Source;Table Footnote;Table Shape;Slim Cell;TOC 1;TOC 2;TOC 3;TOC 4;TOC 5;TOC 6;TOC 7;TOC 8;TOC 9;TOC Heading;StatAnnex Table;SN Text;SN SideNote;SN Numbered Heading 1;SN Numbered Heading 2;Abbreviation;Numbered List;List Dash;&lt;/CleanupValidStyles&gt;&lt;/Format&gt;&lt;Content&gt;&lt;PublicationTitle Edit=&quot;true&quot; DisplayName=&quot;Publication Title&quot;&gt;Convergence Report&lt;/PublicationTitle&gt;&lt;PublicationSubtitle Edit=&quot;true&quot; DisplayName=&quot;Publication Subtitle&quot;&gt;2024&lt;/PublicationSubtitle&gt;&lt;NameLevelOne DisplayName=&quot;Name Level 1&quot;&gt;Part&lt;/NameLevelOne&gt;&lt;NameLevelTwo DisplayName=&quot;Name Level 2&quot;&gt;Chapter&lt;/NameLevelTwo&gt;&lt;SeriesNumber DisplayName=&quot;Series Number&quot;&gt;Institutional Paper XXX&lt;/SeriesNumber&gt;&lt;/Content&gt;&lt;Structure&gt;&lt;DocumentCoverPage&gt;&lt;Meta&gt;&lt;Design&gt;&lt;GUID&gt;{074BA9E9-F305-4AB9-9998-EC10B752C425}&lt;/GUID&gt;&lt;DisplayName&gt;Cover Page&lt;/DisplayName&gt;&lt;/Design&gt;&lt;Create&gt;&lt;Creatable&gt;false&lt;/Creatable&gt;&lt;Template&gt;EPPublicationCoverpage.dot&lt;/Template&gt;&lt;/Create&gt;&lt;/Meta&gt;&lt;Format&gt;&lt;PageSettings&gt;&lt;SectionStart&gt;4&lt;/SectionStart&gt;&lt;/PageSettings&gt;&lt;ColumnSettings&gt;&lt;SetCount&gt;1&lt;/SetCount&gt;&lt;/ColumnSettings&gt;&lt;Header&gt;&lt;Primary&gt;&lt;Active&gt;false&lt;/Active&gt;&lt;/Primary&gt;&lt;FirstPage&gt;&lt;Active&gt;false&lt;/Active&gt;&lt;/FirstPage&gt;&lt;EvenPages&gt;&lt;Active&gt;false&lt;/Active&gt;&lt;/EvenPages&gt;&lt;/Header&gt;&lt;PageNumbers&gt;&lt;RestartNumberingAtSection&gt;true&lt;/RestartNumberingAtSection&gt;&lt;StartingNumber&gt;1&lt;/StartingNumber&gt;&lt;NumberStyle&gt;2&lt;/NumberStyle&gt;&lt;/PageNumbers&gt;&lt;Footer&gt;&lt;Primary&gt;&lt;Active&gt;false&lt;/Active&gt;&lt;/Primary&gt;&lt;FirstPage&gt;&lt;Active&gt;false&lt;/Active&gt;&lt;/FirstPage&gt;&lt;EvenPages&gt;&lt;Active&gt;false&lt;/Active&gt;&lt;LinkToPrevious&gt;false&lt;/LinkToPrevious&gt;&lt;/EvenPages&gt;&lt;/Footer&gt;&lt;Variables&gt;&lt;Variable&gt;&lt;Name&gt;Institution&lt;/Name&gt;&lt;Value&gt;European Commission&lt;/Value&gt;&lt;Type&gt;BOOKMARK&lt;/Type&gt;&lt;/Variable&gt;&lt;Variable&gt;&lt;Name&gt;InstitutionSubtitle&lt;/Name&gt;&lt;Value&gt;Directorate-General for Economic and Financial Affairs&lt;/Value&gt;&lt;Type&gt;BOOKMARK&lt;/Type&gt;&lt;/Variable&gt;&lt;Variable&gt;&lt;Name&gt;PublicationTitle&lt;/Name&gt;&lt;Value&gt;%PublicationTitle%&lt;/Value&gt;&lt;Type&gt;BOOKMARK&lt;/Type&gt;&lt;/Variable&gt;&lt;Variable&gt;&lt;Name&gt;PublicationSubtitle&lt;/Name&gt;&lt;Value&gt;%PublicationSubtitle%&lt;/Value&gt;&lt;Type&gt;BOOKMARK&lt;/Type&gt;&lt;/Variable&gt;&lt;Variable&gt;&lt;Name&gt;SeriesName&lt;/Name&gt;&lt;Value&gt;EUROPEAN ECONOMY&lt;/Value&gt;&lt;Type&gt;BOOKMARK&lt;/Type&gt;&lt;/Variable&gt;&lt;Variable&gt;&lt;Name&gt;SeriesNumber&lt;/Name&gt;&lt;Value&gt;%SeriesNumber%&lt;/Value&gt;&lt;Type&gt;BOOKMARK&lt;/Type&gt;&lt;/Variable&gt;&lt;/Variables&gt;&lt;/Format&gt;&lt;Content&gt;&lt;Subtitle&gt;&lt;/Subtitle&gt;&lt;/Content&gt;&lt;/DocumentCoverPage&gt;&lt;Abbreviations characteristic=&quot;Abbreviations&quot;&gt;&lt;Meta&gt;&lt;Design&gt;&lt;GUID&gt;{7D9E54D2-BFF9-43CD-BDA4-4C0EE17470C6}&lt;/GUID&gt;&lt;DisplayName&gt;Abbreviations&lt;/DisplayName&gt;&lt;/Design&gt;&lt;Create&gt;&lt;Creatable&gt;true&lt;/Creatable&gt;&lt;Template&gt;EPSimpleSection.dot&lt;/Template&gt;&lt;/Create&gt;&lt;Manage&gt;&lt;Path&gt;U:\Convergence Report\2024\EP Kit\Abbreviations.docx&lt;/Path&gt;&lt;LastMerge&gt;2024-06-19T00:38:26&lt;/LastMerge&gt;&lt;ExternalSources&gt;*&lt;/ExternalSources&gt;&lt;/Manage&gt;&lt;/Meta&gt;&lt;Format&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SpecialNumbering&gt;&lt;Box /&gt;&lt;Graph /&gt;&lt;Table /&gt;&lt;Formula /&gt;&lt;/SpecialNumbering&gt;&lt;HasCommands&gt;&lt;HasCommand&gt;&lt;Name&gt;epkitCommandInsertMap&lt;/Name&gt;&lt;Availability&gt;false&lt;/Availability&gt;&lt;/HasCommand&gt;&lt;/HasCommands&gt;&lt;PageSettings&gt;&lt;SectionStart&gt;4&lt;/SectionStart&gt;&lt;/PageSettings&gt;&lt;/Format&gt;&lt;Content&gt;&lt;Title&gt;Abbreviations&lt;/Title&gt;&lt;/Content&gt;&lt;/Abbreviations&gt;&lt;Acknowledgements&gt;&lt;Meta&gt;&lt;Design&gt;&lt;GUID&gt;{7A23AB19-138A-4415-86AE-292CA0282044}&lt;/GUID&gt;&lt;DisplayName&gt;Acknowledgements&lt;/DisplayName&gt;&lt;/Design&gt;&lt;Create&gt;&lt;Creatable&gt;true&lt;/Creatable&gt;&lt;Template&gt;EPSimpleSection.dot&lt;/Template&gt;&lt;/Create&gt;&lt;Manage&gt;&lt;Path&gt;U:\Convergence Report\2024\EP Kit\Acknowledgements.docx&lt;/Path&gt;&lt;LastMerge&gt;2024-06-19T00:38:30&lt;/LastMerge&gt;&lt;ExternalSources&gt;*&lt;/ExternalSources&gt;&lt;/Manage&gt;&lt;/Meta&gt;&lt;Format&gt;&lt;PageSettings&gt;&lt;SectionStart&gt;4&lt;/SectionStart&gt;&lt;/PageSettings&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Format&gt;&lt;Content&gt;&lt;Title&gt;Acknowledgements&lt;/Title&gt;&lt;/Content&gt;&lt;/Acknowledgements&gt;&lt;ToC&gt;&lt;Meta&gt;&lt;Design&gt;&lt;GUID&gt;{99FEBFFC-9617-4F6C-98D5-BB6A34B8B743}&lt;/GUID&gt;&lt;DisplayName&gt;Contents&lt;/DisplayName&gt;&lt;/Design&gt;&lt;Create&gt;&lt;Creatable&gt;false&lt;/Creatable&gt;&lt;Template&gt;EPContents.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Section Title&lt;/Style&gt;&lt;Text&gt;Contents&lt;/Text&gt;&lt;/FirstLine&gt;&lt;/FirstPage&gt;&lt;EvenPages&gt;&lt;Active&gt;false&lt;/Active&gt;&lt;/EvenPages&gt;&lt;/Header&gt;&lt;PageNumbers&gt;&lt;NumberStyle&gt;2&lt;/NumberStyle&gt;&lt;/PageNumbers&gt;&lt;/Format&gt;&lt;/ToC&gt;&lt;ConvergenceReport&gt;&lt;Meta&gt;&lt;Design&gt;&lt;GUID&gt;{352E6A9A-1CE3-4AA9-A609-439DB21A5EC3}&lt;/GUID&gt;&lt;DisplayName&gt;Report from the Commission&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1&lt;/ChapterNumber&gt;&lt;ChapterTitle DisplayName=&quot;Level 1 Title&quot;&gt;Convergence Report 2024&lt;/ChapterTitle&gt;&lt;ChapterSubtitle DisplayName=&quot;Level 1 Subtitle&quot;&gt;(prepared in accordance with Article 140(1) of the Treaty)&lt;/ChapterSubtitle&gt;&lt;/Content&gt;&lt;Structure&gt;&lt;LevelOneCoverPage&gt;&lt;Meta&gt;&lt;Design&gt;&lt;GUID&gt;{C28C8D72-17AF-41E7-A11C-B9C646BD279F}&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PageNumbers&gt;&lt;RestartNumberingAtSection&gt;true&lt;/RestartNumberingAtSection&gt;&lt;StartingNumber&gt;1&lt;/StartingNumber&gt;&lt;/PageNumbers&gt;&lt;Footer&gt;&lt;Primary&gt;&lt;Active&gt;false&lt;/Active&gt;&lt;/Primary&gt;&lt;FirstPage&gt;&lt;Active&gt;false&lt;/Active&gt;&lt;/FirstPage&gt;&lt;EvenPages&gt;&lt;Active&gt;false&lt;/Active&gt;&lt;LinkToPrevious&gt;false&lt;/LinkToPrevious&gt;&lt;/EvenPages&gt;&lt;/Footer&gt;&lt;ToCFields&gt;&lt;Start&gt;&lt;Text&gt;%ChapterTitle%&lt;/Text&gt;&lt;Name /&gt;&lt;Level&gt;1&lt;/Level&gt;&lt;/Start&gt;&lt;/ToCFields&gt;&lt;/Format&gt;&lt;Content /&gt;&lt;/LevelOneCoverPage&gt;&lt;Report&gt;&lt;Meta&gt;&lt;Design&gt;&lt;GUID&gt;{0C83FB94-D4D5-468D-AEDF-020B9CAAF142}&lt;/GUID&gt;&lt;DisplayName&gt;Report&lt;/DisplayName&gt;&lt;/Design&gt;&lt;Create&gt;&lt;Creatable&gt;true&lt;/Creatable&gt;&lt;Template&gt;EPExternal.dot&lt;/Template&gt;&lt;/Create&gt;&lt;Manage&gt;&lt;Path&gt;&lt;/Path&gt;&lt;LastMerge&gt;0001-01-01T00:00:00&lt;/LastMerge&gt;&lt;ExternalSources&gt;*&lt;/ExternalSources&gt;&lt;/Manage&gt;&lt;/Meta&gt;&lt;Format&gt;&lt;PageSettings&gt;&lt;TopMargin&gt;70.87&lt;/TopMargin&gt;&lt;BottomMargin&gt;70.87&lt;/BottomMargin&gt;&lt;LeftMargin&gt;70.87&lt;/LeftMargin&gt;&lt;RightMargin&gt;70.87&lt;/RightMargin&gt;&lt;/PageSettings&gt;&lt;ColumnSettings&gt;&lt;SetCount&gt;1&lt;/SetCount&gt;&lt;/ColumnSettings&gt;&lt;Header&gt;&lt;Primary&gt;&lt;Active&gt;false&lt;/Active&gt;&lt;/Primary&gt;&lt;FirstPage&gt;&lt;Active&gt;false&lt;/Active&gt;&lt;/FirstPage&gt;&lt;EvenPages&gt;&lt;Active&gt;false&lt;/Active&gt;&lt;/EvenPages&gt;&lt;/Header&gt;&lt;ToCFields&gt;&lt;Start&gt;&lt;Text /&gt;&lt;Name /&gt;&lt;Level /&gt;&lt;/Start&gt;&lt;/ToCFields&gt;&lt;Cleanup&gt;ONLYPAGESETTINGS&lt;/Cleanup&gt;&lt;/Format&gt;&lt;Content /&gt;&lt;/Report&gt;&lt;/Structure&gt;&lt;/ConvergenceReport&gt;&lt;ConvergenceReportTechnicalAnnex&gt;&lt;Meta&gt;&lt;Design&gt;&lt;GUID&gt;{99F2FDAE-A4DC-4665-9232-7836DC1393EB}&lt;/GUID&gt;&lt;DisplayName&gt;Technical annex&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2&lt;/ChapterNumber&gt;&lt;ChapterTitle DisplayName=&quot;Level 1 Title&quot;&gt;Convergence Report 2024&lt;/ChapterTitle&gt;&lt;ChapterSubtitle DisplayName=&quot;Level 1 Subtitle&quot;&gt;Technical annex&lt;/ChapterSubtitle&gt;&lt;/Content&gt;&lt;Structure&gt;&lt;LevelOneCoverPage&gt;&lt;Meta&gt;&lt;Design&gt;&lt;GUID&gt;{461966DE-166E-49A6-9BC8-B5EE3A28F9A7}&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Footer&gt;&lt;Primary&gt;&lt;Active&gt;false&lt;/Active&gt;&lt;/Primary&gt;&lt;FirstPage&gt;&lt;Active&gt;false&lt;/Active&gt;&lt;/FirstPage&gt;&lt;EvenPages&gt;&lt;Active&gt;false&lt;/Active&gt;&lt;LinkToPrevious&gt;false&lt;/LinkToPrevious&gt;&lt;/EvenPages&gt;&lt;/Footer&gt;&lt;ToCFields&gt;&lt;Start&gt;&lt;Text&gt;%ChapterTitle% - %ChapterSubtitle%&lt;/Text&gt;&lt;Name /&gt;&lt;Level&gt;1&lt;/Level&gt;&lt;/Start&gt;&lt;/ToCFields&gt;&lt;/Format&gt;&lt;Content /&gt;&lt;/LevelOneCoverPage&gt;&lt;ConvergenceReportCountrySection characteristic=&quot;Chapter&quot;&gt;&lt;Meta&gt;&lt;Design&gt;&lt;GUID&gt;{1D37FB13-94C8-4688-9E58-496AF182DF8D}&lt;/GUID&gt;&lt;DisplayName&gt;1. Introduction&lt;/DisplayName&gt;&lt;/Design&gt;&lt;Create&gt;&lt;Creatable&gt;true&lt;/Creatable&gt;&lt;Template&gt;EPGeneralSection.dot&lt;/Template&gt;&lt;/Create&gt;&lt;Manage&gt;&lt;Path&gt;U:\Convergence Report\2024\EP Kit\Technical annex\1 Introduction.docx&lt;/Path&gt;&lt;LastMerge&gt;2024-06-24T20:19:25&lt;/LastMerge&gt;&lt;ExternalSources&gt;*U:\Convergence Report\2024\EP Kit\Technical annex\Boxes\Box 1.1.docx*U:\Convergence Report\2024\EP Kit\Technical annex\Boxes\Box 1.2.docx*U:\Convergence Report\2024\EP Kit\Technical annex\Boxes\Box 1.3.docx*U:\Convergence Report\2024\EP Kit\Technical annex\Boxes\Box 1.4.docx*U:\Convergence Report\2024\EP Kit\Technical annex\Boxes\Box 1.5 ERM II.docx*U:\Convergence Report\2024\EP Kit\Technical annex\Boxes\Box 1.6.docx*U:\Convergence Report\2024\EP Kit\Technical annex\Boxes\Box 1.7.docx*&lt;/ExternalSources&gt;&lt;/Manage&gt;&lt;/Meta&gt;&lt;Format&gt;&lt;PageSettings&gt;&lt;SectionStart&gt;4&lt;/SectionStart&gt;&lt;/PageSettings&gt;&lt;/Format&gt;&lt;Content&gt;&lt;SectionNumber DisplayName=&quot;Level 2 Number&quot; Automatic=&quot;true&quot;&gt;1&lt;/SectionNumber&gt;&lt;SectionTitle DisplayName=&quot;Level 2 Title&quot;&gt;Introduction&lt;/SectionTitle&gt;&lt;/Content&gt;&lt;/ConvergenceReportCountrySection&gt;&lt;ConvergenceReportCountrySection characteristic=&quot;Chapter&quot;&gt;&lt;Meta&gt;&lt;Design&gt;&lt;GUID&gt;{5E0FB844-5798-4C98-9C41-0457963978E4}&lt;/GUID&gt;&lt;DisplayName&gt;2. Bulgaria&lt;/DisplayName&gt;&lt;/Design&gt;&lt;Create&gt;&lt;Creatable&gt;true&lt;/Creatable&gt;&lt;Template&gt;EPGeneralSection.dot&lt;/Template&gt;&lt;/Create&gt;&lt;Manage&gt;&lt;Path&gt;U:\Convergence Report\2024\EP Kit\Technical annex\2 Bulgaria.docx&lt;/Path&gt;&lt;LastMerge&gt;2024-06-24T20:19:48&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7) LT intr crit.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2&lt;/SectionNumber&gt;&lt;SectionTitle DisplayName=&quot;Level 2 Title&quot;&gt;Bulgaria&lt;/SectionTitle&gt;&lt;/Content&gt;&lt;/ConvergenceReportCountrySection&gt;&lt;ConvergenceReportCountrySection characteristic=&quot;Chapter&quot;&gt;&lt;Meta&gt;&lt;Design&gt;&lt;GUID&gt;{7905FB90-EE6C-4E60-815B-C88832A8E960}&lt;/GUID&gt;&lt;DisplayName&gt;3. Czechia&lt;/DisplayName&gt;&lt;/Design&gt;&lt;Create&gt;&lt;Creatable&gt;true&lt;/Creatable&gt;&lt;Template&gt;EPGeneralSection.dot&lt;/Template&gt;&lt;/Create&gt;&lt;Manage&gt;&lt;Path&gt;U:\Convergence Report\2024\EP Kit\Technical annex\3 Czechia.docx&lt;/Path&gt;&lt;LastMerge&gt;2024-06-24T20:20:14&lt;/LastMerge&gt;&lt;ExternalSources&gt;*U:\Convergence Report\2024\EP Kit\Technical annex\Charts and Tables\2024 - coupled chart.xlsx*U:\Convergence Report\2024\EP Kit\Technical annex\Charts and Tables\2024 - (CH 1) infl cri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3&lt;/SectionNumber&gt;&lt;SectionTitle DisplayName=&quot;Level 2 Title&quot;&gt;Czechia&lt;/SectionTitle&gt;&lt;/Content&gt;&lt;/ConvergenceReportCountrySection&gt;&lt;ConvergenceReportCountrySection characteristic=&quot;Chapter&quot;&gt;&lt;Meta&gt;&lt;Design&gt;&lt;GUID&gt;{D018BC17-C946-4239-AEE4-3F0BED0D77FE}&lt;/GUID&gt;&lt;DisplayName&gt;4. Hungary&lt;/DisplayName&gt;&lt;/Design&gt;&lt;Create&gt;&lt;Creatable&gt;true&lt;/Creatable&gt;&lt;Template&gt;EPGeneralSection.dot&lt;/Template&gt;&lt;/Create&gt;&lt;Manage&gt;&lt;Path&gt;U:\Convergence Report\2024\EP Kit\Technical annex\4 Hungary.docx&lt;/Path&gt;&lt;LastMerge&gt;2024-06-24T20:20:35&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4&lt;/SectionNumber&gt;&lt;SectionTitle DisplayName=&quot;Level 2 Title&quot;&gt;Hungary&lt;/SectionTitle&gt;&lt;/Content&gt;&lt;/ConvergenceReportCountrySection&gt;&lt;ConvergenceReportCountrySection characteristic=&quot;Chapter&quot;&gt;&lt;Meta&gt;&lt;Design&gt;&lt;GUID&gt;{BEB653BE-A832-4F3E-AE33-7D9CFAF9EB95}&lt;/GUID&gt;&lt;DisplayName&gt;5. Poland&lt;/DisplayName&gt;&lt;/Design&gt;&lt;Create&gt;&lt;Creatable&gt;true&lt;/Creatable&gt;&lt;Template&gt;EPGeneralSection.dot&lt;/Template&gt;&lt;/Create&gt;&lt;Manage&gt;&lt;Path&gt;U:\Convergence Report\2024\EP Kit\Technical annex\5 Poland.docx&lt;/Path&gt;&lt;LastMerge&gt;2024-06-24T20:20:57&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5&lt;/SectionNumber&gt;&lt;SectionTitle DisplayName=&quot;Level 2 Title&quot;&gt;Poland&lt;/SectionTitle&gt;&lt;/Content&gt;&lt;/ConvergenceReportCountrySection&gt;&lt;ConvergenceReportCountrySection characteristic=&quot;Chapter&quot;&gt;&lt;Meta&gt;&lt;Design&gt;&lt;GUID&gt;{0BB0CB04-8DA3-49C1-9795-381BE293C432}&lt;/GUID&gt;&lt;DisplayName&gt;6. Romania&lt;/DisplayName&gt;&lt;/Design&gt;&lt;Create&gt;&lt;Creatable&gt;true&lt;/Creatable&gt;&lt;Template&gt;EPGeneralSection.dot&lt;/Template&gt;&lt;/Create&gt;&lt;Manage&gt;&lt;Path&gt;U:\Convergence Report\2024\EP Kit\Technical annex\6 Romania.docx&lt;/Path&gt;&lt;LastMerge&gt;2024-06-24T20:21:2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6&lt;/SectionNumber&gt;&lt;SectionTitle DisplayName=&quot;Level 2 Title&quot;&gt;Romania&lt;/SectionTitle&gt;&lt;/Content&gt;&lt;/ConvergenceReportCountrySection&gt;&lt;ConvergenceReportCountrySection characteristic=&quot;Chapter&quot;&gt;&lt;Meta&gt;&lt;Design&gt;&lt;GUID&gt;{81CA136B-AD42-4DF9-BAC0-346AF132FD6E}&lt;/GUID&gt;&lt;DisplayName&gt;7. Sweden&lt;/DisplayName&gt;&lt;/Design&gt;&lt;Create&gt;&lt;Creatable&gt;true&lt;/Creatable&gt;&lt;Template&gt;EPGeneralSection.dot&lt;/Template&gt;&lt;/Create&gt;&lt;Manage&gt;&lt;Path&gt;U:\Convergence Report\2024\EP Kit\Technical annex\7 Sweden.docx&lt;/Path&gt;&lt;LastMerge&gt;2024-06-24T20:21:4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7&lt;/SectionNumber&gt;&lt;SectionTitle DisplayName=&quot;Level 2 Title&quot;&gt;Sweden&lt;/SectionTitle&gt;&lt;/Content&gt;&lt;/ConvergenceReportCountrySection&gt;&lt;/Structure&gt;&lt;/ConvergenceReportTechnicalAnnex&gt;&lt;/Structure&gt;&lt;/ConvergenceReportPublication&gt;"/>
    <w:docVar w:name="PublicationXMLFileName" w:val="\\net1.cec.eu.int\ECFIN\C\3\Convergence Report\2024\EP Kit\ConvergenceReport_2024.xml"/>
    <w:docVar w:name="VSSDB_IniPath" w:val="$/EPKIT/SRC/EPExternal"/>
    <w:docVar w:name="VSSDB_ProjectPath" w:val="$/EPKIT/SRC/EPExternal"/>
  </w:docVars>
  <w:rsids>
    <w:rsidRoot w:val="00F64EC0"/>
    <w:rsid w:val="000000D5"/>
    <w:rsid w:val="000001EC"/>
    <w:rsid w:val="00000206"/>
    <w:rsid w:val="000002D5"/>
    <w:rsid w:val="00000522"/>
    <w:rsid w:val="000006B4"/>
    <w:rsid w:val="000006D2"/>
    <w:rsid w:val="000007BE"/>
    <w:rsid w:val="00000979"/>
    <w:rsid w:val="000009CD"/>
    <w:rsid w:val="00000A19"/>
    <w:rsid w:val="00000B59"/>
    <w:rsid w:val="00000D8B"/>
    <w:rsid w:val="00000E64"/>
    <w:rsid w:val="00000EA1"/>
    <w:rsid w:val="00000F4F"/>
    <w:rsid w:val="0000107E"/>
    <w:rsid w:val="000013BD"/>
    <w:rsid w:val="000013C7"/>
    <w:rsid w:val="00001447"/>
    <w:rsid w:val="0000162B"/>
    <w:rsid w:val="00001690"/>
    <w:rsid w:val="00001A7B"/>
    <w:rsid w:val="00001BEA"/>
    <w:rsid w:val="00001BFF"/>
    <w:rsid w:val="00001F86"/>
    <w:rsid w:val="00002321"/>
    <w:rsid w:val="0000232A"/>
    <w:rsid w:val="000024C8"/>
    <w:rsid w:val="000027B0"/>
    <w:rsid w:val="0000283E"/>
    <w:rsid w:val="00002A87"/>
    <w:rsid w:val="00002B34"/>
    <w:rsid w:val="00002C48"/>
    <w:rsid w:val="00003233"/>
    <w:rsid w:val="000032C1"/>
    <w:rsid w:val="000032ED"/>
    <w:rsid w:val="00003317"/>
    <w:rsid w:val="000033E0"/>
    <w:rsid w:val="0000375A"/>
    <w:rsid w:val="0000379A"/>
    <w:rsid w:val="000038AA"/>
    <w:rsid w:val="00004494"/>
    <w:rsid w:val="000049B6"/>
    <w:rsid w:val="000049E1"/>
    <w:rsid w:val="00004D01"/>
    <w:rsid w:val="00005059"/>
    <w:rsid w:val="00005109"/>
    <w:rsid w:val="00005151"/>
    <w:rsid w:val="00005164"/>
    <w:rsid w:val="000051CD"/>
    <w:rsid w:val="000052FB"/>
    <w:rsid w:val="00005368"/>
    <w:rsid w:val="000054BC"/>
    <w:rsid w:val="000055DE"/>
    <w:rsid w:val="0000567F"/>
    <w:rsid w:val="000058BC"/>
    <w:rsid w:val="00005A2C"/>
    <w:rsid w:val="00005A8B"/>
    <w:rsid w:val="00005AC3"/>
    <w:rsid w:val="00005AE1"/>
    <w:rsid w:val="00005BE3"/>
    <w:rsid w:val="00005E15"/>
    <w:rsid w:val="0000605F"/>
    <w:rsid w:val="0000627B"/>
    <w:rsid w:val="00006397"/>
    <w:rsid w:val="00006470"/>
    <w:rsid w:val="000064BF"/>
    <w:rsid w:val="0000671A"/>
    <w:rsid w:val="00006889"/>
    <w:rsid w:val="000068D4"/>
    <w:rsid w:val="000068F6"/>
    <w:rsid w:val="00006AF8"/>
    <w:rsid w:val="00006AFA"/>
    <w:rsid w:val="00006B52"/>
    <w:rsid w:val="00006DD6"/>
    <w:rsid w:val="00006FEC"/>
    <w:rsid w:val="0000701D"/>
    <w:rsid w:val="000070AA"/>
    <w:rsid w:val="0000737F"/>
    <w:rsid w:val="00007387"/>
    <w:rsid w:val="00007577"/>
    <w:rsid w:val="00007739"/>
    <w:rsid w:val="000077FE"/>
    <w:rsid w:val="0000780B"/>
    <w:rsid w:val="0000789E"/>
    <w:rsid w:val="000078C5"/>
    <w:rsid w:val="000079EF"/>
    <w:rsid w:val="00007AA1"/>
    <w:rsid w:val="00007FF5"/>
    <w:rsid w:val="00010232"/>
    <w:rsid w:val="00010243"/>
    <w:rsid w:val="00010342"/>
    <w:rsid w:val="00010354"/>
    <w:rsid w:val="000105ED"/>
    <w:rsid w:val="00010629"/>
    <w:rsid w:val="00010647"/>
    <w:rsid w:val="00010761"/>
    <w:rsid w:val="000107F6"/>
    <w:rsid w:val="000109E2"/>
    <w:rsid w:val="00010B46"/>
    <w:rsid w:val="00010B89"/>
    <w:rsid w:val="00010BF4"/>
    <w:rsid w:val="00010CD5"/>
    <w:rsid w:val="000110F5"/>
    <w:rsid w:val="000113B3"/>
    <w:rsid w:val="00011475"/>
    <w:rsid w:val="000118E8"/>
    <w:rsid w:val="000119C8"/>
    <w:rsid w:val="00011A1F"/>
    <w:rsid w:val="00011AC6"/>
    <w:rsid w:val="00011B57"/>
    <w:rsid w:val="00011BB6"/>
    <w:rsid w:val="00011C03"/>
    <w:rsid w:val="00011CBD"/>
    <w:rsid w:val="00011DF5"/>
    <w:rsid w:val="00011E8E"/>
    <w:rsid w:val="000120F7"/>
    <w:rsid w:val="000123B1"/>
    <w:rsid w:val="000124EB"/>
    <w:rsid w:val="000126BE"/>
    <w:rsid w:val="00012990"/>
    <w:rsid w:val="00012B20"/>
    <w:rsid w:val="00012C1B"/>
    <w:rsid w:val="00012D44"/>
    <w:rsid w:val="00013100"/>
    <w:rsid w:val="000131C9"/>
    <w:rsid w:val="00013414"/>
    <w:rsid w:val="00013459"/>
    <w:rsid w:val="0001347A"/>
    <w:rsid w:val="00013756"/>
    <w:rsid w:val="0001381E"/>
    <w:rsid w:val="00013C05"/>
    <w:rsid w:val="00013D3D"/>
    <w:rsid w:val="00013EF9"/>
    <w:rsid w:val="00013FD1"/>
    <w:rsid w:val="00014017"/>
    <w:rsid w:val="000143E7"/>
    <w:rsid w:val="0001442D"/>
    <w:rsid w:val="00014522"/>
    <w:rsid w:val="000145E1"/>
    <w:rsid w:val="0001463F"/>
    <w:rsid w:val="00014760"/>
    <w:rsid w:val="00014775"/>
    <w:rsid w:val="00014A47"/>
    <w:rsid w:val="00014AE5"/>
    <w:rsid w:val="00014AFB"/>
    <w:rsid w:val="00014B7D"/>
    <w:rsid w:val="00014C6B"/>
    <w:rsid w:val="00014D43"/>
    <w:rsid w:val="00014D53"/>
    <w:rsid w:val="00014D5E"/>
    <w:rsid w:val="00014DAA"/>
    <w:rsid w:val="00014E90"/>
    <w:rsid w:val="000150BE"/>
    <w:rsid w:val="000151D6"/>
    <w:rsid w:val="00015703"/>
    <w:rsid w:val="00015759"/>
    <w:rsid w:val="00015A21"/>
    <w:rsid w:val="00015A82"/>
    <w:rsid w:val="00015B1A"/>
    <w:rsid w:val="00015BCE"/>
    <w:rsid w:val="00015D79"/>
    <w:rsid w:val="00015E33"/>
    <w:rsid w:val="00015E4B"/>
    <w:rsid w:val="00015F61"/>
    <w:rsid w:val="00015F70"/>
    <w:rsid w:val="00016075"/>
    <w:rsid w:val="000160B5"/>
    <w:rsid w:val="00016539"/>
    <w:rsid w:val="0001668A"/>
    <w:rsid w:val="00016795"/>
    <w:rsid w:val="00016916"/>
    <w:rsid w:val="00016B83"/>
    <w:rsid w:val="00016C23"/>
    <w:rsid w:val="00016D30"/>
    <w:rsid w:val="00016DA7"/>
    <w:rsid w:val="00016FA4"/>
    <w:rsid w:val="000173B4"/>
    <w:rsid w:val="00017482"/>
    <w:rsid w:val="000176C0"/>
    <w:rsid w:val="000179BB"/>
    <w:rsid w:val="00017C88"/>
    <w:rsid w:val="00017E26"/>
    <w:rsid w:val="00017E5C"/>
    <w:rsid w:val="0002002E"/>
    <w:rsid w:val="000201AA"/>
    <w:rsid w:val="00020201"/>
    <w:rsid w:val="00020205"/>
    <w:rsid w:val="0002022F"/>
    <w:rsid w:val="0002037B"/>
    <w:rsid w:val="00020473"/>
    <w:rsid w:val="00020639"/>
    <w:rsid w:val="000206F5"/>
    <w:rsid w:val="00020A57"/>
    <w:rsid w:val="00020D05"/>
    <w:rsid w:val="00020F2D"/>
    <w:rsid w:val="00020FF5"/>
    <w:rsid w:val="0002107E"/>
    <w:rsid w:val="000210E0"/>
    <w:rsid w:val="000210F6"/>
    <w:rsid w:val="0002110E"/>
    <w:rsid w:val="00021272"/>
    <w:rsid w:val="000214B4"/>
    <w:rsid w:val="000214C1"/>
    <w:rsid w:val="000215FB"/>
    <w:rsid w:val="0002187D"/>
    <w:rsid w:val="000219E6"/>
    <w:rsid w:val="00021A66"/>
    <w:rsid w:val="00021B28"/>
    <w:rsid w:val="00021CDC"/>
    <w:rsid w:val="00021CEF"/>
    <w:rsid w:val="00021EEB"/>
    <w:rsid w:val="00021F28"/>
    <w:rsid w:val="00021FB6"/>
    <w:rsid w:val="00022090"/>
    <w:rsid w:val="000222E7"/>
    <w:rsid w:val="00022342"/>
    <w:rsid w:val="0002240D"/>
    <w:rsid w:val="00022548"/>
    <w:rsid w:val="000225D7"/>
    <w:rsid w:val="0002260B"/>
    <w:rsid w:val="0002263A"/>
    <w:rsid w:val="00022812"/>
    <w:rsid w:val="00022D5E"/>
    <w:rsid w:val="00022D9F"/>
    <w:rsid w:val="00022DB6"/>
    <w:rsid w:val="00022DCA"/>
    <w:rsid w:val="000230E8"/>
    <w:rsid w:val="000234FE"/>
    <w:rsid w:val="00023987"/>
    <w:rsid w:val="000239EC"/>
    <w:rsid w:val="00023A88"/>
    <w:rsid w:val="00023C90"/>
    <w:rsid w:val="00023DC0"/>
    <w:rsid w:val="00023DE2"/>
    <w:rsid w:val="00023F0F"/>
    <w:rsid w:val="00024025"/>
    <w:rsid w:val="0002412F"/>
    <w:rsid w:val="000241E2"/>
    <w:rsid w:val="00024313"/>
    <w:rsid w:val="00024390"/>
    <w:rsid w:val="000243AC"/>
    <w:rsid w:val="0002447A"/>
    <w:rsid w:val="000244D5"/>
    <w:rsid w:val="0002451B"/>
    <w:rsid w:val="000246EE"/>
    <w:rsid w:val="000248FD"/>
    <w:rsid w:val="00024985"/>
    <w:rsid w:val="00024A05"/>
    <w:rsid w:val="00024C64"/>
    <w:rsid w:val="00024DD6"/>
    <w:rsid w:val="00024E85"/>
    <w:rsid w:val="00024EF6"/>
    <w:rsid w:val="00025094"/>
    <w:rsid w:val="000252DC"/>
    <w:rsid w:val="0002530F"/>
    <w:rsid w:val="00025314"/>
    <w:rsid w:val="000253C8"/>
    <w:rsid w:val="0002564D"/>
    <w:rsid w:val="000258EC"/>
    <w:rsid w:val="00025AFC"/>
    <w:rsid w:val="00025B4F"/>
    <w:rsid w:val="00025C28"/>
    <w:rsid w:val="00025DA8"/>
    <w:rsid w:val="00025E51"/>
    <w:rsid w:val="00025FD5"/>
    <w:rsid w:val="0002633F"/>
    <w:rsid w:val="00026342"/>
    <w:rsid w:val="0002645A"/>
    <w:rsid w:val="000268EA"/>
    <w:rsid w:val="0002697B"/>
    <w:rsid w:val="00026BCA"/>
    <w:rsid w:val="00026DDD"/>
    <w:rsid w:val="00026FA6"/>
    <w:rsid w:val="00026FD0"/>
    <w:rsid w:val="00027077"/>
    <w:rsid w:val="000270CE"/>
    <w:rsid w:val="0002714E"/>
    <w:rsid w:val="00027287"/>
    <w:rsid w:val="000272EA"/>
    <w:rsid w:val="000273FF"/>
    <w:rsid w:val="000275A1"/>
    <w:rsid w:val="0002761C"/>
    <w:rsid w:val="000278CF"/>
    <w:rsid w:val="00027B24"/>
    <w:rsid w:val="00027FA9"/>
    <w:rsid w:val="00027FD7"/>
    <w:rsid w:val="0003007E"/>
    <w:rsid w:val="00030191"/>
    <w:rsid w:val="000303A6"/>
    <w:rsid w:val="00030648"/>
    <w:rsid w:val="0003079C"/>
    <w:rsid w:val="000308F2"/>
    <w:rsid w:val="0003094C"/>
    <w:rsid w:val="00030BF0"/>
    <w:rsid w:val="00030E4C"/>
    <w:rsid w:val="00030EBA"/>
    <w:rsid w:val="0003111A"/>
    <w:rsid w:val="0003111C"/>
    <w:rsid w:val="00031429"/>
    <w:rsid w:val="0003158B"/>
    <w:rsid w:val="000315BC"/>
    <w:rsid w:val="0003175A"/>
    <w:rsid w:val="0003178A"/>
    <w:rsid w:val="000318D2"/>
    <w:rsid w:val="000319D6"/>
    <w:rsid w:val="00031AA3"/>
    <w:rsid w:val="00031B5B"/>
    <w:rsid w:val="00031FD7"/>
    <w:rsid w:val="000320DC"/>
    <w:rsid w:val="0003244E"/>
    <w:rsid w:val="00032457"/>
    <w:rsid w:val="00032500"/>
    <w:rsid w:val="0003272C"/>
    <w:rsid w:val="00032734"/>
    <w:rsid w:val="000327A1"/>
    <w:rsid w:val="00032968"/>
    <w:rsid w:val="00032B20"/>
    <w:rsid w:val="00032D2D"/>
    <w:rsid w:val="00032EA6"/>
    <w:rsid w:val="00032F33"/>
    <w:rsid w:val="000330D5"/>
    <w:rsid w:val="000331F4"/>
    <w:rsid w:val="00033290"/>
    <w:rsid w:val="0003357A"/>
    <w:rsid w:val="0003363A"/>
    <w:rsid w:val="0003378B"/>
    <w:rsid w:val="000338E0"/>
    <w:rsid w:val="000338E1"/>
    <w:rsid w:val="00033C0A"/>
    <w:rsid w:val="00033CE1"/>
    <w:rsid w:val="00033D06"/>
    <w:rsid w:val="00033DAF"/>
    <w:rsid w:val="00033E24"/>
    <w:rsid w:val="00033F2A"/>
    <w:rsid w:val="00033F8D"/>
    <w:rsid w:val="00033F9A"/>
    <w:rsid w:val="000343D4"/>
    <w:rsid w:val="000343DD"/>
    <w:rsid w:val="000343E9"/>
    <w:rsid w:val="0003445A"/>
    <w:rsid w:val="0003491F"/>
    <w:rsid w:val="00034935"/>
    <w:rsid w:val="0003496B"/>
    <w:rsid w:val="00034C70"/>
    <w:rsid w:val="00034CAB"/>
    <w:rsid w:val="00034EAF"/>
    <w:rsid w:val="00034FA9"/>
    <w:rsid w:val="0003523A"/>
    <w:rsid w:val="000354B4"/>
    <w:rsid w:val="000354C8"/>
    <w:rsid w:val="0003559C"/>
    <w:rsid w:val="00035700"/>
    <w:rsid w:val="00035780"/>
    <w:rsid w:val="000357C1"/>
    <w:rsid w:val="000358D5"/>
    <w:rsid w:val="000358F7"/>
    <w:rsid w:val="0003597E"/>
    <w:rsid w:val="00035B60"/>
    <w:rsid w:val="00035DFC"/>
    <w:rsid w:val="00035F76"/>
    <w:rsid w:val="00036087"/>
    <w:rsid w:val="000360F5"/>
    <w:rsid w:val="00036124"/>
    <w:rsid w:val="000362B6"/>
    <w:rsid w:val="00036303"/>
    <w:rsid w:val="000363E5"/>
    <w:rsid w:val="0003643B"/>
    <w:rsid w:val="00036795"/>
    <w:rsid w:val="000367F3"/>
    <w:rsid w:val="00036988"/>
    <w:rsid w:val="000369D4"/>
    <w:rsid w:val="00036B02"/>
    <w:rsid w:val="00036B87"/>
    <w:rsid w:val="00036BD9"/>
    <w:rsid w:val="00036C3B"/>
    <w:rsid w:val="00036CE2"/>
    <w:rsid w:val="00036E1A"/>
    <w:rsid w:val="00036F60"/>
    <w:rsid w:val="000370D4"/>
    <w:rsid w:val="00037106"/>
    <w:rsid w:val="00037107"/>
    <w:rsid w:val="0003718B"/>
    <w:rsid w:val="0003724F"/>
    <w:rsid w:val="000374BA"/>
    <w:rsid w:val="000375DF"/>
    <w:rsid w:val="00037658"/>
    <w:rsid w:val="000379BB"/>
    <w:rsid w:val="00037AB6"/>
    <w:rsid w:val="00037E33"/>
    <w:rsid w:val="00037ED9"/>
    <w:rsid w:val="00037F43"/>
    <w:rsid w:val="00040007"/>
    <w:rsid w:val="000400D8"/>
    <w:rsid w:val="000401A2"/>
    <w:rsid w:val="00040213"/>
    <w:rsid w:val="0004031C"/>
    <w:rsid w:val="00040320"/>
    <w:rsid w:val="00040451"/>
    <w:rsid w:val="00040726"/>
    <w:rsid w:val="00040746"/>
    <w:rsid w:val="00040800"/>
    <w:rsid w:val="00040836"/>
    <w:rsid w:val="00040849"/>
    <w:rsid w:val="0004088B"/>
    <w:rsid w:val="00040900"/>
    <w:rsid w:val="000409F8"/>
    <w:rsid w:val="00040CB6"/>
    <w:rsid w:val="00040E32"/>
    <w:rsid w:val="00040E35"/>
    <w:rsid w:val="00040E38"/>
    <w:rsid w:val="000411B8"/>
    <w:rsid w:val="000414AC"/>
    <w:rsid w:val="0004150A"/>
    <w:rsid w:val="00041878"/>
    <w:rsid w:val="00041891"/>
    <w:rsid w:val="000419BB"/>
    <w:rsid w:val="00041A9D"/>
    <w:rsid w:val="00041B77"/>
    <w:rsid w:val="00041B8D"/>
    <w:rsid w:val="00041D6A"/>
    <w:rsid w:val="00041EFE"/>
    <w:rsid w:val="00042048"/>
    <w:rsid w:val="0004215E"/>
    <w:rsid w:val="000423A4"/>
    <w:rsid w:val="000423F3"/>
    <w:rsid w:val="0004248F"/>
    <w:rsid w:val="00042749"/>
    <w:rsid w:val="00042815"/>
    <w:rsid w:val="00042862"/>
    <w:rsid w:val="0004289E"/>
    <w:rsid w:val="000429FD"/>
    <w:rsid w:val="00042B3F"/>
    <w:rsid w:val="00042C5A"/>
    <w:rsid w:val="00042CA6"/>
    <w:rsid w:val="0004309F"/>
    <w:rsid w:val="00043367"/>
    <w:rsid w:val="0004360E"/>
    <w:rsid w:val="000439FF"/>
    <w:rsid w:val="00043A0E"/>
    <w:rsid w:val="00043BA8"/>
    <w:rsid w:val="00044111"/>
    <w:rsid w:val="00044180"/>
    <w:rsid w:val="000442D9"/>
    <w:rsid w:val="000443B7"/>
    <w:rsid w:val="00044455"/>
    <w:rsid w:val="00044739"/>
    <w:rsid w:val="000447A1"/>
    <w:rsid w:val="000447A8"/>
    <w:rsid w:val="000447AE"/>
    <w:rsid w:val="00044861"/>
    <w:rsid w:val="00044864"/>
    <w:rsid w:val="000448E5"/>
    <w:rsid w:val="00044965"/>
    <w:rsid w:val="00044981"/>
    <w:rsid w:val="00044C01"/>
    <w:rsid w:val="00044CA8"/>
    <w:rsid w:val="00044E23"/>
    <w:rsid w:val="00044E63"/>
    <w:rsid w:val="00044EA6"/>
    <w:rsid w:val="00044F03"/>
    <w:rsid w:val="0004588F"/>
    <w:rsid w:val="00045CF8"/>
    <w:rsid w:val="00045ECC"/>
    <w:rsid w:val="00045F22"/>
    <w:rsid w:val="00045F75"/>
    <w:rsid w:val="00045F9A"/>
    <w:rsid w:val="00046059"/>
    <w:rsid w:val="0004611D"/>
    <w:rsid w:val="0004611E"/>
    <w:rsid w:val="0004652F"/>
    <w:rsid w:val="00046569"/>
    <w:rsid w:val="00046636"/>
    <w:rsid w:val="000466DC"/>
    <w:rsid w:val="000466FF"/>
    <w:rsid w:val="00046721"/>
    <w:rsid w:val="0004678A"/>
    <w:rsid w:val="000468B4"/>
    <w:rsid w:val="00046BCB"/>
    <w:rsid w:val="00046CC5"/>
    <w:rsid w:val="00046EC3"/>
    <w:rsid w:val="00046F1F"/>
    <w:rsid w:val="00046F57"/>
    <w:rsid w:val="00046F9A"/>
    <w:rsid w:val="00047048"/>
    <w:rsid w:val="0004704B"/>
    <w:rsid w:val="000470B7"/>
    <w:rsid w:val="00047126"/>
    <w:rsid w:val="000471A7"/>
    <w:rsid w:val="00047397"/>
    <w:rsid w:val="000475AB"/>
    <w:rsid w:val="000475D2"/>
    <w:rsid w:val="00047602"/>
    <w:rsid w:val="00047749"/>
    <w:rsid w:val="000479C5"/>
    <w:rsid w:val="00047AF1"/>
    <w:rsid w:val="00047B5A"/>
    <w:rsid w:val="00047D5C"/>
    <w:rsid w:val="00047D87"/>
    <w:rsid w:val="00047E17"/>
    <w:rsid w:val="00047EAA"/>
    <w:rsid w:val="00047EAE"/>
    <w:rsid w:val="00047F1F"/>
    <w:rsid w:val="000500BD"/>
    <w:rsid w:val="000501BC"/>
    <w:rsid w:val="00050283"/>
    <w:rsid w:val="000502D8"/>
    <w:rsid w:val="000502DD"/>
    <w:rsid w:val="0005038E"/>
    <w:rsid w:val="000504BD"/>
    <w:rsid w:val="0005080B"/>
    <w:rsid w:val="00050A63"/>
    <w:rsid w:val="00050AAA"/>
    <w:rsid w:val="00050D35"/>
    <w:rsid w:val="00050E69"/>
    <w:rsid w:val="00050EAB"/>
    <w:rsid w:val="00050FCD"/>
    <w:rsid w:val="000510F1"/>
    <w:rsid w:val="0005147B"/>
    <w:rsid w:val="0005162E"/>
    <w:rsid w:val="00051641"/>
    <w:rsid w:val="00051799"/>
    <w:rsid w:val="0005183C"/>
    <w:rsid w:val="0005183F"/>
    <w:rsid w:val="000518F3"/>
    <w:rsid w:val="00051B09"/>
    <w:rsid w:val="00051BBC"/>
    <w:rsid w:val="00051C7A"/>
    <w:rsid w:val="00051CB0"/>
    <w:rsid w:val="00051E73"/>
    <w:rsid w:val="00051FE1"/>
    <w:rsid w:val="00052014"/>
    <w:rsid w:val="000520F4"/>
    <w:rsid w:val="00052175"/>
    <w:rsid w:val="0005221C"/>
    <w:rsid w:val="000522D1"/>
    <w:rsid w:val="0005245E"/>
    <w:rsid w:val="00052461"/>
    <w:rsid w:val="0005253B"/>
    <w:rsid w:val="00052673"/>
    <w:rsid w:val="0005298B"/>
    <w:rsid w:val="000529CF"/>
    <w:rsid w:val="00052A66"/>
    <w:rsid w:val="00052BC2"/>
    <w:rsid w:val="00052BC8"/>
    <w:rsid w:val="00052D62"/>
    <w:rsid w:val="00052D6A"/>
    <w:rsid w:val="00052DDE"/>
    <w:rsid w:val="00052F59"/>
    <w:rsid w:val="00052FB7"/>
    <w:rsid w:val="00052FBB"/>
    <w:rsid w:val="000532A7"/>
    <w:rsid w:val="000533AF"/>
    <w:rsid w:val="0005362E"/>
    <w:rsid w:val="00053911"/>
    <w:rsid w:val="000539F5"/>
    <w:rsid w:val="00053B26"/>
    <w:rsid w:val="00053B56"/>
    <w:rsid w:val="00053C24"/>
    <w:rsid w:val="00053C52"/>
    <w:rsid w:val="00053C5B"/>
    <w:rsid w:val="00053C9D"/>
    <w:rsid w:val="00053D2D"/>
    <w:rsid w:val="00053FEE"/>
    <w:rsid w:val="00054068"/>
    <w:rsid w:val="0005423E"/>
    <w:rsid w:val="000543F8"/>
    <w:rsid w:val="000544C0"/>
    <w:rsid w:val="00054722"/>
    <w:rsid w:val="000547EA"/>
    <w:rsid w:val="000549B5"/>
    <w:rsid w:val="00054A5A"/>
    <w:rsid w:val="00054F60"/>
    <w:rsid w:val="0005502A"/>
    <w:rsid w:val="000550B0"/>
    <w:rsid w:val="00055283"/>
    <w:rsid w:val="000552ED"/>
    <w:rsid w:val="0005537B"/>
    <w:rsid w:val="00055436"/>
    <w:rsid w:val="000554D5"/>
    <w:rsid w:val="000554FA"/>
    <w:rsid w:val="0005550F"/>
    <w:rsid w:val="00055618"/>
    <w:rsid w:val="000558A8"/>
    <w:rsid w:val="00055A61"/>
    <w:rsid w:val="00055C36"/>
    <w:rsid w:val="00055D32"/>
    <w:rsid w:val="00055D56"/>
    <w:rsid w:val="00055D7E"/>
    <w:rsid w:val="00056105"/>
    <w:rsid w:val="0005614D"/>
    <w:rsid w:val="00056157"/>
    <w:rsid w:val="00056218"/>
    <w:rsid w:val="00056378"/>
    <w:rsid w:val="00056446"/>
    <w:rsid w:val="00056645"/>
    <w:rsid w:val="000566D0"/>
    <w:rsid w:val="00056792"/>
    <w:rsid w:val="00056D1A"/>
    <w:rsid w:val="00056DCD"/>
    <w:rsid w:val="00056DE5"/>
    <w:rsid w:val="0005702B"/>
    <w:rsid w:val="00057032"/>
    <w:rsid w:val="00057181"/>
    <w:rsid w:val="00057190"/>
    <w:rsid w:val="000572A6"/>
    <w:rsid w:val="000572CE"/>
    <w:rsid w:val="00057509"/>
    <w:rsid w:val="0005765E"/>
    <w:rsid w:val="00057665"/>
    <w:rsid w:val="000576AD"/>
    <w:rsid w:val="00057AD4"/>
    <w:rsid w:val="00057AE9"/>
    <w:rsid w:val="00057B8B"/>
    <w:rsid w:val="00057BAF"/>
    <w:rsid w:val="00057C6B"/>
    <w:rsid w:val="00057C6F"/>
    <w:rsid w:val="00057CC1"/>
    <w:rsid w:val="00057CFF"/>
    <w:rsid w:val="00057E35"/>
    <w:rsid w:val="00057ED7"/>
    <w:rsid w:val="0006028D"/>
    <w:rsid w:val="000602FD"/>
    <w:rsid w:val="00060377"/>
    <w:rsid w:val="0006082F"/>
    <w:rsid w:val="000608D5"/>
    <w:rsid w:val="000608ED"/>
    <w:rsid w:val="000609E2"/>
    <w:rsid w:val="00060BC0"/>
    <w:rsid w:val="00060DB9"/>
    <w:rsid w:val="00060E01"/>
    <w:rsid w:val="000610C6"/>
    <w:rsid w:val="00061171"/>
    <w:rsid w:val="000611A9"/>
    <w:rsid w:val="000613A0"/>
    <w:rsid w:val="00061750"/>
    <w:rsid w:val="0006188D"/>
    <w:rsid w:val="00061CEE"/>
    <w:rsid w:val="00061E87"/>
    <w:rsid w:val="00061F40"/>
    <w:rsid w:val="00062180"/>
    <w:rsid w:val="000623CA"/>
    <w:rsid w:val="00062401"/>
    <w:rsid w:val="00062633"/>
    <w:rsid w:val="0006286B"/>
    <w:rsid w:val="00062895"/>
    <w:rsid w:val="000628FE"/>
    <w:rsid w:val="0006294E"/>
    <w:rsid w:val="00062B18"/>
    <w:rsid w:val="00062B71"/>
    <w:rsid w:val="00062B85"/>
    <w:rsid w:val="00062C27"/>
    <w:rsid w:val="00062CE6"/>
    <w:rsid w:val="00062E5F"/>
    <w:rsid w:val="00062FEC"/>
    <w:rsid w:val="00063072"/>
    <w:rsid w:val="00063221"/>
    <w:rsid w:val="0006353D"/>
    <w:rsid w:val="0006357D"/>
    <w:rsid w:val="0006366D"/>
    <w:rsid w:val="000636E7"/>
    <w:rsid w:val="0006376C"/>
    <w:rsid w:val="00063876"/>
    <w:rsid w:val="000638C5"/>
    <w:rsid w:val="00063A8D"/>
    <w:rsid w:val="00063AAA"/>
    <w:rsid w:val="00063D22"/>
    <w:rsid w:val="00063FE0"/>
    <w:rsid w:val="000641CA"/>
    <w:rsid w:val="00064329"/>
    <w:rsid w:val="0006451A"/>
    <w:rsid w:val="00064599"/>
    <w:rsid w:val="000645D1"/>
    <w:rsid w:val="00064688"/>
    <w:rsid w:val="00064777"/>
    <w:rsid w:val="00064B3A"/>
    <w:rsid w:val="00064B5E"/>
    <w:rsid w:val="00064F63"/>
    <w:rsid w:val="00064FBC"/>
    <w:rsid w:val="0006504B"/>
    <w:rsid w:val="00065110"/>
    <w:rsid w:val="000651A7"/>
    <w:rsid w:val="0006539D"/>
    <w:rsid w:val="00065416"/>
    <w:rsid w:val="00065441"/>
    <w:rsid w:val="000654DE"/>
    <w:rsid w:val="000654F4"/>
    <w:rsid w:val="00065625"/>
    <w:rsid w:val="0006572C"/>
    <w:rsid w:val="000659A5"/>
    <w:rsid w:val="00065AFC"/>
    <w:rsid w:val="00065E28"/>
    <w:rsid w:val="00065E75"/>
    <w:rsid w:val="00065F3C"/>
    <w:rsid w:val="00066040"/>
    <w:rsid w:val="00066079"/>
    <w:rsid w:val="0006612A"/>
    <w:rsid w:val="0006612C"/>
    <w:rsid w:val="00066495"/>
    <w:rsid w:val="000665CA"/>
    <w:rsid w:val="0006686D"/>
    <w:rsid w:val="000668B7"/>
    <w:rsid w:val="000668DF"/>
    <w:rsid w:val="00066974"/>
    <w:rsid w:val="00066A4E"/>
    <w:rsid w:val="00066CD5"/>
    <w:rsid w:val="00066F05"/>
    <w:rsid w:val="00066FAC"/>
    <w:rsid w:val="00066FBA"/>
    <w:rsid w:val="00067081"/>
    <w:rsid w:val="000670B3"/>
    <w:rsid w:val="000673B1"/>
    <w:rsid w:val="0006756B"/>
    <w:rsid w:val="000676AA"/>
    <w:rsid w:val="00067782"/>
    <w:rsid w:val="000678F2"/>
    <w:rsid w:val="0006791F"/>
    <w:rsid w:val="0006794D"/>
    <w:rsid w:val="00067A72"/>
    <w:rsid w:val="00067A89"/>
    <w:rsid w:val="00067D04"/>
    <w:rsid w:val="00070131"/>
    <w:rsid w:val="000702EF"/>
    <w:rsid w:val="000705EA"/>
    <w:rsid w:val="0007066B"/>
    <w:rsid w:val="000706A7"/>
    <w:rsid w:val="000706FA"/>
    <w:rsid w:val="0007081F"/>
    <w:rsid w:val="00070ABD"/>
    <w:rsid w:val="00070B53"/>
    <w:rsid w:val="00070C30"/>
    <w:rsid w:val="00070E58"/>
    <w:rsid w:val="00070E77"/>
    <w:rsid w:val="00070F46"/>
    <w:rsid w:val="00071181"/>
    <w:rsid w:val="000711F7"/>
    <w:rsid w:val="000712E6"/>
    <w:rsid w:val="000713A4"/>
    <w:rsid w:val="00071510"/>
    <w:rsid w:val="0007157A"/>
    <w:rsid w:val="000715E3"/>
    <w:rsid w:val="00071857"/>
    <w:rsid w:val="00071A6F"/>
    <w:rsid w:val="00071C35"/>
    <w:rsid w:val="00071CCA"/>
    <w:rsid w:val="00071FC8"/>
    <w:rsid w:val="00071FD9"/>
    <w:rsid w:val="00072114"/>
    <w:rsid w:val="00072170"/>
    <w:rsid w:val="0007230A"/>
    <w:rsid w:val="000724E0"/>
    <w:rsid w:val="000725A4"/>
    <w:rsid w:val="000725DA"/>
    <w:rsid w:val="00072651"/>
    <w:rsid w:val="000726EB"/>
    <w:rsid w:val="00072716"/>
    <w:rsid w:val="00072982"/>
    <w:rsid w:val="00072BA9"/>
    <w:rsid w:val="00072C42"/>
    <w:rsid w:val="00072CEB"/>
    <w:rsid w:val="00072E99"/>
    <w:rsid w:val="00072F4C"/>
    <w:rsid w:val="0007301D"/>
    <w:rsid w:val="0007314F"/>
    <w:rsid w:val="000731F3"/>
    <w:rsid w:val="000732A2"/>
    <w:rsid w:val="000733FA"/>
    <w:rsid w:val="000735D2"/>
    <w:rsid w:val="0007366E"/>
    <w:rsid w:val="00073692"/>
    <w:rsid w:val="000736C0"/>
    <w:rsid w:val="000738AB"/>
    <w:rsid w:val="00073948"/>
    <w:rsid w:val="00073975"/>
    <w:rsid w:val="000739BE"/>
    <w:rsid w:val="00073A80"/>
    <w:rsid w:val="00073B26"/>
    <w:rsid w:val="00073C1B"/>
    <w:rsid w:val="00073D5D"/>
    <w:rsid w:val="00073E99"/>
    <w:rsid w:val="00074228"/>
    <w:rsid w:val="0007430B"/>
    <w:rsid w:val="00074322"/>
    <w:rsid w:val="00074602"/>
    <w:rsid w:val="0007476F"/>
    <w:rsid w:val="000748E0"/>
    <w:rsid w:val="00074B3B"/>
    <w:rsid w:val="00074BC3"/>
    <w:rsid w:val="00074C37"/>
    <w:rsid w:val="0007532B"/>
    <w:rsid w:val="0007544B"/>
    <w:rsid w:val="00075737"/>
    <w:rsid w:val="00075890"/>
    <w:rsid w:val="00075C74"/>
    <w:rsid w:val="00075E3A"/>
    <w:rsid w:val="000760B5"/>
    <w:rsid w:val="000764FA"/>
    <w:rsid w:val="000766B7"/>
    <w:rsid w:val="00076756"/>
    <w:rsid w:val="000767A7"/>
    <w:rsid w:val="000767FB"/>
    <w:rsid w:val="000768E1"/>
    <w:rsid w:val="00076939"/>
    <w:rsid w:val="0007694E"/>
    <w:rsid w:val="00076A49"/>
    <w:rsid w:val="00076A4B"/>
    <w:rsid w:val="00076B71"/>
    <w:rsid w:val="00076FD0"/>
    <w:rsid w:val="0007705C"/>
    <w:rsid w:val="000771C2"/>
    <w:rsid w:val="00077265"/>
    <w:rsid w:val="00077392"/>
    <w:rsid w:val="0007749F"/>
    <w:rsid w:val="000774B3"/>
    <w:rsid w:val="0007755D"/>
    <w:rsid w:val="0007774D"/>
    <w:rsid w:val="00077978"/>
    <w:rsid w:val="000779E6"/>
    <w:rsid w:val="00077A31"/>
    <w:rsid w:val="00077A74"/>
    <w:rsid w:val="00077AB1"/>
    <w:rsid w:val="00077B50"/>
    <w:rsid w:val="00077D65"/>
    <w:rsid w:val="00080307"/>
    <w:rsid w:val="0008037F"/>
    <w:rsid w:val="000804F7"/>
    <w:rsid w:val="00080553"/>
    <w:rsid w:val="0008076E"/>
    <w:rsid w:val="000809CA"/>
    <w:rsid w:val="00080AB4"/>
    <w:rsid w:val="00080B10"/>
    <w:rsid w:val="00080B17"/>
    <w:rsid w:val="00080C7B"/>
    <w:rsid w:val="00080CF0"/>
    <w:rsid w:val="00080D91"/>
    <w:rsid w:val="00080E0A"/>
    <w:rsid w:val="00080E36"/>
    <w:rsid w:val="00080FB8"/>
    <w:rsid w:val="00081007"/>
    <w:rsid w:val="0008106E"/>
    <w:rsid w:val="000811EE"/>
    <w:rsid w:val="00081FBB"/>
    <w:rsid w:val="00082179"/>
    <w:rsid w:val="0008227F"/>
    <w:rsid w:val="00082352"/>
    <w:rsid w:val="00082614"/>
    <w:rsid w:val="0008265C"/>
    <w:rsid w:val="000826EE"/>
    <w:rsid w:val="00082CF3"/>
    <w:rsid w:val="00082DC3"/>
    <w:rsid w:val="00082DF4"/>
    <w:rsid w:val="00082F16"/>
    <w:rsid w:val="00082FA4"/>
    <w:rsid w:val="00083042"/>
    <w:rsid w:val="0008309B"/>
    <w:rsid w:val="00083113"/>
    <w:rsid w:val="0008343E"/>
    <w:rsid w:val="000835AA"/>
    <w:rsid w:val="0008365A"/>
    <w:rsid w:val="0008378E"/>
    <w:rsid w:val="00083794"/>
    <w:rsid w:val="00083BB1"/>
    <w:rsid w:val="00083C6A"/>
    <w:rsid w:val="000840B5"/>
    <w:rsid w:val="000840E8"/>
    <w:rsid w:val="00084164"/>
    <w:rsid w:val="00084299"/>
    <w:rsid w:val="0008441D"/>
    <w:rsid w:val="0008445A"/>
    <w:rsid w:val="000844FA"/>
    <w:rsid w:val="00084508"/>
    <w:rsid w:val="00084569"/>
    <w:rsid w:val="000845DA"/>
    <w:rsid w:val="00084643"/>
    <w:rsid w:val="000846F1"/>
    <w:rsid w:val="000848B3"/>
    <w:rsid w:val="00084ADB"/>
    <w:rsid w:val="00084AED"/>
    <w:rsid w:val="00084B10"/>
    <w:rsid w:val="00084B5A"/>
    <w:rsid w:val="00084BDC"/>
    <w:rsid w:val="00084E48"/>
    <w:rsid w:val="00084E53"/>
    <w:rsid w:val="00084E94"/>
    <w:rsid w:val="000854DA"/>
    <w:rsid w:val="0008553E"/>
    <w:rsid w:val="00085631"/>
    <w:rsid w:val="00085B60"/>
    <w:rsid w:val="00085BE8"/>
    <w:rsid w:val="00085D69"/>
    <w:rsid w:val="00085E54"/>
    <w:rsid w:val="00085F1B"/>
    <w:rsid w:val="00085F1F"/>
    <w:rsid w:val="00085F21"/>
    <w:rsid w:val="00086262"/>
    <w:rsid w:val="000863D8"/>
    <w:rsid w:val="000864B1"/>
    <w:rsid w:val="00086544"/>
    <w:rsid w:val="00086586"/>
    <w:rsid w:val="000866D6"/>
    <w:rsid w:val="00086787"/>
    <w:rsid w:val="000868BE"/>
    <w:rsid w:val="00086A5E"/>
    <w:rsid w:val="00086AC7"/>
    <w:rsid w:val="00086B27"/>
    <w:rsid w:val="00086B66"/>
    <w:rsid w:val="00086DD8"/>
    <w:rsid w:val="00086E78"/>
    <w:rsid w:val="00086EDA"/>
    <w:rsid w:val="00087207"/>
    <w:rsid w:val="000873B5"/>
    <w:rsid w:val="0008783D"/>
    <w:rsid w:val="0008796B"/>
    <w:rsid w:val="00087B2D"/>
    <w:rsid w:val="00087BB6"/>
    <w:rsid w:val="00087F45"/>
    <w:rsid w:val="00090206"/>
    <w:rsid w:val="0009032A"/>
    <w:rsid w:val="0009043F"/>
    <w:rsid w:val="000904C3"/>
    <w:rsid w:val="00090647"/>
    <w:rsid w:val="000907A6"/>
    <w:rsid w:val="000907BA"/>
    <w:rsid w:val="00090975"/>
    <w:rsid w:val="00090B01"/>
    <w:rsid w:val="00090DDA"/>
    <w:rsid w:val="00090E24"/>
    <w:rsid w:val="00090EB3"/>
    <w:rsid w:val="00090EF0"/>
    <w:rsid w:val="00090F1A"/>
    <w:rsid w:val="00091031"/>
    <w:rsid w:val="0009112E"/>
    <w:rsid w:val="0009113F"/>
    <w:rsid w:val="000913E5"/>
    <w:rsid w:val="0009147B"/>
    <w:rsid w:val="0009158B"/>
    <w:rsid w:val="000916AC"/>
    <w:rsid w:val="00091751"/>
    <w:rsid w:val="00091771"/>
    <w:rsid w:val="0009185F"/>
    <w:rsid w:val="000918E7"/>
    <w:rsid w:val="00091A2A"/>
    <w:rsid w:val="00091C2E"/>
    <w:rsid w:val="00091E0F"/>
    <w:rsid w:val="00092375"/>
    <w:rsid w:val="0009244A"/>
    <w:rsid w:val="000925B7"/>
    <w:rsid w:val="00092807"/>
    <w:rsid w:val="0009289A"/>
    <w:rsid w:val="00092BDD"/>
    <w:rsid w:val="00092C06"/>
    <w:rsid w:val="00092C1A"/>
    <w:rsid w:val="00092CF2"/>
    <w:rsid w:val="00092D5E"/>
    <w:rsid w:val="00092EE3"/>
    <w:rsid w:val="00092F31"/>
    <w:rsid w:val="00092FDD"/>
    <w:rsid w:val="00092FFC"/>
    <w:rsid w:val="0009305D"/>
    <w:rsid w:val="00093125"/>
    <w:rsid w:val="000932E5"/>
    <w:rsid w:val="000933D9"/>
    <w:rsid w:val="00093435"/>
    <w:rsid w:val="000938AC"/>
    <w:rsid w:val="000938C2"/>
    <w:rsid w:val="000939EB"/>
    <w:rsid w:val="00093B8D"/>
    <w:rsid w:val="00093C42"/>
    <w:rsid w:val="00093D0A"/>
    <w:rsid w:val="00093E3E"/>
    <w:rsid w:val="00093EF4"/>
    <w:rsid w:val="00093F69"/>
    <w:rsid w:val="000941E0"/>
    <w:rsid w:val="000943D1"/>
    <w:rsid w:val="00094451"/>
    <w:rsid w:val="000945AF"/>
    <w:rsid w:val="000946D3"/>
    <w:rsid w:val="000947AE"/>
    <w:rsid w:val="0009484F"/>
    <w:rsid w:val="000948AA"/>
    <w:rsid w:val="0009492D"/>
    <w:rsid w:val="00094D5A"/>
    <w:rsid w:val="00094D79"/>
    <w:rsid w:val="00094DB0"/>
    <w:rsid w:val="00094F59"/>
    <w:rsid w:val="0009513B"/>
    <w:rsid w:val="0009514E"/>
    <w:rsid w:val="000951ED"/>
    <w:rsid w:val="0009540F"/>
    <w:rsid w:val="00095510"/>
    <w:rsid w:val="0009551D"/>
    <w:rsid w:val="0009591E"/>
    <w:rsid w:val="00095A1F"/>
    <w:rsid w:val="00095B49"/>
    <w:rsid w:val="00095E17"/>
    <w:rsid w:val="00095E69"/>
    <w:rsid w:val="00095F29"/>
    <w:rsid w:val="0009609C"/>
    <w:rsid w:val="00096121"/>
    <w:rsid w:val="00096616"/>
    <w:rsid w:val="0009667B"/>
    <w:rsid w:val="000968D5"/>
    <w:rsid w:val="00096914"/>
    <w:rsid w:val="0009696C"/>
    <w:rsid w:val="00096B09"/>
    <w:rsid w:val="00096BD9"/>
    <w:rsid w:val="00096D5C"/>
    <w:rsid w:val="00096ED2"/>
    <w:rsid w:val="000970B0"/>
    <w:rsid w:val="000971E3"/>
    <w:rsid w:val="00097347"/>
    <w:rsid w:val="0009745B"/>
    <w:rsid w:val="0009757E"/>
    <w:rsid w:val="000975C1"/>
    <w:rsid w:val="0009764C"/>
    <w:rsid w:val="00097693"/>
    <w:rsid w:val="0009774E"/>
    <w:rsid w:val="00097810"/>
    <w:rsid w:val="00097A9F"/>
    <w:rsid w:val="00097EB7"/>
    <w:rsid w:val="00097FAF"/>
    <w:rsid w:val="00097FD9"/>
    <w:rsid w:val="000A0036"/>
    <w:rsid w:val="000A0054"/>
    <w:rsid w:val="000A024B"/>
    <w:rsid w:val="000A0382"/>
    <w:rsid w:val="000A051F"/>
    <w:rsid w:val="000A053D"/>
    <w:rsid w:val="000A09B2"/>
    <w:rsid w:val="000A0AD2"/>
    <w:rsid w:val="000A0ADE"/>
    <w:rsid w:val="000A0B3F"/>
    <w:rsid w:val="000A0B65"/>
    <w:rsid w:val="000A0BED"/>
    <w:rsid w:val="000A0D03"/>
    <w:rsid w:val="000A0D9A"/>
    <w:rsid w:val="000A0DFE"/>
    <w:rsid w:val="000A0FD9"/>
    <w:rsid w:val="000A1073"/>
    <w:rsid w:val="000A135E"/>
    <w:rsid w:val="000A13C8"/>
    <w:rsid w:val="000A1435"/>
    <w:rsid w:val="000A1C6B"/>
    <w:rsid w:val="000A1CBD"/>
    <w:rsid w:val="000A1DB7"/>
    <w:rsid w:val="000A1F81"/>
    <w:rsid w:val="000A2021"/>
    <w:rsid w:val="000A206D"/>
    <w:rsid w:val="000A2092"/>
    <w:rsid w:val="000A2096"/>
    <w:rsid w:val="000A21E0"/>
    <w:rsid w:val="000A22F9"/>
    <w:rsid w:val="000A2434"/>
    <w:rsid w:val="000A2691"/>
    <w:rsid w:val="000A2732"/>
    <w:rsid w:val="000A2942"/>
    <w:rsid w:val="000A2AFD"/>
    <w:rsid w:val="000A2B48"/>
    <w:rsid w:val="000A2C2E"/>
    <w:rsid w:val="000A2C7D"/>
    <w:rsid w:val="000A2DA0"/>
    <w:rsid w:val="000A2E66"/>
    <w:rsid w:val="000A2F7C"/>
    <w:rsid w:val="000A2F9B"/>
    <w:rsid w:val="000A30CA"/>
    <w:rsid w:val="000A3118"/>
    <w:rsid w:val="000A3847"/>
    <w:rsid w:val="000A3937"/>
    <w:rsid w:val="000A3A2B"/>
    <w:rsid w:val="000A3ABD"/>
    <w:rsid w:val="000A3B19"/>
    <w:rsid w:val="000A3C92"/>
    <w:rsid w:val="000A3CA0"/>
    <w:rsid w:val="000A400D"/>
    <w:rsid w:val="000A406E"/>
    <w:rsid w:val="000A425F"/>
    <w:rsid w:val="000A453C"/>
    <w:rsid w:val="000A475E"/>
    <w:rsid w:val="000A4767"/>
    <w:rsid w:val="000A48F3"/>
    <w:rsid w:val="000A49AB"/>
    <w:rsid w:val="000A4A9B"/>
    <w:rsid w:val="000A4B6A"/>
    <w:rsid w:val="000A4C82"/>
    <w:rsid w:val="000A4D47"/>
    <w:rsid w:val="000A4DBE"/>
    <w:rsid w:val="000A4E05"/>
    <w:rsid w:val="000A4E57"/>
    <w:rsid w:val="000A51CB"/>
    <w:rsid w:val="000A5304"/>
    <w:rsid w:val="000A553B"/>
    <w:rsid w:val="000A56CB"/>
    <w:rsid w:val="000A570A"/>
    <w:rsid w:val="000A5809"/>
    <w:rsid w:val="000A5986"/>
    <w:rsid w:val="000A5C4F"/>
    <w:rsid w:val="000A5C54"/>
    <w:rsid w:val="000A602D"/>
    <w:rsid w:val="000A60FA"/>
    <w:rsid w:val="000A67B8"/>
    <w:rsid w:val="000A67EA"/>
    <w:rsid w:val="000A6851"/>
    <w:rsid w:val="000A6B3F"/>
    <w:rsid w:val="000A6C23"/>
    <w:rsid w:val="000A6D87"/>
    <w:rsid w:val="000A6FDD"/>
    <w:rsid w:val="000A70FA"/>
    <w:rsid w:val="000A7316"/>
    <w:rsid w:val="000A745C"/>
    <w:rsid w:val="000A74B4"/>
    <w:rsid w:val="000A753A"/>
    <w:rsid w:val="000A762B"/>
    <w:rsid w:val="000A76CB"/>
    <w:rsid w:val="000A774A"/>
    <w:rsid w:val="000A781D"/>
    <w:rsid w:val="000A7A7E"/>
    <w:rsid w:val="000A7A81"/>
    <w:rsid w:val="000A7C85"/>
    <w:rsid w:val="000A7C8F"/>
    <w:rsid w:val="000A7D8A"/>
    <w:rsid w:val="000A7DFD"/>
    <w:rsid w:val="000A7DFE"/>
    <w:rsid w:val="000A7F73"/>
    <w:rsid w:val="000A7FA2"/>
    <w:rsid w:val="000A7FFC"/>
    <w:rsid w:val="000B015D"/>
    <w:rsid w:val="000B01D9"/>
    <w:rsid w:val="000B0376"/>
    <w:rsid w:val="000B0405"/>
    <w:rsid w:val="000B058C"/>
    <w:rsid w:val="000B06F3"/>
    <w:rsid w:val="000B07AE"/>
    <w:rsid w:val="000B0808"/>
    <w:rsid w:val="000B0920"/>
    <w:rsid w:val="000B0A00"/>
    <w:rsid w:val="000B0C3A"/>
    <w:rsid w:val="000B0C43"/>
    <w:rsid w:val="000B0D11"/>
    <w:rsid w:val="000B110B"/>
    <w:rsid w:val="000B111D"/>
    <w:rsid w:val="000B12BB"/>
    <w:rsid w:val="000B1351"/>
    <w:rsid w:val="000B13D4"/>
    <w:rsid w:val="000B148A"/>
    <w:rsid w:val="000B150A"/>
    <w:rsid w:val="000B150F"/>
    <w:rsid w:val="000B1680"/>
    <w:rsid w:val="000B18D7"/>
    <w:rsid w:val="000B1A66"/>
    <w:rsid w:val="000B1AAA"/>
    <w:rsid w:val="000B1B35"/>
    <w:rsid w:val="000B1CB5"/>
    <w:rsid w:val="000B1D4E"/>
    <w:rsid w:val="000B1DD7"/>
    <w:rsid w:val="000B1F8A"/>
    <w:rsid w:val="000B20B1"/>
    <w:rsid w:val="000B21D7"/>
    <w:rsid w:val="000B223D"/>
    <w:rsid w:val="000B22A2"/>
    <w:rsid w:val="000B2318"/>
    <w:rsid w:val="000B26CA"/>
    <w:rsid w:val="000B2729"/>
    <w:rsid w:val="000B2786"/>
    <w:rsid w:val="000B293C"/>
    <w:rsid w:val="000B2B08"/>
    <w:rsid w:val="000B2BF7"/>
    <w:rsid w:val="000B2C12"/>
    <w:rsid w:val="000B2C36"/>
    <w:rsid w:val="000B2EB3"/>
    <w:rsid w:val="000B2F69"/>
    <w:rsid w:val="000B2F9A"/>
    <w:rsid w:val="000B2FF1"/>
    <w:rsid w:val="000B306A"/>
    <w:rsid w:val="000B3099"/>
    <w:rsid w:val="000B3104"/>
    <w:rsid w:val="000B32F9"/>
    <w:rsid w:val="000B33E8"/>
    <w:rsid w:val="000B35BA"/>
    <w:rsid w:val="000B398E"/>
    <w:rsid w:val="000B399E"/>
    <w:rsid w:val="000B3A9D"/>
    <w:rsid w:val="000B3A9F"/>
    <w:rsid w:val="000B3DD8"/>
    <w:rsid w:val="000B3E11"/>
    <w:rsid w:val="000B3E26"/>
    <w:rsid w:val="000B3EB6"/>
    <w:rsid w:val="000B4011"/>
    <w:rsid w:val="000B42ED"/>
    <w:rsid w:val="000B4337"/>
    <w:rsid w:val="000B4461"/>
    <w:rsid w:val="000B45B0"/>
    <w:rsid w:val="000B4960"/>
    <w:rsid w:val="000B49A9"/>
    <w:rsid w:val="000B4B6A"/>
    <w:rsid w:val="000B4C28"/>
    <w:rsid w:val="000B4C8A"/>
    <w:rsid w:val="000B4D3D"/>
    <w:rsid w:val="000B4FE8"/>
    <w:rsid w:val="000B50AA"/>
    <w:rsid w:val="000B51E9"/>
    <w:rsid w:val="000B526F"/>
    <w:rsid w:val="000B5648"/>
    <w:rsid w:val="000B5651"/>
    <w:rsid w:val="000B570B"/>
    <w:rsid w:val="000B5752"/>
    <w:rsid w:val="000B5809"/>
    <w:rsid w:val="000B5950"/>
    <w:rsid w:val="000B5C4A"/>
    <w:rsid w:val="000B5CF7"/>
    <w:rsid w:val="000B5D1A"/>
    <w:rsid w:val="000B5DA7"/>
    <w:rsid w:val="000B5DD7"/>
    <w:rsid w:val="000B5E69"/>
    <w:rsid w:val="000B611F"/>
    <w:rsid w:val="000B62F5"/>
    <w:rsid w:val="000B638B"/>
    <w:rsid w:val="000B667B"/>
    <w:rsid w:val="000B6867"/>
    <w:rsid w:val="000B6977"/>
    <w:rsid w:val="000B7007"/>
    <w:rsid w:val="000B7037"/>
    <w:rsid w:val="000B734E"/>
    <w:rsid w:val="000B7490"/>
    <w:rsid w:val="000B7560"/>
    <w:rsid w:val="000B7603"/>
    <w:rsid w:val="000B7896"/>
    <w:rsid w:val="000B7BB9"/>
    <w:rsid w:val="000B7D14"/>
    <w:rsid w:val="000B7D44"/>
    <w:rsid w:val="000B7E59"/>
    <w:rsid w:val="000B7F06"/>
    <w:rsid w:val="000B7FE3"/>
    <w:rsid w:val="000C000F"/>
    <w:rsid w:val="000C0249"/>
    <w:rsid w:val="000C05EC"/>
    <w:rsid w:val="000C0607"/>
    <w:rsid w:val="000C06AA"/>
    <w:rsid w:val="000C090B"/>
    <w:rsid w:val="000C0950"/>
    <w:rsid w:val="000C0DAA"/>
    <w:rsid w:val="000C0DC1"/>
    <w:rsid w:val="000C0ED0"/>
    <w:rsid w:val="000C0F7F"/>
    <w:rsid w:val="000C15D3"/>
    <w:rsid w:val="000C1623"/>
    <w:rsid w:val="000C1682"/>
    <w:rsid w:val="000C1883"/>
    <w:rsid w:val="000C1C5C"/>
    <w:rsid w:val="000C1C6F"/>
    <w:rsid w:val="000C1CAF"/>
    <w:rsid w:val="000C1D33"/>
    <w:rsid w:val="000C20A5"/>
    <w:rsid w:val="000C20C9"/>
    <w:rsid w:val="000C2515"/>
    <w:rsid w:val="000C2783"/>
    <w:rsid w:val="000C2813"/>
    <w:rsid w:val="000C2891"/>
    <w:rsid w:val="000C29C9"/>
    <w:rsid w:val="000C2A48"/>
    <w:rsid w:val="000C2CAE"/>
    <w:rsid w:val="000C2CC0"/>
    <w:rsid w:val="000C2D7C"/>
    <w:rsid w:val="000C2EE6"/>
    <w:rsid w:val="000C30A7"/>
    <w:rsid w:val="000C30FA"/>
    <w:rsid w:val="000C312C"/>
    <w:rsid w:val="000C32B3"/>
    <w:rsid w:val="000C3471"/>
    <w:rsid w:val="000C34E3"/>
    <w:rsid w:val="000C35F6"/>
    <w:rsid w:val="000C375E"/>
    <w:rsid w:val="000C37DA"/>
    <w:rsid w:val="000C3834"/>
    <w:rsid w:val="000C397A"/>
    <w:rsid w:val="000C3A98"/>
    <w:rsid w:val="000C3C51"/>
    <w:rsid w:val="000C3D29"/>
    <w:rsid w:val="000C3DEF"/>
    <w:rsid w:val="000C3F1A"/>
    <w:rsid w:val="000C40E1"/>
    <w:rsid w:val="000C44C9"/>
    <w:rsid w:val="000C45D9"/>
    <w:rsid w:val="000C469C"/>
    <w:rsid w:val="000C476D"/>
    <w:rsid w:val="000C4797"/>
    <w:rsid w:val="000C4A25"/>
    <w:rsid w:val="000C4B4E"/>
    <w:rsid w:val="000C4C1B"/>
    <w:rsid w:val="000C4CFF"/>
    <w:rsid w:val="000C5348"/>
    <w:rsid w:val="000C535D"/>
    <w:rsid w:val="000C5569"/>
    <w:rsid w:val="000C55DC"/>
    <w:rsid w:val="000C57A0"/>
    <w:rsid w:val="000C57D4"/>
    <w:rsid w:val="000C5903"/>
    <w:rsid w:val="000C5BEC"/>
    <w:rsid w:val="000C5D0F"/>
    <w:rsid w:val="000C5E71"/>
    <w:rsid w:val="000C5EEA"/>
    <w:rsid w:val="000C600E"/>
    <w:rsid w:val="000C610C"/>
    <w:rsid w:val="000C61E1"/>
    <w:rsid w:val="000C642B"/>
    <w:rsid w:val="000C6590"/>
    <w:rsid w:val="000C6659"/>
    <w:rsid w:val="000C666F"/>
    <w:rsid w:val="000C67EE"/>
    <w:rsid w:val="000C6A71"/>
    <w:rsid w:val="000C6BFD"/>
    <w:rsid w:val="000C6CBF"/>
    <w:rsid w:val="000C6E09"/>
    <w:rsid w:val="000C7033"/>
    <w:rsid w:val="000C7119"/>
    <w:rsid w:val="000C732E"/>
    <w:rsid w:val="000C739C"/>
    <w:rsid w:val="000C73FF"/>
    <w:rsid w:val="000C77CA"/>
    <w:rsid w:val="000C77DA"/>
    <w:rsid w:val="000C7918"/>
    <w:rsid w:val="000C79B1"/>
    <w:rsid w:val="000C79E0"/>
    <w:rsid w:val="000C7CBC"/>
    <w:rsid w:val="000C7D7C"/>
    <w:rsid w:val="000C7F49"/>
    <w:rsid w:val="000D001F"/>
    <w:rsid w:val="000D0043"/>
    <w:rsid w:val="000D00B8"/>
    <w:rsid w:val="000D01B9"/>
    <w:rsid w:val="000D0238"/>
    <w:rsid w:val="000D0694"/>
    <w:rsid w:val="000D0698"/>
    <w:rsid w:val="000D069E"/>
    <w:rsid w:val="000D06AF"/>
    <w:rsid w:val="000D072C"/>
    <w:rsid w:val="000D0772"/>
    <w:rsid w:val="000D0921"/>
    <w:rsid w:val="000D0A5F"/>
    <w:rsid w:val="000D0C86"/>
    <w:rsid w:val="000D0D01"/>
    <w:rsid w:val="000D0D2F"/>
    <w:rsid w:val="000D0E40"/>
    <w:rsid w:val="000D1090"/>
    <w:rsid w:val="000D1239"/>
    <w:rsid w:val="000D14FA"/>
    <w:rsid w:val="000D1A4F"/>
    <w:rsid w:val="000D1B19"/>
    <w:rsid w:val="000D1B6C"/>
    <w:rsid w:val="000D1BB3"/>
    <w:rsid w:val="000D1BC2"/>
    <w:rsid w:val="000D1CDE"/>
    <w:rsid w:val="000D1CF5"/>
    <w:rsid w:val="000D1F73"/>
    <w:rsid w:val="000D216B"/>
    <w:rsid w:val="000D230A"/>
    <w:rsid w:val="000D2424"/>
    <w:rsid w:val="000D279D"/>
    <w:rsid w:val="000D280C"/>
    <w:rsid w:val="000D290E"/>
    <w:rsid w:val="000D2C5D"/>
    <w:rsid w:val="000D2E5B"/>
    <w:rsid w:val="000D2F8B"/>
    <w:rsid w:val="000D2FBA"/>
    <w:rsid w:val="000D2FD2"/>
    <w:rsid w:val="000D3115"/>
    <w:rsid w:val="000D3127"/>
    <w:rsid w:val="000D340A"/>
    <w:rsid w:val="000D35A7"/>
    <w:rsid w:val="000D35CE"/>
    <w:rsid w:val="000D3631"/>
    <w:rsid w:val="000D36CE"/>
    <w:rsid w:val="000D3737"/>
    <w:rsid w:val="000D37C6"/>
    <w:rsid w:val="000D383C"/>
    <w:rsid w:val="000D383F"/>
    <w:rsid w:val="000D38F4"/>
    <w:rsid w:val="000D39FC"/>
    <w:rsid w:val="000D3BB4"/>
    <w:rsid w:val="000D3E31"/>
    <w:rsid w:val="000D3E64"/>
    <w:rsid w:val="000D3EB7"/>
    <w:rsid w:val="000D41FF"/>
    <w:rsid w:val="000D427C"/>
    <w:rsid w:val="000D4450"/>
    <w:rsid w:val="000D44B1"/>
    <w:rsid w:val="000D4573"/>
    <w:rsid w:val="000D46DB"/>
    <w:rsid w:val="000D472B"/>
    <w:rsid w:val="000D4783"/>
    <w:rsid w:val="000D47A9"/>
    <w:rsid w:val="000D4AFA"/>
    <w:rsid w:val="000D4DBD"/>
    <w:rsid w:val="000D4EE0"/>
    <w:rsid w:val="000D5116"/>
    <w:rsid w:val="000D52A4"/>
    <w:rsid w:val="000D533F"/>
    <w:rsid w:val="000D5625"/>
    <w:rsid w:val="000D569B"/>
    <w:rsid w:val="000D5812"/>
    <w:rsid w:val="000D59B5"/>
    <w:rsid w:val="000D59E4"/>
    <w:rsid w:val="000D5ABA"/>
    <w:rsid w:val="000D5B0C"/>
    <w:rsid w:val="000D5B7C"/>
    <w:rsid w:val="000D5B89"/>
    <w:rsid w:val="000D5C4F"/>
    <w:rsid w:val="000D5D19"/>
    <w:rsid w:val="000D5F16"/>
    <w:rsid w:val="000D6008"/>
    <w:rsid w:val="000D608C"/>
    <w:rsid w:val="000D60ED"/>
    <w:rsid w:val="000D6358"/>
    <w:rsid w:val="000D647C"/>
    <w:rsid w:val="000D64CC"/>
    <w:rsid w:val="000D64ED"/>
    <w:rsid w:val="000D6612"/>
    <w:rsid w:val="000D68E2"/>
    <w:rsid w:val="000D6903"/>
    <w:rsid w:val="000D6A98"/>
    <w:rsid w:val="000D6C42"/>
    <w:rsid w:val="000D6C5A"/>
    <w:rsid w:val="000D6DA4"/>
    <w:rsid w:val="000D6E0A"/>
    <w:rsid w:val="000D6E37"/>
    <w:rsid w:val="000D6F26"/>
    <w:rsid w:val="000D6F85"/>
    <w:rsid w:val="000D707F"/>
    <w:rsid w:val="000D709D"/>
    <w:rsid w:val="000D70BD"/>
    <w:rsid w:val="000D7190"/>
    <w:rsid w:val="000D72EE"/>
    <w:rsid w:val="000D7480"/>
    <w:rsid w:val="000D7639"/>
    <w:rsid w:val="000D7CC1"/>
    <w:rsid w:val="000D7F13"/>
    <w:rsid w:val="000D7F33"/>
    <w:rsid w:val="000E0077"/>
    <w:rsid w:val="000E01C6"/>
    <w:rsid w:val="000E03C4"/>
    <w:rsid w:val="000E040E"/>
    <w:rsid w:val="000E04CF"/>
    <w:rsid w:val="000E0608"/>
    <w:rsid w:val="000E0651"/>
    <w:rsid w:val="000E082E"/>
    <w:rsid w:val="000E08A9"/>
    <w:rsid w:val="000E09F2"/>
    <w:rsid w:val="000E0A51"/>
    <w:rsid w:val="000E0AA2"/>
    <w:rsid w:val="000E0B67"/>
    <w:rsid w:val="000E0CBF"/>
    <w:rsid w:val="000E0DCE"/>
    <w:rsid w:val="000E0FD7"/>
    <w:rsid w:val="000E108A"/>
    <w:rsid w:val="000E1203"/>
    <w:rsid w:val="000E135F"/>
    <w:rsid w:val="000E13B2"/>
    <w:rsid w:val="000E1421"/>
    <w:rsid w:val="000E1587"/>
    <w:rsid w:val="000E15BD"/>
    <w:rsid w:val="000E167F"/>
    <w:rsid w:val="000E1682"/>
    <w:rsid w:val="000E185A"/>
    <w:rsid w:val="000E19B1"/>
    <w:rsid w:val="000E19B2"/>
    <w:rsid w:val="000E1CF6"/>
    <w:rsid w:val="000E1DD8"/>
    <w:rsid w:val="000E2187"/>
    <w:rsid w:val="000E2264"/>
    <w:rsid w:val="000E241F"/>
    <w:rsid w:val="000E2477"/>
    <w:rsid w:val="000E248C"/>
    <w:rsid w:val="000E24B1"/>
    <w:rsid w:val="000E25EE"/>
    <w:rsid w:val="000E264C"/>
    <w:rsid w:val="000E269F"/>
    <w:rsid w:val="000E293D"/>
    <w:rsid w:val="000E297D"/>
    <w:rsid w:val="000E2A59"/>
    <w:rsid w:val="000E2E9E"/>
    <w:rsid w:val="000E2F55"/>
    <w:rsid w:val="000E30E7"/>
    <w:rsid w:val="000E338D"/>
    <w:rsid w:val="000E33AD"/>
    <w:rsid w:val="000E380E"/>
    <w:rsid w:val="000E38D6"/>
    <w:rsid w:val="000E38E7"/>
    <w:rsid w:val="000E393F"/>
    <w:rsid w:val="000E3F26"/>
    <w:rsid w:val="000E3F59"/>
    <w:rsid w:val="000E400C"/>
    <w:rsid w:val="000E418E"/>
    <w:rsid w:val="000E41B9"/>
    <w:rsid w:val="000E47DE"/>
    <w:rsid w:val="000E4889"/>
    <w:rsid w:val="000E488E"/>
    <w:rsid w:val="000E4AA1"/>
    <w:rsid w:val="000E4D00"/>
    <w:rsid w:val="000E4DB5"/>
    <w:rsid w:val="000E4EFF"/>
    <w:rsid w:val="000E503C"/>
    <w:rsid w:val="000E50AD"/>
    <w:rsid w:val="000E5161"/>
    <w:rsid w:val="000E531D"/>
    <w:rsid w:val="000E536F"/>
    <w:rsid w:val="000E53C9"/>
    <w:rsid w:val="000E54FA"/>
    <w:rsid w:val="000E56BE"/>
    <w:rsid w:val="000E56D2"/>
    <w:rsid w:val="000E56F5"/>
    <w:rsid w:val="000E5748"/>
    <w:rsid w:val="000E5A5D"/>
    <w:rsid w:val="000E5CFA"/>
    <w:rsid w:val="000E5E05"/>
    <w:rsid w:val="000E602F"/>
    <w:rsid w:val="000E6251"/>
    <w:rsid w:val="000E62BF"/>
    <w:rsid w:val="000E63E7"/>
    <w:rsid w:val="000E641F"/>
    <w:rsid w:val="000E6599"/>
    <w:rsid w:val="000E6705"/>
    <w:rsid w:val="000E6862"/>
    <w:rsid w:val="000E6CFE"/>
    <w:rsid w:val="000E6CFF"/>
    <w:rsid w:val="000E6D9E"/>
    <w:rsid w:val="000E6DFA"/>
    <w:rsid w:val="000E6FA0"/>
    <w:rsid w:val="000E7209"/>
    <w:rsid w:val="000E7253"/>
    <w:rsid w:val="000E777D"/>
    <w:rsid w:val="000E77CA"/>
    <w:rsid w:val="000E791F"/>
    <w:rsid w:val="000E7A47"/>
    <w:rsid w:val="000E7B34"/>
    <w:rsid w:val="000E7C7B"/>
    <w:rsid w:val="000E7DC2"/>
    <w:rsid w:val="000E7EB5"/>
    <w:rsid w:val="000E7F2A"/>
    <w:rsid w:val="000F00A0"/>
    <w:rsid w:val="000F0288"/>
    <w:rsid w:val="000F029E"/>
    <w:rsid w:val="000F03A3"/>
    <w:rsid w:val="000F03AE"/>
    <w:rsid w:val="000F05B1"/>
    <w:rsid w:val="000F0726"/>
    <w:rsid w:val="000F07F5"/>
    <w:rsid w:val="000F0930"/>
    <w:rsid w:val="000F0A88"/>
    <w:rsid w:val="000F0C56"/>
    <w:rsid w:val="000F0E0D"/>
    <w:rsid w:val="000F0FF6"/>
    <w:rsid w:val="000F1179"/>
    <w:rsid w:val="000F117C"/>
    <w:rsid w:val="000F1296"/>
    <w:rsid w:val="000F12AC"/>
    <w:rsid w:val="000F13CB"/>
    <w:rsid w:val="000F1413"/>
    <w:rsid w:val="000F1460"/>
    <w:rsid w:val="000F16F3"/>
    <w:rsid w:val="000F1816"/>
    <w:rsid w:val="000F1863"/>
    <w:rsid w:val="000F18C6"/>
    <w:rsid w:val="000F195F"/>
    <w:rsid w:val="000F1A5A"/>
    <w:rsid w:val="000F1AEA"/>
    <w:rsid w:val="000F1B23"/>
    <w:rsid w:val="000F1D75"/>
    <w:rsid w:val="000F233F"/>
    <w:rsid w:val="000F2612"/>
    <w:rsid w:val="000F2668"/>
    <w:rsid w:val="000F2933"/>
    <w:rsid w:val="000F29EC"/>
    <w:rsid w:val="000F2B38"/>
    <w:rsid w:val="000F2C58"/>
    <w:rsid w:val="000F2F38"/>
    <w:rsid w:val="000F30E1"/>
    <w:rsid w:val="000F30FA"/>
    <w:rsid w:val="000F310F"/>
    <w:rsid w:val="000F315C"/>
    <w:rsid w:val="000F31D6"/>
    <w:rsid w:val="000F32AF"/>
    <w:rsid w:val="000F34D0"/>
    <w:rsid w:val="000F3609"/>
    <w:rsid w:val="000F372E"/>
    <w:rsid w:val="000F399C"/>
    <w:rsid w:val="000F3A11"/>
    <w:rsid w:val="000F3A75"/>
    <w:rsid w:val="000F3D2A"/>
    <w:rsid w:val="000F3DB8"/>
    <w:rsid w:val="000F3E8F"/>
    <w:rsid w:val="000F3FC1"/>
    <w:rsid w:val="000F4165"/>
    <w:rsid w:val="000F42CC"/>
    <w:rsid w:val="000F434D"/>
    <w:rsid w:val="000F4484"/>
    <w:rsid w:val="000F44B8"/>
    <w:rsid w:val="000F4666"/>
    <w:rsid w:val="000F4A36"/>
    <w:rsid w:val="000F4A9B"/>
    <w:rsid w:val="000F4E1A"/>
    <w:rsid w:val="000F4E97"/>
    <w:rsid w:val="000F4F65"/>
    <w:rsid w:val="000F5180"/>
    <w:rsid w:val="000F5366"/>
    <w:rsid w:val="000F537D"/>
    <w:rsid w:val="000F53DE"/>
    <w:rsid w:val="000F53E3"/>
    <w:rsid w:val="000F54C2"/>
    <w:rsid w:val="000F5698"/>
    <w:rsid w:val="000F58CA"/>
    <w:rsid w:val="000F5A07"/>
    <w:rsid w:val="000F5B8F"/>
    <w:rsid w:val="000F5B96"/>
    <w:rsid w:val="000F5C54"/>
    <w:rsid w:val="000F5C64"/>
    <w:rsid w:val="000F5C79"/>
    <w:rsid w:val="000F5CE1"/>
    <w:rsid w:val="000F5D92"/>
    <w:rsid w:val="000F5E5B"/>
    <w:rsid w:val="000F5EDD"/>
    <w:rsid w:val="000F5EEF"/>
    <w:rsid w:val="000F5F26"/>
    <w:rsid w:val="000F61C9"/>
    <w:rsid w:val="000F633B"/>
    <w:rsid w:val="000F6364"/>
    <w:rsid w:val="000F63C6"/>
    <w:rsid w:val="000F6484"/>
    <w:rsid w:val="000F6732"/>
    <w:rsid w:val="000F6974"/>
    <w:rsid w:val="000F6B31"/>
    <w:rsid w:val="000F6BB3"/>
    <w:rsid w:val="000F6C76"/>
    <w:rsid w:val="000F6C97"/>
    <w:rsid w:val="000F6CA8"/>
    <w:rsid w:val="000F6D74"/>
    <w:rsid w:val="000F6E5A"/>
    <w:rsid w:val="000F6F5E"/>
    <w:rsid w:val="000F7100"/>
    <w:rsid w:val="000F7649"/>
    <w:rsid w:val="000F7772"/>
    <w:rsid w:val="000F7946"/>
    <w:rsid w:val="000F7A73"/>
    <w:rsid w:val="000F7AF4"/>
    <w:rsid w:val="000F7BFC"/>
    <w:rsid w:val="000F7C50"/>
    <w:rsid w:val="000F7D55"/>
    <w:rsid w:val="000F7DEC"/>
    <w:rsid w:val="001000FE"/>
    <w:rsid w:val="001004B3"/>
    <w:rsid w:val="00100632"/>
    <w:rsid w:val="00100754"/>
    <w:rsid w:val="00100840"/>
    <w:rsid w:val="00100932"/>
    <w:rsid w:val="00100C6F"/>
    <w:rsid w:val="00100E3B"/>
    <w:rsid w:val="00100EDF"/>
    <w:rsid w:val="001010D1"/>
    <w:rsid w:val="00101637"/>
    <w:rsid w:val="001016D7"/>
    <w:rsid w:val="0010170C"/>
    <w:rsid w:val="0010184C"/>
    <w:rsid w:val="00101860"/>
    <w:rsid w:val="001018C5"/>
    <w:rsid w:val="001019CE"/>
    <w:rsid w:val="00101D97"/>
    <w:rsid w:val="00101E63"/>
    <w:rsid w:val="001020DC"/>
    <w:rsid w:val="00102110"/>
    <w:rsid w:val="001022B5"/>
    <w:rsid w:val="00102CDD"/>
    <w:rsid w:val="00102E91"/>
    <w:rsid w:val="001030E8"/>
    <w:rsid w:val="001038EC"/>
    <w:rsid w:val="001038FA"/>
    <w:rsid w:val="00103AC4"/>
    <w:rsid w:val="00103D31"/>
    <w:rsid w:val="00103E84"/>
    <w:rsid w:val="00103F7A"/>
    <w:rsid w:val="00103FCB"/>
    <w:rsid w:val="00104027"/>
    <w:rsid w:val="001041DA"/>
    <w:rsid w:val="001041F7"/>
    <w:rsid w:val="001042B1"/>
    <w:rsid w:val="00104451"/>
    <w:rsid w:val="00104C05"/>
    <w:rsid w:val="00104CC7"/>
    <w:rsid w:val="00104DA0"/>
    <w:rsid w:val="00104E3D"/>
    <w:rsid w:val="00104FAA"/>
    <w:rsid w:val="001052FD"/>
    <w:rsid w:val="00105362"/>
    <w:rsid w:val="00105422"/>
    <w:rsid w:val="00105438"/>
    <w:rsid w:val="001055FC"/>
    <w:rsid w:val="00105749"/>
    <w:rsid w:val="00105A8A"/>
    <w:rsid w:val="00105DBD"/>
    <w:rsid w:val="00105DCF"/>
    <w:rsid w:val="00106075"/>
    <w:rsid w:val="0010607C"/>
    <w:rsid w:val="0010612B"/>
    <w:rsid w:val="00106253"/>
    <w:rsid w:val="001063AA"/>
    <w:rsid w:val="0010686A"/>
    <w:rsid w:val="00106913"/>
    <w:rsid w:val="00106915"/>
    <w:rsid w:val="00106947"/>
    <w:rsid w:val="00106C2F"/>
    <w:rsid w:val="00106C37"/>
    <w:rsid w:val="00106E71"/>
    <w:rsid w:val="00107055"/>
    <w:rsid w:val="0010713A"/>
    <w:rsid w:val="001072CE"/>
    <w:rsid w:val="0010768B"/>
    <w:rsid w:val="00107800"/>
    <w:rsid w:val="00107895"/>
    <w:rsid w:val="001078B0"/>
    <w:rsid w:val="00107B6A"/>
    <w:rsid w:val="00107C4E"/>
    <w:rsid w:val="00107D52"/>
    <w:rsid w:val="00107E6C"/>
    <w:rsid w:val="00107EC8"/>
    <w:rsid w:val="00107FC0"/>
    <w:rsid w:val="0011002B"/>
    <w:rsid w:val="0011014B"/>
    <w:rsid w:val="00110207"/>
    <w:rsid w:val="00110289"/>
    <w:rsid w:val="0011034B"/>
    <w:rsid w:val="00110394"/>
    <w:rsid w:val="001103A1"/>
    <w:rsid w:val="001105DD"/>
    <w:rsid w:val="00110862"/>
    <w:rsid w:val="0011092C"/>
    <w:rsid w:val="001109F8"/>
    <w:rsid w:val="00110AB3"/>
    <w:rsid w:val="00110AFC"/>
    <w:rsid w:val="00110D64"/>
    <w:rsid w:val="00111017"/>
    <w:rsid w:val="001110A9"/>
    <w:rsid w:val="001110D5"/>
    <w:rsid w:val="0011111D"/>
    <w:rsid w:val="00111264"/>
    <w:rsid w:val="00111346"/>
    <w:rsid w:val="00111481"/>
    <w:rsid w:val="0011157E"/>
    <w:rsid w:val="00111646"/>
    <w:rsid w:val="001116B4"/>
    <w:rsid w:val="00111845"/>
    <w:rsid w:val="00111916"/>
    <w:rsid w:val="00111947"/>
    <w:rsid w:val="001119FB"/>
    <w:rsid w:val="00111E04"/>
    <w:rsid w:val="00111EE5"/>
    <w:rsid w:val="0011205D"/>
    <w:rsid w:val="00112255"/>
    <w:rsid w:val="001122C6"/>
    <w:rsid w:val="001124CE"/>
    <w:rsid w:val="001124EA"/>
    <w:rsid w:val="0011252E"/>
    <w:rsid w:val="001126B1"/>
    <w:rsid w:val="00112707"/>
    <w:rsid w:val="0011277C"/>
    <w:rsid w:val="001127BD"/>
    <w:rsid w:val="001128FE"/>
    <w:rsid w:val="00113119"/>
    <w:rsid w:val="00113224"/>
    <w:rsid w:val="00113344"/>
    <w:rsid w:val="00113377"/>
    <w:rsid w:val="001133B8"/>
    <w:rsid w:val="001134A1"/>
    <w:rsid w:val="00113666"/>
    <w:rsid w:val="00113823"/>
    <w:rsid w:val="00113A15"/>
    <w:rsid w:val="00113B5C"/>
    <w:rsid w:val="00113CA7"/>
    <w:rsid w:val="00113EC8"/>
    <w:rsid w:val="00113EDD"/>
    <w:rsid w:val="00113F7C"/>
    <w:rsid w:val="001140E1"/>
    <w:rsid w:val="0011447B"/>
    <w:rsid w:val="00114A13"/>
    <w:rsid w:val="00114A4E"/>
    <w:rsid w:val="00114AC6"/>
    <w:rsid w:val="00114D32"/>
    <w:rsid w:val="00115327"/>
    <w:rsid w:val="001156FF"/>
    <w:rsid w:val="001157C3"/>
    <w:rsid w:val="001157D0"/>
    <w:rsid w:val="001159B7"/>
    <w:rsid w:val="001159D2"/>
    <w:rsid w:val="00115A8E"/>
    <w:rsid w:val="00115AD8"/>
    <w:rsid w:val="00115B21"/>
    <w:rsid w:val="00115C12"/>
    <w:rsid w:val="00115DC8"/>
    <w:rsid w:val="00115F55"/>
    <w:rsid w:val="001164F3"/>
    <w:rsid w:val="00116954"/>
    <w:rsid w:val="00116A56"/>
    <w:rsid w:val="00116A9B"/>
    <w:rsid w:val="00116BF2"/>
    <w:rsid w:val="00116D51"/>
    <w:rsid w:val="00116E1E"/>
    <w:rsid w:val="00116E3C"/>
    <w:rsid w:val="00117106"/>
    <w:rsid w:val="00117270"/>
    <w:rsid w:val="0011734F"/>
    <w:rsid w:val="001175D0"/>
    <w:rsid w:val="00117675"/>
    <w:rsid w:val="00117997"/>
    <w:rsid w:val="00117AD4"/>
    <w:rsid w:val="00117AE5"/>
    <w:rsid w:val="00117B31"/>
    <w:rsid w:val="00117CBA"/>
    <w:rsid w:val="00117D24"/>
    <w:rsid w:val="00117FC4"/>
    <w:rsid w:val="00120235"/>
    <w:rsid w:val="001202A8"/>
    <w:rsid w:val="001202DB"/>
    <w:rsid w:val="0012033B"/>
    <w:rsid w:val="00120425"/>
    <w:rsid w:val="00120454"/>
    <w:rsid w:val="001204A2"/>
    <w:rsid w:val="0012068A"/>
    <w:rsid w:val="001206EF"/>
    <w:rsid w:val="0012098D"/>
    <w:rsid w:val="001209C7"/>
    <w:rsid w:val="00120A95"/>
    <w:rsid w:val="00120AEB"/>
    <w:rsid w:val="00120DA9"/>
    <w:rsid w:val="00120DFA"/>
    <w:rsid w:val="00120FAB"/>
    <w:rsid w:val="00121409"/>
    <w:rsid w:val="00121622"/>
    <w:rsid w:val="001217C7"/>
    <w:rsid w:val="00121A99"/>
    <w:rsid w:val="00121B52"/>
    <w:rsid w:val="00121C64"/>
    <w:rsid w:val="00121CCB"/>
    <w:rsid w:val="00121F0C"/>
    <w:rsid w:val="0012207C"/>
    <w:rsid w:val="001221BB"/>
    <w:rsid w:val="00122508"/>
    <w:rsid w:val="0012253E"/>
    <w:rsid w:val="0012253F"/>
    <w:rsid w:val="001225C2"/>
    <w:rsid w:val="00122663"/>
    <w:rsid w:val="001226B6"/>
    <w:rsid w:val="0012272B"/>
    <w:rsid w:val="001227CB"/>
    <w:rsid w:val="0012296C"/>
    <w:rsid w:val="00122D43"/>
    <w:rsid w:val="00122F70"/>
    <w:rsid w:val="00122F83"/>
    <w:rsid w:val="00122FB3"/>
    <w:rsid w:val="00122FCB"/>
    <w:rsid w:val="00123112"/>
    <w:rsid w:val="00123398"/>
    <w:rsid w:val="0012346C"/>
    <w:rsid w:val="001236D4"/>
    <w:rsid w:val="00123701"/>
    <w:rsid w:val="001239D4"/>
    <w:rsid w:val="00123B93"/>
    <w:rsid w:val="00123E5E"/>
    <w:rsid w:val="00124054"/>
    <w:rsid w:val="00124063"/>
    <w:rsid w:val="0012408F"/>
    <w:rsid w:val="00124238"/>
    <w:rsid w:val="0012425C"/>
    <w:rsid w:val="001242B4"/>
    <w:rsid w:val="001243C9"/>
    <w:rsid w:val="001245F1"/>
    <w:rsid w:val="0012481C"/>
    <w:rsid w:val="0012499D"/>
    <w:rsid w:val="00124B0D"/>
    <w:rsid w:val="00124BD9"/>
    <w:rsid w:val="00124D59"/>
    <w:rsid w:val="00125134"/>
    <w:rsid w:val="00125297"/>
    <w:rsid w:val="00125340"/>
    <w:rsid w:val="00125357"/>
    <w:rsid w:val="0012555B"/>
    <w:rsid w:val="00125792"/>
    <w:rsid w:val="00125864"/>
    <w:rsid w:val="00125954"/>
    <w:rsid w:val="001259A9"/>
    <w:rsid w:val="00125BE9"/>
    <w:rsid w:val="00125BFF"/>
    <w:rsid w:val="00125C32"/>
    <w:rsid w:val="00125F29"/>
    <w:rsid w:val="00125F72"/>
    <w:rsid w:val="00125F92"/>
    <w:rsid w:val="001261F7"/>
    <w:rsid w:val="00126483"/>
    <w:rsid w:val="0012670F"/>
    <w:rsid w:val="00126774"/>
    <w:rsid w:val="0012677E"/>
    <w:rsid w:val="001267BB"/>
    <w:rsid w:val="00126AEF"/>
    <w:rsid w:val="00126C0D"/>
    <w:rsid w:val="00126C4D"/>
    <w:rsid w:val="00126E88"/>
    <w:rsid w:val="00127021"/>
    <w:rsid w:val="001270AE"/>
    <w:rsid w:val="0012714B"/>
    <w:rsid w:val="00127166"/>
    <w:rsid w:val="001271E2"/>
    <w:rsid w:val="00127214"/>
    <w:rsid w:val="0012742F"/>
    <w:rsid w:val="00127836"/>
    <w:rsid w:val="00127900"/>
    <w:rsid w:val="00127912"/>
    <w:rsid w:val="0012796D"/>
    <w:rsid w:val="00127A9E"/>
    <w:rsid w:val="00127AAD"/>
    <w:rsid w:val="00127AAE"/>
    <w:rsid w:val="00127BB6"/>
    <w:rsid w:val="00127DC7"/>
    <w:rsid w:val="00127F1A"/>
    <w:rsid w:val="0013001A"/>
    <w:rsid w:val="00130497"/>
    <w:rsid w:val="001305D5"/>
    <w:rsid w:val="0013087F"/>
    <w:rsid w:val="00130AED"/>
    <w:rsid w:val="00131100"/>
    <w:rsid w:val="00131165"/>
    <w:rsid w:val="001311F2"/>
    <w:rsid w:val="00131316"/>
    <w:rsid w:val="001315E1"/>
    <w:rsid w:val="001317A3"/>
    <w:rsid w:val="001317EC"/>
    <w:rsid w:val="00131996"/>
    <w:rsid w:val="00131A41"/>
    <w:rsid w:val="00131B89"/>
    <w:rsid w:val="00131BBA"/>
    <w:rsid w:val="00131C77"/>
    <w:rsid w:val="00131D34"/>
    <w:rsid w:val="00131DEB"/>
    <w:rsid w:val="00131EDE"/>
    <w:rsid w:val="00132465"/>
    <w:rsid w:val="001327C0"/>
    <w:rsid w:val="00132919"/>
    <w:rsid w:val="00132938"/>
    <w:rsid w:val="00132973"/>
    <w:rsid w:val="00132ACF"/>
    <w:rsid w:val="00132AFD"/>
    <w:rsid w:val="00132B4F"/>
    <w:rsid w:val="00132C3C"/>
    <w:rsid w:val="00132DDE"/>
    <w:rsid w:val="001330F2"/>
    <w:rsid w:val="00133102"/>
    <w:rsid w:val="00133206"/>
    <w:rsid w:val="0013335F"/>
    <w:rsid w:val="00133457"/>
    <w:rsid w:val="00133470"/>
    <w:rsid w:val="001335BA"/>
    <w:rsid w:val="00133914"/>
    <w:rsid w:val="00133939"/>
    <w:rsid w:val="00133B78"/>
    <w:rsid w:val="00133DFE"/>
    <w:rsid w:val="00133E18"/>
    <w:rsid w:val="00133FBF"/>
    <w:rsid w:val="00134022"/>
    <w:rsid w:val="001340B3"/>
    <w:rsid w:val="001340F7"/>
    <w:rsid w:val="001341A6"/>
    <w:rsid w:val="0013422D"/>
    <w:rsid w:val="001343CF"/>
    <w:rsid w:val="001345D4"/>
    <w:rsid w:val="001347CE"/>
    <w:rsid w:val="001349B8"/>
    <w:rsid w:val="001349FB"/>
    <w:rsid w:val="00134ACF"/>
    <w:rsid w:val="00134C3A"/>
    <w:rsid w:val="00134C46"/>
    <w:rsid w:val="00134CB0"/>
    <w:rsid w:val="00134D71"/>
    <w:rsid w:val="00134FBE"/>
    <w:rsid w:val="00135089"/>
    <w:rsid w:val="001351C9"/>
    <w:rsid w:val="00135226"/>
    <w:rsid w:val="0013540E"/>
    <w:rsid w:val="00135431"/>
    <w:rsid w:val="00135454"/>
    <w:rsid w:val="001354B2"/>
    <w:rsid w:val="001356EF"/>
    <w:rsid w:val="0013571D"/>
    <w:rsid w:val="0013585B"/>
    <w:rsid w:val="001358A3"/>
    <w:rsid w:val="0013593B"/>
    <w:rsid w:val="00135B3B"/>
    <w:rsid w:val="00135B8A"/>
    <w:rsid w:val="00135C0E"/>
    <w:rsid w:val="00135C96"/>
    <w:rsid w:val="00135F1C"/>
    <w:rsid w:val="001361E3"/>
    <w:rsid w:val="0013625E"/>
    <w:rsid w:val="00136368"/>
    <w:rsid w:val="001366B9"/>
    <w:rsid w:val="001367D7"/>
    <w:rsid w:val="0013684D"/>
    <w:rsid w:val="00136A90"/>
    <w:rsid w:val="00136B89"/>
    <w:rsid w:val="00136CC9"/>
    <w:rsid w:val="00136D6F"/>
    <w:rsid w:val="00136D84"/>
    <w:rsid w:val="00136F02"/>
    <w:rsid w:val="00136F71"/>
    <w:rsid w:val="001371FE"/>
    <w:rsid w:val="0013724D"/>
    <w:rsid w:val="001372B7"/>
    <w:rsid w:val="001376A3"/>
    <w:rsid w:val="001378C6"/>
    <w:rsid w:val="00137C5C"/>
    <w:rsid w:val="00137E87"/>
    <w:rsid w:val="001400EB"/>
    <w:rsid w:val="0014017A"/>
    <w:rsid w:val="00140276"/>
    <w:rsid w:val="00140316"/>
    <w:rsid w:val="0014032F"/>
    <w:rsid w:val="0014069A"/>
    <w:rsid w:val="00140737"/>
    <w:rsid w:val="001407E6"/>
    <w:rsid w:val="001409B9"/>
    <w:rsid w:val="00140A32"/>
    <w:rsid w:val="00140EFF"/>
    <w:rsid w:val="00140F55"/>
    <w:rsid w:val="0014110B"/>
    <w:rsid w:val="00141297"/>
    <w:rsid w:val="001413D5"/>
    <w:rsid w:val="001413FD"/>
    <w:rsid w:val="00141580"/>
    <w:rsid w:val="00141982"/>
    <w:rsid w:val="00141A7E"/>
    <w:rsid w:val="00141D85"/>
    <w:rsid w:val="00141DC3"/>
    <w:rsid w:val="00141E54"/>
    <w:rsid w:val="00141EBF"/>
    <w:rsid w:val="0014201E"/>
    <w:rsid w:val="00142098"/>
    <w:rsid w:val="0014235C"/>
    <w:rsid w:val="001423EA"/>
    <w:rsid w:val="0014263D"/>
    <w:rsid w:val="0014264F"/>
    <w:rsid w:val="00142816"/>
    <w:rsid w:val="001428E2"/>
    <w:rsid w:val="001429EC"/>
    <w:rsid w:val="00142AB7"/>
    <w:rsid w:val="00142BD1"/>
    <w:rsid w:val="00142BFE"/>
    <w:rsid w:val="00142C6D"/>
    <w:rsid w:val="00142CB2"/>
    <w:rsid w:val="00142F0E"/>
    <w:rsid w:val="001431C1"/>
    <w:rsid w:val="001431F8"/>
    <w:rsid w:val="00143376"/>
    <w:rsid w:val="001434D7"/>
    <w:rsid w:val="00143672"/>
    <w:rsid w:val="00143799"/>
    <w:rsid w:val="00143C02"/>
    <w:rsid w:val="00143C7F"/>
    <w:rsid w:val="00143EBD"/>
    <w:rsid w:val="00143F09"/>
    <w:rsid w:val="00143FAA"/>
    <w:rsid w:val="001441BE"/>
    <w:rsid w:val="0014431C"/>
    <w:rsid w:val="0014431E"/>
    <w:rsid w:val="00144363"/>
    <w:rsid w:val="001443F0"/>
    <w:rsid w:val="0014449B"/>
    <w:rsid w:val="0014451C"/>
    <w:rsid w:val="00144657"/>
    <w:rsid w:val="00144710"/>
    <w:rsid w:val="0014472D"/>
    <w:rsid w:val="001449EC"/>
    <w:rsid w:val="00144ADE"/>
    <w:rsid w:val="00144BA1"/>
    <w:rsid w:val="00144C62"/>
    <w:rsid w:val="00144D09"/>
    <w:rsid w:val="00144E72"/>
    <w:rsid w:val="00144F58"/>
    <w:rsid w:val="00145438"/>
    <w:rsid w:val="001455F1"/>
    <w:rsid w:val="00145687"/>
    <w:rsid w:val="00145843"/>
    <w:rsid w:val="001458A3"/>
    <w:rsid w:val="00145939"/>
    <w:rsid w:val="001459EB"/>
    <w:rsid w:val="00145A42"/>
    <w:rsid w:val="00145ACF"/>
    <w:rsid w:val="00145CDC"/>
    <w:rsid w:val="0014608F"/>
    <w:rsid w:val="00146124"/>
    <w:rsid w:val="00146301"/>
    <w:rsid w:val="0014631F"/>
    <w:rsid w:val="00146466"/>
    <w:rsid w:val="00146580"/>
    <w:rsid w:val="0014658E"/>
    <w:rsid w:val="001465FC"/>
    <w:rsid w:val="0014662D"/>
    <w:rsid w:val="001467FB"/>
    <w:rsid w:val="00146860"/>
    <w:rsid w:val="00146912"/>
    <w:rsid w:val="001469A7"/>
    <w:rsid w:val="00146AED"/>
    <w:rsid w:val="00146E62"/>
    <w:rsid w:val="00146FEB"/>
    <w:rsid w:val="001470A2"/>
    <w:rsid w:val="00147186"/>
    <w:rsid w:val="001471D4"/>
    <w:rsid w:val="001472E9"/>
    <w:rsid w:val="0014738F"/>
    <w:rsid w:val="001473EC"/>
    <w:rsid w:val="0014758E"/>
    <w:rsid w:val="001475F8"/>
    <w:rsid w:val="00147B30"/>
    <w:rsid w:val="00147F2E"/>
    <w:rsid w:val="001501CA"/>
    <w:rsid w:val="001501D7"/>
    <w:rsid w:val="00150241"/>
    <w:rsid w:val="00150477"/>
    <w:rsid w:val="00150674"/>
    <w:rsid w:val="001506D4"/>
    <w:rsid w:val="001507D3"/>
    <w:rsid w:val="001507F6"/>
    <w:rsid w:val="0015090C"/>
    <w:rsid w:val="0015091C"/>
    <w:rsid w:val="00150966"/>
    <w:rsid w:val="001509D9"/>
    <w:rsid w:val="001509DF"/>
    <w:rsid w:val="00150CC1"/>
    <w:rsid w:val="00150E18"/>
    <w:rsid w:val="001510C8"/>
    <w:rsid w:val="00151179"/>
    <w:rsid w:val="001511C7"/>
    <w:rsid w:val="0015132A"/>
    <w:rsid w:val="00151659"/>
    <w:rsid w:val="00151688"/>
    <w:rsid w:val="001517A7"/>
    <w:rsid w:val="00151A67"/>
    <w:rsid w:val="00151D2A"/>
    <w:rsid w:val="0015203B"/>
    <w:rsid w:val="001521B7"/>
    <w:rsid w:val="00152225"/>
    <w:rsid w:val="0015278A"/>
    <w:rsid w:val="001527A8"/>
    <w:rsid w:val="00152812"/>
    <w:rsid w:val="00152923"/>
    <w:rsid w:val="00152A1D"/>
    <w:rsid w:val="00152B55"/>
    <w:rsid w:val="00152E9D"/>
    <w:rsid w:val="00152F65"/>
    <w:rsid w:val="001530D5"/>
    <w:rsid w:val="00153465"/>
    <w:rsid w:val="0015346B"/>
    <w:rsid w:val="0015346E"/>
    <w:rsid w:val="00153512"/>
    <w:rsid w:val="00153544"/>
    <w:rsid w:val="0015382E"/>
    <w:rsid w:val="001538EF"/>
    <w:rsid w:val="0015395C"/>
    <w:rsid w:val="00153EF1"/>
    <w:rsid w:val="00154170"/>
    <w:rsid w:val="00154175"/>
    <w:rsid w:val="001541DF"/>
    <w:rsid w:val="00154275"/>
    <w:rsid w:val="001544DF"/>
    <w:rsid w:val="00154511"/>
    <w:rsid w:val="00154653"/>
    <w:rsid w:val="001546E2"/>
    <w:rsid w:val="00154864"/>
    <w:rsid w:val="00154870"/>
    <w:rsid w:val="00154915"/>
    <w:rsid w:val="00154A59"/>
    <w:rsid w:val="00154B04"/>
    <w:rsid w:val="00154C57"/>
    <w:rsid w:val="00155605"/>
    <w:rsid w:val="0015582C"/>
    <w:rsid w:val="00155900"/>
    <w:rsid w:val="00155905"/>
    <w:rsid w:val="0015596A"/>
    <w:rsid w:val="00155BC7"/>
    <w:rsid w:val="00155D90"/>
    <w:rsid w:val="00155E6C"/>
    <w:rsid w:val="00155F84"/>
    <w:rsid w:val="00155FA8"/>
    <w:rsid w:val="00156097"/>
    <w:rsid w:val="001561C0"/>
    <w:rsid w:val="00156222"/>
    <w:rsid w:val="001562D6"/>
    <w:rsid w:val="00156440"/>
    <w:rsid w:val="001564F7"/>
    <w:rsid w:val="0015652A"/>
    <w:rsid w:val="0015675A"/>
    <w:rsid w:val="001567C5"/>
    <w:rsid w:val="0015691B"/>
    <w:rsid w:val="00156AD3"/>
    <w:rsid w:val="00156F7E"/>
    <w:rsid w:val="00156FF7"/>
    <w:rsid w:val="00157142"/>
    <w:rsid w:val="001572AD"/>
    <w:rsid w:val="001573BD"/>
    <w:rsid w:val="001575F6"/>
    <w:rsid w:val="00157682"/>
    <w:rsid w:val="0015779B"/>
    <w:rsid w:val="0015779D"/>
    <w:rsid w:val="001577EE"/>
    <w:rsid w:val="00157874"/>
    <w:rsid w:val="00157946"/>
    <w:rsid w:val="0015795F"/>
    <w:rsid w:val="00157AD4"/>
    <w:rsid w:val="00157BE9"/>
    <w:rsid w:val="00157EEF"/>
    <w:rsid w:val="0016017F"/>
    <w:rsid w:val="001602E9"/>
    <w:rsid w:val="00160305"/>
    <w:rsid w:val="0016030D"/>
    <w:rsid w:val="0016083B"/>
    <w:rsid w:val="001609A7"/>
    <w:rsid w:val="001609D9"/>
    <w:rsid w:val="001609FF"/>
    <w:rsid w:val="00160C67"/>
    <w:rsid w:val="00160CDA"/>
    <w:rsid w:val="00160D7E"/>
    <w:rsid w:val="00160F75"/>
    <w:rsid w:val="001611B1"/>
    <w:rsid w:val="00161261"/>
    <w:rsid w:val="00161678"/>
    <w:rsid w:val="001616AD"/>
    <w:rsid w:val="001616DC"/>
    <w:rsid w:val="0016185F"/>
    <w:rsid w:val="001619AF"/>
    <w:rsid w:val="00161AB9"/>
    <w:rsid w:val="00161AEE"/>
    <w:rsid w:val="00161C55"/>
    <w:rsid w:val="00161CC3"/>
    <w:rsid w:val="00161F0C"/>
    <w:rsid w:val="0016218B"/>
    <w:rsid w:val="001621B6"/>
    <w:rsid w:val="00162333"/>
    <w:rsid w:val="001624B5"/>
    <w:rsid w:val="001625E8"/>
    <w:rsid w:val="00162622"/>
    <w:rsid w:val="00162769"/>
    <w:rsid w:val="00162781"/>
    <w:rsid w:val="001627A4"/>
    <w:rsid w:val="001627F2"/>
    <w:rsid w:val="001629D9"/>
    <w:rsid w:val="00162B1E"/>
    <w:rsid w:val="00162D18"/>
    <w:rsid w:val="00162DC6"/>
    <w:rsid w:val="00162F13"/>
    <w:rsid w:val="00162F66"/>
    <w:rsid w:val="00162F75"/>
    <w:rsid w:val="00163101"/>
    <w:rsid w:val="0016340E"/>
    <w:rsid w:val="0016361C"/>
    <w:rsid w:val="001636B2"/>
    <w:rsid w:val="001637DB"/>
    <w:rsid w:val="00163923"/>
    <w:rsid w:val="0016399B"/>
    <w:rsid w:val="00163B31"/>
    <w:rsid w:val="00163BBD"/>
    <w:rsid w:val="00163C42"/>
    <w:rsid w:val="00163C7A"/>
    <w:rsid w:val="00163CCC"/>
    <w:rsid w:val="00163D65"/>
    <w:rsid w:val="00163E01"/>
    <w:rsid w:val="00163E45"/>
    <w:rsid w:val="00163F9B"/>
    <w:rsid w:val="00163FB5"/>
    <w:rsid w:val="00164178"/>
    <w:rsid w:val="00164202"/>
    <w:rsid w:val="00164330"/>
    <w:rsid w:val="00164477"/>
    <w:rsid w:val="0016459C"/>
    <w:rsid w:val="0016464D"/>
    <w:rsid w:val="00164707"/>
    <w:rsid w:val="001649CB"/>
    <w:rsid w:val="00164AB8"/>
    <w:rsid w:val="00164C46"/>
    <w:rsid w:val="00164F5E"/>
    <w:rsid w:val="0016540A"/>
    <w:rsid w:val="0016561A"/>
    <w:rsid w:val="001656EF"/>
    <w:rsid w:val="00165A2C"/>
    <w:rsid w:val="00165C60"/>
    <w:rsid w:val="00165D31"/>
    <w:rsid w:val="00165DDB"/>
    <w:rsid w:val="00165E24"/>
    <w:rsid w:val="00165E49"/>
    <w:rsid w:val="001661A0"/>
    <w:rsid w:val="00166257"/>
    <w:rsid w:val="00166283"/>
    <w:rsid w:val="0016647E"/>
    <w:rsid w:val="00166512"/>
    <w:rsid w:val="001665F1"/>
    <w:rsid w:val="00166C77"/>
    <w:rsid w:val="00166DE8"/>
    <w:rsid w:val="00166F51"/>
    <w:rsid w:val="00167036"/>
    <w:rsid w:val="00167099"/>
    <w:rsid w:val="001670FA"/>
    <w:rsid w:val="001672A9"/>
    <w:rsid w:val="0016740C"/>
    <w:rsid w:val="00167426"/>
    <w:rsid w:val="001676DB"/>
    <w:rsid w:val="001679FF"/>
    <w:rsid w:val="00167C23"/>
    <w:rsid w:val="00167C92"/>
    <w:rsid w:val="00167C9A"/>
    <w:rsid w:val="00167EB4"/>
    <w:rsid w:val="00167FC1"/>
    <w:rsid w:val="00170065"/>
    <w:rsid w:val="001700B8"/>
    <w:rsid w:val="0017013D"/>
    <w:rsid w:val="00170328"/>
    <w:rsid w:val="001703CD"/>
    <w:rsid w:val="00170407"/>
    <w:rsid w:val="00170596"/>
    <w:rsid w:val="001705DD"/>
    <w:rsid w:val="001706DF"/>
    <w:rsid w:val="001707B7"/>
    <w:rsid w:val="001707EE"/>
    <w:rsid w:val="001708BC"/>
    <w:rsid w:val="00170954"/>
    <w:rsid w:val="00170B2F"/>
    <w:rsid w:val="00170BCA"/>
    <w:rsid w:val="00170C80"/>
    <w:rsid w:val="00170CCA"/>
    <w:rsid w:val="00170F49"/>
    <w:rsid w:val="00170F5F"/>
    <w:rsid w:val="00171081"/>
    <w:rsid w:val="0017126E"/>
    <w:rsid w:val="00171380"/>
    <w:rsid w:val="001713F2"/>
    <w:rsid w:val="00171403"/>
    <w:rsid w:val="00171509"/>
    <w:rsid w:val="001716B1"/>
    <w:rsid w:val="001716F8"/>
    <w:rsid w:val="001717CA"/>
    <w:rsid w:val="0017184F"/>
    <w:rsid w:val="00171A7D"/>
    <w:rsid w:val="00171C3F"/>
    <w:rsid w:val="00171D0B"/>
    <w:rsid w:val="00171D6E"/>
    <w:rsid w:val="00171E30"/>
    <w:rsid w:val="00171E59"/>
    <w:rsid w:val="00171FBF"/>
    <w:rsid w:val="001722B5"/>
    <w:rsid w:val="001722B7"/>
    <w:rsid w:val="0017252D"/>
    <w:rsid w:val="00172579"/>
    <w:rsid w:val="00172617"/>
    <w:rsid w:val="00172806"/>
    <w:rsid w:val="001728CE"/>
    <w:rsid w:val="001729F3"/>
    <w:rsid w:val="00172A67"/>
    <w:rsid w:val="00172AB2"/>
    <w:rsid w:val="00172B67"/>
    <w:rsid w:val="00172C69"/>
    <w:rsid w:val="00172DF3"/>
    <w:rsid w:val="00172E1E"/>
    <w:rsid w:val="00172F59"/>
    <w:rsid w:val="001731E9"/>
    <w:rsid w:val="00173250"/>
    <w:rsid w:val="001732F6"/>
    <w:rsid w:val="0017364C"/>
    <w:rsid w:val="0017378A"/>
    <w:rsid w:val="001737BC"/>
    <w:rsid w:val="001737F7"/>
    <w:rsid w:val="001737FE"/>
    <w:rsid w:val="00173815"/>
    <w:rsid w:val="0017387A"/>
    <w:rsid w:val="00173A5C"/>
    <w:rsid w:val="00173B1E"/>
    <w:rsid w:val="00173BEB"/>
    <w:rsid w:val="00173BF3"/>
    <w:rsid w:val="00173C7D"/>
    <w:rsid w:val="00173C9A"/>
    <w:rsid w:val="00173CA2"/>
    <w:rsid w:val="00173DB2"/>
    <w:rsid w:val="001740C3"/>
    <w:rsid w:val="00174128"/>
    <w:rsid w:val="00174177"/>
    <w:rsid w:val="0017432C"/>
    <w:rsid w:val="0017434E"/>
    <w:rsid w:val="0017458C"/>
    <w:rsid w:val="00174590"/>
    <w:rsid w:val="00174A0F"/>
    <w:rsid w:val="00174B6A"/>
    <w:rsid w:val="00174D60"/>
    <w:rsid w:val="00174FE3"/>
    <w:rsid w:val="0017503B"/>
    <w:rsid w:val="001754B2"/>
    <w:rsid w:val="00175523"/>
    <w:rsid w:val="001758D0"/>
    <w:rsid w:val="00175944"/>
    <w:rsid w:val="00175959"/>
    <w:rsid w:val="00175C9B"/>
    <w:rsid w:val="00175D7C"/>
    <w:rsid w:val="00175D8D"/>
    <w:rsid w:val="00175D93"/>
    <w:rsid w:val="00175EBB"/>
    <w:rsid w:val="00175F25"/>
    <w:rsid w:val="00175FF5"/>
    <w:rsid w:val="00176405"/>
    <w:rsid w:val="0017658A"/>
    <w:rsid w:val="001765D7"/>
    <w:rsid w:val="00176696"/>
    <w:rsid w:val="00176802"/>
    <w:rsid w:val="00176875"/>
    <w:rsid w:val="0017688F"/>
    <w:rsid w:val="001769C9"/>
    <w:rsid w:val="00176A83"/>
    <w:rsid w:val="00176D95"/>
    <w:rsid w:val="00176F09"/>
    <w:rsid w:val="00176FBD"/>
    <w:rsid w:val="00176FE7"/>
    <w:rsid w:val="00177110"/>
    <w:rsid w:val="00177450"/>
    <w:rsid w:val="00177599"/>
    <w:rsid w:val="001776CB"/>
    <w:rsid w:val="00177857"/>
    <w:rsid w:val="001778E2"/>
    <w:rsid w:val="00177A1B"/>
    <w:rsid w:val="00177A9E"/>
    <w:rsid w:val="00177AC7"/>
    <w:rsid w:val="00177AD5"/>
    <w:rsid w:val="00177B66"/>
    <w:rsid w:val="00177B76"/>
    <w:rsid w:val="00180089"/>
    <w:rsid w:val="001800B5"/>
    <w:rsid w:val="0018015B"/>
    <w:rsid w:val="001803E4"/>
    <w:rsid w:val="00180599"/>
    <w:rsid w:val="001806D9"/>
    <w:rsid w:val="0018075F"/>
    <w:rsid w:val="0018092C"/>
    <w:rsid w:val="00180B2A"/>
    <w:rsid w:val="00180B4F"/>
    <w:rsid w:val="00180B78"/>
    <w:rsid w:val="00180E03"/>
    <w:rsid w:val="00181238"/>
    <w:rsid w:val="0018141B"/>
    <w:rsid w:val="0018156F"/>
    <w:rsid w:val="001815A9"/>
    <w:rsid w:val="0018161B"/>
    <w:rsid w:val="0018168E"/>
    <w:rsid w:val="001817E5"/>
    <w:rsid w:val="00181A0B"/>
    <w:rsid w:val="00181AA9"/>
    <w:rsid w:val="001820BF"/>
    <w:rsid w:val="00182243"/>
    <w:rsid w:val="001824CE"/>
    <w:rsid w:val="0018253B"/>
    <w:rsid w:val="001828B9"/>
    <w:rsid w:val="001829F7"/>
    <w:rsid w:val="00182ADD"/>
    <w:rsid w:val="00182E73"/>
    <w:rsid w:val="00182E8E"/>
    <w:rsid w:val="00182F6A"/>
    <w:rsid w:val="00183055"/>
    <w:rsid w:val="001831C1"/>
    <w:rsid w:val="00183389"/>
    <w:rsid w:val="001833D3"/>
    <w:rsid w:val="001834AE"/>
    <w:rsid w:val="001834F2"/>
    <w:rsid w:val="001834FE"/>
    <w:rsid w:val="00183801"/>
    <w:rsid w:val="0018381E"/>
    <w:rsid w:val="0018383B"/>
    <w:rsid w:val="00183AFB"/>
    <w:rsid w:val="0018420D"/>
    <w:rsid w:val="00184253"/>
    <w:rsid w:val="00184344"/>
    <w:rsid w:val="001843A2"/>
    <w:rsid w:val="001843DA"/>
    <w:rsid w:val="0018451E"/>
    <w:rsid w:val="0018455F"/>
    <w:rsid w:val="001847D9"/>
    <w:rsid w:val="00184857"/>
    <w:rsid w:val="00184D43"/>
    <w:rsid w:val="00184E26"/>
    <w:rsid w:val="001853CD"/>
    <w:rsid w:val="001853D4"/>
    <w:rsid w:val="001854BB"/>
    <w:rsid w:val="0018552F"/>
    <w:rsid w:val="001855E9"/>
    <w:rsid w:val="001857D9"/>
    <w:rsid w:val="00185A98"/>
    <w:rsid w:val="00185BD9"/>
    <w:rsid w:val="00185C56"/>
    <w:rsid w:val="00185C82"/>
    <w:rsid w:val="00185D19"/>
    <w:rsid w:val="00185FD7"/>
    <w:rsid w:val="00186157"/>
    <w:rsid w:val="00186224"/>
    <w:rsid w:val="001862DE"/>
    <w:rsid w:val="00186326"/>
    <w:rsid w:val="001863CE"/>
    <w:rsid w:val="001866FB"/>
    <w:rsid w:val="00186750"/>
    <w:rsid w:val="00186EF8"/>
    <w:rsid w:val="00186F5F"/>
    <w:rsid w:val="00186FD7"/>
    <w:rsid w:val="0018702A"/>
    <w:rsid w:val="00187384"/>
    <w:rsid w:val="00187504"/>
    <w:rsid w:val="00187570"/>
    <w:rsid w:val="00187716"/>
    <w:rsid w:val="00187879"/>
    <w:rsid w:val="0018789D"/>
    <w:rsid w:val="00187940"/>
    <w:rsid w:val="00187CEC"/>
    <w:rsid w:val="00187DAD"/>
    <w:rsid w:val="00187EBA"/>
    <w:rsid w:val="00187F70"/>
    <w:rsid w:val="00187FCB"/>
    <w:rsid w:val="001902C2"/>
    <w:rsid w:val="00190477"/>
    <w:rsid w:val="001904F3"/>
    <w:rsid w:val="001905A4"/>
    <w:rsid w:val="00190785"/>
    <w:rsid w:val="00190890"/>
    <w:rsid w:val="00190942"/>
    <w:rsid w:val="001909FD"/>
    <w:rsid w:val="00190B7C"/>
    <w:rsid w:val="00190D66"/>
    <w:rsid w:val="00190EE0"/>
    <w:rsid w:val="00190F1F"/>
    <w:rsid w:val="00191006"/>
    <w:rsid w:val="0019107E"/>
    <w:rsid w:val="001911D7"/>
    <w:rsid w:val="001911F3"/>
    <w:rsid w:val="001915E9"/>
    <w:rsid w:val="001917D8"/>
    <w:rsid w:val="001918ED"/>
    <w:rsid w:val="00191D21"/>
    <w:rsid w:val="00191D25"/>
    <w:rsid w:val="00191DF9"/>
    <w:rsid w:val="00191EBF"/>
    <w:rsid w:val="00191F7D"/>
    <w:rsid w:val="0019210A"/>
    <w:rsid w:val="00192199"/>
    <w:rsid w:val="00192249"/>
    <w:rsid w:val="0019224B"/>
    <w:rsid w:val="001923F8"/>
    <w:rsid w:val="00192556"/>
    <w:rsid w:val="00192605"/>
    <w:rsid w:val="00192868"/>
    <w:rsid w:val="00192A4D"/>
    <w:rsid w:val="00192D99"/>
    <w:rsid w:val="00192EE1"/>
    <w:rsid w:val="00193162"/>
    <w:rsid w:val="001931D4"/>
    <w:rsid w:val="001932FE"/>
    <w:rsid w:val="001933B3"/>
    <w:rsid w:val="00193829"/>
    <w:rsid w:val="00193C86"/>
    <w:rsid w:val="00193D4B"/>
    <w:rsid w:val="00193DEA"/>
    <w:rsid w:val="001943D6"/>
    <w:rsid w:val="00194545"/>
    <w:rsid w:val="00194551"/>
    <w:rsid w:val="00194577"/>
    <w:rsid w:val="0019461A"/>
    <w:rsid w:val="001946FC"/>
    <w:rsid w:val="00194839"/>
    <w:rsid w:val="0019488C"/>
    <w:rsid w:val="001948C6"/>
    <w:rsid w:val="001949FD"/>
    <w:rsid w:val="00194E33"/>
    <w:rsid w:val="0019513E"/>
    <w:rsid w:val="0019517D"/>
    <w:rsid w:val="001954BA"/>
    <w:rsid w:val="001955E7"/>
    <w:rsid w:val="0019573F"/>
    <w:rsid w:val="00195958"/>
    <w:rsid w:val="00195C78"/>
    <w:rsid w:val="00195F9D"/>
    <w:rsid w:val="00195FFE"/>
    <w:rsid w:val="00196137"/>
    <w:rsid w:val="0019638C"/>
    <w:rsid w:val="00196707"/>
    <w:rsid w:val="0019671E"/>
    <w:rsid w:val="00196845"/>
    <w:rsid w:val="00196960"/>
    <w:rsid w:val="0019699B"/>
    <w:rsid w:val="00196AB7"/>
    <w:rsid w:val="00197098"/>
    <w:rsid w:val="00197322"/>
    <w:rsid w:val="00197349"/>
    <w:rsid w:val="001973DB"/>
    <w:rsid w:val="0019768D"/>
    <w:rsid w:val="00197760"/>
    <w:rsid w:val="001977B4"/>
    <w:rsid w:val="00197896"/>
    <w:rsid w:val="001978A8"/>
    <w:rsid w:val="001978C8"/>
    <w:rsid w:val="001979D6"/>
    <w:rsid w:val="001979E4"/>
    <w:rsid w:val="00197D18"/>
    <w:rsid w:val="00197D53"/>
    <w:rsid w:val="00197D75"/>
    <w:rsid w:val="00197FE4"/>
    <w:rsid w:val="001A02D5"/>
    <w:rsid w:val="001A02F8"/>
    <w:rsid w:val="001A0340"/>
    <w:rsid w:val="001A0763"/>
    <w:rsid w:val="001A07B1"/>
    <w:rsid w:val="001A0821"/>
    <w:rsid w:val="001A082C"/>
    <w:rsid w:val="001A0A48"/>
    <w:rsid w:val="001A0A76"/>
    <w:rsid w:val="001A0C4C"/>
    <w:rsid w:val="001A0CC1"/>
    <w:rsid w:val="001A0D08"/>
    <w:rsid w:val="001A0E53"/>
    <w:rsid w:val="001A0E93"/>
    <w:rsid w:val="001A0EC7"/>
    <w:rsid w:val="001A1373"/>
    <w:rsid w:val="001A13EA"/>
    <w:rsid w:val="001A1430"/>
    <w:rsid w:val="001A14F5"/>
    <w:rsid w:val="001A158F"/>
    <w:rsid w:val="001A1B3E"/>
    <w:rsid w:val="001A1C10"/>
    <w:rsid w:val="001A1CFA"/>
    <w:rsid w:val="001A20ED"/>
    <w:rsid w:val="001A20F3"/>
    <w:rsid w:val="001A227F"/>
    <w:rsid w:val="001A2317"/>
    <w:rsid w:val="001A2549"/>
    <w:rsid w:val="001A27A8"/>
    <w:rsid w:val="001A296A"/>
    <w:rsid w:val="001A2B12"/>
    <w:rsid w:val="001A2FAB"/>
    <w:rsid w:val="001A331D"/>
    <w:rsid w:val="001A3330"/>
    <w:rsid w:val="001A34B5"/>
    <w:rsid w:val="001A37FB"/>
    <w:rsid w:val="001A38AB"/>
    <w:rsid w:val="001A397E"/>
    <w:rsid w:val="001A3DB0"/>
    <w:rsid w:val="001A3DCA"/>
    <w:rsid w:val="001A3FDD"/>
    <w:rsid w:val="001A4059"/>
    <w:rsid w:val="001A42E9"/>
    <w:rsid w:val="001A457A"/>
    <w:rsid w:val="001A45D8"/>
    <w:rsid w:val="001A46A0"/>
    <w:rsid w:val="001A47F0"/>
    <w:rsid w:val="001A4A9B"/>
    <w:rsid w:val="001A4AB5"/>
    <w:rsid w:val="001A4C52"/>
    <w:rsid w:val="001A4C63"/>
    <w:rsid w:val="001A4CBB"/>
    <w:rsid w:val="001A529F"/>
    <w:rsid w:val="001A5471"/>
    <w:rsid w:val="001A54FC"/>
    <w:rsid w:val="001A569B"/>
    <w:rsid w:val="001A5700"/>
    <w:rsid w:val="001A58F9"/>
    <w:rsid w:val="001A5BDD"/>
    <w:rsid w:val="001A5CC6"/>
    <w:rsid w:val="001A5D89"/>
    <w:rsid w:val="001A5E4B"/>
    <w:rsid w:val="001A6080"/>
    <w:rsid w:val="001A6093"/>
    <w:rsid w:val="001A60DE"/>
    <w:rsid w:val="001A6121"/>
    <w:rsid w:val="001A6155"/>
    <w:rsid w:val="001A61EF"/>
    <w:rsid w:val="001A62E4"/>
    <w:rsid w:val="001A637F"/>
    <w:rsid w:val="001A63CE"/>
    <w:rsid w:val="001A6440"/>
    <w:rsid w:val="001A65DF"/>
    <w:rsid w:val="001A65F8"/>
    <w:rsid w:val="001A663A"/>
    <w:rsid w:val="001A674F"/>
    <w:rsid w:val="001A69B9"/>
    <w:rsid w:val="001A6B16"/>
    <w:rsid w:val="001A6BB5"/>
    <w:rsid w:val="001A6C12"/>
    <w:rsid w:val="001A6F73"/>
    <w:rsid w:val="001A70C4"/>
    <w:rsid w:val="001A728D"/>
    <w:rsid w:val="001A7368"/>
    <w:rsid w:val="001A75B0"/>
    <w:rsid w:val="001A7634"/>
    <w:rsid w:val="001A767E"/>
    <w:rsid w:val="001A769A"/>
    <w:rsid w:val="001A77A3"/>
    <w:rsid w:val="001A78B9"/>
    <w:rsid w:val="001A79E9"/>
    <w:rsid w:val="001A7B7D"/>
    <w:rsid w:val="001A7D5D"/>
    <w:rsid w:val="001A7EE7"/>
    <w:rsid w:val="001A7EFF"/>
    <w:rsid w:val="001A7FE2"/>
    <w:rsid w:val="001A7FE3"/>
    <w:rsid w:val="001B005A"/>
    <w:rsid w:val="001B0152"/>
    <w:rsid w:val="001B04B3"/>
    <w:rsid w:val="001B05D3"/>
    <w:rsid w:val="001B062B"/>
    <w:rsid w:val="001B092A"/>
    <w:rsid w:val="001B0966"/>
    <w:rsid w:val="001B0B03"/>
    <w:rsid w:val="001B0B4B"/>
    <w:rsid w:val="001B0BFC"/>
    <w:rsid w:val="001B0CFA"/>
    <w:rsid w:val="001B0D70"/>
    <w:rsid w:val="001B0EF0"/>
    <w:rsid w:val="001B1126"/>
    <w:rsid w:val="001B119C"/>
    <w:rsid w:val="001B11A7"/>
    <w:rsid w:val="001B120D"/>
    <w:rsid w:val="001B12B6"/>
    <w:rsid w:val="001B1495"/>
    <w:rsid w:val="001B14E0"/>
    <w:rsid w:val="001B1545"/>
    <w:rsid w:val="001B1729"/>
    <w:rsid w:val="001B1829"/>
    <w:rsid w:val="001B1925"/>
    <w:rsid w:val="001B1C4C"/>
    <w:rsid w:val="001B1C6D"/>
    <w:rsid w:val="001B1E17"/>
    <w:rsid w:val="001B1E36"/>
    <w:rsid w:val="001B1F47"/>
    <w:rsid w:val="001B20C2"/>
    <w:rsid w:val="001B218F"/>
    <w:rsid w:val="001B2291"/>
    <w:rsid w:val="001B2636"/>
    <w:rsid w:val="001B27BD"/>
    <w:rsid w:val="001B280C"/>
    <w:rsid w:val="001B290A"/>
    <w:rsid w:val="001B2C65"/>
    <w:rsid w:val="001B2DAA"/>
    <w:rsid w:val="001B2DE3"/>
    <w:rsid w:val="001B2E8C"/>
    <w:rsid w:val="001B31BA"/>
    <w:rsid w:val="001B3322"/>
    <w:rsid w:val="001B339E"/>
    <w:rsid w:val="001B33BE"/>
    <w:rsid w:val="001B33C1"/>
    <w:rsid w:val="001B36A3"/>
    <w:rsid w:val="001B3851"/>
    <w:rsid w:val="001B39ED"/>
    <w:rsid w:val="001B3DEB"/>
    <w:rsid w:val="001B3DF8"/>
    <w:rsid w:val="001B3F70"/>
    <w:rsid w:val="001B3F9F"/>
    <w:rsid w:val="001B405C"/>
    <w:rsid w:val="001B4060"/>
    <w:rsid w:val="001B41F0"/>
    <w:rsid w:val="001B4219"/>
    <w:rsid w:val="001B4414"/>
    <w:rsid w:val="001B44A1"/>
    <w:rsid w:val="001B45C6"/>
    <w:rsid w:val="001B4611"/>
    <w:rsid w:val="001B4960"/>
    <w:rsid w:val="001B49F0"/>
    <w:rsid w:val="001B4A02"/>
    <w:rsid w:val="001B4D44"/>
    <w:rsid w:val="001B5259"/>
    <w:rsid w:val="001B5261"/>
    <w:rsid w:val="001B54C3"/>
    <w:rsid w:val="001B54F8"/>
    <w:rsid w:val="001B5541"/>
    <w:rsid w:val="001B564B"/>
    <w:rsid w:val="001B57C1"/>
    <w:rsid w:val="001B5835"/>
    <w:rsid w:val="001B5841"/>
    <w:rsid w:val="001B58FA"/>
    <w:rsid w:val="001B5974"/>
    <w:rsid w:val="001B5A32"/>
    <w:rsid w:val="001B5A40"/>
    <w:rsid w:val="001B5C01"/>
    <w:rsid w:val="001B5F09"/>
    <w:rsid w:val="001B6154"/>
    <w:rsid w:val="001B6190"/>
    <w:rsid w:val="001B628F"/>
    <w:rsid w:val="001B62A8"/>
    <w:rsid w:val="001B6609"/>
    <w:rsid w:val="001B664A"/>
    <w:rsid w:val="001B6829"/>
    <w:rsid w:val="001B6AAF"/>
    <w:rsid w:val="001B6C5A"/>
    <w:rsid w:val="001B6D22"/>
    <w:rsid w:val="001B6F74"/>
    <w:rsid w:val="001B7061"/>
    <w:rsid w:val="001B75C8"/>
    <w:rsid w:val="001B7706"/>
    <w:rsid w:val="001B7A59"/>
    <w:rsid w:val="001B7C50"/>
    <w:rsid w:val="001B7C5C"/>
    <w:rsid w:val="001C026C"/>
    <w:rsid w:val="001C02CD"/>
    <w:rsid w:val="001C0467"/>
    <w:rsid w:val="001C05B0"/>
    <w:rsid w:val="001C05CC"/>
    <w:rsid w:val="001C05F4"/>
    <w:rsid w:val="001C0635"/>
    <w:rsid w:val="001C0794"/>
    <w:rsid w:val="001C0815"/>
    <w:rsid w:val="001C09FD"/>
    <w:rsid w:val="001C0B6E"/>
    <w:rsid w:val="001C0D1B"/>
    <w:rsid w:val="001C0D23"/>
    <w:rsid w:val="001C0E7A"/>
    <w:rsid w:val="001C0EE4"/>
    <w:rsid w:val="001C0F4E"/>
    <w:rsid w:val="001C1006"/>
    <w:rsid w:val="001C10FF"/>
    <w:rsid w:val="001C1298"/>
    <w:rsid w:val="001C14DA"/>
    <w:rsid w:val="001C15B7"/>
    <w:rsid w:val="001C177E"/>
    <w:rsid w:val="001C191B"/>
    <w:rsid w:val="001C1975"/>
    <w:rsid w:val="001C1C06"/>
    <w:rsid w:val="001C1C6B"/>
    <w:rsid w:val="001C1C73"/>
    <w:rsid w:val="001C1C9C"/>
    <w:rsid w:val="001C1CD3"/>
    <w:rsid w:val="001C1D5C"/>
    <w:rsid w:val="001C1E3E"/>
    <w:rsid w:val="001C1E84"/>
    <w:rsid w:val="001C1FBB"/>
    <w:rsid w:val="001C2119"/>
    <w:rsid w:val="001C211A"/>
    <w:rsid w:val="001C24D2"/>
    <w:rsid w:val="001C250C"/>
    <w:rsid w:val="001C25CA"/>
    <w:rsid w:val="001C27E2"/>
    <w:rsid w:val="001C2829"/>
    <w:rsid w:val="001C291A"/>
    <w:rsid w:val="001C2991"/>
    <w:rsid w:val="001C29A7"/>
    <w:rsid w:val="001C2C8F"/>
    <w:rsid w:val="001C2CB5"/>
    <w:rsid w:val="001C2EC5"/>
    <w:rsid w:val="001C2F15"/>
    <w:rsid w:val="001C3014"/>
    <w:rsid w:val="001C3162"/>
    <w:rsid w:val="001C318A"/>
    <w:rsid w:val="001C3448"/>
    <w:rsid w:val="001C382F"/>
    <w:rsid w:val="001C39B6"/>
    <w:rsid w:val="001C39DF"/>
    <w:rsid w:val="001C3A8D"/>
    <w:rsid w:val="001C3AAC"/>
    <w:rsid w:val="001C3BF5"/>
    <w:rsid w:val="001C3C6A"/>
    <w:rsid w:val="001C3C75"/>
    <w:rsid w:val="001C3D5F"/>
    <w:rsid w:val="001C3E26"/>
    <w:rsid w:val="001C4368"/>
    <w:rsid w:val="001C445F"/>
    <w:rsid w:val="001C44CA"/>
    <w:rsid w:val="001C457B"/>
    <w:rsid w:val="001C48D8"/>
    <w:rsid w:val="001C4929"/>
    <w:rsid w:val="001C4B17"/>
    <w:rsid w:val="001C4BCD"/>
    <w:rsid w:val="001C4BEF"/>
    <w:rsid w:val="001C4C2D"/>
    <w:rsid w:val="001C500B"/>
    <w:rsid w:val="001C556E"/>
    <w:rsid w:val="001C566C"/>
    <w:rsid w:val="001C5700"/>
    <w:rsid w:val="001C5738"/>
    <w:rsid w:val="001C5A9B"/>
    <w:rsid w:val="001C5C4B"/>
    <w:rsid w:val="001C5CED"/>
    <w:rsid w:val="001C5E07"/>
    <w:rsid w:val="001C5EEF"/>
    <w:rsid w:val="001C5FE3"/>
    <w:rsid w:val="001C5FFA"/>
    <w:rsid w:val="001C615C"/>
    <w:rsid w:val="001C6483"/>
    <w:rsid w:val="001C66F3"/>
    <w:rsid w:val="001C67F9"/>
    <w:rsid w:val="001C6D3A"/>
    <w:rsid w:val="001C7114"/>
    <w:rsid w:val="001C7250"/>
    <w:rsid w:val="001C775D"/>
    <w:rsid w:val="001C7833"/>
    <w:rsid w:val="001C7AC0"/>
    <w:rsid w:val="001C7D42"/>
    <w:rsid w:val="001C7D56"/>
    <w:rsid w:val="001C7DE2"/>
    <w:rsid w:val="001C7F06"/>
    <w:rsid w:val="001C7F9A"/>
    <w:rsid w:val="001C7FE7"/>
    <w:rsid w:val="001D007E"/>
    <w:rsid w:val="001D00EF"/>
    <w:rsid w:val="001D01D3"/>
    <w:rsid w:val="001D03BE"/>
    <w:rsid w:val="001D03FC"/>
    <w:rsid w:val="001D0442"/>
    <w:rsid w:val="001D05AE"/>
    <w:rsid w:val="001D0887"/>
    <w:rsid w:val="001D09F4"/>
    <w:rsid w:val="001D0DBB"/>
    <w:rsid w:val="001D0E08"/>
    <w:rsid w:val="001D0F3F"/>
    <w:rsid w:val="001D1000"/>
    <w:rsid w:val="001D10DF"/>
    <w:rsid w:val="001D1465"/>
    <w:rsid w:val="001D14DB"/>
    <w:rsid w:val="001D1565"/>
    <w:rsid w:val="001D162B"/>
    <w:rsid w:val="001D172E"/>
    <w:rsid w:val="001D190B"/>
    <w:rsid w:val="001D1D67"/>
    <w:rsid w:val="001D1D73"/>
    <w:rsid w:val="001D1D87"/>
    <w:rsid w:val="001D1F33"/>
    <w:rsid w:val="001D202D"/>
    <w:rsid w:val="001D212B"/>
    <w:rsid w:val="001D226D"/>
    <w:rsid w:val="001D233A"/>
    <w:rsid w:val="001D23DE"/>
    <w:rsid w:val="001D2516"/>
    <w:rsid w:val="001D263B"/>
    <w:rsid w:val="001D26D8"/>
    <w:rsid w:val="001D2850"/>
    <w:rsid w:val="001D2A8A"/>
    <w:rsid w:val="001D2BA6"/>
    <w:rsid w:val="001D2CBE"/>
    <w:rsid w:val="001D2D60"/>
    <w:rsid w:val="001D2D84"/>
    <w:rsid w:val="001D2E4F"/>
    <w:rsid w:val="001D2EC5"/>
    <w:rsid w:val="001D302F"/>
    <w:rsid w:val="001D3039"/>
    <w:rsid w:val="001D308C"/>
    <w:rsid w:val="001D346D"/>
    <w:rsid w:val="001D34E0"/>
    <w:rsid w:val="001D35E1"/>
    <w:rsid w:val="001D3663"/>
    <w:rsid w:val="001D372C"/>
    <w:rsid w:val="001D3957"/>
    <w:rsid w:val="001D3A76"/>
    <w:rsid w:val="001D3B5E"/>
    <w:rsid w:val="001D3BE8"/>
    <w:rsid w:val="001D3C11"/>
    <w:rsid w:val="001D3CDF"/>
    <w:rsid w:val="001D3F1A"/>
    <w:rsid w:val="001D3F7B"/>
    <w:rsid w:val="001D40F4"/>
    <w:rsid w:val="001D4217"/>
    <w:rsid w:val="001D445C"/>
    <w:rsid w:val="001D4482"/>
    <w:rsid w:val="001D45A6"/>
    <w:rsid w:val="001D485F"/>
    <w:rsid w:val="001D4874"/>
    <w:rsid w:val="001D4BE9"/>
    <w:rsid w:val="001D4CB8"/>
    <w:rsid w:val="001D4DDD"/>
    <w:rsid w:val="001D4E3C"/>
    <w:rsid w:val="001D4E3F"/>
    <w:rsid w:val="001D4EA5"/>
    <w:rsid w:val="001D500F"/>
    <w:rsid w:val="001D5123"/>
    <w:rsid w:val="001D520C"/>
    <w:rsid w:val="001D52C7"/>
    <w:rsid w:val="001D5477"/>
    <w:rsid w:val="001D5865"/>
    <w:rsid w:val="001D5908"/>
    <w:rsid w:val="001D5919"/>
    <w:rsid w:val="001D5B30"/>
    <w:rsid w:val="001D5BFA"/>
    <w:rsid w:val="001D5E86"/>
    <w:rsid w:val="001D5EF1"/>
    <w:rsid w:val="001D5FB8"/>
    <w:rsid w:val="001D634A"/>
    <w:rsid w:val="001D64BF"/>
    <w:rsid w:val="001D68C7"/>
    <w:rsid w:val="001D6A21"/>
    <w:rsid w:val="001D6A5F"/>
    <w:rsid w:val="001D6C66"/>
    <w:rsid w:val="001D7113"/>
    <w:rsid w:val="001D7115"/>
    <w:rsid w:val="001D713F"/>
    <w:rsid w:val="001D7339"/>
    <w:rsid w:val="001D739C"/>
    <w:rsid w:val="001D73E1"/>
    <w:rsid w:val="001D75DA"/>
    <w:rsid w:val="001D76C3"/>
    <w:rsid w:val="001D793D"/>
    <w:rsid w:val="001D7AA2"/>
    <w:rsid w:val="001D7EB9"/>
    <w:rsid w:val="001D7F01"/>
    <w:rsid w:val="001D7F24"/>
    <w:rsid w:val="001D7F34"/>
    <w:rsid w:val="001E0051"/>
    <w:rsid w:val="001E0199"/>
    <w:rsid w:val="001E023F"/>
    <w:rsid w:val="001E037D"/>
    <w:rsid w:val="001E0553"/>
    <w:rsid w:val="001E0585"/>
    <w:rsid w:val="001E06AB"/>
    <w:rsid w:val="001E08E5"/>
    <w:rsid w:val="001E0C18"/>
    <w:rsid w:val="001E0CA4"/>
    <w:rsid w:val="001E0E00"/>
    <w:rsid w:val="001E0E05"/>
    <w:rsid w:val="001E177D"/>
    <w:rsid w:val="001E17CB"/>
    <w:rsid w:val="001E18D2"/>
    <w:rsid w:val="001E195D"/>
    <w:rsid w:val="001E19C7"/>
    <w:rsid w:val="001E1B7C"/>
    <w:rsid w:val="001E1C1D"/>
    <w:rsid w:val="001E1D87"/>
    <w:rsid w:val="001E1EBF"/>
    <w:rsid w:val="001E224C"/>
    <w:rsid w:val="001E2372"/>
    <w:rsid w:val="001E2545"/>
    <w:rsid w:val="001E2559"/>
    <w:rsid w:val="001E2631"/>
    <w:rsid w:val="001E271D"/>
    <w:rsid w:val="001E27BF"/>
    <w:rsid w:val="001E2820"/>
    <w:rsid w:val="001E2AF1"/>
    <w:rsid w:val="001E2CA1"/>
    <w:rsid w:val="001E3049"/>
    <w:rsid w:val="001E3422"/>
    <w:rsid w:val="001E3497"/>
    <w:rsid w:val="001E360B"/>
    <w:rsid w:val="001E363F"/>
    <w:rsid w:val="001E36D2"/>
    <w:rsid w:val="001E3728"/>
    <w:rsid w:val="001E3957"/>
    <w:rsid w:val="001E3965"/>
    <w:rsid w:val="001E3C26"/>
    <w:rsid w:val="001E3CF8"/>
    <w:rsid w:val="001E3EC1"/>
    <w:rsid w:val="001E4541"/>
    <w:rsid w:val="001E455C"/>
    <w:rsid w:val="001E4966"/>
    <w:rsid w:val="001E4AEE"/>
    <w:rsid w:val="001E4C9A"/>
    <w:rsid w:val="001E4CC1"/>
    <w:rsid w:val="001E4F3E"/>
    <w:rsid w:val="001E4FFD"/>
    <w:rsid w:val="001E523A"/>
    <w:rsid w:val="001E52A8"/>
    <w:rsid w:val="001E54D8"/>
    <w:rsid w:val="001E5564"/>
    <w:rsid w:val="001E5629"/>
    <w:rsid w:val="001E576A"/>
    <w:rsid w:val="001E5AEB"/>
    <w:rsid w:val="001E5E73"/>
    <w:rsid w:val="001E5FCF"/>
    <w:rsid w:val="001E602D"/>
    <w:rsid w:val="001E613D"/>
    <w:rsid w:val="001E61C3"/>
    <w:rsid w:val="001E624F"/>
    <w:rsid w:val="001E6331"/>
    <w:rsid w:val="001E640E"/>
    <w:rsid w:val="001E65A8"/>
    <w:rsid w:val="001E65B4"/>
    <w:rsid w:val="001E69BA"/>
    <w:rsid w:val="001E6AD1"/>
    <w:rsid w:val="001E6B3B"/>
    <w:rsid w:val="001E6B5C"/>
    <w:rsid w:val="001E6BC3"/>
    <w:rsid w:val="001E7169"/>
    <w:rsid w:val="001E71A8"/>
    <w:rsid w:val="001E7228"/>
    <w:rsid w:val="001E7264"/>
    <w:rsid w:val="001E72CC"/>
    <w:rsid w:val="001E7432"/>
    <w:rsid w:val="001E76F2"/>
    <w:rsid w:val="001E7BEA"/>
    <w:rsid w:val="001E7C67"/>
    <w:rsid w:val="001F0046"/>
    <w:rsid w:val="001F017C"/>
    <w:rsid w:val="001F023A"/>
    <w:rsid w:val="001F03AA"/>
    <w:rsid w:val="001F0502"/>
    <w:rsid w:val="001F054A"/>
    <w:rsid w:val="001F0593"/>
    <w:rsid w:val="001F05CE"/>
    <w:rsid w:val="001F067C"/>
    <w:rsid w:val="001F070D"/>
    <w:rsid w:val="001F08C1"/>
    <w:rsid w:val="001F0A81"/>
    <w:rsid w:val="001F0DEF"/>
    <w:rsid w:val="001F0F1D"/>
    <w:rsid w:val="001F1054"/>
    <w:rsid w:val="001F1117"/>
    <w:rsid w:val="001F1489"/>
    <w:rsid w:val="001F148A"/>
    <w:rsid w:val="001F1609"/>
    <w:rsid w:val="001F174E"/>
    <w:rsid w:val="001F1768"/>
    <w:rsid w:val="001F1A67"/>
    <w:rsid w:val="001F1B70"/>
    <w:rsid w:val="001F1EFD"/>
    <w:rsid w:val="001F1F12"/>
    <w:rsid w:val="001F1FA0"/>
    <w:rsid w:val="001F2020"/>
    <w:rsid w:val="001F20C3"/>
    <w:rsid w:val="001F2100"/>
    <w:rsid w:val="001F2141"/>
    <w:rsid w:val="001F21E2"/>
    <w:rsid w:val="001F23B6"/>
    <w:rsid w:val="001F2536"/>
    <w:rsid w:val="001F2612"/>
    <w:rsid w:val="001F27BC"/>
    <w:rsid w:val="001F2886"/>
    <w:rsid w:val="001F28BC"/>
    <w:rsid w:val="001F2926"/>
    <w:rsid w:val="001F2D50"/>
    <w:rsid w:val="001F2DEC"/>
    <w:rsid w:val="001F2DF9"/>
    <w:rsid w:val="001F30A3"/>
    <w:rsid w:val="001F3122"/>
    <w:rsid w:val="001F3248"/>
    <w:rsid w:val="001F32B6"/>
    <w:rsid w:val="001F3491"/>
    <w:rsid w:val="001F34C2"/>
    <w:rsid w:val="001F35CF"/>
    <w:rsid w:val="001F380A"/>
    <w:rsid w:val="001F3950"/>
    <w:rsid w:val="001F3A14"/>
    <w:rsid w:val="001F3C5B"/>
    <w:rsid w:val="001F3C62"/>
    <w:rsid w:val="001F3D46"/>
    <w:rsid w:val="001F3DB3"/>
    <w:rsid w:val="001F3FBE"/>
    <w:rsid w:val="001F43E9"/>
    <w:rsid w:val="001F45A6"/>
    <w:rsid w:val="001F4634"/>
    <w:rsid w:val="001F465D"/>
    <w:rsid w:val="001F486C"/>
    <w:rsid w:val="001F4964"/>
    <w:rsid w:val="001F4ADD"/>
    <w:rsid w:val="001F4B72"/>
    <w:rsid w:val="001F4FE3"/>
    <w:rsid w:val="001F51AB"/>
    <w:rsid w:val="001F5321"/>
    <w:rsid w:val="001F53E2"/>
    <w:rsid w:val="001F544F"/>
    <w:rsid w:val="001F5478"/>
    <w:rsid w:val="001F5515"/>
    <w:rsid w:val="001F57E0"/>
    <w:rsid w:val="001F5852"/>
    <w:rsid w:val="001F5A8F"/>
    <w:rsid w:val="001F5B22"/>
    <w:rsid w:val="001F5F63"/>
    <w:rsid w:val="001F6191"/>
    <w:rsid w:val="001F6356"/>
    <w:rsid w:val="001F64F9"/>
    <w:rsid w:val="001F67CC"/>
    <w:rsid w:val="001F683C"/>
    <w:rsid w:val="001F6A9C"/>
    <w:rsid w:val="001F6BFA"/>
    <w:rsid w:val="001F6D43"/>
    <w:rsid w:val="001F6EF5"/>
    <w:rsid w:val="001F6F63"/>
    <w:rsid w:val="001F70C3"/>
    <w:rsid w:val="001F71A4"/>
    <w:rsid w:val="001F73D1"/>
    <w:rsid w:val="001F7466"/>
    <w:rsid w:val="001F74C4"/>
    <w:rsid w:val="001F7719"/>
    <w:rsid w:val="001F780D"/>
    <w:rsid w:val="001F786B"/>
    <w:rsid w:val="001F79B6"/>
    <w:rsid w:val="001F7B0A"/>
    <w:rsid w:val="001F7DDF"/>
    <w:rsid w:val="001F7E99"/>
    <w:rsid w:val="001F7E9E"/>
    <w:rsid w:val="001F7FE2"/>
    <w:rsid w:val="002000EE"/>
    <w:rsid w:val="00200461"/>
    <w:rsid w:val="00200560"/>
    <w:rsid w:val="0020056A"/>
    <w:rsid w:val="002008EB"/>
    <w:rsid w:val="00200B96"/>
    <w:rsid w:val="00200BD2"/>
    <w:rsid w:val="00200C13"/>
    <w:rsid w:val="00200C86"/>
    <w:rsid w:val="00200CBC"/>
    <w:rsid w:val="00200D78"/>
    <w:rsid w:val="00200DD8"/>
    <w:rsid w:val="00200E1A"/>
    <w:rsid w:val="00201240"/>
    <w:rsid w:val="00201283"/>
    <w:rsid w:val="002012D9"/>
    <w:rsid w:val="0020158F"/>
    <w:rsid w:val="00201632"/>
    <w:rsid w:val="00201673"/>
    <w:rsid w:val="00201796"/>
    <w:rsid w:val="002018D1"/>
    <w:rsid w:val="00201A2F"/>
    <w:rsid w:val="00201B91"/>
    <w:rsid w:val="00201FB3"/>
    <w:rsid w:val="00202300"/>
    <w:rsid w:val="00202324"/>
    <w:rsid w:val="00202557"/>
    <w:rsid w:val="00202906"/>
    <w:rsid w:val="00202B11"/>
    <w:rsid w:val="00202D04"/>
    <w:rsid w:val="00202EF8"/>
    <w:rsid w:val="00202F45"/>
    <w:rsid w:val="0020332B"/>
    <w:rsid w:val="0020347C"/>
    <w:rsid w:val="0020352E"/>
    <w:rsid w:val="00203553"/>
    <w:rsid w:val="00203702"/>
    <w:rsid w:val="00203871"/>
    <w:rsid w:val="00203C43"/>
    <w:rsid w:val="00203ECC"/>
    <w:rsid w:val="00203F4A"/>
    <w:rsid w:val="00204011"/>
    <w:rsid w:val="002041BD"/>
    <w:rsid w:val="00204252"/>
    <w:rsid w:val="002044A2"/>
    <w:rsid w:val="00204599"/>
    <w:rsid w:val="00204607"/>
    <w:rsid w:val="002049BC"/>
    <w:rsid w:val="00204B75"/>
    <w:rsid w:val="00204C59"/>
    <w:rsid w:val="00204C63"/>
    <w:rsid w:val="00204D01"/>
    <w:rsid w:val="00204D1C"/>
    <w:rsid w:val="00204E2F"/>
    <w:rsid w:val="00204E3F"/>
    <w:rsid w:val="00204EC4"/>
    <w:rsid w:val="00204FA7"/>
    <w:rsid w:val="00205078"/>
    <w:rsid w:val="00205225"/>
    <w:rsid w:val="0020528B"/>
    <w:rsid w:val="002055A0"/>
    <w:rsid w:val="002055CF"/>
    <w:rsid w:val="00205640"/>
    <w:rsid w:val="00205647"/>
    <w:rsid w:val="002056C2"/>
    <w:rsid w:val="002058A0"/>
    <w:rsid w:val="00205B2D"/>
    <w:rsid w:val="00205BF4"/>
    <w:rsid w:val="00205C41"/>
    <w:rsid w:val="00205D08"/>
    <w:rsid w:val="00205D0C"/>
    <w:rsid w:val="00205DDE"/>
    <w:rsid w:val="00205E72"/>
    <w:rsid w:val="00205F81"/>
    <w:rsid w:val="0020604E"/>
    <w:rsid w:val="002063CE"/>
    <w:rsid w:val="00206655"/>
    <w:rsid w:val="002067F6"/>
    <w:rsid w:val="002068E2"/>
    <w:rsid w:val="00206ABC"/>
    <w:rsid w:val="00206C02"/>
    <w:rsid w:val="00206D70"/>
    <w:rsid w:val="00206E13"/>
    <w:rsid w:val="002070A0"/>
    <w:rsid w:val="002070AC"/>
    <w:rsid w:val="00207200"/>
    <w:rsid w:val="0020735F"/>
    <w:rsid w:val="00207548"/>
    <w:rsid w:val="002075D8"/>
    <w:rsid w:val="00207A81"/>
    <w:rsid w:val="00207B30"/>
    <w:rsid w:val="00207C55"/>
    <w:rsid w:val="00207DD8"/>
    <w:rsid w:val="00207DEA"/>
    <w:rsid w:val="00207E02"/>
    <w:rsid w:val="00210174"/>
    <w:rsid w:val="0021018D"/>
    <w:rsid w:val="002101C7"/>
    <w:rsid w:val="002101F5"/>
    <w:rsid w:val="0021039D"/>
    <w:rsid w:val="002104FA"/>
    <w:rsid w:val="002108B9"/>
    <w:rsid w:val="00210BAE"/>
    <w:rsid w:val="00210CD2"/>
    <w:rsid w:val="00210E51"/>
    <w:rsid w:val="00210FE8"/>
    <w:rsid w:val="00211260"/>
    <w:rsid w:val="00211394"/>
    <w:rsid w:val="002113FC"/>
    <w:rsid w:val="0021152D"/>
    <w:rsid w:val="0021168F"/>
    <w:rsid w:val="002116A3"/>
    <w:rsid w:val="00211944"/>
    <w:rsid w:val="002120FF"/>
    <w:rsid w:val="00212117"/>
    <w:rsid w:val="002121FF"/>
    <w:rsid w:val="00212371"/>
    <w:rsid w:val="002124CB"/>
    <w:rsid w:val="0021268A"/>
    <w:rsid w:val="002128B1"/>
    <w:rsid w:val="002129B1"/>
    <w:rsid w:val="00212C14"/>
    <w:rsid w:val="00213035"/>
    <w:rsid w:val="002133C5"/>
    <w:rsid w:val="002133CA"/>
    <w:rsid w:val="00213546"/>
    <w:rsid w:val="00213759"/>
    <w:rsid w:val="00213C78"/>
    <w:rsid w:val="00213E3A"/>
    <w:rsid w:val="00213F86"/>
    <w:rsid w:val="00214190"/>
    <w:rsid w:val="002143B1"/>
    <w:rsid w:val="002143D7"/>
    <w:rsid w:val="00214480"/>
    <w:rsid w:val="00214559"/>
    <w:rsid w:val="00214647"/>
    <w:rsid w:val="002148FE"/>
    <w:rsid w:val="00214963"/>
    <w:rsid w:val="00214B46"/>
    <w:rsid w:val="00214C15"/>
    <w:rsid w:val="00214D95"/>
    <w:rsid w:val="00214E29"/>
    <w:rsid w:val="00214F0C"/>
    <w:rsid w:val="002150D8"/>
    <w:rsid w:val="00215251"/>
    <w:rsid w:val="00215290"/>
    <w:rsid w:val="0021554C"/>
    <w:rsid w:val="00215585"/>
    <w:rsid w:val="002155B6"/>
    <w:rsid w:val="002157D1"/>
    <w:rsid w:val="00215843"/>
    <w:rsid w:val="00215863"/>
    <w:rsid w:val="00215F2F"/>
    <w:rsid w:val="00215FBF"/>
    <w:rsid w:val="0021605D"/>
    <w:rsid w:val="002160BC"/>
    <w:rsid w:val="00216120"/>
    <w:rsid w:val="0021621D"/>
    <w:rsid w:val="00216505"/>
    <w:rsid w:val="002165A8"/>
    <w:rsid w:val="0021690F"/>
    <w:rsid w:val="00216A4D"/>
    <w:rsid w:val="00216ADB"/>
    <w:rsid w:val="00216B24"/>
    <w:rsid w:val="00216F30"/>
    <w:rsid w:val="0021700E"/>
    <w:rsid w:val="00217020"/>
    <w:rsid w:val="002170C3"/>
    <w:rsid w:val="002172A7"/>
    <w:rsid w:val="002172F7"/>
    <w:rsid w:val="002173C4"/>
    <w:rsid w:val="00217509"/>
    <w:rsid w:val="002175AE"/>
    <w:rsid w:val="00217984"/>
    <w:rsid w:val="00217A9A"/>
    <w:rsid w:val="00217BF0"/>
    <w:rsid w:val="00217DA4"/>
    <w:rsid w:val="00217EB1"/>
    <w:rsid w:val="00220290"/>
    <w:rsid w:val="00220358"/>
    <w:rsid w:val="002207D9"/>
    <w:rsid w:val="00220AA4"/>
    <w:rsid w:val="00220E7C"/>
    <w:rsid w:val="0022166C"/>
    <w:rsid w:val="002216C2"/>
    <w:rsid w:val="002218B1"/>
    <w:rsid w:val="0022197D"/>
    <w:rsid w:val="00221B0A"/>
    <w:rsid w:val="00221B76"/>
    <w:rsid w:val="00221B95"/>
    <w:rsid w:val="00221BF0"/>
    <w:rsid w:val="00221C34"/>
    <w:rsid w:val="00221C56"/>
    <w:rsid w:val="00221C8C"/>
    <w:rsid w:val="00221D95"/>
    <w:rsid w:val="00221EF2"/>
    <w:rsid w:val="00221F2B"/>
    <w:rsid w:val="0022203E"/>
    <w:rsid w:val="00222124"/>
    <w:rsid w:val="002221B4"/>
    <w:rsid w:val="00222209"/>
    <w:rsid w:val="0022221B"/>
    <w:rsid w:val="00222323"/>
    <w:rsid w:val="00222352"/>
    <w:rsid w:val="00222412"/>
    <w:rsid w:val="0022241B"/>
    <w:rsid w:val="0022242A"/>
    <w:rsid w:val="00222608"/>
    <w:rsid w:val="00222B2A"/>
    <w:rsid w:val="00222B89"/>
    <w:rsid w:val="00222EB8"/>
    <w:rsid w:val="00223097"/>
    <w:rsid w:val="00223139"/>
    <w:rsid w:val="002231C0"/>
    <w:rsid w:val="00223446"/>
    <w:rsid w:val="002234BA"/>
    <w:rsid w:val="00223835"/>
    <w:rsid w:val="00223868"/>
    <w:rsid w:val="002238C4"/>
    <w:rsid w:val="002238F1"/>
    <w:rsid w:val="00223A2B"/>
    <w:rsid w:val="00223AF7"/>
    <w:rsid w:val="00223B0F"/>
    <w:rsid w:val="00223DBF"/>
    <w:rsid w:val="00223F53"/>
    <w:rsid w:val="0022402C"/>
    <w:rsid w:val="00224468"/>
    <w:rsid w:val="00224588"/>
    <w:rsid w:val="002245F6"/>
    <w:rsid w:val="00224684"/>
    <w:rsid w:val="0022493C"/>
    <w:rsid w:val="00225087"/>
    <w:rsid w:val="002251B7"/>
    <w:rsid w:val="0022543F"/>
    <w:rsid w:val="00225467"/>
    <w:rsid w:val="0022555D"/>
    <w:rsid w:val="0022557A"/>
    <w:rsid w:val="0022565B"/>
    <w:rsid w:val="00225891"/>
    <w:rsid w:val="00225B7A"/>
    <w:rsid w:val="00225C03"/>
    <w:rsid w:val="00225C2C"/>
    <w:rsid w:val="00225C46"/>
    <w:rsid w:val="00225C8B"/>
    <w:rsid w:val="00225CB8"/>
    <w:rsid w:val="00225FB4"/>
    <w:rsid w:val="002260C0"/>
    <w:rsid w:val="0022612A"/>
    <w:rsid w:val="0022618A"/>
    <w:rsid w:val="0022668D"/>
    <w:rsid w:val="002266CA"/>
    <w:rsid w:val="002266D7"/>
    <w:rsid w:val="00226D6C"/>
    <w:rsid w:val="00226DAE"/>
    <w:rsid w:val="00226E01"/>
    <w:rsid w:val="0022713B"/>
    <w:rsid w:val="00227307"/>
    <w:rsid w:val="0022740D"/>
    <w:rsid w:val="00227433"/>
    <w:rsid w:val="0022754C"/>
    <w:rsid w:val="00227B5E"/>
    <w:rsid w:val="00227C71"/>
    <w:rsid w:val="00227DD8"/>
    <w:rsid w:val="002301C1"/>
    <w:rsid w:val="0023048D"/>
    <w:rsid w:val="00230721"/>
    <w:rsid w:val="002307F2"/>
    <w:rsid w:val="00230C0F"/>
    <w:rsid w:val="00230DEA"/>
    <w:rsid w:val="00230E00"/>
    <w:rsid w:val="00230F4D"/>
    <w:rsid w:val="0023114B"/>
    <w:rsid w:val="002316AB"/>
    <w:rsid w:val="00231703"/>
    <w:rsid w:val="0023171F"/>
    <w:rsid w:val="00231821"/>
    <w:rsid w:val="002318FD"/>
    <w:rsid w:val="00231C34"/>
    <w:rsid w:val="00231E9A"/>
    <w:rsid w:val="00231F01"/>
    <w:rsid w:val="00231FDD"/>
    <w:rsid w:val="00232374"/>
    <w:rsid w:val="002324A1"/>
    <w:rsid w:val="002324FE"/>
    <w:rsid w:val="00232510"/>
    <w:rsid w:val="002325B1"/>
    <w:rsid w:val="002326E5"/>
    <w:rsid w:val="0023279E"/>
    <w:rsid w:val="002327F6"/>
    <w:rsid w:val="002328C1"/>
    <w:rsid w:val="00232923"/>
    <w:rsid w:val="0023297B"/>
    <w:rsid w:val="00232A86"/>
    <w:rsid w:val="00232B67"/>
    <w:rsid w:val="00232BA8"/>
    <w:rsid w:val="00232C44"/>
    <w:rsid w:val="00232C49"/>
    <w:rsid w:val="00232DD0"/>
    <w:rsid w:val="002330B1"/>
    <w:rsid w:val="002330C4"/>
    <w:rsid w:val="0023318D"/>
    <w:rsid w:val="00233682"/>
    <w:rsid w:val="002337D3"/>
    <w:rsid w:val="0023389F"/>
    <w:rsid w:val="00233973"/>
    <w:rsid w:val="00233992"/>
    <w:rsid w:val="00233ABF"/>
    <w:rsid w:val="00233B14"/>
    <w:rsid w:val="00233D62"/>
    <w:rsid w:val="00233D68"/>
    <w:rsid w:val="00233F7C"/>
    <w:rsid w:val="0023441F"/>
    <w:rsid w:val="0023447E"/>
    <w:rsid w:val="00234535"/>
    <w:rsid w:val="00234656"/>
    <w:rsid w:val="002346BE"/>
    <w:rsid w:val="00234848"/>
    <w:rsid w:val="0023488D"/>
    <w:rsid w:val="00234B36"/>
    <w:rsid w:val="00234CAF"/>
    <w:rsid w:val="00234CDE"/>
    <w:rsid w:val="00234DA8"/>
    <w:rsid w:val="00234E5E"/>
    <w:rsid w:val="00234F5A"/>
    <w:rsid w:val="002351A9"/>
    <w:rsid w:val="002351D9"/>
    <w:rsid w:val="0023539A"/>
    <w:rsid w:val="0023568C"/>
    <w:rsid w:val="00235770"/>
    <w:rsid w:val="0023581A"/>
    <w:rsid w:val="002359B2"/>
    <w:rsid w:val="002359C8"/>
    <w:rsid w:val="00235A93"/>
    <w:rsid w:val="00235AA9"/>
    <w:rsid w:val="00235C35"/>
    <w:rsid w:val="00235E23"/>
    <w:rsid w:val="00235E56"/>
    <w:rsid w:val="00235F1A"/>
    <w:rsid w:val="00235F91"/>
    <w:rsid w:val="00235F95"/>
    <w:rsid w:val="00235FC3"/>
    <w:rsid w:val="002360F1"/>
    <w:rsid w:val="00236163"/>
    <w:rsid w:val="0023640A"/>
    <w:rsid w:val="0023660F"/>
    <w:rsid w:val="002366A9"/>
    <w:rsid w:val="0023699E"/>
    <w:rsid w:val="00236BF6"/>
    <w:rsid w:val="00236C20"/>
    <w:rsid w:val="00236E04"/>
    <w:rsid w:val="00236E20"/>
    <w:rsid w:val="00236E4F"/>
    <w:rsid w:val="00236FD1"/>
    <w:rsid w:val="002377B6"/>
    <w:rsid w:val="0023789F"/>
    <w:rsid w:val="00237900"/>
    <w:rsid w:val="002379A1"/>
    <w:rsid w:val="00237A90"/>
    <w:rsid w:val="00237AE2"/>
    <w:rsid w:val="00237EEB"/>
    <w:rsid w:val="00237FA6"/>
    <w:rsid w:val="00237FD3"/>
    <w:rsid w:val="00237FEB"/>
    <w:rsid w:val="002401C3"/>
    <w:rsid w:val="002402F7"/>
    <w:rsid w:val="00240553"/>
    <w:rsid w:val="0024081B"/>
    <w:rsid w:val="00240887"/>
    <w:rsid w:val="00240954"/>
    <w:rsid w:val="00240B6B"/>
    <w:rsid w:val="00240C97"/>
    <w:rsid w:val="00240F50"/>
    <w:rsid w:val="00241196"/>
    <w:rsid w:val="002412FA"/>
    <w:rsid w:val="00241532"/>
    <w:rsid w:val="002415A5"/>
    <w:rsid w:val="00241658"/>
    <w:rsid w:val="002417F3"/>
    <w:rsid w:val="002418D3"/>
    <w:rsid w:val="00241C40"/>
    <w:rsid w:val="00241C69"/>
    <w:rsid w:val="00241DC2"/>
    <w:rsid w:val="00241ECE"/>
    <w:rsid w:val="00241FCB"/>
    <w:rsid w:val="00241FEE"/>
    <w:rsid w:val="0024211C"/>
    <w:rsid w:val="002421C5"/>
    <w:rsid w:val="00242474"/>
    <w:rsid w:val="00242530"/>
    <w:rsid w:val="002427D1"/>
    <w:rsid w:val="002427FB"/>
    <w:rsid w:val="0024288E"/>
    <w:rsid w:val="002428BC"/>
    <w:rsid w:val="00242921"/>
    <w:rsid w:val="00242A5D"/>
    <w:rsid w:val="0024316F"/>
    <w:rsid w:val="002431DD"/>
    <w:rsid w:val="00243344"/>
    <w:rsid w:val="0024361F"/>
    <w:rsid w:val="00243705"/>
    <w:rsid w:val="002439CC"/>
    <w:rsid w:val="00243B97"/>
    <w:rsid w:val="00243BE0"/>
    <w:rsid w:val="00243BF1"/>
    <w:rsid w:val="00243CB3"/>
    <w:rsid w:val="00243F40"/>
    <w:rsid w:val="00244366"/>
    <w:rsid w:val="00244412"/>
    <w:rsid w:val="0024446F"/>
    <w:rsid w:val="002444E9"/>
    <w:rsid w:val="00244510"/>
    <w:rsid w:val="0024455E"/>
    <w:rsid w:val="00244996"/>
    <w:rsid w:val="00244C98"/>
    <w:rsid w:val="00244C9C"/>
    <w:rsid w:val="00244EEC"/>
    <w:rsid w:val="00244F8E"/>
    <w:rsid w:val="0024504A"/>
    <w:rsid w:val="0024504B"/>
    <w:rsid w:val="002450B6"/>
    <w:rsid w:val="002454B0"/>
    <w:rsid w:val="00245702"/>
    <w:rsid w:val="0024578D"/>
    <w:rsid w:val="0024582A"/>
    <w:rsid w:val="0024583A"/>
    <w:rsid w:val="00245A33"/>
    <w:rsid w:val="00245A5F"/>
    <w:rsid w:val="00245BB8"/>
    <w:rsid w:val="00245BE1"/>
    <w:rsid w:val="00245E0B"/>
    <w:rsid w:val="00245F50"/>
    <w:rsid w:val="002460E4"/>
    <w:rsid w:val="0024615C"/>
    <w:rsid w:val="00246407"/>
    <w:rsid w:val="00246462"/>
    <w:rsid w:val="002468AE"/>
    <w:rsid w:val="00246B6A"/>
    <w:rsid w:val="00246C2D"/>
    <w:rsid w:val="00246D84"/>
    <w:rsid w:val="00246DB8"/>
    <w:rsid w:val="00246EAD"/>
    <w:rsid w:val="00246EE2"/>
    <w:rsid w:val="00247129"/>
    <w:rsid w:val="0024712B"/>
    <w:rsid w:val="002471B3"/>
    <w:rsid w:val="002471D0"/>
    <w:rsid w:val="002472E0"/>
    <w:rsid w:val="002474CC"/>
    <w:rsid w:val="0024762C"/>
    <w:rsid w:val="00247712"/>
    <w:rsid w:val="002478D3"/>
    <w:rsid w:val="002478FC"/>
    <w:rsid w:val="00247914"/>
    <w:rsid w:val="002479F0"/>
    <w:rsid w:val="00247B82"/>
    <w:rsid w:val="00247C79"/>
    <w:rsid w:val="00247CA3"/>
    <w:rsid w:val="00247D1A"/>
    <w:rsid w:val="00247DFC"/>
    <w:rsid w:val="00247E3F"/>
    <w:rsid w:val="00247E84"/>
    <w:rsid w:val="00250043"/>
    <w:rsid w:val="002501B8"/>
    <w:rsid w:val="0025021F"/>
    <w:rsid w:val="00250384"/>
    <w:rsid w:val="002503B1"/>
    <w:rsid w:val="002504A1"/>
    <w:rsid w:val="002504C5"/>
    <w:rsid w:val="00250577"/>
    <w:rsid w:val="002505B4"/>
    <w:rsid w:val="00250821"/>
    <w:rsid w:val="00250ACA"/>
    <w:rsid w:val="00250B2E"/>
    <w:rsid w:val="00250B66"/>
    <w:rsid w:val="00250C26"/>
    <w:rsid w:val="00250CB4"/>
    <w:rsid w:val="00251114"/>
    <w:rsid w:val="00251223"/>
    <w:rsid w:val="002513A5"/>
    <w:rsid w:val="0025141B"/>
    <w:rsid w:val="0025158F"/>
    <w:rsid w:val="00251597"/>
    <w:rsid w:val="002515EB"/>
    <w:rsid w:val="002517E0"/>
    <w:rsid w:val="00251818"/>
    <w:rsid w:val="00251951"/>
    <w:rsid w:val="00251B7C"/>
    <w:rsid w:val="00251CC2"/>
    <w:rsid w:val="00251F21"/>
    <w:rsid w:val="00252205"/>
    <w:rsid w:val="00252270"/>
    <w:rsid w:val="002523A8"/>
    <w:rsid w:val="002523F0"/>
    <w:rsid w:val="002524A4"/>
    <w:rsid w:val="002525C5"/>
    <w:rsid w:val="0025271B"/>
    <w:rsid w:val="002527A8"/>
    <w:rsid w:val="002527C5"/>
    <w:rsid w:val="002528ED"/>
    <w:rsid w:val="00252909"/>
    <w:rsid w:val="002529C7"/>
    <w:rsid w:val="00252A70"/>
    <w:rsid w:val="00252AB4"/>
    <w:rsid w:val="00252EA6"/>
    <w:rsid w:val="002530AD"/>
    <w:rsid w:val="00253553"/>
    <w:rsid w:val="002535E8"/>
    <w:rsid w:val="002537E8"/>
    <w:rsid w:val="002539AF"/>
    <w:rsid w:val="00253CFE"/>
    <w:rsid w:val="00253D66"/>
    <w:rsid w:val="00253D6A"/>
    <w:rsid w:val="00253DB5"/>
    <w:rsid w:val="00253F30"/>
    <w:rsid w:val="00254077"/>
    <w:rsid w:val="0025411C"/>
    <w:rsid w:val="00254134"/>
    <w:rsid w:val="002541A9"/>
    <w:rsid w:val="00254502"/>
    <w:rsid w:val="00254590"/>
    <w:rsid w:val="002545F3"/>
    <w:rsid w:val="002546F9"/>
    <w:rsid w:val="00254724"/>
    <w:rsid w:val="00254801"/>
    <w:rsid w:val="002548AE"/>
    <w:rsid w:val="00254A12"/>
    <w:rsid w:val="00254A48"/>
    <w:rsid w:val="00254A94"/>
    <w:rsid w:val="00254AA4"/>
    <w:rsid w:val="00254B1B"/>
    <w:rsid w:val="00254B80"/>
    <w:rsid w:val="00254D0D"/>
    <w:rsid w:val="00254EFD"/>
    <w:rsid w:val="00254F08"/>
    <w:rsid w:val="00254F4E"/>
    <w:rsid w:val="00254F51"/>
    <w:rsid w:val="00254FB6"/>
    <w:rsid w:val="00255303"/>
    <w:rsid w:val="00255489"/>
    <w:rsid w:val="002556B7"/>
    <w:rsid w:val="0025573B"/>
    <w:rsid w:val="00255A4D"/>
    <w:rsid w:val="00255C49"/>
    <w:rsid w:val="00255C4B"/>
    <w:rsid w:val="00255DDF"/>
    <w:rsid w:val="00255E75"/>
    <w:rsid w:val="00255EF6"/>
    <w:rsid w:val="00255F47"/>
    <w:rsid w:val="00256005"/>
    <w:rsid w:val="00256392"/>
    <w:rsid w:val="00256492"/>
    <w:rsid w:val="002567FF"/>
    <w:rsid w:val="0025684A"/>
    <w:rsid w:val="002569A1"/>
    <w:rsid w:val="00256B21"/>
    <w:rsid w:val="00256BB7"/>
    <w:rsid w:val="00256CAA"/>
    <w:rsid w:val="00256DC6"/>
    <w:rsid w:val="00256E4E"/>
    <w:rsid w:val="00256F79"/>
    <w:rsid w:val="002570FB"/>
    <w:rsid w:val="00257408"/>
    <w:rsid w:val="0025741D"/>
    <w:rsid w:val="002574D8"/>
    <w:rsid w:val="00257904"/>
    <w:rsid w:val="0025795D"/>
    <w:rsid w:val="00257A0F"/>
    <w:rsid w:val="00257B1B"/>
    <w:rsid w:val="00257CF5"/>
    <w:rsid w:val="00257E0F"/>
    <w:rsid w:val="00257E61"/>
    <w:rsid w:val="00257FA8"/>
    <w:rsid w:val="00260087"/>
    <w:rsid w:val="00260299"/>
    <w:rsid w:val="002603DF"/>
    <w:rsid w:val="002603F3"/>
    <w:rsid w:val="00260522"/>
    <w:rsid w:val="00260701"/>
    <w:rsid w:val="00260BE0"/>
    <w:rsid w:val="00260F79"/>
    <w:rsid w:val="00260FC1"/>
    <w:rsid w:val="00261007"/>
    <w:rsid w:val="00261287"/>
    <w:rsid w:val="002614B7"/>
    <w:rsid w:val="00261507"/>
    <w:rsid w:val="00261563"/>
    <w:rsid w:val="0026159F"/>
    <w:rsid w:val="002619BA"/>
    <w:rsid w:val="00261A2A"/>
    <w:rsid w:val="00261AE7"/>
    <w:rsid w:val="00261BC5"/>
    <w:rsid w:val="00261C2F"/>
    <w:rsid w:val="00261D3C"/>
    <w:rsid w:val="00261E33"/>
    <w:rsid w:val="00261EA5"/>
    <w:rsid w:val="00261EDD"/>
    <w:rsid w:val="002620E2"/>
    <w:rsid w:val="00262178"/>
    <w:rsid w:val="00262291"/>
    <w:rsid w:val="0026238E"/>
    <w:rsid w:val="00262411"/>
    <w:rsid w:val="00262415"/>
    <w:rsid w:val="0026256D"/>
    <w:rsid w:val="002627AE"/>
    <w:rsid w:val="00262845"/>
    <w:rsid w:val="0026288A"/>
    <w:rsid w:val="00262A6B"/>
    <w:rsid w:val="00262B86"/>
    <w:rsid w:val="00262D57"/>
    <w:rsid w:val="00262E5D"/>
    <w:rsid w:val="00262E6E"/>
    <w:rsid w:val="00262EF9"/>
    <w:rsid w:val="002631A9"/>
    <w:rsid w:val="00263215"/>
    <w:rsid w:val="00263348"/>
    <w:rsid w:val="0026357C"/>
    <w:rsid w:val="0026368E"/>
    <w:rsid w:val="002636E0"/>
    <w:rsid w:val="0026372D"/>
    <w:rsid w:val="0026388C"/>
    <w:rsid w:val="0026395E"/>
    <w:rsid w:val="00263AE5"/>
    <w:rsid w:val="00263BAA"/>
    <w:rsid w:val="00263BDC"/>
    <w:rsid w:val="00263BF7"/>
    <w:rsid w:val="00263C2C"/>
    <w:rsid w:val="00263E7D"/>
    <w:rsid w:val="00264057"/>
    <w:rsid w:val="002640C1"/>
    <w:rsid w:val="0026416F"/>
    <w:rsid w:val="002641AA"/>
    <w:rsid w:val="002641CA"/>
    <w:rsid w:val="002641F2"/>
    <w:rsid w:val="0026421D"/>
    <w:rsid w:val="002642F0"/>
    <w:rsid w:val="002642F6"/>
    <w:rsid w:val="00264319"/>
    <w:rsid w:val="002643BD"/>
    <w:rsid w:val="0026445D"/>
    <w:rsid w:val="00264494"/>
    <w:rsid w:val="0026459D"/>
    <w:rsid w:val="002646ED"/>
    <w:rsid w:val="00264869"/>
    <w:rsid w:val="00264A46"/>
    <w:rsid w:val="00264B3D"/>
    <w:rsid w:val="00264C92"/>
    <w:rsid w:val="00264D1E"/>
    <w:rsid w:val="00264D2E"/>
    <w:rsid w:val="00264D87"/>
    <w:rsid w:val="00264FB4"/>
    <w:rsid w:val="00264FE8"/>
    <w:rsid w:val="00265063"/>
    <w:rsid w:val="002650B8"/>
    <w:rsid w:val="00265209"/>
    <w:rsid w:val="0026543D"/>
    <w:rsid w:val="00265516"/>
    <w:rsid w:val="002655DF"/>
    <w:rsid w:val="002655EA"/>
    <w:rsid w:val="002656F2"/>
    <w:rsid w:val="0026574F"/>
    <w:rsid w:val="00265884"/>
    <w:rsid w:val="002658AC"/>
    <w:rsid w:val="002659B7"/>
    <w:rsid w:val="00265ADB"/>
    <w:rsid w:val="00265AE5"/>
    <w:rsid w:val="00265BC1"/>
    <w:rsid w:val="00265C07"/>
    <w:rsid w:val="00265D36"/>
    <w:rsid w:val="00265D42"/>
    <w:rsid w:val="00265D47"/>
    <w:rsid w:val="00265DEA"/>
    <w:rsid w:val="002660A1"/>
    <w:rsid w:val="00266258"/>
    <w:rsid w:val="002663EB"/>
    <w:rsid w:val="00266416"/>
    <w:rsid w:val="0026650D"/>
    <w:rsid w:val="00266680"/>
    <w:rsid w:val="002666CD"/>
    <w:rsid w:val="00266736"/>
    <w:rsid w:val="0026678C"/>
    <w:rsid w:val="002668F7"/>
    <w:rsid w:val="00266948"/>
    <w:rsid w:val="00266B4E"/>
    <w:rsid w:val="00266B9E"/>
    <w:rsid w:val="00266C7F"/>
    <w:rsid w:val="00266CEB"/>
    <w:rsid w:val="00266CFA"/>
    <w:rsid w:val="00267037"/>
    <w:rsid w:val="00267074"/>
    <w:rsid w:val="002670B2"/>
    <w:rsid w:val="002671FB"/>
    <w:rsid w:val="002673D9"/>
    <w:rsid w:val="0026742B"/>
    <w:rsid w:val="0026744D"/>
    <w:rsid w:val="002675B0"/>
    <w:rsid w:val="002675C7"/>
    <w:rsid w:val="00267850"/>
    <w:rsid w:val="00267950"/>
    <w:rsid w:val="00267B57"/>
    <w:rsid w:val="00267DE6"/>
    <w:rsid w:val="00267E65"/>
    <w:rsid w:val="00267E99"/>
    <w:rsid w:val="00267ED9"/>
    <w:rsid w:val="00267F49"/>
    <w:rsid w:val="00267F7F"/>
    <w:rsid w:val="00267FCB"/>
    <w:rsid w:val="00267FDE"/>
    <w:rsid w:val="002700FD"/>
    <w:rsid w:val="0027015F"/>
    <w:rsid w:val="002702B4"/>
    <w:rsid w:val="00270342"/>
    <w:rsid w:val="0027037A"/>
    <w:rsid w:val="00270512"/>
    <w:rsid w:val="0027066C"/>
    <w:rsid w:val="0027078E"/>
    <w:rsid w:val="002707FE"/>
    <w:rsid w:val="0027082F"/>
    <w:rsid w:val="00270989"/>
    <w:rsid w:val="00270C1E"/>
    <w:rsid w:val="00270C3E"/>
    <w:rsid w:val="00270C77"/>
    <w:rsid w:val="00270C86"/>
    <w:rsid w:val="00270E79"/>
    <w:rsid w:val="0027102E"/>
    <w:rsid w:val="0027118A"/>
    <w:rsid w:val="00271314"/>
    <w:rsid w:val="002715BD"/>
    <w:rsid w:val="002716A0"/>
    <w:rsid w:val="002718A1"/>
    <w:rsid w:val="00271AA1"/>
    <w:rsid w:val="00271C00"/>
    <w:rsid w:val="00271D7C"/>
    <w:rsid w:val="00271F68"/>
    <w:rsid w:val="00271F82"/>
    <w:rsid w:val="0027205B"/>
    <w:rsid w:val="00272099"/>
    <w:rsid w:val="002720D2"/>
    <w:rsid w:val="002721D4"/>
    <w:rsid w:val="002722E4"/>
    <w:rsid w:val="00272355"/>
    <w:rsid w:val="00272428"/>
    <w:rsid w:val="0027258A"/>
    <w:rsid w:val="002727D8"/>
    <w:rsid w:val="0027298B"/>
    <w:rsid w:val="00272994"/>
    <w:rsid w:val="00272D91"/>
    <w:rsid w:val="00272E2F"/>
    <w:rsid w:val="00272E3E"/>
    <w:rsid w:val="00272E6E"/>
    <w:rsid w:val="00273024"/>
    <w:rsid w:val="0027337C"/>
    <w:rsid w:val="00273476"/>
    <w:rsid w:val="00273642"/>
    <w:rsid w:val="00273893"/>
    <w:rsid w:val="002739F2"/>
    <w:rsid w:val="00273A3A"/>
    <w:rsid w:val="00273A57"/>
    <w:rsid w:val="00273B0C"/>
    <w:rsid w:val="00273BBD"/>
    <w:rsid w:val="00273CAC"/>
    <w:rsid w:val="00273D4A"/>
    <w:rsid w:val="00273D6D"/>
    <w:rsid w:val="00273DE5"/>
    <w:rsid w:val="00273F4E"/>
    <w:rsid w:val="00273FB4"/>
    <w:rsid w:val="002740FA"/>
    <w:rsid w:val="002741A5"/>
    <w:rsid w:val="0027435E"/>
    <w:rsid w:val="002746B6"/>
    <w:rsid w:val="00274D2C"/>
    <w:rsid w:val="00274E25"/>
    <w:rsid w:val="00275831"/>
    <w:rsid w:val="0027593D"/>
    <w:rsid w:val="00275AAD"/>
    <w:rsid w:val="00275BE6"/>
    <w:rsid w:val="00275CF6"/>
    <w:rsid w:val="00275E35"/>
    <w:rsid w:val="00275F0B"/>
    <w:rsid w:val="00275F93"/>
    <w:rsid w:val="002761AC"/>
    <w:rsid w:val="002761B4"/>
    <w:rsid w:val="002761DD"/>
    <w:rsid w:val="0027645D"/>
    <w:rsid w:val="002765C0"/>
    <w:rsid w:val="002768E3"/>
    <w:rsid w:val="002768EE"/>
    <w:rsid w:val="00276AF4"/>
    <w:rsid w:val="00276BDD"/>
    <w:rsid w:val="00276CEB"/>
    <w:rsid w:val="00276D86"/>
    <w:rsid w:val="00276DB3"/>
    <w:rsid w:val="00277135"/>
    <w:rsid w:val="0027713F"/>
    <w:rsid w:val="00277226"/>
    <w:rsid w:val="00277272"/>
    <w:rsid w:val="002772AD"/>
    <w:rsid w:val="00277427"/>
    <w:rsid w:val="002775BF"/>
    <w:rsid w:val="00277720"/>
    <w:rsid w:val="002777F7"/>
    <w:rsid w:val="00277985"/>
    <w:rsid w:val="002779B1"/>
    <w:rsid w:val="00277AB0"/>
    <w:rsid w:val="00277B06"/>
    <w:rsid w:val="00277BC8"/>
    <w:rsid w:val="00277C46"/>
    <w:rsid w:val="00277C72"/>
    <w:rsid w:val="00277D5E"/>
    <w:rsid w:val="00277E9C"/>
    <w:rsid w:val="00277ECD"/>
    <w:rsid w:val="00277F69"/>
    <w:rsid w:val="00277FCC"/>
    <w:rsid w:val="00280122"/>
    <w:rsid w:val="00280225"/>
    <w:rsid w:val="0028022C"/>
    <w:rsid w:val="002802E9"/>
    <w:rsid w:val="00280426"/>
    <w:rsid w:val="00280577"/>
    <w:rsid w:val="00280659"/>
    <w:rsid w:val="0028098B"/>
    <w:rsid w:val="00280A34"/>
    <w:rsid w:val="00280A9B"/>
    <w:rsid w:val="00280DD1"/>
    <w:rsid w:val="00280E29"/>
    <w:rsid w:val="00280EC3"/>
    <w:rsid w:val="00280ECC"/>
    <w:rsid w:val="00280EDD"/>
    <w:rsid w:val="0028126B"/>
    <w:rsid w:val="002812A9"/>
    <w:rsid w:val="0028143A"/>
    <w:rsid w:val="002816E0"/>
    <w:rsid w:val="002819CD"/>
    <w:rsid w:val="00281E79"/>
    <w:rsid w:val="00282082"/>
    <w:rsid w:val="00282089"/>
    <w:rsid w:val="0028208C"/>
    <w:rsid w:val="00282176"/>
    <w:rsid w:val="002821D1"/>
    <w:rsid w:val="0028229B"/>
    <w:rsid w:val="0028236C"/>
    <w:rsid w:val="00282384"/>
    <w:rsid w:val="0028266C"/>
    <w:rsid w:val="00282843"/>
    <w:rsid w:val="00282855"/>
    <w:rsid w:val="0028292C"/>
    <w:rsid w:val="002829A6"/>
    <w:rsid w:val="00282CBA"/>
    <w:rsid w:val="00282F34"/>
    <w:rsid w:val="00282F40"/>
    <w:rsid w:val="00283153"/>
    <w:rsid w:val="00283178"/>
    <w:rsid w:val="00283284"/>
    <w:rsid w:val="0028332E"/>
    <w:rsid w:val="002833F8"/>
    <w:rsid w:val="002834C5"/>
    <w:rsid w:val="00283531"/>
    <w:rsid w:val="002838B2"/>
    <w:rsid w:val="00283E4A"/>
    <w:rsid w:val="00283F70"/>
    <w:rsid w:val="0028410C"/>
    <w:rsid w:val="00284376"/>
    <w:rsid w:val="002843B1"/>
    <w:rsid w:val="0028461B"/>
    <w:rsid w:val="0028467F"/>
    <w:rsid w:val="0028475A"/>
    <w:rsid w:val="0028492E"/>
    <w:rsid w:val="0028494A"/>
    <w:rsid w:val="002849B6"/>
    <w:rsid w:val="002849D7"/>
    <w:rsid w:val="00284A03"/>
    <w:rsid w:val="00284A9D"/>
    <w:rsid w:val="00284AB3"/>
    <w:rsid w:val="00284D75"/>
    <w:rsid w:val="00284DA7"/>
    <w:rsid w:val="00284DB4"/>
    <w:rsid w:val="00284E47"/>
    <w:rsid w:val="00284E6D"/>
    <w:rsid w:val="00284EFF"/>
    <w:rsid w:val="00284FD9"/>
    <w:rsid w:val="00285151"/>
    <w:rsid w:val="002851BD"/>
    <w:rsid w:val="002852AC"/>
    <w:rsid w:val="0028548D"/>
    <w:rsid w:val="002854A6"/>
    <w:rsid w:val="002854CD"/>
    <w:rsid w:val="0028572D"/>
    <w:rsid w:val="0028576F"/>
    <w:rsid w:val="0028583E"/>
    <w:rsid w:val="00285946"/>
    <w:rsid w:val="002859FE"/>
    <w:rsid w:val="00285C1F"/>
    <w:rsid w:val="00285C23"/>
    <w:rsid w:val="00285D2C"/>
    <w:rsid w:val="00286470"/>
    <w:rsid w:val="0028647F"/>
    <w:rsid w:val="002865AE"/>
    <w:rsid w:val="00286641"/>
    <w:rsid w:val="00286743"/>
    <w:rsid w:val="002867C4"/>
    <w:rsid w:val="0028692E"/>
    <w:rsid w:val="00286987"/>
    <w:rsid w:val="00286B5E"/>
    <w:rsid w:val="00286BD6"/>
    <w:rsid w:val="002871EC"/>
    <w:rsid w:val="0028738D"/>
    <w:rsid w:val="002873E8"/>
    <w:rsid w:val="0028761A"/>
    <w:rsid w:val="002877F1"/>
    <w:rsid w:val="00287B06"/>
    <w:rsid w:val="00287C1C"/>
    <w:rsid w:val="00287CFD"/>
    <w:rsid w:val="00287EF2"/>
    <w:rsid w:val="00290054"/>
    <w:rsid w:val="00290095"/>
    <w:rsid w:val="002901F5"/>
    <w:rsid w:val="00290201"/>
    <w:rsid w:val="0029020C"/>
    <w:rsid w:val="002902D8"/>
    <w:rsid w:val="002903B0"/>
    <w:rsid w:val="00290449"/>
    <w:rsid w:val="0029046E"/>
    <w:rsid w:val="002905A3"/>
    <w:rsid w:val="0029079F"/>
    <w:rsid w:val="002907A6"/>
    <w:rsid w:val="00290849"/>
    <w:rsid w:val="0029087E"/>
    <w:rsid w:val="00290997"/>
    <w:rsid w:val="00290AF8"/>
    <w:rsid w:val="00290BC6"/>
    <w:rsid w:val="00290D7B"/>
    <w:rsid w:val="002910B4"/>
    <w:rsid w:val="00291187"/>
    <w:rsid w:val="0029132C"/>
    <w:rsid w:val="00291507"/>
    <w:rsid w:val="00291559"/>
    <w:rsid w:val="0029156D"/>
    <w:rsid w:val="00291573"/>
    <w:rsid w:val="002916EF"/>
    <w:rsid w:val="00291714"/>
    <w:rsid w:val="00291826"/>
    <w:rsid w:val="00291A72"/>
    <w:rsid w:val="00291D64"/>
    <w:rsid w:val="00291EEB"/>
    <w:rsid w:val="00292111"/>
    <w:rsid w:val="0029229E"/>
    <w:rsid w:val="002922DB"/>
    <w:rsid w:val="00292477"/>
    <w:rsid w:val="002925B2"/>
    <w:rsid w:val="00292785"/>
    <w:rsid w:val="0029281D"/>
    <w:rsid w:val="002929D8"/>
    <w:rsid w:val="00292E24"/>
    <w:rsid w:val="00292E71"/>
    <w:rsid w:val="00292E85"/>
    <w:rsid w:val="00292F8A"/>
    <w:rsid w:val="00293732"/>
    <w:rsid w:val="00293A13"/>
    <w:rsid w:val="00293A19"/>
    <w:rsid w:val="00293A31"/>
    <w:rsid w:val="00293B3C"/>
    <w:rsid w:val="00293B8D"/>
    <w:rsid w:val="00293BBB"/>
    <w:rsid w:val="00293C5A"/>
    <w:rsid w:val="00293DA7"/>
    <w:rsid w:val="00294192"/>
    <w:rsid w:val="002941DA"/>
    <w:rsid w:val="00294222"/>
    <w:rsid w:val="00294251"/>
    <w:rsid w:val="00294255"/>
    <w:rsid w:val="0029440E"/>
    <w:rsid w:val="00294506"/>
    <w:rsid w:val="00294AA0"/>
    <w:rsid w:val="00294B62"/>
    <w:rsid w:val="00294BE1"/>
    <w:rsid w:val="00294BED"/>
    <w:rsid w:val="00294C19"/>
    <w:rsid w:val="00294D36"/>
    <w:rsid w:val="00294E55"/>
    <w:rsid w:val="00295017"/>
    <w:rsid w:val="00295079"/>
    <w:rsid w:val="002950DD"/>
    <w:rsid w:val="00295291"/>
    <w:rsid w:val="002953FB"/>
    <w:rsid w:val="0029563D"/>
    <w:rsid w:val="0029567F"/>
    <w:rsid w:val="0029569E"/>
    <w:rsid w:val="002957C2"/>
    <w:rsid w:val="002957EE"/>
    <w:rsid w:val="00295834"/>
    <w:rsid w:val="00295B5F"/>
    <w:rsid w:val="00295BB8"/>
    <w:rsid w:val="00295C0A"/>
    <w:rsid w:val="002961AC"/>
    <w:rsid w:val="002961F6"/>
    <w:rsid w:val="002961F7"/>
    <w:rsid w:val="00296227"/>
    <w:rsid w:val="00296272"/>
    <w:rsid w:val="00296332"/>
    <w:rsid w:val="0029643D"/>
    <w:rsid w:val="00296575"/>
    <w:rsid w:val="002966AA"/>
    <w:rsid w:val="002966B9"/>
    <w:rsid w:val="0029674A"/>
    <w:rsid w:val="002967AF"/>
    <w:rsid w:val="0029682B"/>
    <w:rsid w:val="00296D8D"/>
    <w:rsid w:val="00296E5E"/>
    <w:rsid w:val="00296F4C"/>
    <w:rsid w:val="00296F79"/>
    <w:rsid w:val="002970FC"/>
    <w:rsid w:val="0029711F"/>
    <w:rsid w:val="002972CC"/>
    <w:rsid w:val="0029736A"/>
    <w:rsid w:val="002973C9"/>
    <w:rsid w:val="0029750E"/>
    <w:rsid w:val="00297516"/>
    <w:rsid w:val="0029754F"/>
    <w:rsid w:val="002976FB"/>
    <w:rsid w:val="0029771B"/>
    <w:rsid w:val="0029780E"/>
    <w:rsid w:val="00297B0E"/>
    <w:rsid w:val="00297B4C"/>
    <w:rsid w:val="00297B78"/>
    <w:rsid w:val="00297BAE"/>
    <w:rsid w:val="00297C45"/>
    <w:rsid w:val="00297C8E"/>
    <w:rsid w:val="00297CB8"/>
    <w:rsid w:val="00297E11"/>
    <w:rsid w:val="00297ED4"/>
    <w:rsid w:val="00297F2D"/>
    <w:rsid w:val="00297FD7"/>
    <w:rsid w:val="002A0282"/>
    <w:rsid w:val="002A0510"/>
    <w:rsid w:val="002A0724"/>
    <w:rsid w:val="002A0BC3"/>
    <w:rsid w:val="002A0D7F"/>
    <w:rsid w:val="002A0FC1"/>
    <w:rsid w:val="002A100F"/>
    <w:rsid w:val="002A1076"/>
    <w:rsid w:val="002A10C8"/>
    <w:rsid w:val="002A1162"/>
    <w:rsid w:val="002A1176"/>
    <w:rsid w:val="002A1242"/>
    <w:rsid w:val="002A127A"/>
    <w:rsid w:val="002A13D1"/>
    <w:rsid w:val="002A15C7"/>
    <w:rsid w:val="002A1830"/>
    <w:rsid w:val="002A1849"/>
    <w:rsid w:val="002A1864"/>
    <w:rsid w:val="002A1A5B"/>
    <w:rsid w:val="002A1B91"/>
    <w:rsid w:val="002A1D0F"/>
    <w:rsid w:val="002A2465"/>
    <w:rsid w:val="002A25A6"/>
    <w:rsid w:val="002A27F4"/>
    <w:rsid w:val="002A2B01"/>
    <w:rsid w:val="002A2C6B"/>
    <w:rsid w:val="002A2E1D"/>
    <w:rsid w:val="002A3002"/>
    <w:rsid w:val="002A3172"/>
    <w:rsid w:val="002A31B7"/>
    <w:rsid w:val="002A3371"/>
    <w:rsid w:val="002A35AB"/>
    <w:rsid w:val="002A362C"/>
    <w:rsid w:val="002A3889"/>
    <w:rsid w:val="002A389A"/>
    <w:rsid w:val="002A3905"/>
    <w:rsid w:val="002A39D5"/>
    <w:rsid w:val="002A3AF3"/>
    <w:rsid w:val="002A3B41"/>
    <w:rsid w:val="002A3CDD"/>
    <w:rsid w:val="002A3EB5"/>
    <w:rsid w:val="002A3FE0"/>
    <w:rsid w:val="002A4059"/>
    <w:rsid w:val="002A444B"/>
    <w:rsid w:val="002A4643"/>
    <w:rsid w:val="002A4842"/>
    <w:rsid w:val="002A4890"/>
    <w:rsid w:val="002A48DC"/>
    <w:rsid w:val="002A49AF"/>
    <w:rsid w:val="002A4F1E"/>
    <w:rsid w:val="002A4F78"/>
    <w:rsid w:val="002A508E"/>
    <w:rsid w:val="002A52E1"/>
    <w:rsid w:val="002A53AB"/>
    <w:rsid w:val="002A5501"/>
    <w:rsid w:val="002A55FC"/>
    <w:rsid w:val="002A57B3"/>
    <w:rsid w:val="002A57FC"/>
    <w:rsid w:val="002A5A6F"/>
    <w:rsid w:val="002A5B53"/>
    <w:rsid w:val="002A5BB5"/>
    <w:rsid w:val="002A5CE1"/>
    <w:rsid w:val="002A5DD3"/>
    <w:rsid w:val="002A5F8C"/>
    <w:rsid w:val="002A622E"/>
    <w:rsid w:val="002A6302"/>
    <w:rsid w:val="002A63B6"/>
    <w:rsid w:val="002A63C8"/>
    <w:rsid w:val="002A66D9"/>
    <w:rsid w:val="002A697A"/>
    <w:rsid w:val="002A6A39"/>
    <w:rsid w:val="002A6EEB"/>
    <w:rsid w:val="002A7030"/>
    <w:rsid w:val="002A715C"/>
    <w:rsid w:val="002A7165"/>
    <w:rsid w:val="002A718E"/>
    <w:rsid w:val="002A71AE"/>
    <w:rsid w:val="002A727D"/>
    <w:rsid w:val="002A7362"/>
    <w:rsid w:val="002A7515"/>
    <w:rsid w:val="002A75B3"/>
    <w:rsid w:val="002A764C"/>
    <w:rsid w:val="002A788C"/>
    <w:rsid w:val="002A7A88"/>
    <w:rsid w:val="002A7B37"/>
    <w:rsid w:val="002B0274"/>
    <w:rsid w:val="002B034A"/>
    <w:rsid w:val="002B03C7"/>
    <w:rsid w:val="002B07F5"/>
    <w:rsid w:val="002B0B2C"/>
    <w:rsid w:val="002B0B52"/>
    <w:rsid w:val="002B0C67"/>
    <w:rsid w:val="002B0D7B"/>
    <w:rsid w:val="002B0F02"/>
    <w:rsid w:val="002B0F53"/>
    <w:rsid w:val="002B11DC"/>
    <w:rsid w:val="002B170B"/>
    <w:rsid w:val="002B172B"/>
    <w:rsid w:val="002B1A8E"/>
    <w:rsid w:val="002B1B24"/>
    <w:rsid w:val="002B1EDC"/>
    <w:rsid w:val="002B1FD4"/>
    <w:rsid w:val="002B1FE8"/>
    <w:rsid w:val="002B21BD"/>
    <w:rsid w:val="002B243B"/>
    <w:rsid w:val="002B2899"/>
    <w:rsid w:val="002B2977"/>
    <w:rsid w:val="002B2A45"/>
    <w:rsid w:val="002B2AA9"/>
    <w:rsid w:val="002B2B43"/>
    <w:rsid w:val="002B2C08"/>
    <w:rsid w:val="002B2C5E"/>
    <w:rsid w:val="002B2C6A"/>
    <w:rsid w:val="002B2CAD"/>
    <w:rsid w:val="002B2F4F"/>
    <w:rsid w:val="002B303E"/>
    <w:rsid w:val="002B30B9"/>
    <w:rsid w:val="002B323B"/>
    <w:rsid w:val="002B3412"/>
    <w:rsid w:val="002B3603"/>
    <w:rsid w:val="002B3AD4"/>
    <w:rsid w:val="002B3F70"/>
    <w:rsid w:val="002B3F9F"/>
    <w:rsid w:val="002B4145"/>
    <w:rsid w:val="002B4157"/>
    <w:rsid w:val="002B4181"/>
    <w:rsid w:val="002B4356"/>
    <w:rsid w:val="002B43A1"/>
    <w:rsid w:val="002B4429"/>
    <w:rsid w:val="002B44D9"/>
    <w:rsid w:val="002B4571"/>
    <w:rsid w:val="002B45C5"/>
    <w:rsid w:val="002B4BA5"/>
    <w:rsid w:val="002B4C89"/>
    <w:rsid w:val="002B4D36"/>
    <w:rsid w:val="002B4DE5"/>
    <w:rsid w:val="002B4EB5"/>
    <w:rsid w:val="002B4ED3"/>
    <w:rsid w:val="002B4FAA"/>
    <w:rsid w:val="002B5062"/>
    <w:rsid w:val="002B50E4"/>
    <w:rsid w:val="002B521B"/>
    <w:rsid w:val="002B52CD"/>
    <w:rsid w:val="002B5326"/>
    <w:rsid w:val="002B53DF"/>
    <w:rsid w:val="002B5534"/>
    <w:rsid w:val="002B5741"/>
    <w:rsid w:val="002B596D"/>
    <w:rsid w:val="002B5AF8"/>
    <w:rsid w:val="002B5CE8"/>
    <w:rsid w:val="002B5EF6"/>
    <w:rsid w:val="002B5FBE"/>
    <w:rsid w:val="002B6292"/>
    <w:rsid w:val="002B62C4"/>
    <w:rsid w:val="002B648F"/>
    <w:rsid w:val="002B6504"/>
    <w:rsid w:val="002B66A3"/>
    <w:rsid w:val="002B671F"/>
    <w:rsid w:val="002B68AE"/>
    <w:rsid w:val="002B68C2"/>
    <w:rsid w:val="002B6928"/>
    <w:rsid w:val="002B6FDB"/>
    <w:rsid w:val="002B71A2"/>
    <w:rsid w:val="002B743E"/>
    <w:rsid w:val="002B75C2"/>
    <w:rsid w:val="002B779F"/>
    <w:rsid w:val="002B7A2C"/>
    <w:rsid w:val="002B7AAD"/>
    <w:rsid w:val="002B7B4A"/>
    <w:rsid w:val="002B7B5C"/>
    <w:rsid w:val="002B7B6A"/>
    <w:rsid w:val="002B7C05"/>
    <w:rsid w:val="002B7CD3"/>
    <w:rsid w:val="002B7E28"/>
    <w:rsid w:val="002B7EA4"/>
    <w:rsid w:val="002B7EF0"/>
    <w:rsid w:val="002C0024"/>
    <w:rsid w:val="002C0303"/>
    <w:rsid w:val="002C0354"/>
    <w:rsid w:val="002C039E"/>
    <w:rsid w:val="002C05AF"/>
    <w:rsid w:val="002C0611"/>
    <w:rsid w:val="002C063B"/>
    <w:rsid w:val="002C075E"/>
    <w:rsid w:val="002C0A43"/>
    <w:rsid w:val="002C0A7C"/>
    <w:rsid w:val="002C0A80"/>
    <w:rsid w:val="002C0C04"/>
    <w:rsid w:val="002C0C53"/>
    <w:rsid w:val="002C0EB0"/>
    <w:rsid w:val="002C10FD"/>
    <w:rsid w:val="002C1201"/>
    <w:rsid w:val="002C122F"/>
    <w:rsid w:val="002C16E5"/>
    <w:rsid w:val="002C1749"/>
    <w:rsid w:val="002C17B3"/>
    <w:rsid w:val="002C17C8"/>
    <w:rsid w:val="002C17E9"/>
    <w:rsid w:val="002C181B"/>
    <w:rsid w:val="002C1834"/>
    <w:rsid w:val="002C1ABB"/>
    <w:rsid w:val="002C1CD2"/>
    <w:rsid w:val="002C1DAA"/>
    <w:rsid w:val="002C1DD3"/>
    <w:rsid w:val="002C1E52"/>
    <w:rsid w:val="002C1FB8"/>
    <w:rsid w:val="002C2162"/>
    <w:rsid w:val="002C21E3"/>
    <w:rsid w:val="002C2282"/>
    <w:rsid w:val="002C22D6"/>
    <w:rsid w:val="002C2945"/>
    <w:rsid w:val="002C29FD"/>
    <w:rsid w:val="002C2B4E"/>
    <w:rsid w:val="002C2EAC"/>
    <w:rsid w:val="002C2EF7"/>
    <w:rsid w:val="002C2F70"/>
    <w:rsid w:val="002C2FDF"/>
    <w:rsid w:val="002C301F"/>
    <w:rsid w:val="002C30AA"/>
    <w:rsid w:val="002C30CD"/>
    <w:rsid w:val="002C3662"/>
    <w:rsid w:val="002C37DC"/>
    <w:rsid w:val="002C38DC"/>
    <w:rsid w:val="002C3984"/>
    <w:rsid w:val="002C3C0A"/>
    <w:rsid w:val="002C3C37"/>
    <w:rsid w:val="002C3D92"/>
    <w:rsid w:val="002C3E45"/>
    <w:rsid w:val="002C4135"/>
    <w:rsid w:val="002C41B4"/>
    <w:rsid w:val="002C4302"/>
    <w:rsid w:val="002C44D6"/>
    <w:rsid w:val="002C46D0"/>
    <w:rsid w:val="002C46EF"/>
    <w:rsid w:val="002C4719"/>
    <w:rsid w:val="002C4796"/>
    <w:rsid w:val="002C48D6"/>
    <w:rsid w:val="002C499F"/>
    <w:rsid w:val="002C4BB5"/>
    <w:rsid w:val="002C4BF6"/>
    <w:rsid w:val="002C4C9E"/>
    <w:rsid w:val="002C4CE5"/>
    <w:rsid w:val="002C4D79"/>
    <w:rsid w:val="002C537D"/>
    <w:rsid w:val="002C56B3"/>
    <w:rsid w:val="002C57B9"/>
    <w:rsid w:val="002C5822"/>
    <w:rsid w:val="002C59A2"/>
    <w:rsid w:val="002C59F9"/>
    <w:rsid w:val="002C5A5E"/>
    <w:rsid w:val="002C5C29"/>
    <w:rsid w:val="002C5E06"/>
    <w:rsid w:val="002C6112"/>
    <w:rsid w:val="002C6171"/>
    <w:rsid w:val="002C6363"/>
    <w:rsid w:val="002C63B2"/>
    <w:rsid w:val="002C6717"/>
    <w:rsid w:val="002C6769"/>
    <w:rsid w:val="002C68B7"/>
    <w:rsid w:val="002C6A46"/>
    <w:rsid w:val="002C6BF4"/>
    <w:rsid w:val="002C6E52"/>
    <w:rsid w:val="002C6EB2"/>
    <w:rsid w:val="002C6F94"/>
    <w:rsid w:val="002C70F8"/>
    <w:rsid w:val="002C71D6"/>
    <w:rsid w:val="002C7221"/>
    <w:rsid w:val="002C7401"/>
    <w:rsid w:val="002C7567"/>
    <w:rsid w:val="002C75E1"/>
    <w:rsid w:val="002C76A4"/>
    <w:rsid w:val="002C78B8"/>
    <w:rsid w:val="002C78EB"/>
    <w:rsid w:val="002C79B1"/>
    <w:rsid w:val="002C7C32"/>
    <w:rsid w:val="002C7D94"/>
    <w:rsid w:val="002D0049"/>
    <w:rsid w:val="002D01A9"/>
    <w:rsid w:val="002D0297"/>
    <w:rsid w:val="002D059F"/>
    <w:rsid w:val="002D0727"/>
    <w:rsid w:val="002D0797"/>
    <w:rsid w:val="002D0826"/>
    <w:rsid w:val="002D092A"/>
    <w:rsid w:val="002D0938"/>
    <w:rsid w:val="002D096D"/>
    <w:rsid w:val="002D09EA"/>
    <w:rsid w:val="002D0D34"/>
    <w:rsid w:val="002D0D48"/>
    <w:rsid w:val="002D0E3B"/>
    <w:rsid w:val="002D1011"/>
    <w:rsid w:val="002D1317"/>
    <w:rsid w:val="002D1796"/>
    <w:rsid w:val="002D17D4"/>
    <w:rsid w:val="002D1822"/>
    <w:rsid w:val="002D18F2"/>
    <w:rsid w:val="002D19B2"/>
    <w:rsid w:val="002D1AA7"/>
    <w:rsid w:val="002D1B70"/>
    <w:rsid w:val="002D1E48"/>
    <w:rsid w:val="002D1FCA"/>
    <w:rsid w:val="002D246D"/>
    <w:rsid w:val="002D249F"/>
    <w:rsid w:val="002D2565"/>
    <w:rsid w:val="002D2622"/>
    <w:rsid w:val="002D265C"/>
    <w:rsid w:val="002D26ED"/>
    <w:rsid w:val="002D27C5"/>
    <w:rsid w:val="002D2860"/>
    <w:rsid w:val="002D2C31"/>
    <w:rsid w:val="002D2CD4"/>
    <w:rsid w:val="002D2EF4"/>
    <w:rsid w:val="002D2F45"/>
    <w:rsid w:val="002D2FBD"/>
    <w:rsid w:val="002D318D"/>
    <w:rsid w:val="002D31EA"/>
    <w:rsid w:val="002D32E3"/>
    <w:rsid w:val="002D34AF"/>
    <w:rsid w:val="002D3A2B"/>
    <w:rsid w:val="002D3DE6"/>
    <w:rsid w:val="002D3FED"/>
    <w:rsid w:val="002D41DD"/>
    <w:rsid w:val="002D42D8"/>
    <w:rsid w:val="002D4361"/>
    <w:rsid w:val="002D45A2"/>
    <w:rsid w:val="002D4B16"/>
    <w:rsid w:val="002D4C78"/>
    <w:rsid w:val="002D4F09"/>
    <w:rsid w:val="002D50CD"/>
    <w:rsid w:val="002D50D7"/>
    <w:rsid w:val="002D51DE"/>
    <w:rsid w:val="002D54D7"/>
    <w:rsid w:val="002D55B6"/>
    <w:rsid w:val="002D5626"/>
    <w:rsid w:val="002D5A8A"/>
    <w:rsid w:val="002D5B11"/>
    <w:rsid w:val="002D5BDE"/>
    <w:rsid w:val="002D5CAE"/>
    <w:rsid w:val="002D5D83"/>
    <w:rsid w:val="002D5E94"/>
    <w:rsid w:val="002D5EF9"/>
    <w:rsid w:val="002D60D0"/>
    <w:rsid w:val="002D6307"/>
    <w:rsid w:val="002D6349"/>
    <w:rsid w:val="002D6558"/>
    <w:rsid w:val="002D6634"/>
    <w:rsid w:val="002D66AC"/>
    <w:rsid w:val="002D6729"/>
    <w:rsid w:val="002D676F"/>
    <w:rsid w:val="002D6918"/>
    <w:rsid w:val="002D6A74"/>
    <w:rsid w:val="002D6C5F"/>
    <w:rsid w:val="002D6EE2"/>
    <w:rsid w:val="002D6F4F"/>
    <w:rsid w:val="002D700A"/>
    <w:rsid w:val="002D7024"/>
    <w:rsid w:val="002D7139"/>
    <w:rsid w:val="002D718E"/>
    <w:rsid w:val="002D71E8"/>
    <w:rsid w:val="002D7379"/>
    <w:rsid w:val="002D7516"/>
    <w:rsid w:val="002D76B2"/>
    <w:rsid w:val="002D76C1"/>
    <w:rsid w:val="002D779B"/>
    <w:rsid w:val="002D7917"/>
    <w:rsid w:val="002D7C6C"/>
    <w:rsid w:val="002D7E30"/>
    <w:rsid w:val="002D7E89"/>
    <w:rsid w:val="002E02D3"/>
    <w:rsid w:val="002E0670"/>
    <w:rsid w:val="002E0756"/>
    <w:rsid w:val="002E0836"/>
    <w:rsid w:val="002E08B2"/>
    <w:rsid w:val="002E0A78"/>
    <w:rsid w:val="002E0CA3"/>
    <w:rsid w:val="002E0DEB"/>
    <w:rsid w:val="002E0DFC"/>
    <w:rsid w:val="002E11B2"/>
    <w:rsid w:val="002E11DF"/>
    <w:rsid w:val="002E144E"/>
    <w:rsid w:val="002E145A"/>
    <w:rsid w:val="002E14E7"/>
    <w:rsid w:val="002E174E"/>
    <w:rsid w:val="002E18C7"/>
    <w:rsid w:val="002E1A6E"/>
    <w:rsid w:val="002E1B74"/>
    <w:rsid w:val="002E1BB5"/>
    <w:rsid w:val="002E1C2D"/>
    <w:rsid w:val="002E1C69"/>
    <w:rsid w:val="002E1E50"/>
    <w:rsid w:val="002E205D"/>
    <w:rsid w:val="002E2310"/>
    <w:rsid w:val="002E2371"/>
    <w:rsid w:val="002E27B7"/>
    <w:rsid w:val="002E28BA"/>
    <w:rsid w:val="002E29CF"/>
    <w:rsid w:val="002E2AAF"/>
    <w:rsid w:val="002E2AFF"/>
    <w:rsid w:val="002E2C4C"/>
    <w:rsid w:val="002E2DE0"/>
    <w:rsid w:val="002E2FB5"/>
    <w:rsid w:val="002E3091"/>
    <w:rsid w:val="002E31C8"/>
    <w:rsid w:val="002E3932"/>
    <w:rsid w:val="002E3998"/>
    <w:rsid w:val="002E3B73"/>
    <w:rsid w:val="002E3BCC"/>
    <w:rsid w:val="002E3D12"/>
    <w:rsid w:val="002E3D7A"/>
    <w:rsid w:val="002E3E42"/>
    <w:rsid w:val="002E401A"/>
    <w:rsid w:val="002E4196"/>
    <w:rsid w:val="002E41A8"/>
    <w:rsid w:val="002E41F5"/>
    <w:rsid w:val="002E425B"/>
    <w:rsid w:val="002E42A7"/>
    <w:rsid w:val="002E4369"/>
    <w:rsid w:val="002E4392"/>
    <w:rsid w:val="002E462E"/>
    <w:rsid w:val="002E4729"/>
    <w:rsid w:val="002E4966"/>
    <w:rsid w:val="002E4AC2"/>
    <w:rsid w:val="002E4D30"/>
    <w:rsid w:val="002E4DA8"/>
    <w:rsid w:val="002E4FF1"/>
    <w:rsid w:val="002E5083"/>
    <w:rsid w:val="002E50DA"/>
    <w:rsid w:val="002E51F5"/>
    <w:rsid w:val="002E530B"/>
    <w:rsid w:val="002E53F5"/>
    <w:rsid w:val="002E5636"/>
    <w:rsid w:val="002E56A1"/>
    <w:rsid w:val="002E59C7"/>
    <w:rsid w:val="002E59F1"/>
    <w:rsid w:val="002E5A8E"/>
    <w:rsid w:val="002E5B64"/>
    <w:rsid w:val="002E5D4F"/>
    <w:rsid w:val="002E5D93"/>
    <w:rsid w:val="002E5F6C"/>
    <w:rsid w:val="002E5F9C"/>
    <w:rsid w:val="002E5FEA"/>
    <w:rsid w:val="002E602D"/>
    <w:rsid w:val="002E60AD"/>
    <w:rsid w:val="002E64C1"/>
    <w:rsid w:val="002E6608"/>
    <w:rsid w:val="002E67B1"/>
    <w:rsid w:val="002E682B"/>
    <w:rsid w:val="002E6861"/>
    <w:rsid w:val="002E6C4B"/>
    <w:rsid w:val="002E7045"/>
    <w:rsid w:val="002E729F"/>
    <w:rsid w:val="002E764B"/>
    <w:rsid w:val="002E794A"/>
    <w:rsid w:val="002E7ADC"/>
    <w:rsid w:val="002E7B8A"/>
    <w:rsid w:val="002E7BA8"/>
    <w:rsid w:val="002E7BB0"/>
    <w:rsid w:val="002E7C4A"/>
    <w:rsid w:val="002E7C8D"/>
    <w:rsid w:val="002E7DDF"/>
    <w:rsid w:val="002E7E51"/>
    <w:rsid w:val="002E7F0A"/>
    <w:rsid w:val="002F003A"/>
    <w:rsid w:val="002F00CC"/>
    <w:rsid w:val="002F01D5"/>
    <w:rsid w:val="002F0201"/>
    <w:rsid w:val="002F0393"/>
    <w:rsid w:val="002F03AE"/>
    <w:rsid w:val="002F05D4"/>
    <w:rsid w:val="002F0665"/>
    <w:rsid w:val="002F0915"/>
    <w:rsid w:val="002F0961"/>
    <w:rsid w:val="002F09D9"/>
    <w:rsid w:val="002F0A52"/>
    <w:rsid w:val="002F0B5D"/>
    <w:rsid w:val="002F0CDB"/>
    <w:rsid w:val="002F0E3F"/>
    <w:rsid w:val="002F1089"/>
    <w:rsid w:val="002F11ED"/>
    <w:rsid w:val="002F1642"/>
    <w:rsid w:val="002F17DC"/>
    <w:rsid w:val="002F19E2"/>
    <w:rsid w:val="002F1B2E"/>
    <w:rsid w:val="002F1C32"/>
    <w:rsid w:val="002F1D41"/>
    <w:rsid w:val="002F1DF4"/>
    <w:rsid w:val="002F1FDA"/>
    <w:rsid w:val="002F20B6"/>
    <w:rsid w:val="002F2347"/>
    <w:rsid w:val="002F270D"/>
    <w:rsid w:val="002F2714"/>
    <w:rsid w:val="002F2A83"/>
    <w:rsid w:val="002F2AA2"/>
    <w:rsid w:val="002F2B62"/>
    <w:rsid w:val="002F2C7E"/>
    <w:rsid w:val="002F2CD8"/>
    <w:rsid w:val="002F2E80"/>
    <w:rsid w:val="002F2ECF"/>
    <w:rsid w:val="002F2EE0"/>
    <w:rsid w:val="002F2F63"/>
    <w:rsid w:val="002F301B"/>
    <w:rsid w:val="002F3202"/>
    <w:rsid w:val="002F34F4"/>
    <w:rsid w:val="002F3A19"/>
    <w:rsid w:val="002F3A6B"/>
    <w:rsid w:val="002F3AB7"/>
    <w:rsid w:val="002F3AE2"/>
    <w:rsid w:val="002F3B18"/>
    <w:rsid w:val="002F3B5E"/>
    <w:rsid w:val="002F3C92"/>
    <w:rsid w:val="002F4604"/>
    <w:rsid w:val="002F4745"/>
    <w:rsid w:val="002F47A1"/>
    <w:rsid w:val="002F48CB"/>
    <w:rsid w:val="002F48CE"/>
    <w:rsid w:val="002F4C4A"/>
    <w:rsid w:val="002F4E7E"/>
    <w:rsid w:val="002F5206"/>
    <w:rsid w:val="002F5397"/>
    <w:rsid w:val="002F54B4"/>
    <w:rsid w:val="002F54DB"/>
    <w:rsid w:val="002F55FB"/>
    <w:rsid w:val="002F56C7"/>
    <w:rsid w:val="002F5859"/>
    <w:rsid w:val="002F5968"/>
    <w:rsid w:val="002F5A73"/>
    <w:rsid w:val="002F5C29"/>
    <w:rsid w:val="002F5C2E"/>
    <w:rsid w:val="002F5CCE"/>
    <w:rsid w:val="002F5F57"/>
    <w:rsid w:val="002F5F8B"/>
    <w:rsid w:val="002F6069"/>
    <w:rsid w:val="002F6108"/>
    <w:rsid w:val="002F6212"/>
    <w:rsid w:val="002F6399"/>
    <w:rsid w:val="002F63E5"/>
    <w:rsid w:val="002F6456"/>
    <w:rsid w:val="002F669E"/>
    <w:rsid w:val="002F677D"/>
    <w:rsid w:val="002F686A"/>
    <w:rsid w:val="002F6B4F"/>
    <w:rsid w:val="002F6DBC"/>
    <w:rsid w:val="002F6FDB"/>
    <w:rsid w:val="002F7267"/>
    <w:rsid w:val="002F735C"/>
    <w:rsid w:val="002F7378"/>
    <w:rsid w:val="002F74B4"/>
    <w:rsid w:val="002F778B"/>
    <w:rsid w:val="002F7B54"/>
    <w:rsid w:val="002F7C0C"/>
    <w:rsid w:val="002F7DB2"/>
    <w:rsid w:val="002F7E21"/>
    <w:rsid w:val="002F7E4D"/>
    <w:rsid w:val="002F7E5E"/>
    <w:rsid w:val="00300089"/>
    <w:rsid w:val="00300284"/>
    <w:rsid w:val="00300424"/>
    <w:rsid w:val="0030077F"/>
    <w:rsid w:val="003007D8"/>
    <w:rsid w:val="0030099E"/>
    <w:rsid w:val="003009D4"/>
    <w:rsid w:val="00300B7F"/>
    <w:rsid w:val="00300C8F"/>
    <w:rsid w:val="00300CF0"/>
    <w:rsid w:val="00300ECA"/>
    <w:rsid w:val="00300FB1"/>
    <w:rsid w:val="00301097"/>
    <w:rsid w:val="00301110"/>
    <w:rsid w:val="00301222"/>
    <w:rsid w:val="00301311"/>
    <w:rsid w:val="00301349"/>
    <w:rsid w:val="00301442"/>
    <w:rsid w:val="0030144F"/>
    <w:rsid w:val="00301515"/>
    <w:rsid w:val="00301661"/>
    <w:rsid w:val="0030167D"/>
    <w:rsid w:val="00301715"/>
    <w:rsid w:val="003017CD"/>
    <w:rsid w:val="00301918"/>
    <w:rsid w:val="0030192B"/>
    <w:rsid w:val="00301D79"/>
    <w:rsid w:val="00302459"/>
    <w:rsid w:val="003024AE"/>
    <w:rsid w:val="003024F5"/>
    <w:rsid w:val="00302535"/>
    <w:rsid w:val="003028B8"/>
    <w:rsid w:val="00302994"/>
    <w:rsid w:val="00302995"/>
    <w:rsid w:val="00302CAF"/>
    <w:rsid w:val="00302FFA"/>
    <w:rsid w:val="00303141"/>
    <w:rsid w:val="003031CE"/>
    <w:rsid w:val="003032AD"/>
    <w:rsid w:val="003033B8"/>
    <w:rsid w:val="0030343E"/>
    <w:rsid w:val="0030350B"/>
    <w:rsid w:val="00303821"/>
    <w:rsid w:val="003039D1"/>
    <w:rsid w:val="00303B10"/>
    <w:rsid w:val="00303B36"/>
    <w:rsid w:val="00303B86"/>
    <w:rsid w:val="00303BD1"/>
    <w:rsid w:val="00303BD7"/>
    <w:rsid w:val="00303C3B"/>
    <w:rsid w:val="00303CA7"/>
    <w:rsid w:val="00303E27"/>
    <w:rsid w:val="00303ED5"/>
    <w:rsid w:val="00304078"/>
    <w:rsid w:val="003040D9"/>
    <w:rsid w:val="003042B5"/>
    <w:rsid w:val="00304401"/>
    <w:rsid w:val="003045AF"/>
    <w:rsid w:val="003046A9"/>
    <w:rsid w:val="00304783"/>
    <w:rsid w:val="00304814"/>
    <w:rsid w:val="00304909"/>
    <w:rsid w:val="00304A85"/>
    <w:rsid w:val="00304B6F"/>
    <w:rsid w:val="00304C93"/>
    <w:rsid w:val="00304DE3"/>
    <w:rsid w:val="00304DE4"/>
    <w:rsid w:val="00304E5F"/>
    <w:rsid w:val="00305003"/>
    <w:rsid w:val="003051E4"/>
    <w:rsid w:val="0030529A"/>
    <w:rsid w:val="003054C5"/>
    <w:rsid w:val="0030562E"/>
    <w:rsid w:val="00305638"/>
    <w:rsid w:val="00305653"/>
    <w:rsid w:val="003056CF"/>
    <w:rsid w:val="003056F4"/>
    <w:rsid w:val="003058ED"/>
    <w:rsid w:val="00305970"/>
    <w:rsid w:val="003059AB"/>
    <w:rsid w:val="003059C5"/>
    <w:rsid w:val="00305A63"/>
    <w:rsid w:val="00305C75"/>
    <w:rsid w:val="00305EE1"/>
    <w:rsid w:val="00305F71"/>
    <w:rsid w:val="003062AB"/>
    <w:rsid w:val="00306663"/>
    <w:rsid w:val="0030670A"/>
    <w:rsid w:val="0030690C"/>
    <w:rsid w:val="00306AEC"/>
    <w:rsid w:val="00306C6D"/>
    <w:rsid w:val="00306F1A"/>
    <w:rsid w:val="0030709F"/>
    <w:rsid w:val="003072D4"/>
    <w:rsid w:val="003073F4"/>
    <w:rsid w:val="0030751B"/>
    <w:rsid w:val="00307A43"/>
    <w:rsid w:val="00307D0C"/>
    <w:rsid w:val="00307D1C"/>
    <w:rsid w:val="00307E63"/>
    <w:rsid w:val="0031043A"/>
    <w:rsid w:val="003104F0"/>
    <w:rsid w:val="00310541"/>
    <w:rsid w:val="003105C0"/>
    <w:rsid w:val="00310939"/>
    <w:rsid w:val="00310BAF"/>
    <w:rsid w:val="00310D1B"/>
    <w:rsid w:val="00310D64"/>
    <w:rsid w:val="00310DAA"/>
    <w:rsid w:val="00311006"/>
    <w:rsid w:val="00311347"/>
    <w:rsid w:val="0031158E"/>
    <w:rsid w:val="00311655"/>
    <w:rsid w:val="00311885"/>
    <w:rsid w:val="00311B24"/>
    <w:rsid w:val="00311B50"/>
    <w:rsid w:val="00311E6A"/>
    <w:rsid w:val="00311F55"/>
    <w:rsid w:val="0031227D"/>
    <w:rsid w:val="003124A3"/>
    <w:rsid w:val="0031255F"/>
    <w:rsid w:val="0031276B"/>
    <w:rsid w:val="00312794"/>
    <w:rsid w:val="003127BE"/>
    <w:rsid w:val="003129AD"/>
    <w:rsid w:val="00312A4E"/>
    <w:rsid w:val="00312B39"/>
    <w:rsid w:val="00312CD3"/>
    <w:rsid w:val="00312E4E"/>
    <w:rsid w:val="00312F8F"/>
    <w:rsid w:val="00312FCA"/>
    <w:rsid w:val="0031303C"/>
    <w:rsid w:val="0031304C"/>
    <w:rsid w:val="00313464"/>
    <w:rsid w:val="003136A9"/>
    <w:rsid w:val="00313759"/>
    <w:rsid w:val="0031380B"/>
    <w:rsid w:val="00313EE0"/>
    <w:rsid w:val="00313F3E"/>
    <w:rsid w:val="003140AB"/>
    <w:rsid w:val="00314322"/>
    <w:rsid w:val="003143AD"/>
    <w:rsid w:val="0031456D"/>
    <w:rsid w:val="0031471C"/>
    <w:rsid w:val="003149DB"/>
    <w:rsid w:val="00314A44"/>
    <w:rsid w:val="00314A4E"/>
    <w:rsid w:val="00314A65"/>
    <w:rsid w:val="00314D7E"/>
    <w:rsid w:val="00314DCB"/>
    <w:rsid w:val="00314DE3"/>
    <w:rsid w:val="00314F7A"/>
    <w:rsid w:val="00314FA0"/>
    <w:rsid w:val="0031515F"/>
    <w:rsid w:val="003151B5"/>
    <w:rsid w:val="00315475"/>
    <w:rsid w:val="0031547D"/>
    <w:rsid w:val="003154D3"/>
    <w:rsid w:val="003155D2"/>
    <w:rsid w:val="00315794"/>
    <w:rsid w:val="003157D7"/>
    <w:rsid w:val="00315845"/>
    <w:rsid w:val="003158FF"/>
    <w:rsid w:val="0031597C"/>
    <w:rsid w:val="00315AD2"/>
    <w:rsid w:val="00315D1E"/>
    <w:rsid w:val="003160C8"/>
    <w:rsid w:val="0031619F"/>
    <w:rsid w:val="003165F7"/>
    <w:rsid w:val="003166FF"/>
    <w:rsid w:val="00316844"/>
    <w:rsid w:val="00316B12"/>
    <w:rsid w:val="00316B41"/>
    <w:rsid w:val="00316D08"/>
    <w:rsid w:val="00316FBF"/>
    <w:rsid w:val="0031707F"/>
    <w:rsid w:val="0031716E"/>
    <w:rsid w:val="00317175"/>
    <w:rsid w:val="003174C8"/>
    <w:rsid w:val="00317562"/>
    <w:rsid w:val="003176AF"/>
    <w:rsid w:val="003177C9"/>
    <w:rsid w:val="003177F5"/>
    <w:rsid w:val="00317CA1"/>
    <w:rsid w:val="00317CE2"/>
    <w:rsid w:val="00317F40"/>
    <w:rsid w:val="0032002D"/>
    <w:rsid w:val="003204A5"/>
    <w:rsid w:val="00320517"/>
    <w:rsid w:val="003209D4"/>
    <w:rsid w:val="00320CB1"/>
    <w:rsid w:val="00320CC0"/>
    <w:rsid w:val="00320D36"/>
    <w:rsid w:val="00320E52"/>
    <w:rsid w:val="00320FC8"/>
    <w:rsid w:val="0032112B"/>
    <w:rsid w:val="00321317"/>
    <w:rsid w:val="003213A3"/>
    <w:rsid w:val="0032196F"/>
    <w:rsid w:val="00321B50"/>
    <w:rsid w:val="00321D10"/>
    <w:rsid w:val="00321F70"/>
    <w:rsid w:val="00322127"/>
    <w:rsid w:val="003221DA"/>
    <w:rsid w:val="0032222E"/>
    <w:rsid w:val="003223C6"/>
    <w:rsid w:val="00322442"/>
    <w:rsid w:val="00322484"/>
    <w:rsid w:val="003224E0"/>
    <w:rsid w:val="0032258E"/>
    <w:rsid w:val="003225A2"/>
    <w:rsid w:val="0032265F"/>
    <w:rsid w:val="00322703"/>
    <w:rsid w:val="00322716"/>
    <w:rsid w:val="0032278D"/>
    <w:rsid w:val="0032281A"/>
    <w:rsid w:val="0032288A"/>
    <w:rsid w:val="003229DB"/>
    <w:rsid w:val="00322D28"/>
    <w:rsid w:val="00322D5E"/>
    <w:rsid w:val="00322D76"/>
    <w:rsid w:val="00322DC2"/>
    <w:rsid w:val="00322EFC"/>
    <w:rsid w:val="00322FB9"/>
    <w:rsid w:val="003230C4"/>
    <w:rsid w:val="00323157"/>
    <w:rsid w:val="0032327D"/>
    <w:rsid w:val="0032328A"/>
    <w:rsid w:val="003233BD"/>
    <w:rsid w:val="003233F5"/>
    <w:rsid w:val="003234DE"/>
    <w:rsid w:val="00323672"/>
    <w:rsid w:val="00323778"/>
    <w:rsid w:val="00323909"/>
    <w:rsid w:val="00323937"/>
    <w:rsid w:val="00323945"/>
    <w:rsid w:val="00323D74"/>
    <w:rsid w:val="00323DFB"/>
    <w:rsid w:val="00324598"/>
    <w:rsid w:val="00324661"/>
    <w:rsid w:val="00324909"/>
    <w:rsid w:val="00324956"/>
    <w:rsid w:val="003249E1"/>
    <w:rsid w:val="00324A29"/>
    <w:rsid w:val="00324CA6"/>
    <w:rsid w:val="00324D4E"/>
    <w:rsid w:val="00324DF1"/>
    <w:rsid w:val="00324F53"/>
    <w:rsid w:val="0032509F"/>
    <w:rsid w:val="00325144"/>
    <w:rsid w:val="00325171"/>
    <w:rsid w:val="00325397"/>
    <w:rsid w:val="00325681"/>
    <w:rsid w:val="003256D3"/>
    <w:rsid w:val="003259B1"/>
    <w:rsid w:val="00325A2B"/>
    <w:rsid w:val="00325C50"/>
    <w:rsid w:val="00325CAA"/>
    <w:rsid w:val="00325D52"/>
    <w:rsid w:val="00325E2E"/>
    <w:rsid w:val="00326055"/>
    <w:rsid w:val="0032608A"/>
    <w:rsid w:val="00326227"/>
    <w:rsid w:val="0032624C"/>
    <w:rsid w:val="003264EA"/>
    <w:rsid w:val="00326AD5"/>
    <w:rsid w:val="00326BE6"/>
    <w:rsid w:val="00326C00"/>
    <w:rsid w:val="00326C26"/>
    <w:rsid w:val="00326ED9"/>
    <w:rsid w:val="003272CC"/>
    <w:rsid w:val="00327472"/>
    <w:rsid w:val="00327537"/>
    <w:rsid w:val="00327569"/>
    <w:rsid w:val="00327894"/>
    <w:rsid w:val="00327B6E"/>
    <w:rsid w:val="00327E36"/>
    <w:rsid w:val="00327E93"/>
    <w:rsid w:val="00327EDD"/>
    <w:rsid w:val="00327F28"/>
    <w:rsid w:val="0033005E"/>
    <w:rsid w:val="0033019B"/>
    <w:rsid w:val="003301EE"/>
    <w:rsid w:val="00330737"/>
    <w:rsid w:val="003307C6"/>
    <w:rsid w:val="003307F7"/>
    <w:rsid w:val="003308A0"/>
    <w:rsid w:val="0033090E"/>
    <w:rsid w:val="00330CD4"/>
    <w:rsid w:val="00330EE4"/>
    <w:rsid w:val="00331040"/>
    <w:rsid w:val="003310E8"/>
    <w:rsid w:val="00331668"/>
    <w:rsid w:val="003317F5"/>
    <w:rsid w:val="00331942"/>
    <w:rsid w:val="00331ACE"/>
    <w:rsid w:val="00331B9E"/>
    <w:rsid w:val="00331C4F"/>
    <w:rsid w:val="00331C6B"/>
    <w:rsid w:val="00331E3E"/>
    <w:rsid w:val="00331FC6"/>
    <w:rsid w:val="0033225F"/>
    <w:rsid w:val="0033247F"/>
    <w:rsid w:val="0033278A"/>
    <w:rsid w:val="00332978"/>
    <w:rsid w:val="00332AFA"/>
    <w:rsid w:val="00332B42"/>
    <w:rsid w:val="00332F2D"/>
    <w:rsid w:val="00333158"/>
    <w:rsid w:val="00333312"/>
    <w:rsid w:val="003333FA"/>
    <w:rsid w:val="003336FD"/>
    <w:rsid w:val="0033386A"/>
    <w:rsid w:val="00333901"/>
    <w:rsid w:val="003339BD"/>
    <w:rsid w:val="00333C0A"/>
    <w:rsid w:val="00333C4B"/>
    <w:rsid w:val="00333C5F"/>
    <w:rsid w:val="00333D6F"/>
    <w:rsid w:val="00334151"/>
    <w:rsid w:val="003341EE"/>
    <w:rsid w:val="003341F5"/>
    <w:rsid w:val="0033429E"/>
    <w:rsid w:val="003342F3"/>
    <w:rsid w:val="00334363"/>
    <w:rsid w:val="003343A5"/>
    <w:rsid w:val="003346F8"/>
    <w:rsid w:val="003347EA"/>
    <w:rsid w:val="00334859"/>
    <w:rsid w:val="00334B08"/>
    <w:rsid w:val="00334C06"/>
    <w:rsid w:val="00334C1B"/>
    <w:rsid w:val="00334D1B"/>
    <w:rsid w:val="00334ED0"/>
    <w:rsid w:val="00334F19"/>
    <w:rsid w:val="003353FA"/>
    <w:rsid w:val="0033558B"/>
    <w:rsid w:val="003356F4"/>
    <w:rsid w:val="00335745"/>
    <w:rsid w:val="00335799"/>
    <w:rsid w:val="003357E9"/>
    <w:rsid w:val="00335AD5"/>
    <w:rsid w:val="00335EE3"/>
    <w:rsid w:val="00335FF2"/>
    <w:rsid w:val="003362AB"/>
    <w:rsid w:val="00336388"/>
    <w:rsid w:val="0033672B"/>
    <w:rsid w:val="00336C53"/>
    <w:rsid w:val="00336C59"/>
    <w:rsid w:val="00336D40"/>
    <w:rsid w:val="00336D62"/>
    <w:rsid w:val="00336D90"/>
    <w:rsid w:val="003371C3"/>
    <w:rsid w:val="003371F0"/>
    <w:rsid w:val="00337323"/>
    <w:rsid w:val="00337369"/>
    <w:rsid w:val="0033736A"/>
    <w:rsid w:val="00337767"/>
    <w:rsid w:val="003377F1"/>
    <w:rsid w:val="00337885"/>
    <w:rsid w:val="003378DA"/>
    <w:rsid w:val="00337908"/>
    <w:rsid w:val="00337A93"/>
    <w:rsid w:val="00337D86"/>
    <w:rsid w:val="00337E39"/>
    <w:rsid w:val="00337F08"/>
    <w:rsid w:val="0033ACF4"/>
    <w:rsid w:val="003402F0"/>
    <w:rsid w:val="00340328"/>
    <w:rsid w:val="00340387"/>
    <w:rsid w:val="003405ED"/>
    <w:rsid w:val="003406DA"/>
    <w:rsid w:val="003408A1"/>
    <w:rsid w:val="0034090B"/>
    <w:rsid w:val="00340957"/>
    <w:rsid w:val="003409DC"/>
    <w:rsid w:val="00340BAC"/>
    <w:rsid w:val="00340BD7"/>
    <w:rsid w:val="00340CDE"/>
    <w:rsid w:val="00340E3D"/>
    <w:rsid w:val="00340FD8"/>
    <w:rsid w:val="0034111B"/>
    <w:rsid w:val="00341133"/>
    <w:rsid w:val="003411A5"/>
    <w:rsid w:val="003411D8"/>
    <w:rsid w:val="00341208"/>
    <w:rsid w:val="003415B1"/>
    <w:rsid w:val="00341728"/>
    <w:rsid w:val="00341A7E"/>
    <w:rsid w:val="00341AA3"/>
    <w:rsid w:val="00341C94"/>
    <w:rsid w:val="00341CF6"/>
    <w:rsid w:val="00342445"/>
    <w:rsid w:val="003424D6"/>
    <w:rsid w:val="0034258C"/>
    <w:rsid w:val="0034265E"/>
    <w:rsid w:val="0034280D"/>
    <w:rsid w:val="00342883"/>
    <w:rsid w:val="003429A6"/>
    <w:rsid w:val="003429E4"/>
    <w:rsid w:val="00342B1F"/>
    <w:rsid w:val="00342B8A"/>
    <w:rsid w:val="00342E28"/>
    <w:rsid w:val="00342F14"/>
    <w:rsid w:val="00343132"/>
    <w:rsid w:val="003431AE"/>
    <w:rsid w:val="00343251"/>
    <w:rsid w:val="00343375"/>
    <w:rsid w:val="003435F4"/>
    <w:rsid w:val="00343A0C"/>
    <w:rsid w:val="00343B77"/>
    <w:rsid w:val="00343D56"/>
    <w:rsid w:val="00343E16"/>
    <w:rsid w:val="00343F81"/>
    <w:rsid w:val="003441F0"/>
    <w:rsid w:val="00344216"/>
    <w:rsid w:val="00344491"/>
    <w:rsid w:val="0034452C"/>
    <w:rsid w:val="00344A3A"/>
    <w:rsid w:val="00344A89"/>
    <w:rsid w:val="00344B5C"/>
    <w:rsid w:val="00344CE1"/>
    <w:rsid w:val="00344DE5"/>
    <w:rsid w:val="00344FA9"/>
    <w:rsid w:val="0034500C"/>
    <w:rsid w:val="00345066"/>
    <w:rsid w:val="00345070"/>
    <w:rsid w:val="00345107"/>
    <w:rsid w:val="00345172"/>
    <w:rsid w:val="00345470"/>
    <w:rsid w:val="0034564E"/>
    <w:rsid w:val="00345B0A"/>
    <w:rsid w:val="00345BC0"/>
    <w:rsid w:val="00345C06"/>
    <w:rsid w:val="00345F7C"/>
    <w:rsid w:val="003460AD"/>
    <w:rsid w:val="00346180"/>
    <w:rsid w:val="00346305"/>
    <w:rsid w:val="00346554"/>
    <w:rsid w:val="0034660D"/>
    <w:rsid w:val="003466DC"/>
    <w:rsid w:val="003468F9"/>
    <w:rsid w:val="00346992"/>
    <w:rsid w:val="00346996"/>
    <w:rsid w:val="003469B4"/>
    <w:rsid w:val="003469E8"/>
    <w:rsid w:val="00346A28"/>
    <w:rsid w:val="00346DBE"/>
    <w:rsid w:val="00346E77"/>
    <w:rsid w:val="00346FFB"/>
    <w:rsid w:val="0034703A"/>
    <w:rsid w:val="00347094"/>
    <w:rsid w:val="0034730D"/>
    <w:rsid w:val="00347408"/>
    <w:rsid w:val="0034746D"/>
    <w:rsid w:val="0034758A"/>
    <w:rsid w:val="003479B3"/>
    <w:rsid w:val="00347BE7"/>
    <w:rsid w:val="00347C66"/>
    <w:rsid w:val="00347FAC"/>
    <w:rsid w:val="00347FCC"/>
    <w:rsid w:val="00347FEF"/>
    <w:rsid w:val="003500BA"/>
    <w:rsid w:val="00350241"/>
    <w:rsid w:val="003502C2"/>
    <w:rsid w:val="00350398"/>
    <w:rsid w:val="0035044B"/>
    <w:rsid w:val="00350495"/>
    <w:rsid w:val="0035058F"/>
    <w:rsid w:val="00350615"/>
    <w:rsid w:val="003507D1"/>
    <w:rsid w:val="00350809"/>
    <w:rsid w:val="00350A7F"/>
    <w:rsid w:val="00350AC5"/>
    <w:rsid w:val="00350ADE"/>
    <w:rsid w:val="00350AF3"/>
    <w:rsid w:val="00350BD5"/>
    <w:rsid w:val="00350BFA"/>
    <w:rsid w:val="00350E26"/>
    <w:rsid w:val="00350EBC"/>
    <w:rsid w:val="00350F6D"/>
    <w:rsid w:val="00350F87"/>
    <w:rsid w:val="003510BC"/>
    <w:rsid w:val="0035114D"/>
    <w:rsid w:val="0035116A"/>
    <w:rsid w:val="00351332"/>
    <w:rsid w:val="003514FA"/>
    <w:rsid w:val="003515E8"/>
    <w:rsid w:val="003517FA"/>
    <w:rsid w:val="003518B2"/>
    <w:rsid w:val="00351AE6"/>
    <w:rsid w:val="00351BAE"/>
    <w:rsid w:val="00351EE4"/>
    <w:rsid w:val="00351F3E"/>
    <w:rsid w:val="003520D0"/>
    <w:rsid w:val="00352269"/>
    <w:rsid w:val="0035227A"/>
    <w:rsid w:val="003522EF"/>
    <w:rsid w:val="00352365"/>
    <w:rsid w:val="0035246A"/>
    <w:rsid w:val="0035257C"/>
    <w:rsid w:val="0035291E"/>
    <w:rsid w:val="00352B40"/>
    <w:rsid w:val="00352FF2"/>
    <w:rsid w:val="00353052"/>
    <w:rsid w:val="003530E7"/>
    <w:rsid w:val="003532A7"/>
    <w:rsid w:val="003535F9"/>
    <w:rsid w:val="0035373D"/>
    <w:rsid w:val="00353AED"/>
    <w:rsid w:val="00353B9C"/>
    <w:rsid w:val="00353BF3"/>
    <w:rsid w:val="00353C2C"/>
    <w:rsid w:val="00353CC0"/>
    <w:rsid w:val="00353CF9"/>
    <w:rsid w:val="00353D50"/>
    <w:rsid w:val="00353E61"/>
    <w:rsid w:val="00353FB5"/>
    <w:rsid w:val="003540F5"/>
    <w:rsid w:val="00354291"/>
    <w:rsid w:val="00354528"/>
    <w:rsid w:val="00354598"/>
    <w:rsid w:val="00354A1D"/>
    <w:rsid w:val="00354B50"/>
    <w:rsid w:val="00354D8E"/>
    <w:rsid w:val="00354DF7"/>
    <w:rsid w:val="00354E33"/>
    <w:rsid w:val="00354F77"/>
    <w:rsid w:val="00354FF5"/>
    <w:rsid w:val="00355164"/>
    <w:rsid w:val="003551BA"/>
    <w:rsid w:val="0035526C"/>
    <w:rsid w:val="003552E2"/>
    <w:rsid w:val="003552E6"/>
    <w:rsid w:val="0035540C"/>
    <w:rsid w:val="003555A2"/>
    <w:rsid w:val="0035564E"/>
    <w:rsid w:val="00355779"/>
    <w:rsid w:val="00355810"/>
    <w:rsid w:val="00355826"/>
    <w:rsid w:val="003558F2"/>
    <w:rsid w:val="00355AE4"/>
    <w:rsid w:val="00355BB6"/>
    <w:rsid w:val="00355D6F"/>
    <w:rsid w:val="00355FFC"/>
    <w:rsid w:val="003561E4"/>
    <w:rsid w:val="003562A7"/>
    <w:rsid w:val="00356526"/>
    <w:rsid w:val="003565DE"/>
    <w:rsid w:val="00356633"/>
    <w:rsid w:val="00356637"/>
    <w:rsid w:val="003568FE"/>
    <w:rsid w:val="00356A0C"/>
    <w:rsid w:val="00356A68"/>
    <w:rsid w:val="00356ACE"/>
    <w:rsid w:val="00356BD3"/>
    <w:rsid w:val="00356D47"/>
    <w:rsid w:val="00356D48"/>
    <w:rsid w:val="00356EB4"/>
    <w:rsid w:val="00356F15"/>
    <w:rsid w:val="00356F51"/>
    <w:rsid w:val="003570DA"/>
    <w:rsid w:val="003571C3"/>
    <w:rsid w:val="0035735B"/>
    <w:rsid w:val="003573C5"/>
    <w:rsid w:val="00357516"/>
    <w:rsid w:val="0035757B"/>
    <w:rsid w:val="0035762D"/>
    <w:rsid w:val="0035772F"/>
    <w:rsid w:val="00357BA9"/>
    <w:rsid w:val="00357E03"/>
    <w:rsid w:val="00357F93"/>
    <w:rsid w:val="00357FF8"/>
    <w:rsid w:val="0036009F"/>
    <w:rsid w:val="00360200"/>
    <w:rsid w:val="0036029D"/>
    <w:rsid w:val="003603B0"/>
    <w:rsid w:val="003604FB"/>
    <w:rsid w:val="0036052F"/>
    <w:rsid w:val="0036085C"/>
    <w:rsid w:val="00360918"/>
    <w:rsid w:val="00360B38"/>
    <w:rsid w:val="00360BD7"/>
    <w:rsid w:val="00360F80"/>
    <w:rsid w:val="00361167"/>
    <w:rsid w:val="003612AD"/>
    <w:rsid w:val="003613EB"/>
    <w:rsid w:val="0036143E"/>
    <w:rsid w:val="003614E0"/>
    <w:rsid w:val="003616A2"/>
    <w:rsid w:val="0036196A"/>
    <w:rsid w:val="00361B7A"/>
    <w:rsid w:val="00361CC0"/>
    <w:rsid w:val="00361DFF"/>
    <w:rsid w:val="00361E14"/>
    <w:rsid w:val="00361F31"/>
    <w:rsid w:val="00362147"/>
    <w:rsid w:val="00362258"/>
    <w:rsid w:val="0036233E"/>
    <w:rsid w:val="003623FD"/>
    <w:rsid w:val="00362629"/>
    <w:rsid w:val="0036278A"/>
    <w:rsid w:val="0036279A"/>
    <w:rsid w:val="00362810"/>
    <w:rsid w:val="00362885"/>
    <w:rsid w:val="00362A7A"/>
    <w:rsid w:val="00362B81"/>
    <w:rsid w:val="00362C52"/>
    <w:rsid w:val="00362D23"/>
    <w:rsid w:val="00362D9C"/>
    <w:rsid w:val="00362F14"/>
    <w:rsid w:val="00363080"/>
    <w:rsid w:val="00363118"/>
    <w:rsid w:val="00363137"/>
    <w:rsid w:val="003631E0"/>
    <w:rsid w:val="00363368"/>
    <w:rsid w:val="00363381"/>
    <w:rsid w:val="003638AC"/>
    <w:rsid w:val="00363A69"/>
    <w:rsid w:val="00363AA6"/>
    <w:rsid w:val="00363AE6"/>
    <w:rsid w:val="00363AEB"/>
    <w:rsid w:val="00363AFA"/>
    <w:rsid w:val="00363B6C"/>
    <w:rsid w:val="00363B7F"/>
    <w:rsid w:val="00363CD1"/>
    <w:rsid w:val="00364098"/>
    <w:rsid w:val="003642C9"/>
    <w:rsid w:val="003643D7"/>
    <w:rsid w:val="003643E3"/>
    <w:rsid w:val="00364424"/>
    <w:rsid w:val="003644EC"/>
    <w:rsid w:val="003645FB"/>
    <w:rsid w:val="0036497E"/>
    <w:rsid w:val="00364A19"/>
    <w:rsid w:val="00364B28"/>
    <w:rsid w:val="00364BBC"/>
    <w:rsid w:val="00364BCB"/>
    <w:rsid w:val="00364BFC"/>
    <w:rsid w:val="00364BFD"/>
    <w:rsid w:val="00364FDD"/>
    <w:rsid w:val="00364FF6"/>
    <w:rsid w:val="00365241"/>
    <w:rsid w:val="0036533B"/>
    <w:rsid w:val="00365390"/>
    <w:rsid w:val="0036540F"/>
    <w:rsid w:val="00365457"/>
    <w:rsid w:val="00365659"/>
    <w:rsid w:val="00365673"/>
    <w:rsid w:val="0036576D"/>
    <w:rsid w:val="0036577D"/>
    <w:rsid w:val="0036579E"/>
    <w:rsid w:val="003657EA"/>
    <w:rsid w:val="00365818"/>
    <w:rsid w:val="00365878"/>
    <w:rsid w:val="00365B02"/>
    <w:rsid w:val="00365B80"/>
    <w:rsid w:val="00365B9A"/>
    <w:rsid w:val="00365D12"/>
    <w:rsid w:val="00365E90"/>
    <w:rsid w:val="003660E6"/>
    <w:rsid w:val="003660F9"/>
    <w:rsid w:val="003662A5"/>
    <w:rsid w:val="003662B9"/>
    <w:rsid w:val="003663BC"/>
    <w:rsid w:val="0036640E"/>
    <w:rsid w:val="0036651A"/>
    <w:rsid w:val="0036663B"/>
    <w:rsid w:val="00366840"/>
    <w:rsid w:val="003669D4"/>
    <w:rsid w:val="00366ACA"/>
    <w:rsid w:val="00366BAC"/>
    <w:rsid w:val="00366BED"/>
    <w:rsid w:val="00366C58"/>
    <w:rsid w:val="00366F5E"/>
    <w:rsid w:val="003670AC"/>
    <w:rsid w:val="00367137"/>
    <w:rsid w:val="003671B7"/>
    <w:rsid w:val="003671D7"/>
    <w:rsid w:val="0036754F"/>
    <w:rsid w:val="00367870"/>
    <w:rsid w:val="003679C3"/>
    <w:rsid w:val="00367A4D"/>
    <w:rsid w:val="00367A58"/>
    <w:rsid w:val="00367B3C"/>
    <w:rsid w:val="00367B58"/>
    <w:rsid w:val="00367C65"/>
    <w:rsid w:val="00367DA2"/>
    <w:rsid w:val="00367E58"/>
    <w:rsid w:val="00370033"/>
    <w:rsid w:val="00370399"/>
    <w:rsid w:val="003706D1"/>
    <w:rsid w:val="00370729"/>
    <w:rsid w:val="00370812"/>
    <w:rsid w:val="00370981"/>
    <w:rsid w:val="00370A63"/>
    <w:rsid w:val="00370BD5"/>
    <w:rsid w:val="00370D41"/>
    <w:rsid w:val="00370EAC"/>
    <w:rsid w:val="00371296"/>
    <w:rsid w:val="003712A3"/>
    <w:rsid w:val="00371330"/>
    <w:rsid w:val="00371439"/>
    <w:rsid w:val="00371537"/>
    <w:rsid w:val="00371734"/>
    <w:rsid w:val="0037190E"/>
    <w:rsid w:val="003719F6"/>
    <w:rsid w:val="00371E12"/>
    <w:rsid w:val="00371E46"/>
    <w:rsid w:val="00372109"/>
    <w:rsid w:val="00372436"/>
    <w:rsid w:val="003725A3"/>
    <w:rsid w:val="00372755"/>
    <w:rsid w:val="00372B17"/>
    <w:rsid w:val="00372B3A"/>
    <w:rsid w:val="00372B49"/>
    <w:rsid w:val="00372C6A"/>
    <w:rsid w:val="00372EE5"/>
    <w:rsid w:val="00372F85"/>
    <w:rsid w:val="00373035"/>
    <w:rsid w:val="00373064"/>
    <w:rsid w:val="00373136"/>
    <w:rsid w:val="003732DD"/>
    <w:rsid w:val="00373314"/>
    <w:rsid w:val="003734F3"/>
    <w:rsid w:val="00373564"/>
    <w:rsid w:val="0037373D"/>
    <w:rsid w:val="003737F4"/>
    <w:rsid w:val="003738A1"/>
    <w:rsid w:val="0037398B"/>
    <w:rsid w:val="003739AE"/>
    <w:rsid w:val="00373B83"/>
    <w:rsid w:val="00373BF9"/>
    <w:rsid w:val="00373C0D"/>
    <w:rsid w:val="0037405D"/>
    <w:rsid w:val="0037426A"/>
    <w:rsid w:val="003742A1"/>
    <w:rsid w:val="0037430B"/>
    <w:rsid w:val="003744B3"/>
    <w:rsid w:val="00374676"/>
    <w:rsid w:val="00374694"/>
    <w:rsid w:val="00374A55"/>
    <w:rsid w:val="00374ADB"/>
    <w:rsid w:val="00374AF9"/>
    <w:rsid w:val="00374BD6"/>
    <w:rsid w:val="00374C5C"/>
    <w:rsid w:val="00374CDF"/>
    <w:rsid w:val="00374DAF"/>
    <w:rsid w:val="00374DB6"/>
    <w:rsid w:val="00374E63"/>
    <w:rsid w:val="00374EF4"/>
    <w:rsid w:val="00375017"/>
    <w:rsid w:val="003750D6"/>
    <w:rsid w:val="003750EF"/>
    <w:rsid w:val="00375101"/>
    <w:rsid w:val="00375108"/>
    <w:rsid w:val="00375338"/>
    <w:rsid w:val="00375340"/>
    <w:rsid w:val="00375370"/>
    <w:rsid w:val="003753A6"/>
    <w:rsid w:val="003754BE"/>
    <w:rsid w:val="003754EB"/>
    <w:rsid w:val="00375593"/>
    <w:rsid w:val="003755BF"/>
    <w:rsid w:val="00375702"/>
    <w:rsid w:val="003757A1"/>
    <w:rsid w:val="003757BE"/>
    <w:rsid w:val="003757D8"/>
    <w:rsid w:val="00375915"/>
    <w:rsid w:val="00375BDB"/>
    <w:rsid w:val="00375C2C"/>
    <w:rsid w:val="003762EA"/>
    <w:rsid w:val="003764F8"/>
    <w:rsid w:val="003766BD"/>
    <w:rsid w:val="003767B3"/>
    <w:rsid w:val="003767FD"/>
    <w:rsid w:val="00376899"/>
    <w:rsid w:val="0037698A"/>
    <w:rsid w:val="003769CB"/>
    <w:rsid w:val="00376A86"/>
    <w:rsid w:val="00376CD2"/>
    <w:rsid w:val="00376D9B"/>
    <w:rsid w:val="00376DBA"/>
    <w:rsid w:val="00376EA6"/>
    <w:rsid w:val="00376EF9"/>
    <w:rsid w:val="00376F3B"/>
    <w:rsid w:val="00376FE4"/>
    <w:rsid w:val="003778A1"/>
    <w:rsid w:val="00377906"/>
    <w:rsid w:val="0037796C"/>
    <w:rsid w:val="00377C2B"/>
    <w:rsid w:val="00377C2F"/>
    <w:rsid w:val="00377E77"/>
    <w:rsid w:val="00377EFF"/>
    <w:rsid w:val="00377F15"/>
    <w:rsid w:val="00377F37"/>
    <w:rsid w:val="0037FB8A"/>
    <w:rsid w:val="00380160"/>
    <w:rsid w:val="0038022E"/>
    <w:rsid w:val="003802D3"/>
    <w:rsid w:val="003802EB"/>
    <w:rsid w:val="00380361"/>
    <w:rsid w:val="00380642"/>
    <w:rsid w:val="00380A2F"/>
    <w:rsid w:val="00380AA9"/>
    <w:rsid w:val="00380B36"/>
    <w:rsid w:val="00380B46"/>
    <w:rsid w:val="00380C08"/>
    <w:rsid w:val="00380CAD"/>
    <w:rsid w:val="00380CD5"/>
    <w:rsid w:val="00380DFC"/>
    <w:rsid w:val="00380E55"/>
    <w:rsid w:val="00380F39"/>
    <w:rsid w:val="00380F5B"/>
    <w:rsid w:val="00381109"/>
    <w:rsid w:val="00381113"/>
    <w:rsid w:val="0038111A"/>
    <w:rsid w:val="00381151"/>
    <w:rsid w:val="00381155"/>
    <w:rsid w:val="0038144A"/>
    <w:rsid w:val="003814E3"/>
    <w:rsid w:val="003814F0"/>
    <w:rsid w:val="003815CB"/>
    <w:rsid w:val="00381631"/>
    <w:rsid w:val="003816F3"/>
    <w:rsid w:val="0038174A"/>
    <w:rsid w:val="003817F6"/>
    <w:rsid w:val="00381817"/>
    <w:rsid w:val="0038186B"/>
    <w:rsid w:val="003818BF"/>
    <w:rsid w:val="003819E5"/>
    <w:rsid w:val="00381ABE"/>
    <w:rsid w:val="00381C44"/>
    <w:rsid w:val="00381C7E"/>
    <w:rsid w:val="00381EA9"/>
    <w:rsid w:val="0038200E"/>
    <w:rsid w:val="0038219B"/>
    <w:rsid w:val="00382451"/>
    <w:rsid w:val="00382529"/>
    <w:rsid w:val="00382781"/>
    <w:rsid w:val="003827ED"/>
    <w:rsid w:val="00382AE4"/>
    <w:rsid w:val="00382FE7"/>
    <w:rsid w:val="0038304D"/>
    <w:rsid w:val="00383131"/>
    <w:rsid w:val="003832F4"/>
    <w:rsid w:val="00383465"/>
    <w:rsid w:val="003834D9"/>
    <w:rsid w:val="00383562"/>
    <w:rsid w:val="00383564"/>
    <w:rsid w:val="003835AC"/>
    <w:rsid w:val="003836B0"/>
    <w:rsid w:val="00383727"/>
    <w:rsid w:val="00383A2E"/>
    <w:rsid w:val="00383B2A"/>
    <w:rsid w:val="00383B71"/>
    <w:rsid w:val="00383CDD"/>
    <w:rsid w:val="003841C5"/>
    <w:rsid w:val="00384359"/>
    <w:rsid w:val="00384396"/>
    <w:rsid w:val="003843B8"/>
    <w:rsid w:val="00384512"/>
    <w:rsid w:val="0038454B"/>
    <w:rsid w:val="00384B20"/>
    <w:rsid w:val="00384FB6"/>
    <w:rsid w:val="00385081"/>
    <w:rsid w:val="003850B4"/>
    <w:rsid w:val="003850F7"/>
    <w:rsid w:val="003851CA"/>
    <w:rsid w:val="00385386"/>
    <w:rsid w:val="0038538A"/>
    <w:rsid w:val="0038543D"/>
    <w:rsid w:val="0038572B"/>
    <w:rsid w:val="003857D3"/>
    <w:rsid w:val="00385C8D"/>
    <w:rsid w:val="00385E62"/>
    <w:rsid w:val="00386012"/>
    <w:rsid w:val="00386284"/>
    <w:rsid w:val="003864D4"/>
    <w:rsid w:val="003866FE"/>
    <w:rsid w:val="0038678C"/>
    <w:rsid w:val="0038696B"/>
    <w:rsid w:val="003869A8"/>
    <w:rsid w:val="003869FF"/>
    <w:rsid w:val="00386C4D"/>
    <w:rsid w:val="00386E1C"/>
    <w:rsid w:val="00386ECD"/>
    <w:rsid w:val="00387302"/>
    <w:rsid w:val="003873D8"/>
    <w:rsid w:val="00387434"/>
    <w:rsid w:val="003874AB"/>
    <w:rsid w:val="003875D3"/>
    <w:rsid w:val="003876B1"/>
    <w:rsid w:val="003876BE"/>
    <w:rsid w:val="0038785A"/>
    <w:rsid w:val="0038796F"/>
    <w:rsid w:val="00387B95"/>
    <w:rsid w:val="00387BAF"/>
    <w:rsid w:val="00387CBF"/>
    <w:rsid w:val="00387DFE"/>
    <w:rsid w:val="00387F21"/>
    <w:rsid w:val="00387F3A"/>
    <w:rsid w:val="00387F79"/>
    <w:rsid w:val="003900C7"/>
    <w:rsid w:val="00390453"/>
    <w:rsid w:val="00390518"/>
    <w:rsid w:val="00390906"/>
    <w:rsid w:val="00390A40"/>
    <w:rsid w:val="00390AE0"/>
    <w:rsid w:val="00390B18"/>
    <w:rsid w:val="00390BF7"/>
    <w:rsid w:val="00390BF8"/>
    <w:rsid w:val="00390FE0"/>
    <w:rsid w:val="00391048"/>
    <w:rsid w:val="00391378"/>
    <w:rsid w:val="003914B5"/>
    <w:rsid w:val="00391625"/>
    <w:rsid w:val="003916C0"/>
    <w:rsid w:val="003918EA"/>
    <w:rsid w:val="00391AB3"/>
    <w:rsid w:val="00391B79"/>
    <w:rsid w:val="00391CE3"/>
    <w:rsid w:val="00391CE5"/>
    <w:rsid w:val="003921CD"/>
    <w:rsid w:val="0039237E"/>
    <w:rsid w:val="0039238B"/>
    <w:rsid w:val="003924EA"/>
    <w:rsid w:val="0039253B"/>
    <w:rsid w:val="00392970"/>
    <w:rsid w:val="00392AD1"/>
    <w:rsid w:val="00392B04"/>
    <w:rsid w:val="00392C22"/>
    <w:rsid w:val="00392C3E"/>
    <w:rsid w:val="00392F28"/>
    <w:rsid w:val="00392F92"/>
    <w:rsid w:val="00392FA9"/>
    <w:rsid w:val="0039313B"/>
    <w:rsid w:val="003931BC"/>
    <w:rsid w:val="003937EC"/>
    <w:rsid w:val="00393916"/>
    <w:rsid w:val="00393B14"/>
    <w:rsid w:val="00393C4B"/>
    <w:rsid w:val="00393C73"/>
    <w:rsid w:val="00393D54"/>
    <w:rsid w:val="003943E3"/>
    <w:rsid w:val="003944FE"/>
    <w:rsid w:val="003947F0"/>
    <w:rsid w:val="00394DE9"/>
    <w:rsid w:val="00394E3B"/>
    <w:rsid w:val="00395139"/>
    <w:rsid w:val="00395448"/>
    <w:rsid w:val="003955E4"/>
    <w:rsid w:val="0039569A"/>
    <w:rsid w:val="0039569E"/>
    <w:rsid w:val="003956DE"/>
    <w:rsid w:val="003956FC"/>
    <w:rsid w:val="003957CB"/>
    <w:rsid w:val="0039581C"/>
    <w:rsid w:val="00395C1D"/>
    <w:rsid w:val="00395D43"/>
    <w:rsid w:val="00395DBF"/>
    <w:rsid w:val="00395FCC"/>
    <w:rsid w:val="0039615B"/>
    <w:rsid w:val="0039627D"/>
    <w:rsid w:val="00396333"/>
    <w:rsid w:val="003968D2"/>
    <w:rsid w:val="003969BF"/>
    <w:rsid w:val="00396D3A"/>
    <w:rsid w:val="00396DF5"/>
    <w:rsid w:val="00396FE1"/>
    <w:rsid w:val="00397120"/>
    <w:rsid w:val="0039715F"/>
    <w:rsid w:val="00397183"/>
    <w:rsid w:val="003972FA"/>
    <w:rsid w:val="00397315"/>
    <w:rsid w:val="00397386"/>
    <w:rsid w:val="00397670"/>
    <w:rsid w:val="00397872"/>
    <w:rsid w:val="00397B3F"/>
    <w:rsid w:val="00397B77"/>
    <w:rsid w:val="00397C89"/>
    <w:rsid w:val="003A001F"/>
    <w:rsid w:val="003A0040"/>
    <w:rsid w:val="003A0072"/>
    <w:rsid w:val="003A0197"/>
    <w:rsid w:val="003A01EC"/>
    <w:rsid w:val="003A01F3"/>
    <w:rsid w:val="003A0223"/>
    <w:rsid w:val="003A0585"/>
    <w:rsid w:val="003A0D61"/>
    <w:rsid w:val="003A0D76"/>
    <w:rsid w:val="003A0DC2"/>
    <w:rsid w:val="003A0E92"/>
    <w:rsid w:val="003A0EFF"/>
    <w:rsid w:val="003A112B"/>
    <w:rsid w:val="003A12E9"/>
    <w:rsid w:val="003A1583"/>
    <w:rsid w:val="003A1C96"/>
    <w:rsid w:val="003A1E41"/>
    <w:rsid w:val="003A1E72"/>
    <w:rsid w:val="003A1F9B"/>
    <w:rsid w:val="003A210D"/>
    <w:rsid w:val="003A2125"/>
    <w:rsid w:val="003A21DD"/>
    <w:rsid w:val="003A2260"/>
    <w:rsid w:val="003A254D"/>
    <w:rsid w:val="003A2565"/>
    <w:rsid w:val="003A25D0"/>
    <w:rsid w:val="003A2684"/>
    <w:rsid w:val="003A27FD"/>
    <w:rsid w:val="003A28AB"/>
    <w:rsid w:val="003A2955"/>
    <w:rsid w:val="003A2A14"/>
    <w:rsid w:val="003A2A9C"/>
    <w:rsid w:val="003A2C44"/>
    <w:rsid w:val="003A2D61"/>
    <w:rsid w:val="003A2E9B"/>
    <w:rsid w:val="003A309F"/>
    <w:rsid w:val="003A30B1"/>
    <w:rsid w:val="003A31A2"/>
    <w:rsid w:val="003A32F9"/>
    <w:rsid w:val="003A3345"/>
    <w:rsid w:val="003A336E"/>
    <w:rsid w:val="003A3A6B"/>
    <w:rsid w:val="003A3D88"/>
    <w:rsid w:val="003A4295"/>
    <w:rsid w:val="003A42C3"/>
    <w:rsid w:val="003A4385"/>
    <w:rsid w:val="003A4462"/>
    <w:rsid w:val="003A4504"/>
    <w:rsid w:val="003A452B"/>
    <w:rsid w:val="003A45B5"/>
    <w:rsid w:val="003A4683"/>
    <w:rsid w:val="003A46C6"/>
    <w:rsid w:val="003A4805"/>
    <w:rsid w:val="003A4A06"/>
    <w:rsid w:val="003A4AD7"/>
    <w:rsid w:val="003A4B64"/>
    <w:rsid w:val="003A4CAF"/>
    <w:rsid w:val="003A4CDC"/>
    <w:rsid w:val="003A4D0A"/>
    <w:rsid w:val="003A4EE8"/>
    <w:rsid w:val="003A506C"/>
    <w:rsid w:val="003A516B"/>
    <w:rsid w:val="003A523A"/>
    <w:rsid w:val="003A546D"/>
    <w:rsid w:val="003A5625"/>
    <w:rsid w:val="003A5962"/>
    <w:rsid w:val="003A5AD2"/>
    <w:rsid w:val="003A5AE7"/>
    <w:rsid w:val="003A5C43"/>
    <w:rsid w:val="003A5D6E"/>
    <w:rsid w:val="003A5F3B"/>
    <w:rsid w:val="003A6178"/>
    <w:rsid w:val="003A6183"/>
    <w:rsid w:val="003A6418"/>
    <w:rsid w:val="003A6608"/>
    <w:rsid w:val="003A67FD"/>
    <w:rsid w:val="003A682F"/>
    <w:rsid w:val="003A6832"/>
    <w:rsid w:val="003A6850"/>
    <w:rsid w:val="003A68A5"/>
    <w:rsid w:val="003A6935"/>
    <w:rsid w:val="003A6A1E"/>
    <w:rsid w:val="003A6A35"/>
    <w:rsid w:val="003A6B3C"/>
    <w:rsid w:val="003A6CEE"/>
    <w:rsid w:val="003A6DB6"/>
    <w:rsid w:val="003A6ECE"/>
    <w:rsid w:val="003A705A"/>
    <w:rsid w:val="003A70F5"/>
    <w:rsid w:val="003A74A2"/>
    <w:rsid w:val="003A7677"/>
    <w:rsid w:val="003A796E"/>
    <w:rsid w:val="003A7B24"/>
    <w:rsid w:val="003A7B45"/>
    <w:rsid w:val="003A7B61"/>
    <w:rsid w:val="003A7C24"/>
    <w:rsid w:val="003A7C4D"/>
    <w:rsid w:val="003A7D28"/>
    <w:rsid w:val="003A7E48"/>
    <w:rsid w:val="003A7E6E"/>
    <w:rsid w:val="003A7EA2"/>
    <w:rsid w:val="003A7FE0"/>
    <w:rsid w:val="003B0063"/>
    <w:rsid w:val="003B01E7"/>
    <w:rsid w:val="003B0244"/>
    <w:rsid w:val="003B0281"/>
    <w:rsid w:val="003B04E5"/>
    <w:rsid w:val="003B0610"/>
    <w:rsid w:val="003B0665"/>
    <w:rsid w:val="003B07E3"/>
    <w:rsid w:val="003B089F"/>
    <w:rsid w:val="003B0B80"/>
    <w:rsid w:val="003B0EBF"/>
    <w:rsid w:val="003B0EFD"/>
    <w:rsid w:val="003B0F16"/>
    <w:rsid w:val="003B1184"/>
    <w:rsid w:val="003B12DA"/>
    <w:rsid w:val="003B12E4"/>
    <w:rsid w:val="003B13C0"/>
    <w:rsid w:val="003B13C6"/>
    <w:rsid w:val="003B13D0"/>
    <w:rsid w:val="003B14E5"/>
    <w:rsid w:val="003B173D"/>
    <w:rsid w:val="003B17D2"/>
    <w:rsid w:val="003B1A2B"/>
    <w:rsid w:val="003B1BB0"/>
    <w:rsid w:val="003B1D65"/>
    <w:rsid w:val="003B1D9F"/>
    <w:rsid w:val="003B1DBF"/>
    <w:rsid w:val="003B1E4D"/>
    <w:rsid w:val="003B1E94"/>
    <w:rsid w:val="003B2018"/>
    <w:rsid w:val="003B20B8"/>
    <w:rsid w:val="003B20F2"/>
    <w:rsid w:val="003B2141"/>
    <w:rsid w:val="003B2260"/>
    <w:rsid w:val="003B2304"/>
    <w:rsid w:val="003B2359"/>
    <w:rsid w:val="003B24B7"/>
    <w:rsid w:val="003B24BD"/>
    <w:rsid w:val="003B265C"/>
    <w:rsid w:val="003B276E"/>
    <w:rsid w:val="003B29C9"/>
    <w:rsid w:val="003B2A5A"/>
    <w:rsid w:val="003B2D53"/>
    <w:rsid w:val="003B2E1A"/>
    <w:rsid w:val="003B2F4E"/>
    <w:rsid w:val="003B312F"/>
    <w:rsid w:val="003B3253"/>
    <w:rsid w:val="003B3310"/>
    <w:rsid w:val="003B37E9"/>
    <w:rsid w:val="003B387E"/>
    <w:rsid w:val="003B3ABC"/>
    <w:rsid w:val="003B40A9"/>
    <w:rsid w:val="003B4133"/>
    <w:rsid w:val="003B414D"/>
    <w:rsid w:val="003B41E7"/>
    <w:rsid w:val="003B4415"/>
    <w:rsid w:val="003B4841"/>
    <w:rsid w:val="003B48DE"/>
    <w:rsid w:val="003B4AF0"/>
    <w:rsid w:val="003B4FF1"/>
    <w:rsid w:val="003B5054"/>
    <w:rsid w:val="003B5145"/>
    <w:rsid w:val="003B54A0"/>
    <w:rsid w:val="003B553B"/>
    <w:rsid w:val="003B5594"/>
    <w:rsid w:val="003B5596"/>
    <w:rsid w:val="003B55F9"/>
    <w:rsid w:val="003B568D"/>
    <w:rsid w:val="003B5699"/>
    <w:rsid w:val="003B57EE"/>
    <w:rsid w:val="003B589D"/>
    <w:rsid w:val="003B59C2"/>
    <w:rsid w:val="003B59DD"/>
    <w:rsid w:val="003B5F14"/>
    <w:rsid w:val="003B6032"/>
    <w:rsid w:val="003B60D7"/>
    <w:rsid w:val="003B61A5"/>
    <w:rsid w:val="003B61DF"/>
    <w:rsid w:val="003B64BC"/>
    <w:rsid w:val="003B650C"/>
    <w:rsid w:val="003B6549"/>
    <w:rsid w:val="003B6793"/>
    <w:rsid w:val="003B687B"/>
    <w:rsid w:val="003B696A"/>
    <w:rsid w:val="003B698E"/>
    <w:rsid w:val="003B6D45"/>
    <w:rsid w:val="003B6EBA"/>
    <w:rsid w:val="003B6EBE"/>
    <w:rsid w:val="003B71EE"/>
    <w:rsid w:val="003B7227"/>
    <w:rsid w:val="003B7442"/>
    <w:rsid w:val="003B74D7"/>
    <w:rsid w:val="003B761B"/>
    <w:rsid w:val="003B7788"/>
    <w:rsid w:val="003B7893"/>
    <w:rsid w:val="003B793D"/>
    <w:rsid w:val="003B79FD"/>
    <w:rsid w:val="003B7B0D"/>
    <w:rsid w:val="003B7D0E"/>
    <w:rsid w:val="003B7E4B"/>
    <w:rsid w:val="003C00B4"/>
    <w:rsid w:val="003C01EC"/>
    <w:rsid w:val="003C033E"/>
    <w:rsid w:val="003C0428"/>
    <w:rsid w:val="003C0650"/>
    <w:rsid w:val="003C0740"/>
    <w:rsid w:val="003C0A31"/>
    <w:rsid w:val="003C0A70"/>
    <w:rsid w:val="003C0B55"/>
    <w:rsid w:val="003C0B80"/>
    <w:rsid w:val="003C0C9E"/>
    <w:rsid w:val="003C0D33"/>
    <w:rsid w:val="003C0E54"/>
    <w:rsid w:val="003C111C"/>
    <w:rsid w:val="003C1127"/>
    <w:rsid w:val="003C114F"/>
    <w:rsid w:val="003C11B3"/>
    <w:rsid w:val="003C1204"/>
    <w:rsid w:val="003C12EE"/>
    <w:rsid w:val="003C1310"/>
    <w:rsid w:val="003C13CE"/>
    <w:rsid w:val="003C13ED"/>
    <w:rsid w:val="003C145D"/>
    <w:rsid w:val="003C14D6"/>
    <w:rsid w:val="003C1769"/>
    <w:rsid w:val="003C17F6"/>
    <w:rsid w:val="003C19C3"/>
    <w:rsid w:val="003C1A0F"/>
    <w:rsid w:val="003C1BA4"/>
    <w:rsid w:val="003C1D97"/>
    <w:rsid w:val="003C1DC0"/>
    <w:rsid w:val="003C1E5E"/>
    <w:rsid w:val="003C1F17"/>
    <w:rsid w:val="003C1F3F"/>
    <w:rsid w:val="003C1FE4"/>
    <w:rsid w:val="003C21D4"/>
    <w:rsid w:val="003C21EA"/>
    <w:rsid w:val="003C22FF"/>
    <w:rsid w:val="003C2308"/>
    <w:rsid w:val="003C23BB"/>
    <w:rsid w:val="003C2572"/>
    <w:rsid w:val="003C2585"/>
    <w:rsid w:val="003C275B"/>
    <w:rsid w:val="003C27FE"/>
    <w:rsid w:val="003C28F3"/>
    <w:rsid w:val="003C2B7F"/>
    <w:rsid w:val="003C2C77"/>
    <w:rsid w:val="003C2EEA"/>
    <w:rsid w:val="003C31EB"/>
    <w:rsid w:val="003C340F"/>
    <w:rsid w:val="003C3497"/>
    <w:rsid w:val="003C375A"/>
    <w:rsid w:val="003C3989"/>
    <w:rsid w:val="003C3AAB"/>
    <w:rsid w:val="003C3D4B"/>
    <w:rsid w:val="003C3E3A"/>
    <w:rsid w:val="003C405A"/>
    <w:rsid w:val="003C4380"/>
    <w:rsid w:val="003C43BE"/>
    <w:rsid w:val="003C4425"/>
    <w:rsid w:val="003C44E9"/>
    <w:rsid w:val="003C4650"/>
    <w:rsid w:val="003C4B05"/>
    <w:rsid w:val="003C4D3C"/>
    <w:rsid w:val="003C5479"/>
    <w:rsid w:val="003C54E1"/>
    <w:rsid w:val="003C5573"/>
    <w:rsid w:val="003C562C"/>
    <w:rsid w:val="003C568F"/>
    <w:rsid w:val="003C58A5"/>
    <w:rsid w:val="003C595B"/>
    <w:rsid w:val="003C5E68"/>
    <w:rsid w:val="003C5ECB"/>
    <w:rsid w:val="003C5EEA"/>
    <w:rsid w:val="003C5F00"/>
    <w:rsid w:val="003C613A"/>
    <w:rsid w:val="003C61CE"/>
    <w:rsid w:val="003C6601"/>
    <w:rsid w:val="003C6692"/>
    <w:rsid w:val="003C6781"/>
    <w:rsid w:val="003C68B2"/>
    <w:rsid w:val="003C6B2A"/>
    <w:rsid w:val="003C6C73"/>
    <w:rsid w:val="003C6DF1"/>
    <w:rsid w:val="003C6FBF"/>
    <w:rsid w:val="003C71B9"/>
    <w:rsid w:val="003C721E"/>
    <w:rsid w:val="003C73A2"/>
    <w:rsid w:val="003C7560"/>
    <w:rsid w:val="003C7609"/>
    <w:rsid w:val="003C769B"/>
    <w:rsid w:val="003C76D4"/>
    <w:rsid w:val="003C771A"/>
    <w:rsid w:val="003C788E"/>
    <w:rsid w:val="003C795D"/>
    <w:rsid w:val="003C79BA"/>
    <w:rsid w:val="003C7D6F"/>
    <w:rsid w:val="003C7E56"/>
    <w:rsid w:val="003D00E3"/>
    <w:rsid w:val="003D02BF"/>
    <w:rsid w:val="003D0344"/>
    <w:rsid w:val="003D035F"/>
    <w:rsid w:val="003D045A"/>
    <w:rsid w:val="003D0469"/>
    <w:rsid w:val="003D04D2"/>
    <w:rsid w:val="003D0698"/>
    <w:rsid w:val="003D0849"/>
    <w:rsid w:val="003D08BC"/>
    <w:rsid w:val="003D0A6A"/>
    <w:rsid w:val="003D0A97"/>
    <w:rsid w:val="003D0B2E"/>
    <w:rsid w:val="003D0CEA"/>
    <w:rsid w:val="003D100C"/>
    <w:rsid w:val="003D1033"/>
    <w:rsid w:val="003D1051"/>
    <w:rsid w:val="003D16C9"/>
    <w:rsid w:val="003D19A9"/>
    <w:rsid w:val="003D1A87"/>
    <w:rsid w:val="003D1B80"/>
    <w:rsid w:val="003D1E89"/>
    <w:rsid w:val="003D1FDA"/>
    <w:rsid w:val="003D20B4"/>
    <w:rsid w:val="003D21D7"/>
    <w:rsid w:val="003D2256"/>
    <w:rsid w:val="003D245E"/>
    <w:rsid w:val="003D24A6"/>
    <w:rsid w:val="003D27A9"/>
    <w:rsid w:val="003D27E1"/>
    <w:rsid w:val="003D28A4"/>
    <w:rsid w:val="003D28BC"/>
    <w:rsid w:val="003D2A1D"/>
    <w:rsid w:val="003D2D5C"/>
    <w:rsid w:val="003D2D7D"/>
    <w:rsid w:val="003D2DBD"/>
    <w:rsid w:val="003D2F30"/>
    <w:rsid w:val="003D2F82"/>
    <w:rsid w:val="003D307A"/>
    <w:rsid w:val="003D30B7"/>
    <w:rsid w:val="003D30C9"/>
    <w:rsid w:val="003D328E"/>
    <w:rsid w:val="003D3457"/>
    <w:rsid w:val="003D35CC"/>
    <w:rsid w:val="003D376F"/>
    <w:rsid w:val="003D38DB"/>
    <w:rsid w:val="003D3A18"/>
    <w:rsid w:val="003D3A83"/>
    <w:rsid w:val="003D3AC4"/>
    <w:rsid w:val="003D3E31"/>
    <w:rsid w:val="003D42F9"/>
    <w:rsid w:val="003D4320"/>
    <w:rsid w:val="003D43E9"/>
    <w:rsid w:val="003D4624"/>
    <w:rsid w:val="003D46B1"/>
    <w:rsid w:val="003D46F8"/>
    <w:rsid w:val="003D4744"/>
    <w:rsid w:val="003D48E5"/>
    <w:rsid w:val="003D4A11"/>
    <w:rsid w:val="003D4A3F"/>
    <w:rsid w:val="003D4B77"/>
    <w:rsid w:val="003D4B95"/>
    <w:rsid w:val="003D4C35"/>
    <w:rsid w:val="003D4C55"/>
    <w:rsid w:val="003D5437"/>
    <w:rsid w:val="003D55C2"/>
    <w:rsid w:val="003D5693"/>
    <w:rsid w:val="003D578A"/>
    <w:rsid w:val="003D5B2C"/>
    <w:rsid w:val="003D5E56"/>
    <w:rsid w:val="003D5FAC"/>
    <w:rsid w:val="003D6003"/>
    <w:rsid w:val="003D633C"/>
    <w:rsid w:val="003D639E"/>
    <w:rsid w:val="003D66C1"/>
    <w:rsid w:val="003D6800"/>
    <w:rsid w:val="003D6A4D"/>
    <w:rsid w:val="003D6D8A"/>
    <w:rsid w:val="003D6E40"/>
    <w:rsid w:val="003D7001"/>
    <w:rsid w:val="003D7014"/>
    <w:rsid w:val="003D71CB"/>
    <w:rsid w:val="003D7364"/>
    <w:rsid w:val="003D7406"/>
    <w:rsid w:val="003D74A2"/>
    <w:rsid w:val="003D75FC"/>
    <w:rsid w:val="003D7699"/>
    <w:rsid w:val="003D76B3"/>
    <w:rsid w:val="003D7819"/>
    <w:rsid w:val="003D7826"/>
    <w:rsid w:val="003D7992"/>
    <w:rsid w:val="003D7BB3"/>
    <w:rsid w:val="003D7BC8"/>
    <w:rsid w:val="003D7D5C"/>
    <w:rsid w:val="003D7F08"/>
    <w:rsid w:val="003D7FD4"/>
    <w:rsid w:val="003E0032"/>
    <w:rsid w:val="003E0033"/>
    <w:rsid w:val="003E015C"/>
    <w:rsid w:val="003E02D8"/>
    <w:rsid w:val="003E0684"/>
    <w:rsid w:val="003E06B7"/>
    <w:rsid w:val="003E06F8"/>
    <w:rsid w:val="003E072B"/>
    <w:rsid w:val="003E096B"/>
    <w:rsid w:val="003E0C62"/>
    <w:rsid w:val="003E0D8A"/>
    <w:rsid w:val="003E0E75"/>
    <w:rsid w:val="003E0F69"/>
    <w:rsid w:val="003E111F"/>
    <w:rsid w:val="003E1440"/>
    <w:rsid w:val="003E145F"/>
    <w:rsid w:val="003E1493"/>
    <w:rsid w:val="003E161D"/>
    <w:rsid w:val="003E1763"/>
    <w:rsid w:val="003E1799"/>
    <w:rsid w:val="003E1898"/>
    <w:rsid w:val="003E1AE7"/>
    <w:rsid w:val="003E1F05"/>
    <w:rsid w:val="003E1FBA"/>
    <w:rsid w:val="003E2883"/>
    <w:rsid w:val="003E289D"/>
    <w:rsid w:val="003E29DA"/>
    <w:rsid w:val="003E2A4F"/>
    <w:rsid w:val="003E2AAE"/>
    <w:rsid w:val="003E2C47"/>
    <w:rsid w:val="003E2CAB"/>
    <w:rsid w:val="003E2EB3"/>
    <w:rsid w:val="003E302B"/>
    <w:rsid w:val="003E311C"/>
    <w:rsid w:val="003E3165"/>
    <w:rsid w:val="003E32EE"/>
    <w:rsid w:val="003E361A"/>
    <w:rsid w:val="003E36BD"/>
    <w:rsid w:val="003E3715"/>
    <w:rsid w:val="003E371C"/>
    <w:rsid w:val="003E3743"/>
    <w:rsid w:val="003E37B3"/>
    <w:rsid w:val="003E3BA5"/>
    <w:rsid w:val="003E3BC9"/>
    <w:rsid w:val="003E3BF6"/>
    <w:rsid w:val="003E3D18"/>
    <w:rsid w:val="003E3FB0"/>
    <w:rsid w:val="003E437F"/>
    <w:rsid w:val="003E440F"/>
    <w:rsid w:val="003E4586"/>
    <w:rsid w:val="003E45A0"/>
    <w:rsid w:val="003E4610"/>
    <w:rsid w:val="003E4830"/>
    <w:rsid w:val="003E486C"/>
    <w:rsid w:val="003E4920"/>
    <w:rsid w:val="003E493B"/>
    <w:rsid w:val="003E4A39"/>
    <w:rsid w:val="003E4B48"/>
    <w:rsid w:val="003E4C3F"/>
    <w:rsid w:val="003E4F67"/>
    <w:rsid w:val="003E4FA5"/>
    <w:rsid w:val="003E52DE"/>
    <w:rsid w:val="003E5390"/>
    <w:rsid w:val="003E53DA"/>
    <w:rsid w:val="003E545F"/>
    <w:rsid w:val="003E55C3"/>
    <w:rsid w:val="003E5788"/>
    <w:rsid w:val="003E5942"/>
    <w:rsid w:val="003E5CE2"/>
    <w:rsid w:val="003E5EE0"/>
    <w:rsid w:val="003E5FD7"/>
    <w:rsid w:val="003E6028"/>
    <w:rsid w:val="003E60B4"/>
    <w:rsid w:val="003E62D1"/>
    <w:rsid w:val="003E6353"/>
    <w:rsid w:val="003E63BD"/>
    <w:rsid w:val="003E63F6"/>
    <w:rsid w:val="003E64EC"/>
    <w:rsid w:val="003E6597"/>
    <w:rsid w:val="003E6655"/>
    <w:rsid w:val="003E67A4"/>
    <w:rsid w:val="003E6A0B"/>
    <w:rsid w:val="003E6A4C"/>
    <w:rsid w:val="003E6B75"/>
    <w:rsid w:val="003E6BFE"/>
    <w:rsid w:val="003E6CB9"/>
    <w:rsid w:val="003E6E75"/>
    <w:rsid w:val="003E6F94"/>
    <w:rsid w:val="003E7150"/>
    <w:rsid w:val="003E724B"/>
    <w:rsid w:val="003E746D"/>
    <w:rsid w:val="003E74BD"/>
    <w:rsid w:val="003E76C6"/>
    <w:rsid w:val="003E77B3"/>
    <w:rsid w:val="003E7836"/>
    <w:rsid w:val="003E7869"/>
    <w:rsid w:val="003E7976"/>
    <w:rsid w:val="003E7AA0"/>
    <w:rsid w:val="003E7AD5"/>
    <w:rsid w:val="003E7CA5"/>
    <w:rsid w:val="003E7CE9"/>
    <w:rsid w:val="003E7D3E"/>
    <w:rsid w:val="003E7DA2"/>
    <w:rsid w:val="003E7FE0"/>
    <w:rsid w:val="003F028C"/>
    <w:rsid w:val="003F0357"/>
    <w:rsid w:val="003F03D6"/>
    <w:rsid w:val="003F063B"/>
    <w:rsid w:val="003F09C6"/>
    <w:rsid w:val="003F0A77"/>
    <w:rsid w:val="003F0BCC"/>
    <w:rsid w:val="003F0C19"/>
    <w:rsid w:val="003F0C35"/>
    <w:rsid w:val="003F0CE0"/>
    <w:rsid w:val="003F0E2E"/>
    <w:rsid w:val="003F0E82"/>
    <w:rsid w:val="003F144E"/>
    <w:rsid w:val="003F150F"/>
    <w:rsid w:val="003F16BF"/>
    <w:rsid w:val="003F1766"/>
    <w:rsid w:val="003F19B5"/>
    <w:rsid w:val="003F1AFF"/>
    <w:rsid w:val="003F217A"/>
    <w:rsid w:val="003F22C1"/>
    <w:rsid w:val="003F2327"/>
    <w:rsid w:val="003F2360"/>
    <w:rsid w:val="003F2380"/>
    <w:rsid w:val="003F2460"/>
    <w:rsid w:val="003F26B2"/>
    <w:rsid w:val="003F29E8"/>
    <w:rsid w:val="003F2A4E"/>
    <w:rsid w:val="003F2ABE"/>
    <w:rsid w:val="003F2BEB"/>
    <w:rsid w:val="003F2ECD"/>
    <w:rsid w:val="003F2EF2"/>
    <w:rsid w:val="003F2F49"/>
    <w:rsid w:val="003F2F5F"/>
    <w:rsid w:val="003F30D8"/>
    <w:rsid w:val="003F3134"/>
    <w:rsid w:val="003F3138"/>
    <w:rsid w:val="003F317C"/>
    <w:rsid w:val="003F33BB"/>
    <w:rsid w:val="003F3445"/>
    <w:rsid w:val="003F345C"/>
    <w:rsid w:val="003F350C"/>
    <w:rsid w:val="003F358D"/>
    <w:rsid w:val="003F360F"/>
    <w:rsid w:val="003F3910"/>
    <w:rsid w:val="003F3958"/>
    <w:rsid w:val="003F3A44"/>
    <w:rsid w:val="003F3C74"/>
    <w:rsid w:val="003F3E36"/>
    <w:rsid w:val="003F3E50"/>
    <w:rsid w:val="003F418B"/>
    <w:rsid w:val="003F430C"/>
    <w:rsid w:val="003F4331"/>
    <w:rsid w:val="003F4364"/>
    <w:rsid w:val="003F43E9"/>
    <w:rsid w:val="003F44B5"/>
    <w:rsid w:val="003F46CF"/>
    <w:rsid w:val="003F46E3"/>
    <w:rsid w:val="003F4896"/>
    <w:rsid w:val="003F4AC6"/>
    <w:rsid w:val="003F4D72"/>
    <w:rsid w:val="003F4F59"/>
    <w:rsid w:val="003F5278"/>
    <w:rsid w:val="003F5382"/>
    <w:rsid w:val="003F544A"/>
    <w:rsid w:val="003F54B5"/>
    <w:rsid w:val="003F550B"/>
    <w:rsid w:val="003F55B3"/>
    <w:rsid w:val="003F55FA"/>
    <w:rsid w:val="003F5615"/>
    <w:rsid w:val="003F5645"/>
    <w:rsid w:val="003F56DA"/>
    <w:rsid w:val="003F5A70"/>
    <w:rsid w:val="003F5AAC"/>
    <w:rsid w:val="003F5B46"/>
    <w:rsid w:val="003F5BD9"/>
    <w:rsid w:val="003F5D58"/>
    <w:rsid w:val="003F5DFC"/>
    <w:rsid w:val="003F5E5A"/>
    <w:rsid w:val="003F5F2F"/>
    <w:rsid w:val="003F604C"/>
    <w:rsid w:val="003F6103"/>
    <w:rsid w:val="003F61BD"/>
    <w:rsid w:val="003F621E"/>
    <w:rsid w:val="003F63C2"/>
    <w:rsid w:val="003F648E"/>
    <w:rsid w:val="003F64C9"/>
    <w:rsid w:val="003F67D5"/>
    <w:rsid w:val="003F6874"/>
    <w:rsid w:val="003F6ABD"/>
    <w:rsid w:val="003F6CD7"/>
    <w:rsid w:val="003F6E58"/>
    <w:rsid w:val="003F7040"/>
    <w:rsid w:val="003F7065"/>
    <w:rsid w:val="003F7156"/>
    <w:rsid w:val="003F71C8"/>
    <w:rsid w:val="003F778D"/>
    <w:rsid w:val="003F78C7"/>
    <w:rsid w:val="003F78FE"/>
    <w:rsid w:val="003F7982"/>
    <w:rsid w:val="003F7A34"/>
    <w:rsid w:val="003F7C77"/>
    <w:rsid w:val="003F7E6F"/>
    <w:rsid w:val="003F7F56"/>
    <w:rsid w:val="0040001A"/>
    <w:rsid w:val="0040005E"/>
    <w:rsid w:val="00400250"/>
    <w:rsid w:val="00400325"/>
    <w:rsid w:val="00400404"/>
    <w:rsid w:val="00400481"/>
    <w:rsid w:val="0040072F"/>
    <w:rsid w:val="00400857"/>
    <w:rsid w:val="00400A40"/>
    <w:rsid w:val="00400C12"/>
    <w:rsid w:val="00400D92"/>
    <w:rsid w:val="00401039"/>
    <w:rsid w:val="00401082"/>
    <w:rsid w:val="004010B1"/>
    <w:rsid w:val="00401186"/>
    <w:rsid w:val="004014A6"/>
    <w:rsid w:val="004014E4"/>
    <w:rsid w:val="0040159A"/>
    <w:rsid w:val="0040168C"/>
    <w:rsid w:val="004016E7"/>
    <w:rsid w:val="00401733"/>
    <w:rsid w:val="004017C9"/>
    <w:rsid w:val="004018EB"/>
    <w:rsid w:val="00401937"/>
    <w:rsid w:val="00401A81"/>
    <w:rsid w:val="00401CEC"/>
    <w:rsid w:val="00401D95"/>
    <w:rsid w:val="00401D9C"/>
    <w:rsid w:val="00401E22"/>
    <w:rsid w:val="00401EC2"/>
    <w:rsid w:val="00401EF9"/>
    <w:rsid w:val="00402042"/>
    <w:rsid w:val="0040215C"/>
    <w:rsid w:val="0040216F"/>
    <w:rsid w:val="00402205"/>
    <w:rsid w:val="0040232A"/>
    <w:rsid w:val="0040250C"/>
    <w:rsid w:val="0040257C"/>
    <w:rsid w:val="00402729"/>
    <w:rsid w:val="00402981"/>
    <w:rsid w:val="004029FF"/>
    <w:rsid w:val="00402A2F"/>
    <w:rsid w:val="00402B73"/>
    <w:rsid w:val="00402BB2"/>
    <w:rsid w:val="00402BDB"/>
    <w:rsid w:val="00402C35"/>
    <w:rsid w:val="00402E0D"/>
    <w:rsid w:val="00402E24"/>
    <w:rsid w:val="00402ED8"/>
    <w:rsid w:val="00402F3E"/>
    <w:rsid w:val="0040302C"/>
    <w:rsid w:val="00403111"/>
    <w:rsid w:val="004031A2"/>
    <w:rsid w:val="0040328B"/>
    <w:rsid w:val="0040330F"/>
    <w:rsid w:val="00403452"/>
    <w:rsid w:val="00403717"/>
    <w:rsid w:val="004037A0"/>
    <w:rsid w:val="0040387C"/>
    <w:rsid w:val="00403BFD"/>
    <w:rsid w:val="00403E49"/>
    <w:rsid w:val="00403E53"/>
    <w:rsid w:val="00404283"/>
    <w:rsid w:val="004042AC"/>
    <w:rsid w:val="004043F3"/>
    <w:rsid w:val="0040456F"/>
    <w:rsid w:val="004046C4"/>
    <w:rsid w:val="004046D5"/>
    <w:rsid w:val="00404989"/>
    <w:rsid w:val="004049F0"/>
    <w:rsid w:val="00404B34"/>
    <w:rsid w:val="00404B88"/>
    <w:rsid w:val="00404B9A"/>
    <w:rsid w:val="00404F86"/>
    <w:rsid w:val="00404FF2"/>
    <w:rsid w:val="00405224"/>
    <w:rsid w:val="0040528D"/>
    <w:rsid w:val="00405337"/>
    <w:rsid w:val="004053F4"/>
    <w:rsid w:val="0040540A"/>
    <w:rsid w:val="0040549D"/>
    <w:rsid w:val="004055F8"/>
    <w:rsid w:val="0040576C"/>
    <w:rsid w:val="0040576D"/>
    <w:rsid w:val="00405948"/>
    <w:rsid w:val="00405BCF"/>
    <w:rsid w:val="00405E52"/>
    <w:rsid w:val="00405F54"/>
    <w:rsid w:val="00406024"/>
    <w:rsid w:val="004060AF"/>
    <w:rsid w:val="004061DF"/>
    <w:rsid w:val="004062D4"/>
    <w:rsid w:val="00406553"/>
    <w:rsid w:val="004066D9"/>
    <w:rsid w:val="00406ABE"/>
    <w:rsid w:val="00406B40"/>
    <w:rsid w:val="00406D31"/>
    <w:rsid w:val="00406D8A"/>
    <w:rsid w:val="00406DA1"/>
    <w:rsid w:val="00406F31"/>
    <w:rsid w:val="00406FCA"/>
    <w:rsid w:val="0040708E"/>
    <w:rsid w:val="00407528"/>
    <w:rsid w:val="00407A21"/>
    <w:rsid w:val="00407A49"/>
    <w:rsid w:val="00407B21"/>
    <w:rsid w:val="00407BC9"/>
    <w:rsid w:val="00407BD7"/>
    <w:rsid w:val="00407C8E"/>
    <w:rsid w:val="00407D27"/>
    <w:rsid w:val="00407E58"/>
    <w:rsid w:val="00407F3B"/>
    <w:rsid w:val="0041014F"/>
    <w:rsid w:val="0041019D"/>
    <w:rsid w:val="00410568"/>
    <w:rsid w:val="004105FE"/>
    <w:rsid w:val="004105FF"/>
    <w:rsid w:val="0041064F"/>
    <w:rsid w:val="00410726"/>
    <w:rsid w:val="004107C2"/>
    <w:rsid w:val="004109FF"/>
    <w:rsid w:val="00410C22"/>
    <w:rsid w:val="00410DC1"/>
    <w:rsid w:val="00410E85"/>
    <w:rsid w:val="00410EE9"/>
    <w:rsid w:val="00410F7C"/>
    <w:rsid w:val="004112FD"/>
    <w:rsid w:val="0041132F"/>
    <w:rsid w:val="004114FC"/>
    <w:rsid w:val="004115D7"/>
    <w:rsid w:val="0041165E"/>
    <w:rsid w:val="00411726"/>
    <w:rsid w:val="004117F0"/>
    <w:rsid w:val="00411854"/>
    <w:rsid w:val="00411EB8"/>
    <w:rsid w:val="00411F6D"/>
    <w:rsid w:val="004120B9"/>
    <w:rsid w:val="0041237D"/>
    <w:rsid w:val="004124AD"/>
    <w:rsid w:val="0041263B"/>
    <w:rsid w:val="0041263C"/>
    <w:rsid w:val="00412656"/>
    <w:rsid w:val="00412A18"/>
    <w:rsid w:val="00412A9F"/>
    <w:rsid w:val="00412AAF"/>
    <w:rsid w:val="00412CCA"/>
    <w:rsid w:val="00412D0A"/>
    <w:rsid w:val="00412E84"/>
    <w:rsid w:val="00412EA4"/>
    <w:rsid w:val="0041319C"/>
    <w:rsid w:val="004131F4"/>
    <w:rsid w:val="004132C5"/>
    <w:rsid w:val="00413315"/>
    <w:rsid w:val="004134A9"/>
    <w:rsid w:val="00413602"/>
    <w:rsid w:val="004137E5"/>
    <w:rsid w:val="00413988"/>
    <w:rsid w:val="00413A9C"/>
    <w:rsid w:val="00413BB1"/>
    <w:rsid w:val="00413CFA"/>
    <w:rsid w:val="00413DD4"/>
    <w:rsid w:val="00413EE8"/>
    <w:rsid w:val="00413F6A"/>
    <w:rsid w:val="0041431A"/>
    <w:rsid w:val="0041431F"/>
    <w:rsid w:val="004143FA"/>
    <w:rsid w:val="004144B4"/>
    <w:rsid w:val="004144F1"/>
    <w:rsid w:val="0041468E"/>
    <w:rsid w:val="00414691"/>
    <w:rsid w:val="00414852"/>
    <w:rsid w:val="00414879"/>
    <w:rsid w:val="00414BBF"/>
    <w:rsid w:val="00414DA8"/>
    <w:rsid w:val="00414F83"/>
    <w:rsid w:val="004150CF"/>
    <w:rsid w:val="00415235"/>
    <w:rsid w:val="004152B8"/>
    <w:rsid w:val="0041533F"/>
    <w:rsid w:val="004154E9"/>
    <w:rsid w:val="004155F6"/>
    <w:rsid w:val="004156E7"/>
    <w:rsid w:val="004158BB"/>
    <w:rsid w:val="004158EC"/>
    <w:rsid w:val="0041590E"/>
    <w:rsid w:val="00415957"/>
    <w:rsid w:val="00415A66"/>
    <w:rsid w:val="00415A85"/>
    <w:rsid w:val="00415ACA"/>
    <w:rsid w:val="00415C8B"/>
    <w:rsid w:val="00415DC4"/>
    <w:rsid w:val="00415E6B"/>
    <w:rsid w:val="004160AA"/>
    <w:rsid w:val="004160F0"/>
    <w:rsid w:val="0041611A"/>
    <w:rsid w:val="004163B6"/>
    <w:rsid w:val="004166E9"/>
    <w:rsid w:val="00416854"/>
    <w:rsid w:val="0041687A"/>
    <w:rsid w:val="004169D6"/>
    <w:rsid w:val="00416C8D"/>
    <w:rsid w:val="00416D6F"/>
    <w:rsid w:val="00417083"/>
    <w:rsid w:val="00417189"/>
    <w:rsid w:val="004172E1"/>
    <w:rsid w:val="00417318"/>
    <w:rsid w:val="004173BD"/>
    <w:rsid w:val="004175F8"/>
    <w:rsid w:val="00417A43"/>
    <w:rsid w:val="00417AD9"/>
    <w:rsid w:val="00417D60"/>
    <w:rsid w:val="00417E84"/>
    <w:rsid w:val="00417FBA"/>
    <w:rsid w:val="00420237"/>
    <w:rsid w:val="004202B1"/>
    <w:rsid w:val="00420469"/>
    <w:rsid w:val="004205EA"/>
    <w:rsid w:val="0042064D"/>
    <w:rsid w:val="004206A2"/>
    <w:rsid w:val="004209B9"/>
    <w:rsid w:val="00420AFB"/>
    <w:rsid w:val="00420D87"/>
    <w:rsid w:val="00420E0B"/>
    <w:rsid w:val="00420E77"/>
    <w:rsid w:val="0042107F"/>
    <w:rsid w:val="00421218"/>
    <w:rsid w:val="00421227"/>
    <w:rsid w:val="00421385"/>
    <w:rsid w:val="00421593"/>
    <w:rsid w:val="004217CE"/>
    <w:rsid w:val="004217FA"/>
    <w:rsid w:val="0042192F"/>
    <w:rsid w:val="00421950"/>
    <w:rsid w:val="0042199A"/>
    <w:rsid w:val="00421AC8"/>
    <w:rsid w:val="00421B0E"/>
    <w:rsid w:val="00421F3D"/>
    <w:rsid w:val="00422501"/>
    <w:rsid w:val="004225F8"/>
    <w:rsid w:val="00422625"/>
    <w:rsid w:val="004227DF"/>
    <w:rsid w:val="004227F9"/>
    <w:rsid w:val="00422B02"/>
    <w:rsid w:val="00422B26"/>
    <w:rsid w:val="00422D08"/>
    <w:rsid w:val="00422D38"/>
    <w:rsid w:val="00422DC1"/>
    <w:rsid w:val="00422E11"/>
    <w:rsid w:val="00423028"/>
    <w:rsid w:val="0042307F"/>
    <w:rsid w:val="00423166"/>
    <w:rsid w:val="004232BA"/>
    <w:rsid w:val="00423391"/>
    <w:rsid w:val="004235F7"/>
    <w:rsid w:val="00423681"/>
    <w:rsid w:val="004236D7"/>
    <w:rsid w:val="004237F2"/>
    <w:rsid w:val="00423972"/>
    <w:rsid w:val="00423A8E"/>
    <w:rsid w:val="00423AC7"/>
    <w:rsid w:val="00423B9B"/>
    <w:rsid w:val="00423BEC"/>
    <w:rsid w:val="00423C73"/>
    <w:rsid w:val="00423DAD"/>
    <w:rsid w:val="00423F81"/>
    <w:rsid w:val="004240E1"/>
    <w:rsid w:val="0042418C"/>
    <w:rsid w:val="004241A7"/>
    <w:rsid w:val="0042437A"/>
    <w:rsid w:val="004243F3"/>
    <w:rsid w:val="004244EF"/>
    <w:rsid w:val="004245A7"/>
    <w:rsid w:val="004247C2"/>
    <w:rsid w:val="004248B6"/>
    <w:rsid w:val="0042492D"/>
    <w:rsid w:val="004249E4"/>
    <w:rsid w:val="00424C08"/>
    <w:rsid w:val="00424F22"/>
    <w:rsid w:val="0042502D"/>
    <w:rsid w:val="00425182"/>
    <w:rsid w:val="004252AD"/>
    <w:rsid w:val="00425607"/>
    <w:rsid w:val="0042565A"/>
    <w:rsid w:val="00425731"/>
    <w:rsid w:val="00425888"/>
    <w:rsid w:val="00425BE6"/>
    <w:rsid w:val="00425BF9"/>
    <w:rsid w:val="00425CF2"/>
    <w:rsid w:val="00426029"/>
    <w:rsid w:val="0042608E"/>
    <w:rsid w:val="00426247"/>
    <w:rsid w:val="00426463"/>
    <w:rsid w:val="004264FD"/>
    <w:rsid w:val="00426542"/>
    <w:rsid w:val="004268A2"/>
    <w:rsid w:val="004268AF"/>
    <w:rsid w:val="00426909"/>
    <w:rsid w:val="00426984"/>
    <w:rsid w:val="00426A27"/>
    <w:rsid w:val="00426A8F"/>
    <w:rsid w:val="00426C81"/>
    <w:rsid w:val="00426CA3"/>
    <w:rsid w:val="00426CB5"/>
    <w:rsid w:val="00426D8A"/>
    <w:rsid w:val="00426FE0"/>
    <w:rsid w:val="004273DE"/>
    <w:rsid w:val="004273FF"/>
    <w:rsid w:val="00427506"/>
    <w:rsid w:val="004275E2"/>
    <w:rsid w:val="00427671"/>
    <w:rsid w:val="004276A7"/>
    <w:rsid w:val="004277D2"/>
    <w:rsid w:val="00427888"/>
    <w:rsid w:val="004278B2"/>
    <w:rsid w:val="00427C50"/>
    <w:rsid w:val="00427F8A"/>
    <w:rsid w:val="00430141"/>
    <w:rsid w:val="004301D7"/>
    <w:rsid w:val="0043046C"/>
    <w:rsid w:val="00430698"/>
    <w:rsid w:val="004309A8"/>
    <w:rsid w:val="00430AC0"/>
    <w:rsid w:val="00430AF7"/>
    <w:rsid w:val="00430B11"/>
    <w:rsid w:val="00430B38"/>
    <w:rsid w:val="00430BBE"/>
    <w:rsid w:val="00431080"/>
    <w:rsid w:val="0043138B"/>
    <w:rsid w:val="004314B1"/>
    <w:rsid w:val="004314BC"/>
    <w:rsid w:val="004317EC"/>
    <w:rsid w:val="0043184A"/>
    <w:rsid w:val="00431AF9"/>
    <w:rsid w:val="00431B04"/>
    <w:rsid w:val="00431D0D"/>
    <w:rsid w:val="00431DD6"/>
    <w:rsid w:val="0043212E"/>
    <w:rsid w:val="004322C1"/>
    <w:rsid w:val="00432372"/>
    <w:rsid w:val="004323C9"/>
    <w:rsid w:val="00432530"/>
    <w:rsid w:val="00432624"/>
    <w:rsid w:val="0043281C"/>
    <w:rsid w:val="004329A0"/>
    <w:rsid w:val="004329CE"/>
    <w:rsid w:val="00432A70"/>
    <w:rsid w:val="00432A7B"/>
    <w:rsid w:val="00432AC8"/>
    <w:rsid w:val="00432C43"/>
    <w:rsid w:val="00432F51"/>
    <w:rsid w:val="00433000"/>
    <w:rsid w:val="004331B4"/>
    <w:rsid w:val="004332C3"/>
    <w:rsid w:val="00433321"/>
    <w:rsid w:val="0043346D"/>
    <w:rsid w:val="004334E5"/>
    <w:rsid w:val="0043357A"/>
    <w:rsid w:val="004336C1"/>
    <w:rsid w:val="00433B51"/>
    <w:rsid w:val="00433D4E"/>
    <w:rsid w:val="00433EBA"/>
    <w:rsid w:val="00433ED9"/>
    <w:rsid w:val="00433F66"/>
    <w:rsid w:val="00433FE8"/>
    <w:rsid w:val="004340BF"/>
    <w:rsid w:val="004340C0"/>
    <w:rsid w:val="00434219"/>
    <w:rsid w:val="0043438D"/>
    <w:rsid w:val="004343BE"/>
    <w:rsid w:val="00434512"/>
    <w:rsid w:val="004345D4"/>
    <w:rsid w:val="00434711"/>
    <w:rsid w:val="0043473F"/>
    <w:rsid w:val="00434975"/>
    <w:rsid w:val="00434B2D"/>
    <w:rsid w:val="00434B82"/>
    <w:rsid w:val="00434EB3"/>
    <w:rsid w:val="00434F89"/>
    <w:rsid w:val="004350B4"/>
    <w:rsid w:val="004355BD"/>
    <w:rsid w:val="0043562C"/>
    <w:rsid w:val="0043569D"/>
    <w:rsid w:val="004356A1"/>
    <w:rsid w:val="004357C5"/>
    <w:rsid w:val="004359D0"/>
    <w:rsid w:val="00435B35"/>
    <w:rsid w:val="00435DE1"/>
    <w:rsid w:val="00435EA5"/>
    <w:rsid w:val="00435F0C"/>
    <w:rsid w:val="00436001"/>
    <w:rsid w:val="004361E7"/>
    <w:rsid w:val="004363DE"/>
    <w:rsid w:val="004364D9"/>
    <w:rsid w:val="00436759"/>
    <w:rsid w:val="004367FD"/>
    <w:rsid w:val="004368FB"/>
    <w:rsid w:val="00436B26"/>
    <w:rsid w:val="00436B80"/>
    <w:rsid w:val="00436C7C"/>
    <w:rsid w:val="00436D36"/>
    <w:rsid w:val="00436E08"/>
    <w:rsid w:val="00436EA2"/>
    <w:rsid w:val="00436F85"/>
    <w:rsid w:val="0043709E"/>
    <w:rsid w:val="004372F9"/>
    <w:rsid w:val="004374D2"/>
    <w:rsid w:val="004375F1"/>
    <w:rsid w:val="004378D9"/>
    <w:rsid w:val="00437A60"/>
    <w:rsid w:val="00437BF2"/>
    <w:rsid w:val="00437F2E"/>
    <w:rsid w:val="00438311"/>
    <w:rsid w:val="00440056"/>
    <w:rsid w:val="0044017E"/>
    <w:rsid w:val="004401E9"/>
    <w:rsid w:val="00440207"/>
    <w:rsid w:val="004403F8"/>
    <w:rsid w:val="004406EC"/>
    <w:rsid w:val="0044071F"/>
    <w:rsid w:val="00440800"/>
    <w:rsid w:val="00440847"/>
    <w:rsid w:val="00440885"/>
    <w:rsid w:val="0044090B"/>
    <w:rsid w:val="004409A4"/>
    <w:rsid w:val="00440B9C"/>
    <w:rsid w:val="00440BC3"/>
    <w:rsid w:val="00440E07"/>
    <w:rsid w:val="00440EF9"/>
    <w:rsid w:val="00440FCD"/>
    <w:rsid w:val="0044118F"/>
    <w:rsid w:val="004411BC"/>
    <w:rsid w:val="0044127F"/>
    <w:rsid w:val="0044130F"/>
    <w:rsid w:val="0044132B"/>
    <w:rsid w:val="004414F9"/>
    <w:rsid w:val="0044156C"/>
    <w:rsid w:val="00441597"/>
    <w:rsid w:val="00441966"/>
    <w:rsid w:val="004419DD"/>
    <w:rsid w:val="00441A1E"/>
    <w:rsid w:val="00441A44"/>
    <w:rsid w:val="00441CA2"/>
    <w:rsid w:val="00441D1F"/>
    <w:rsid w:val="00441D67"/>
    <w:rsid w:val="00441E13"/>
    <w:rsid w:val="004421EF"/>
    <w:rsid w:val="00442240"/>
    <w:rsid w:val="00442356"/>
    <w:rsid w:val="00442474"/>
    <w:rsid w:val="004425F0"/>
    <w:rsid w:val="0044265D"/>
    <w:rsid w:val="00442732"/>
    <w:rsid w:val="004427B1"/>
    <w:rsid w:val="0044280D"/>
    <w:rsid w:val="0044296D"/>
    <w:rsid w:val="004429BF"/>
    <w:rsid w:val="004429D7"/>
    <w:rsid w:val="00442BA6"/>
    <w:rsid w:val="00442CF4"/>
    <w:rsid w:val="00442E8C"/>
    <w:rsid w:val="00442F63"/>
    <w:rsid w:val="00443007"/>
    <w:rsid w:val="0044307D"/>
    <w:rsid w:val="004431F5"/>
    <w:rsid w:val="00443306"/>
    <w:rsid w:val="0044330C"/>
    <w:rsid w:val="0044360E"/>
    <w:rsid w:val="0044391C"/>
    <w:rsid w:val="004439A5"/>
    <w:rsid w:val="00443B91"/>
    <w:rsid w:val="00443DA5"/>
    <w:rsid w:val="00443DEB"/>
    <w:rsid w:val="00443F5C"/>
    <w:rsid w:val="0044405C"/>
    <w:rsid w:val="004440A3"/>
    <w:rsid w:val="00444222"/>
    <w:rsid w:val="00444235"/>
    <w:rsid w:val="00444584"/>
    <w:rsid w:val="00444653"/>
    <w:rsid w:val="004446F9"/>
    <w:rsid w:val="00444789"/>
    <w:rsid w:val="0044488D"/>
    <w:rsid w:val="004448F3"/>
    <w:rsid w:val="00444E03"/>
    <w:rsid w:val="00444E12"/>
    <w:rsid w:val="00444F32"/>
    <w:rsid w:val="0044506A"/>
    <w:rsid w:val="0044518D"/>
    <w:rsid w:val="00445205"/>
    <w:rsid w:val="004453C9"/>
    <w:rsid w:val="0044597F"/>
    <w:rsid w:val="00445ADD"/>
    <w:rsid w:val="00445D08"/>
    <w:rsid w:val="00445D30"/>
    <w:rsid w:val="00445E01"/>
    <w:rsid w:val="00446309"/>
    <w:rsid w:val="004464D1"/>
    <w:rsid w:val="004465C5"/>
    <w:rsid w:val="004466E2"/>
    <w:rsid w:val="00446747"/>
    <w:rsid w:val="00446A2D"/>
    <w:rsid w:val="00446A64"/>
    <w:rsid w:val="00446BC2"/>
    <w:rsid w:val="00446C1F"/>
    <w:rsid w:val="00446ED7"/>
    <w:rsid w:val="0044722B"/>
    <w:rsid w:val="004472E0"/>
    <w:rsid w:val="00447320"/>
    <w:rsid w:val="00447439"/>
    <w:rsid w:val="00447546"/>
    <w:rsid w:val="004479E9"/>
    <w:rsid w:val="00447B2B"/>
    <w:rsid w:val="00447B40"/>
    <w:rsid w:val="00447D20"/>
    <w:rsid w:val="00447D96"/>
    <w:rsid w:val="00447E35"/>
    <w:rsid w:val="004501C3"/>
    <w:rsid w:val="00450687"/>
    <w:rsid w:val="0045068D"/>
    <w:rsid w:val="0045087F"/>
    <w:rsid w:val="00450891"/>
    <w:rsid w:val="00450AD5"/>
    <w:rsid w:val="00450DC1"/>
    <w:rsid w:val="00450DE5"/>
    <w:rsid w:val="00450F36"/>
    <w:rsid w:val="00450FD6"/>
    <w:rsid w:val="00451004"/>
    <w:rsid w:val="0045102C"/>
    <w:rsid w:val="0045103F"/>
    <w:rsid w:val="00451122"/>
    <w:rsid w:val="00451176"/>
    <w:rsid w:val="004513C0"/>
    <w:rsid w:val="00451528"/>
    <w:rsid w:val="004515A2"/>
    <w:rsid w:val="00451610"/>
    <w:rsid w:val="0045163F"/>
    <w:rsid w:val="004517AA"/>
    <w:rsid w:val="004518AD"/>
    <w:rsid w:val="004519FA"/>
    <w:rsid w:val="00451A08"/>
    <w:rsid w:val="00451A9C"/>
    <w:rsid w:val="00451B7D"/>
    <w:rsid w:val="00451EBF"/>
    <w:rsid w:val="00451FD9"/>
    <w:rsid w:val="004520D0"/>
    <w:rsid w:val="00452103"/>
    <w:rsid w:val="004524E2"/>
    <w:rsid w:val="0045268D"/>
    <w:rsid w:val="00452779"/>
    <w:rsid w:val="004527A9"/>
    <w:rsid w:val="0045283B"/>
    <w:rsid w:val="00452CC6"/>
    <w:rsid w:val="00452EB4"/>
    <w:rsid w:val="00453062"/>
    <w:rsid w:val="004530C5"/>
    <w:rsid w:val="0045315C"/>
    <w:rsid w:val="00453180"/>
    <w:rsid w:val="004531BD"/>
    <w:rsid w:val="004531D9"/>
    <w:rsid w:val="00453287"/>
    <w:rsid w:val="004533A1"/>
    <w:rsid w:val="00453568"/>
    <w:rsid w:val="0045379B"/>
    <w:rsid w:val="004537C1"/>
    <w:rsid w:val="00453858"/>
    <w:rsid w:val="00453B09"/>
    <w:rsid w:val="00453B94"/>
    <w:rsid w:val="00453CE1"/>
    <w:rsid w:val="00453E16"/>
    <w:rsid w:val="00453EA9"/>
    <w:rsid w:val="00453F84"/>
    <w:rsid w:val="00453F88"/>
    <w:rsid w:val="0045414B"/>
    <w:rsid w:val="00454211"/>
    <w:rsid w:val="00454381"/>
    <w:rsid w:val="004543DB"/>
    <w:rsid w:val="0045445F"/>
    <w:rsid w:val="00454588"/>
    <w:rsid w:val="00454663"/>
    <w:rsid w:val="0045477E"/>
    <w:rsid w:val="00454B85"/>
    <w:rsid w:val="00454C5F"/>
    <w:rsid w:val="00454CD1"/>
    <w:rsid w:val="00454E57"/>
    <w:rsid w:val="00454F29"/>
    <w:rsid w:val="00455095"/>
    <w:rsid w:val="004553F2"/>
    <w:rsid w:val="004553F5"/>
    <w:rsid w:val="0045555E"/>
    <w:rsid w:val="0045559F"/>
    <w:rsid w:val="004555E1"/>
    <w:rsid w:val="0045562C"/>
    <w:rsid w:val="00455661"/>
    <w:rsid w:val="004556CE"/>
    <w:rsid w:val="00455859"/>
    <w:rsid w:val="0045598B"/>
    <w:rsid w:val="004559FA"/>
    <w:rsid w:val="00455FC7"/>
    <w:rsid w:val="0045637E"/>
    <w:rsid w:val="00456419"/>
    <w:rsid w:val="0045662F"/>
    <w:rsid w:val="0045668D"/>
    <w:rsid w:val="00456795"/>
    <w:rsid w:val="004567D8"/>
    <w:rsid w:val="004568AB"/>
    <w:rsid w:val="004569EF"/>
    <w:rsid w:val="00456AC5"/>
    <w:rsid w:val="00456F15"/>
    <w:rsid w:val="00456F23"/>
    <w:rsid w:val="0045709F"/>
    <w:rsid w:val="0045714E"/>
    <w:rsid w:val="0045727E"/>
    <w:rsid w:val="0045729C"/>
    <w:rsid w:val="004572A8"/>
    <w:rsid w:val="0045732A"/>
    <w:rsid w:val="00457462"/>
    <w:rsid w:val="00457682"/>
    <w:rsid w:val="004577AD"/>
    <w:rsid w:val="0045785F"/>
    <w:rsid w:val="004578EB"/>
    <w:rsid w:val="0045798F"/>
    <w:rsid w:val="00457D37"/>
    <w:rsid w:val="00457D7E"/>
    <w:rsid w:val="00457F16"/>
    <w:rsid w:val="00457F9D"/>
    <w:rsid w:val="00460113"/>
    <w:rsid w:val="004602D5"/>
    <w:rsid w:val="004603CF"/>
    <w:rsid w:val="004604E4"/>
    <w:rsid w:val="0046053F"/>
    <w:rsid w:val="0046062D"/>
    <w:rsid w:val="004606F4"/>
    <w:rsid w:val="00460783"/>
    <w:rsid w:val="00460806"/>
    <w:rsid w:val="00460836"/>
    <w:rsid w:val="00460867"/>
    <w:rsid w:val="004610D6"/>
    <w:rsid w:val="004614F4"/>
    <w:rsid w:val="0046155F"/>
    <w:rsid w:val="00461561"/>
    <w:rsid w:val="004615D7"/>
    <w:rsid w:val="00461671"/>
    <w:rsid w:val="00461728"/>
    <w:rsid w:val="00461758"/>
    <w:rsid w:val="00461799"/>
    <w:rsid w:val="0046199D"/>
    <w:rsid w:val="004619C3"/>
    <w:rsid w:val="00461B19"/>
    <w:rsid w:val="00461C7E"/>
    <w:rsid w:val="00461DD2"/>
    <w:rsid w:val="00461E2A"/>
    <w:rsid w:val="00461F00"/>
    <w:rsid w:val="00461F81"/>
    <w:rsid w:val="004620E0"/>
    <w:rsid w:val="004621DF"/>
    <w:rsid w:val="004623C8"/>
    <w:rsid w:val="004625E6"/>
    <w:rsid w:val="00462711"/>
    <w:rsid w:val="0046295D"/>
    <w:rsid w:val="004629F8"/>
    <w:rsid w:val="00462A32"/>
    <w:rsid w:val="00462AA2"/>
    <w:rsid w:val="00462CF9"/>
    <w:rsid w:val="00462D7E"/>
    <w:rsid w:val="00462E43"/>
    <w:rsid w:val="00462F07"/>
    <w:rsid w:val="00462F98"/>
    <w:rsid w:val="004631B2"/>
    <w:rsid w:val="00463215"/>
    <w:rsid w:val="0046325D"/>
    <w:rsid w:val="004634AC"/>
    <w:rsid w:val="004634C6"/>
    <w:rsid w:val="004636BD"/>
    <w:rsid w:val="00463906"/>
    <w:rsid w:val="00463AF5"/>
    <w:rsid w:val="00463B08"/>
    <w:rsid w:val="00463BA6"/>
    <w:rsid w:val="00463C9E"/>
    <w:rsid w:val="00463DA8"/>
    <w:rsid w:val="00463E70"/>
    <w:rsid w:val="00463F31"/>
    <w:rsid w:val="00463FDA"/>
    <w:rsid w:val="00464215"/>
    <w:rsid w:val="00464288"/>
    <w:rsid w:val="00464774"/>
    <w:rsid w:val="0046487F"/>
    <w:rsid w:val="00464A59"/>
    <w:rsid w:val="00464A8B"/>
    <w:rsid w:val="00464AB7"/>
    <w:rsid w:val="00464FE0"/>
    <w:rsid w:val="00464FE4"/>
    <w:rsid w:val="0046512C"/>
    <w:rsid w:val="00465376"/>
    <w:rsid w:val="00465381"/>
    <w:rsid w:val="004653B4"/>
    <w:rsid w:val="00465459"/>
    <w:rsid w:val="00465479"/>
    <w:rsid w:val="0046557B"/>
    <w:rsid w:val="00465581"/>
    <w:rsid w:val="004655BB"/>
    <w:rsid w:val="004655E7"/>
    <w:rsid w:val="00465712"/>
    <w:rsid w:val="004659DC"/>
    <w:rsid w:val="00465D89"/>
    <w:rsid w:val="00465DA5"/>
    <w:rsid w:val="00466018"/>
    <w:rsid w:val="00466144"/>
    <w:rsid w:val="004663C3"/>
    <w:rsid w:val="004669E2"/>
    <w:rsid w:val="00466C56"/>
    <w:rsid w:val="00466F3B"/>
    <w:rsid w:val="00466F69"/>
    <w:rsid w:val="00466F8B"/>
    <w:rsid w:val="004676E1"/>
    <w:rsid w:val="00467878"/>
    <w:rsid w:val="00467BBA"/>
    <w:rsid w:val="00467D41"/>
    <w:rsid w:val="00467E73"/>
    <w:rsid w:val="0047016A"/>
    <w:rsid w:val="004702BF"/>
    <w:rsid w:val="0047048E"/>
    <w:rsid w:val="00470715"/>
    <w:rsid w:val="00470718"/>
    <w:rsid w:val="00470746"/>
    <w:rsid w:val="004707CC"/>
    <w:rsid w:val="00470D56"/>
    <w:rsid w:val="004711AB"/>
    <w:rsid w:val="0047174D"/>
    <w:rsid w:val="004718D9"/>
    <w:rsid w:val="00471AB0"/>
    <w:rsid w:val="00471BE7"/>
    <w:rsid w:val="00471D20"/>
    <w:rsid w:val="00471DC6"/>
    <w:rsid w:val="00471DE4"/>
    <w:rsid w:val="00471EEE"/>
    <w:rsid w:val="00471FEA"/>
    <w:rsid w:val="0047208D"/>
    <w:rsid w:val="004720B7"/>
    <w:rsid w:val="00472393"/>
    <w:rsid w:val="0047254E"/>
    <w:rsid w:val="0047267E"/>
    <w:rsid w:val="0047274E"/>
    <w:rsid w:val="004727C5"/>
    <w:rsid w:val="004727FE"/>
    <w:rsid w:val="00472825"/>
    <w:rsid w:val="0047288C"/>
    <w:rsid w:val="004728D6"/>
    <w:rsid w:val="00472B2D"/>
    <w:rsid w:val="00472D55"/>
    <w:rsid w:val="00473033"/>
    <w:rsid w:val="004733D7"/>
    <w:rsid w:val="00473535"/>
    <w:rsid w:val="0047353F"/>
    <w:rsid w:val="004738E0"/>
    <w:rsid w:val="00473C2D"/>
    <w:rsid w:val="00473CD6"/>
    <w:rsid w:val="00473E14"/>
    <w:rsid w:val="00473EB1"/>
    <w:rsid w:val="00473F9F"/>
    <w:rsid w:val="00474153"/>
    <w:rsid w:val="004741C7"/>
    <w:rsid w:val="004745A7"/>
    <w:rsid w:val="004745DF"/>
    <w:rsid w:val="0047493E"/>
    <w:rsid w:val="0047495B"/>
    <w:rsid w:val="00475087"/>
    <w:rsid w:val="004751EE"/>
    <w:rsid w:val="004752E0"/>
    <w:rsid w:val="004754CA"/>
    <w:rsid w:val="00475603"/>
    <w:rsid w:val="00475674"/>
    <w:rsid w:val="00475698"/>
    <w:rsid w:val="00475762"/>
    <w:rsid w:val="004758EF"/>
    <w:rsid w:val="004759A5"/>
    <w:rsid w:val="00475D66"/>
    <w:rsid w:val="00475D84"/>
    <w:rsid w:val="00475DFD"/>
    <w:rsid w:val="00475F29"/>
    <w:rsid w:val="00475F2D"/>
    <w:rsid w:val="004761E7"/>
    <w:rsid w:val="004765DA"/>
    <w:rsid w:val="00476999"/>
    <w:rsid w:val="00476A52"/>
    <w:rsid w:val="00476AAD"/>
    <w:rsid w:val="00476AD3"/>
    <w:rsid w:val="00476AD7"/>
    <w:rsid w:val="00476CE7"/>
    <w:rsid w:val="00476D88"/>
    <w:rsid w:val="00477018"/>
    <w:rsid w:val="00477037"/>
    <w:rsid w:val="00477236"/>
    <w:rsid w:val="00477322"/>
    <w:rsid w:val="0047734C"/>
    <w:rsid w:val="0047735F"/>
    <w:rsid w:val="004773E8"/>
    <w:rsid w:val="00477BA1"/>
    <w:rsid w:val="00477CAC"/>
    <w:rsid w:val="00477D23"/>
    <w:rsid w:val="00477F2D"/>
    <w:rsid w:val="004800CF"/>
    <w:rsid w:val="00480243"/>
    <w:rsid w:val="004802E2"/>
    <w:rsid w:val="00480389"/>
    <w:rsid w:val="004803DF"/>
    <w:rsid w:val="004805E4"/>
    <w:rsid w:val="0048072A"/>
    <w:rsid w:val="00480889"/>
    <w:rsid w:val="0048094E"/>
    <w:rsid w:val="00480B58"/>
    <w:rsid w:val="00480C5C"/>
    <w:rsid w:val="00480CF0"/>
    <w:rsid w:val="00480DBA"/>
    <w:rsid w:val="004812A1"/>
    <w:rsid w:val="004813F2"/>
    <w:rsid w:val="0048186A"/>
    <w:rsid w:val="00481950"/>
    <w:rsid w:val="004819B7"/>
    <w:rsid w:val="00481A60"/>
    <w:rsid w:val="00481A9E"/>
    <w:rsid w:val="00481AD7"/>
    <w:rsid w:val="00481BAB"/>
    <w:rsid w:val="00481DE8"/>
    <w:rsid w:val="00481EAB"/>
    <w:rsid w:val="00482117"/>
    <w:rsid w:val="0048215D"/>
    <w:rsid w:val="00482171"/>
    <w:rsid w:val="004821D1"/>
    <w:rsid w:val="00482298"/>
    <w:rsid w:val="0048235B"/>
    <w:rsid w:val="00482380"/>
    <w:rsid w:val="004826A9"/>
    <w:rsid w:val="0048280E"/>
    <w:rsid w:val="00482818"/>
    <w:rsid w:val="004828A3"/>
    <w:rsid w:val="00482A39"/>
    <w:rsid w:val="00482B78"/>
    <w:rsid w:val="00482C6D"/>
    <w:rsid w:val="00482C7B"/>
    <w:rsid w:val="00482D27"/>
    <w:rsid w:val="00482D6A"/>
    <w:rsid w:val="00482D7B"/>
    <w:rsid w:val="00482F94"/>
    <w:rsid w:val="0048305C"/>
    <w:rsid w:val="00483481"/>
    <w:rsid w:val="004834BE"/>
    <w:rsid w:val="0048381D"/>
    <w:rsid w:val="00483862"/>
    <w:rsid w:val="00483AA2"/>
    <w:rsid w:val="00483AF9"/>
    <w:rsid w:val="00483B31"/>
    <w:rsid w:val="00483C43"/>
    <w:rsid w:val="00483CA4"/>
    <w:rsid w:val="00483E50"/>
    <w:rsid w:val="00484074"/>
    <w:rsid w:val="004840D1"/>
    <w:rsid w:val="00484232"/>
    <w:rsid w:val="0048445F"/>
    <w:rsid w:val="00484495"/>
    <w:rsid w:val="004845D8"/>
    <w:rsid w:val="004845FA"/>
    <w:rsid w:val="00484702"/>
    <w:rsid w:val="004849E2"/>
    <w:rsid w:val="00484A2B"/>
    <w:rsid w:val="00484A31"/>
    <w:rsid w:val="00484A7B"/>
    <w:rsid w:val="00484BA8"/>
    <w:rsid w:val="00484DC8"/>
    <w:rsid w:val="00484F13"/>
    <w:rsid w:val="00484F2A"/>
    <w:rsid w:val="0048506D"/>
    <w:rsid w:val="004850A3"/>
    <w:rsid w:val="004850AF"/>
    <w:rsid w:val="00485358"/>
    <w:rsid w:val="0048539E"/>
    <w:rsid w:val="0048567E"/>
    <w:rsid w:val="00485894"/>
    <w:rsid w:val="00485938"/>
    <w:rsid w:val="00485959"/>
    <w:rsid w:val="00485BCD"/>
    <w:rsid w:val="00485C78"/>
    <w:rsid w:val="00485CFE"/>
    <w:rsid w:val="00485ED3"/>
    <w:rsid w:val="00486112"/>
    <w:rsid w:val="0048635D"/>
    <w:rsid w:val="0048639C"/>
    <w:rsid w:val="004863B1"/>
    <w:rsid w:val="004863F0"/>
    <w:rsid w:val="0048643D"/>
    <w:rsid w:val="00486697"/>
    <w:rsid w:val="00486744"/>
    <w:rsid w:val="0048690B"/>
    <w:rsid w:val="00486996"/>
    <w:rsid w:val="00486B2A"/>
    <w:rsid w:val="00486CD2"/>
    <w:rsid w:val="00486D91"/>
    <w:rsid w:val="00486E73"/>
    <w:rsid w:val="00486EF8"/>
    <w:rsid w:val="00487086"/>
    <w:rsid w:val="00487461"/>
    <w:rsid w:val="00487658"/>
    <w:rsid w:val="004877B2"/>
    <w:rsid w:val="004879AD"/>
    <w:rsid w:val="00487A18"/>
    <w:rsid w:val="00487B18"/>
    <w:rsid w:val="00487C60"/>
    <w:rsid w:val="00487CB1"/>
    <w:rsid w:val="0049002D"/>
    <w:rsid w:val="00490090"/>
    <w:rsid w:val="0049011C"/>
    <w:rsid w:val="004902DA"/>
    <w:rsid w:val="00490326"/>
    <w:rsid w:val="0049069B"/>
    <w:rsid w:val="004906DE"/>
    <w:rsid w:val="004909B1"/>
    <w:rsid w:val="00490A30"/>
    <w:rsid w:val="00490D6B"/>
    <w:rsid w:val="00490F03"/>
    <w:rsid w:val="004911C8"/>
    <w:rsid w:val="004912A4"/>
    <w:rsid w:val="00491480"/>
    <w:rsid w:val="0049152A"/>
    <w:rsid w:val="00491566"/>
    <w:rsid w:val="004915A9"/>
    <w:rsid w:val="004917C2"/>
    <w:rsid w:val="0049181F"/>
    <w:rsid w:val="00491822"/>
    <w:rsid w:val="004918E7"/>
    <w:rsid w:val="0049192B"/>
    <w:rsid w:val="00491D9A"/>
    <w:rsid w:val="00491F4C"/>
    <w:rsid w:val="00491FD7"/>
    <w:rsid w:val="00492002"/>
    <w:rsid w:val="004920AF"/>
    <w:rsid w:val="0049226C"/>
    <w:rsid w:val="004922E9"/>
    <w:rsid w:val="00492326"/>
    <w:rsid w:val="00492327"/>
    <w:rsid w:val="0049240A"/>
    <w:rsid w:val="00492507"/>
    <w:rsid w:val="00492588"/>
    <w:rsid w:val="00492589"/>
    <w:rsid w:val="0049279F"/>
    <w:rsid w:val="004928BB"/>
    <w:rsid w:val="004928E2"/>
    <w:rsid w:val="004929F9"/>
    <w:rsid w:val="00492B80"/>
    <w:rsid w:val="00492D01"/>
    <w:rsid w:val="0049304A"/>
    <w:rsid w:val="004930C0"/>
    <w:rsid w:val="00493435"/>
    <w:rsid w:val="00493588"/>
    <w:rsid w:val="004939D7"/>
    <w:rsid w:val="00493BE8"/>
    <w:rsid w:val="00493D12"/>
    <w:rsid w:val="00493D56"/>
    <w:rsid w:val="00493DCC"/>
    <w:rsid w:val="00493E07"/>
    <w:rsid w:val="00493E77"/>
    <w:rsid w:val="00493E9A"/>
    <w:rsid w:val="00493EC4"/>
    <w:rsid w:val="00493F92"/>
    <w:rsid w:val="00493FC7"/>
    <w:rsid w:val="0049406D"/>
    <w:rsid w:val="00494240"/>
    <w:rsid w:val="004946AF"/>
    <w:rsid w:val="00494798"/>
    <w:rsid w:val="0049483D"/>
    <w:rsid w:val="004948F3"/>
    <w:rsid w:val="00494B8D"/>
    <w:rsid w:val="00494C65"/>
    <w:rsid w:val="00494C9F"/>
    <w:rsid w:val="00494D37"/>
    <w:rsid w:val="00495110"/>
    <w:rsid w:val="004952F0"/>
    <w:rsid w:val="0049558C"/>
    <w:rsid w:val="00495643"/>
    <w:rsid w:val="0049578C"/>
    <w:rsid w:val="00495939"/>
    <w:rsid w:val="004959E2"/>
    <w:rsid w:val="004959EF"/>
    <w:rsid w:val="00495ACB"/>
    <w:rsid w:val="00495ADB"/>
    <w:rsid w:val="00495BD8"/>
    <w:rsid w:val="00495E08"/>
    <w:rsid w:val="00495E67"/>
    <w:rsid w:val="00495ED3"/>
    <w:rsid w:val="00495F24"/>
    <w:rsid w:val="004960E7"/>
    <w:rsid w:val="00496629"/>
    <w:rsid w:val="004967A7"/>
    <w:rsid w:val="004967A9"/>
    <w:rsid w:val="00496821"/>
    <w:rsid w:val="00496AE9"/>
    <w:rsid w:val="00496B32"/>
    <w:rsid w:val="00496B7E"/>
    <w:rsid w:val="00496C68"/>
    <w:rsid w:val="00496F6D"/>
    <w:rsid w:val="00496F86"/>
    <w:rsid w:val="004972F0"/>
    <w:rsid w:val="00497441"/>
    <w:rsid w:val="00497453"/>
    <w:rsid w:val="00497477"/>
    <w:rsid w:val="00497717"/>
    <w:rsid w:val="0049788A"/>
    <w:rsid w:val="00497997"/>
    <w:rsid w:val="00497B34"/>
    <w:rsid w:val="00497D30"/>
    <w:rsid w:val="00497EC0"/>
    <w:rsid w:val="00497FC2"/>
    <w:rsid w:val="004A00C9"/>
    <w:rsid w:val="004A024E"/>
    <w:rsid w:val="004A0401"/>
    <w:rsid w:val="004A0837"/>
    <w:rsid w:val="004A0BCF"/>
    <w:rsid w:val="004A0BE2"/>
    <w:rsid w:val="004A0CE9"/>
    <w:rsid w:val="004A0CF8"/>
    <w:rsid w:val="004A0D4C"/>
    <w:rsid w:val="004A0E90"/>
    <w:rsid w:val="004A0F35"/>
    <w:rsid w:val="004A110E"/>
    <w:rsid w:val="004A1119"/>
    <w:rsid w:val="004A13ED"/>
    <w:rsid w:val="004A1494"/>
    <w:rsid w:val="004A156B"/>
    <w:rsid w:val="004A18FC"/>
    <w:rsid w:val="004A1B95"/>
    <w:rsid w:val="004A1CE2"/>
    <w:rsid w:val="004A1D75"/>
    <w:rsid w:val="004A1F6C"/>
    <w:rsid w:val="004A1FBF"/>
    <w:rsid w:val="004A208C"/>
    <w:rsid w:val="004A216B"/>
    <w:rsid w:val="004A2198"/>
    <w:rsid w:val="004A225E"/>
    <w:rsid w:val="004A241A"/>
    <w:rsid w:val="004A2476"/>
    <w:rsid w:val="004A27A5"/>
    <w:rsid w:val="004A28DA"/>
    <w:rsid w:val="004A28EA"/>
    <w:rsid w:val="004A2923"/>
    <w:rsid w:val="004A29C5"/>
    <w:rsid w:val="004A2A76"/>
    <w:rsid w:val="004A2C65"/>
    <w:rsid w:val="004A2D3B"/>
    <w:rsid w:val="004A2E07"/>
    <w:rsid w:val="004A2E8D"/>
    <w:rsid w:val="004A2F09"/>
    <w:rsid w:val="004A2F61"/>
    <w:rsid w:val="004A305B"/>
    <w:rsid w:val="004A325C"/>
    <w:rsid w:val="004A32AD"/>
    <w:rsid w:val="004A36EA"/>
    <w:rsid w:val="004A38BC"/>
    <w:rsid w:val="004A3BA2"/>
    <w:rsid w:val="004A3D11"/>
    <w:rsid w:val="004A3FD5"/>
    <w:rsid w:val="004A40FE"/>
    <w:rsid w:val="004A420C"/>
    <w:rsid w:val="004A434E"/>
    <w:rsid w:val="004A4368"/>
    <w:rsid w:val="004A436E"/>
    <w:rsid w:val="004A43B6"/>
    <w:rsid w:val="004A476E"/>
    <w:rsid w:val="004A47EE"/>
    <w:rsid w:val="004A4A51"/>
    <w:rsid w:val="004A4B5D"/>
    <w:rsid w:val="004A4BC3"/>
    <w:rsid w:val="004A4BD3"/>
    <w:rsid w:val="004A4DD5"/>
    <w:rsid w:val="004A4DFC"/>
    <w:rsid w:val="004A4ED2"/>
    <w:rsid w:val="004A4F04"/>
    <w:rsid w:val="004A4F53"/>
    <w:rsid w:val="004A4F83"/>
    <w:rsid w:val="004A516C"/>
    <w:rsid w:val="004A51CA"/>
    <w:rsid w:val="004A5429"/>
    <w:rsid w:val="004A5609"/>
    <w:rsid w:val="004A573F"/>
    <w:rsid w:val="004A57FE"/>
    <w:rsid w:val="004A5943"/>
    <w:rsid w:val="004A5A4D"/>
    <w:rsid w:val="004A5A8C"/>
    <w:rsid w:val="004A5C45"/>
    <w:rsid w:val="004A5DA5"/>
    <w:rsid w:val="004A5E10"/>
    <w:rsid w:val="004A603F"/>
    <w:rsid w:val="004A6040"/>
    <w:rsid w:val="004A614E"/>
    <w:rsid w:val="004A6169"/>
    <w:rsid w:val="004A6175"/>
    <w:rsid w:val="004A61AD"/>
    <w:rsid w:val="004A6229"/>
    <w:rsid w:val="004A65E0"/>
    <w:rsid w:val="004A6612"/>
    <w:rsid w:val="004A667E"/>
    <w:rsid w:val="004A6731"/>
    <w:rsid w:val="004A676C"/>
    <w:rsid w:val="004A685A"/>
    <w:rsid w:val="004A6918"/>
    <w:rsid w:val="004A69C8"/>
    <w:rsid w:val="004A6B2E"/>
    <w:rsid w:val="004A6CFD"/>
    <w:rsid w:val="004A7038"/>
    <w:rsid w:val="004A72D6"/>
    <w:rsid w:val="004A7378"/>
    <w:rsid w:val="004A743C"/>
    <w:rsid w:val="004A7714"/>
    <w:rsid w:val="004A777E"/>
    <w:rsid w:val="004A7880"/>
    <w:rsid w:val="004A78EA"/>
    <w:rsid w:val="004A7996"/>
    <w:rsid w:val="004A799C"/>
    <w:rsid w:val="004A7C40"/>
    <w:rsid w:val="004A7DB6"/>
    <w:rsid w:val="004A7E67"/>
    <w:rsid w:val="004A7E91"/>
    <w:rsid w:val="004A7FAD"/>
    <w:rsid w:val="004B0063"/>
    <w:rsid w:val="004B00ED"/>
    <w:rsid w:val="004B02A0"/>
    <w:rsid w:val="004B03B0"/>
    <w:rsid w:val="004B0453"/>
    <w:rsid w:val="004B055B"/>
    <w:rsid w:val="004B06F4"/>
    <w:rsid w:val="004B0B1F"/>
    <w:rsid w:val="004B0C69"/>
    <w:rsid w:val="004B0D51"/>
    <w:rsid w:val="004B0DD9"/>
    <w:rsid w:val="004B0E51"/>
    <w:rsid w:val="004B0EDD"/>
    <w:rsid w:val="004B11C1"/>
    <w:rsid w:val="004B1238"/>
    <w:rsid w:val="004B1296"/>
    <w:rsid w:val="004B12DA"/>
    <w:rsid w:val="004B13BA"/>
    <w:rsid w:val="004B1595"/>
    <w:rsid w:val="004B15B4"/>
    <w:rsid w:val="004B1A9E"/>
    <w:rsid w:val="004B1C6C"/>
    <w:rsid w:val="004B1CC3"/>
    <w:rsid w:val="004B1D08"/>
    <w:rsid w:val="004B1DDF"/>
    <w:rsid w:val="004B1E41"/>
    <w:rsid w:val="004B1E7B"/>
    <w:rsid w:val="004B1FF2"/>
    <w:rsid w:val="004B205D"/>
    <w:rsid w:val="004B20A5"/>
    <w:rsid w:val="004B20F7"/>
    <w:rsid w:val="004B20F8"/>
    <w:rsid w:val="004B2138"/>
    <w:rsid w:val="004B21BC"/>
    <w:rsid w:val="004B22F9"/>
    <w:rsid w:val="004B2361"/>
    <w:rsid w:val="004B243F"/>
    <w:rsid w:val="004B245B"/>
    <w:rsid w:val="004B2463"/>
    <w:rsid w:val="004B2516"/>
    <w:rsid w:val="004B2A10"/>
    <w:rsid w:val="004B2A35"/>
    <w:rsid w:val="004B2A9D"/>
    <w:rsid w:val="004B2AED"/>
    <w:rsid w:val="004B2DC6"/>
    <w:rsid w:val="004B2E26"/>
    <w:rsid w:val="004B2E71"/>
    <w:rsid w:val="004B2F40"/>
    <w:rsid w:val="004B3039"/>
    <w:rsid w:val="004B3163"/>
    <w:rsid w:val="004B3233"/>
    <w:rsid w:val="004B32BD"/>
    <w:rsid w:val="004B3460"/>
    <w:rsid w:val="004B34FE"/>
    <w:rsid w:val="004B35DB"/>
    <w:rsid w:val="004B36E3"/>
    <w:rsid w:val="004B391C"/>
    <w:rsid w:val="004B39A9"/>
    <w:rsid w:val="004B3B39"/>
    <w:rsid w:val="004B3BFB"/>
    <w:rsid w:val="004B3C24"/>
    <w:rsid w:val="004B3C46"/>
    <w:rsid w:val="004B3C6D"/>
    <w:rsid w:val="004B3D36"/>
    <w:rsid w:val="004B3E76"/>
    <w:rsid w:val="004B3E9A"/>
    <w:rsid w:val="004B3FEB"/>
    <w:rsid w:val="004B4359"/>
    <w:rsid w:val="004B462B"/>
    <w:rsid w:val="004B4658"/>
    <w:rsid w:val="004B465C"/>
    <w:rsid w:val="004B4730"/>
    <w:rsid w:val="004B4A36"/>
    <w:rsid w:val="004B4B08"/>
    <w:rsid w:val="004B4B11"/>
    <w:rsid w:val="004B4C7C"/>
    <w:rsid w:val="004B4CCF"/>
    <w:rsid w:val="004B4D17"/>
    <w:rsid w:val="004B4DA4"/>
    <w:rsid w:val="004B522D"/>
    <w:rsid w:val="004B55DB"/>
    <w:rsid w:val="004B58C0"/>
    <w:rsid w:val="004B5951"/>
    <w:rsid w:val="004B5A09"/>
    <w:rsid w:val="004B5B2F"/>
    <w:rsid w:val="004B5BCA"/>
    <w:rsid w:val="004B5BDA"/>
    <w:rsid w:val="004B5E10"/>
    <w:rsid w:val="004B5E25"/>
    <w:rsid w:val="004B6011"/>
    <w:rsid w:val="004B606D"/>
    <w:rsid w:val="004B6216"/>
    <w:rsid w:val="004B6376"/>
    <w:rsid w:val="004B63A7"/>
    <w:rsid w:val="004B63AD"/>
    <w:rsid w:val="004B6723"/>
    <w:rsid w:val="004B6741"/>
    <w:rsid w:val="004B681A"/>
    <w:rsid w:val="004B68C8"/>
    <w:rsid w:val="004B68DB"/>
    <w:rsid w:val="004B69C4"/>
    <w:rsid w:val="004B6A98"/>
    <w:rsid w:val="004B6B55"/>
    <w:rsid w:val="004B6CD3"/>
    <w:rsid w:val="004B6E21"/>
    <w:rsid w:val="004B7160"/>
    <w:rsid w:val="004B7342"/>
    <w:rsid w:val="004B73D3"/>
    <w:rsid w:val="004B73FF"/>
    <w:rsid w:val="004B740B"/>
    <w:rsid w:val="004B755A"/>
    <w:rsid w:val="004B7AD7"/>
    <w:rsid w:val="004B7B42"/>
    <w:rsid w:val="004B7B48"/>
    <w:rsid w:val="004B7BEC"/>
    <w:rsid w:val="004B7BFF"/>
    <w:rsid w:val="004B7CEB"/>
    <w:rsid w:val="004B7D2B"/>
    <w:rsid w:val="004B7DD6"/>
    <w:rsid w:val="004B7FE9"/>
    <w:rsid w:val="004C0230"/>
    <w:rsid w:val="004C0234"/>
    <w:rsid w:val="004C027F"/>
    <w:rsid w:val="004C0348"/>
    <w:rsid w:val="004C0466"/>
    <w:rsid w:val="004C0618"/>
    <w:rsid w:val="004C083B"/>
    <w:rsid w:val="004C0843"/>
    <w:rsid w:val="004C08BC"/>
    <w:rsid w:val="004C0921"/>
    <w:rsid w:val="004C09BD"/>
    <w:rsid w:val="004C0C67"/>
    <w:rsid w:val="004C0CFB"/>
    <w:rsid w:val="004C0FA6"/>
    <w:rsid w:val="004C13BF"/>
    <w:rsid w:val="004C1446"/>
    <w:rsid w:val="004C149B"/>
    <w:rsid w:val="004C14C1"/>
    <w:rsid w:val="004C1525"/>
    <w:rsid w:val="004C1693"/>
    <w:rsid w:val="004C17F6"/>
    <w:rsid w:val="004C1860"/>
    <w:rsid w:val="004C19F8"/>
    <w:rsid w:val="004C1BBA"/>
    <w:rsid w:val="004C1DDB"/>
    <w:rsid w:val="004C2026"/>
    <w:rsid w:val="004C206A"/>
    <w:rsid w:val="004C222E"/>
    <w:rsid w:val="004C236E"/>
    <w:rsid w:val="004C237B"/>
    <w:rsid w:val="004C244C"/>
    <w:rsid w:val="004C275B"/>
    <w:rsid w:val="004C2AF5"/>
    <w:rsid w:val="004C2D3B"/>
    <w:rsid w:val="004C2D61"/>
    <w:rsid w:val="004C2EA9"/>
    <w:rsid w:val="004C2EAC"/>
    <w:rsid w:val="004C2EEE"/>
    <w:rsid w:val="004C2FAA"/>
    <w:rsid w:val="004C2FF4"/>
    <w:rsid w:val="004C316E"/>
    <w:rsid w:val="004C31DF"/>
    <w:rsid w:val="004C321C"/>
    <w:rsid w:val="004C3256"/>
    <w:rsid w:val="004C3470"/>
    <w:rsid w:val="004C363C"/>
    <w:rsid w:val="004C36CD"/>
    <w:rsid w:val="004C3BFD"/>
    <w:rsid w:val="004C3CBC"/>
    <w:rsid w:val="004C3D6F"/>
    <w:rsid w:val="004C3E66"/>
    <w:rsid w:val="004C40CF"/>
    <w:rsid w:val="004C40E0"/>
    <w:rsid w:val="004C413F"/>
    <w:rsid w:val="004C4155"/>
    <w:rsid w:val="004C419C"/>
    <w:rsid w:val="004C4247"/>
    <w:rsid w:val="004C4282"/>
    <w:rsid w:val="004C42E6"/>
    <w:rsid w:val="004C457B"/>
    <w:rsid w:val="004C46D9"/>
    <w:rsid w:val="004C4792"/>
    <w:rsid w:val="004C485F"/>
    <w:rsid w:val="004C4899"/>
    <w:rsid w:val="004C4A57"/>
    <w:rsid w:val="004C4B04"/>
    <w:rsid w:val="004C4CF1"/>
    <w:rsid w:val="004C502D"/>
    <w:rsid w:val="004C507F"/>
    <w:rsid w:val="004C5255"/>
    <w:rsid w:val="004C5456"/>
    <w:rsid w:val="004C545B"/>
    <w:rsid w:val="004C5674"/>
    <w:rsid w:val="004C5A1A"/>
    <w:rsid w:val="004C5C86"/>
    <w:rsid w:val="004C5D7D"/>
    <w:rsid w:val="004C5F65"/>
    <w:rsid w:val="004C626A"/>
    <w:rsid w:val="004C634D"/>
    <w:rsid w:val="004C66EE"/>
    <w:rsid w:val="004C6807"/>
    <w:rsid w:val="004C6B74"/>
    <w:rsid w:val="004C6CC1"/>
    <w:rsid w:val="004C6D89"/>
    <w:rsid w:val="004C7308"/>
    <w:rsid w:val="004C7868"/>
    <w:rsid w:val="004C7B79"/>
    <w:rsid w:val="004C7D6F"/>
    <w:rsid w:val="004C7D95"/>
    <w:rsid w:val="004C7F15"/>
    <w:rsid w:val="004D0099"/>
    <w:rsid w:val="004D0157"/>
    <w:rsid w:val="004D03D8"/>
    <w:rsid w:val="004D0443"/>
    <w:rsid w:val="004D0613"/>
    <w:rsid w:val="004D0A5A"/>
    <w:rsid w:val="004D0E54"/>
    <w:rsid w:val="004D0F73"/>
    <w:rsid w:val="004D1110"/>
    <w:rsid w:val="004D11BE"/>
    <w:rsid w:val="004D1586"/>
    <w:rsid w:val="004D16CD"/>
    <w:rsid w:val="004D17AC"/>
    <w:rsid w:val="004D187C"/>
    <w:rsid w:val="004D1905"/>
    <w:rsid w:val="004D1923"/>
    <w:rsid w:val="004D1949"/>
    <w:rsid w:val="004D1BC9"/>
    <w:rsid w:val="004D1BF3"/>
    <w:rsid w:val="004D1C89"/>
    <w:rsid w:val="004D1D14"/>
    <w:rsid w:val="004D1D97"/>
    <w:rsid w:val="004D1DDA"/>
    <w:rsid w:val="004D1FAC"/>
    <w:rsid w:val="004D26BC"/>
    <w:rsid w:val="004D28D1"/>
    <w:rsid w:val="004D2ABB"/>
    <w:rsid w:val="004D2B87"/>
    <w:rsid w:val="004D2C1B"/>
    <w:rsid w:val="004D2CF2"/>
    <w:rsid w:val="004D2E15"/>
    <w:rsid w:val="004D2E5F"/>
    <w:rsid w:val="004D2E75"/>
    <w:rsid w:val="004D30CE"/>
    <w:rsid w:val="004D324A"/>
    <w:rsid w:val="004D3412"/>
    <w:rsid w:val="004D34E1"/>
    <w:rsid w:val="004D3662"/>
    <w:rsid w:val="004D3675"/>
    <w:rsid w:val="004D399C"/>
    <w:rsid w:val="004D39F3"/>
    <w:rsid w:val="004D3BE8"/>
    <w:rsid w:val="004D3C2E"/>
    <w:rsid w:val="004D3DD1"/>
    <w:rsid w:val="004D3F18"/>
    <w:rsid w:val="004D40F5"/>
    <w:rsid w:val="004D42FD"/>
    <w:rsid w:val="004D439C"/>
    <w:rsid w:val="004D43A7"/>
    <w:rsid w:val="004D43D5"/>
    <w:rsid w:val="004D45B4"/>
    <w:rsid w:val="004D4619"/>
    <w:rsid w:val="004D48BC"/>
    <w:rsid w:val="004D48FF"/>
    <w:rsid w:val="004D4AFC"/>
    <w:rsid w:val="004D4B21"/>
    <w:rsid w:val="004D4F82"/>
    <w:rsid w:val="004D4FBB"/>
    <w:rsid w:val="004D4FF9"/>
    <w:rsid w:val="004D5150"/>
    <w:rsid w:val="004D521A"/>
    <w:rsid w:val="004D5610"/>
    <w:rsid w:val="004D57F8"/>
    <w:rsid w:val="004D580A"/>
    <w:rsid w:val="004D588A"/>
    <w:rsid w:val="004D58A1"/>
    <w:rsid w:val="004D5968"/>
    <w:rsid w:val="004D59E5"/>
    <w:rsid w:val="004D5D87"/>
    <w:rsid w:val="004D5E69"/>
    <w:rsid w:val="004D5F11"/>
    <w:rsid w:val="004D5F63"/>
    <w:rsid w:val="004D5F9B"/>
    <w:rsid w:val="004D615C"/>
    <w:rsid w:val="004D636A"/>
    <w:rsid w:val="004D6439"/>
    <w:rsid w:val="004D64E3"/>
    <w:rsid w:val="004D653E"/>
    <w:rsid w:val="004D6605"/>
    <w:rsid w:val="004D664E"/>
    <w:rsid w:val="004D67E7"/>
    <w:rsid w:val="004D68BD"/>
    <w:rsid w:val="004D6968"/>
    <w:rsid w:val="004D699E"/>
    <w:rsid w:val="004D6AB4"/>
    <w:rsid w:val="004D6C85"/>
    <w:rsid w:val="004D6CC8"/>
    <w:rsid w:val="004D6D39"/>
    <w:rsid w:val="004D6DB4"/>
    <w:rsid w:val="004D6E6C"/>
    <w:rsid w:val="004D6ED1"/>
    <w:rsid w:val="004D71FA"/>
    <w:rsid w:val="004D75C8"/>
    <w:rsid w:val="004D7717"/>
    <w:rsid w:val="004D772F"/>
    <w:rsid w:val="004D77A5"/>
    <w:rsid w:val="004D7A40"/>
    <w:rsid w:val="004D7A86"/>
    <w:rsid w:val="004D7B3F"/>
    <w:rsid w:val="004D7D0F"/>
    <w:rsid w:val="004D7EF7"/>
    <w:rsid w:val="004E00CC"/>
    <w:rsid w:val="004E00D7"/>
    <w:rsid w:val="004E0117"/>
    <w:rsid w:val="004E057E"/>
    <w:rsid w:val="004E0728"/>
    <w:rsid w:val="004E07AC"/>
    <w:rsid w:val="004E087A"/>
    <w:rsid w:val="004E08D0"/>
    <w:rsid w:val="004E0A14"/>
    <w:rsid w:val="004E0C4A"/>
    <w:rsid w:val="004E0CCF"/>
    <w:rsid w:val="004E0FBB"/>
    <w:rsid w:val="004E0FC3"/>
    <w:rsid w:val="004E1110"/>
    <w:rsid w:val="004E124A"/>
    <w:rsid w:val="004E1277"/>
    <w:rsid w:val="004E15BC"/>
    <w:rsid w:val="004E15EA"/>
    <w:rsid w:val="004E1614"/>
    <w:rsid w:val="004E19A3"/>
    <w:rsid w:val="004E19FF"/>
    <w:rsid w:val="004E2253"/>
    <w:rsid w:val="004E255E"/>
    <w:rsid w:val="004E25B8"/>
    <w:rsid w:val="004E2DB7"/>
    <w:rsid w:val="004E2EA9"/>
    <w:rsid w:val="004E3187"/>
    <w:rsid w:val="004E337F"/>
    <w:rsid w:val="004E3481"/>
    <w:rsid w:val="004E3755"/>
    <w:rsid w:val="004E3847"/>
    <w:rsid w:val="004E3A6C"/>
    <w:rsid w:val="004E3B3D"/>
    <w:rsid w:val="004E3B65"/>
    <w:rsid w:val="004E3DB0"/>
    <w:rsid w:val="004E3EEB"/>
    <w:rsid w:val="004E4063"/>
    <w:rsid w:val="004E4086"/>
    <w:rsid w:val="004E47A6"/>
    <w:rsid w:val="004E4B0A"/>
    <w:rsid w:val="004E4B4E"/>
    <w:rsid w:val="004E4BAB"/>
    <w:rsid w:val="004E4BC3"/>
    <w:rsid w:val="004E4C87"/>
    <w:rsid w:val="004E4C9E"/>
    <w:rsid w:val="004E4D47"/>
    <w:rsid w:val="004E4E4D"/>
    <w:rsid w:val="004E50E2"/>
    <w:rsid w:val="004E5150"/>
    <w:rsid w:val="004E524A"/>
    <w:rsid w:val="004E54BE"/>
    <w:rsid w:val="004E5591"/>
    <w:rsid w:val="004E57E3"/>
    <w:rsid w:val="004E582B"/>
    <w:rsid w:val="004E5A66"/>
    <w:rsid w:val="004E5B94"/>
    <w:rsid w:val="004E5E01"/>
    <w:rsid w:val="004E5F6A"/>
    <w:rsid w:val="004E61FF"/>
    <w:rsid w:val="004E6284"/>
    <w:rsid w:val="004E632A"/>
    <w:rsid w:val="004E63E6"/>
    <w:rsid w:val="004E6484"/>
    <w:rsid w:val="004E67AA"/>
    <w:rsid w:val="004E69FE"/>
    <w:rsid w:val="004E6BDB"/>
    <w:rsid w:val="004E6C8D"/>
    <w:rsid w:val="004E6CB0"/>
    <w:rsid w:val="004E6FA4"/>
    <w:rsid w:val="004E7161"/>
    <w:rsid w:val="004E71E9"/>
    <w:rsid w:val="004E72EE"/>
    <w:rsid w:val="004E7364"/>
    <w:rsid w:val="004E74E1"/>
    <w:rsid w:val="004E7500"/>
    <w:rsid w:val="004E75F8"/>
    <w:rsid w:val="004E775F"/>
    <w:rsid w:val="004E7804"/>
    <w:rsid w:val="004E78FE"/>
    <w:rsid w:val="004E7937"/>
    <w:rsid w:val="004E79B3"/>
    <w:rsid w:val="004E7A1B"/>
    <w:rsid w:val="004E7DF0"/>
    <w:rsid w:val="004E7F53"/>
    <w:rsid w:val="004E7FA3"/>
    <w:rsid w:val="004E7FA8"/>
    <w:rsid w:val="004F0051"/>
    <w:rsid w:val="004F0186"/>
    <w:rsid w:val="004F0217"/>
    <w:rsid w:val="004F0224"/>
    <w:rsid w:val="004F03FD"/>
    <w:rsid w:val="004F05F6"/>
    <w:rsid w:val="004F0686"/>
    <w:rsid w:val="004F0A32"/>
    <w:rsid w:val="004F0AEB"/>
    <w:rsid w:val="004F0D33"/>
    <w:rsid w:val="004F0D85"/>
    <w:rsid w:val="004F109A"/>
    <w:rsid w:val="004F10C0"/>
    <w:rsid w:val="004F113A"/>
    <w:rsid w:val="004F118C"/>
    <w:rsid w:val="004F11EF"/>
    <w:rsid w:val="004F1294"/>
    <w:rsid w:val="004F14EE"/>
    <w:rsid w:val="004F15A5"/>
    <w:rsid w:val="004F1669"/>
    <w:rsid w:val="004F16BB"/>
    <w:rsid w:val="004F16F0"/>
    <w:rsid w:val="004F1768"/>
    <w:rsid w:val="004F178E"/>
    <w:rsid w:val="004F1901"/>
    <w:rsid w:val="004F1C00"/>
    <w:rsid w:val="004F1C73"/>
    <w:rsid w:val="004F1CFD"/>
    <w:rsid w:val="004F1E67"/>
    <w:rsid w:val="004F1F81"/>
    <w:rsid w:val="004F2114"/>
    <w:rsid w:val="004F2193"/>
    <w:rsid w:val="004F221C"/>
    <w:rsid w:val="004F22EC"/>
    <w:rsid w:val="004F23EB"/>
    <w:rsid w:val="004F2431"/>
    <w:rsid w:val="004F2530"/>
    <w:rsid w:val="004F2688"/>
    <w:rsid w:val="004F2867"/>
    <w:rsid w:val="004F287C"/>
    <w:rsid w:val="004F2891"/>
    <w:rsid w:val="004F296F"/>
    <w:rsid w:val="004F2AF8"/>
    <w:rsid w:val="004F2FF6"/>
    <w:rsid w:val="004F3132"/>
    <w:rsid w:val="004F33E8"/>
    <w:rsid w:val="004F3414"/>
    <w:rsid w:val="004F354A"/>
    <w:rsid w:val="004F3674"/>
    <w:rsid w:val="004F3814"/>
    <w:rsid w:val="004F3992"/>
    <w:rsid w:val="004F3A1C"/>
    <w:rsid w:val="004F3ADB"/>
    <w:rsid w:val="004F3BF8"/>
    <w:rsid w:val="004F3CA5"/>
    <w:rsid w:val="004F3CAD"/>
    <w:rsid w:val="004F3D70"/>
    <w:rsid w:val="004F3E39"/>
    <w:rsid w:val="004F3EFA"/>
    <w:rsid w:val="004F3F1F"/>
    <w:rsid w:val="004F4007"/>
    <w:rsid w:val="004F4076"/>
    <w:rsid w:val="004F418D"/>
    <w:rsid w:val="004F44C6"/>
    <w:rsid w:val="004F45B6"/>
    <w:rsid w:val="004F45C1"/>
    <w:rsid w:val="004F4722"/>
    <w:rsid w:val="004F4755"/>
    <w:rsid w:val="004F485A"/>
    <w:rsid w:val="004F486F"/>
    <w:rsid w:val="004F4A95"/>
    <w:rsid w:val="004F4BE2"/>
    <w:rsid w:val="004F4E60"/>
    <w:rsid w:val="004F4E92"/>
    <w:rsid w:val="004F4EEC"/>
    <w:rsid w:val="004F5054"/>
    <w:rsid w:val="004F50F7"/>
    <w:rsid w:val="004F5397"/>
    <w:rsid w:val="004F541B"/>
    <w:rsid w:val="004F5533"/>
    <w:rsid w:val="004F56BB"/>
    <w:rsid w:val="004F56D2"/>
    <w:rsid w:val="004F5956"/>
    <w:rsid w:val="004F5A9F"/>
    <w:rsid w:val="004F5C9D"/>
    <w:rsid w:val="004F5D30"/>
    <w:rsid w:val="004F6075"/>
    <w:rsid w:val="004F6293"/>
    <w:rsid w:val="004F62BB"/>
    <w:rsid w:val="004F6390"/>
    <w:rsid w:val="004F63FC"/>
    <w:rsid w:val="004F6434"/>
    <w:rsid w:val="004F6521"/>
    <w:rsid w:val="004F656F"/>
    <w:rsid w:val="004F65A5"/>
    <w:rsid w:val="004F6674"/>
    <w:rsid w:val="004F6688"/>
    <w:rsid w:val="004F66CC"/>
    <w:rsid w:val="004F66CF"/>
    <w:rsid w:val="004F6739"/>
    <w:rsid w:val="004F685F"/>
    <w:rsid w:val="004F6967"/>
    <w:rsid w:val="004F6A3A"/>
    <w:rsid w:val="004F6B91"/>
    <w:rsid w:val="004F6B9F"/>
    <w:rsid w:val="004F6D2C"/>
    <w:rsid w:val="004F6FF7"/>
    <w:rsid w:val="004F70BD"/>
    <w:rsid w:val="004F7400"/>
    <w:rsid w:val="004F766F"/>
    <w:rsid w:val="004F775B"/>
    <w:rsid w:val="004F79DE"/>
    <w:rsid w:val="004F79F7"/>
    <w:rsid w:val="004F7AC9"/>
    <w:rsid w:val="004F7AEB"/>
    <w:rsid w:val="004F7B4E"/>
    <w:rsid w:val="004F7C09"/>
    <w:rsid w:val="004F7E50"/>
    <w:rsid w:val="004F7E95"/>
    <w:rsid w:val="005000C1"/>
    <w:rsid w:val="0050022F"/>
    <w:rsid w:val="0050036E"/>
    <w:rsid w:val="0050064B"/>
    <w:rsid w:val="00500973"/>
    <w:rsid w:val="00500A0B"/>
    <w:rsid w:val="00500AE0"/>
    <w:rsid w:val="00500B6E"/>
    <w:rsid w:val="00500B9C"/>
    <w:rsid w:val="00500BEE"/>
    <w:rsid w:val="00500C50"/>
    <w:rsid w:val="00500D6A"/>
    <w:rsid w:val="00500E71"/>
    <w:rsid w:val="00500F7F"/>
    <w:rsid w:val="00501050"/>
    <w:rsid w:val="0050113F"/>
    <w:rsid w:val="0050122A"/>
    <w:rsid w:val="0050133B"/>
    <w:rsid w:val="005014F4"/>
    <w:rsid w:val="005016DB"/>
    <w:rsid w:val="005017D9"/>
    <w:rsid w:val="005018C9"/>
    <w:rsid w:val="005019B7"/>
    <w:rsid w:val="00501DCE"/>
    <w:rsid w:val="00501FB8"/>
    <w:rsid w:val="005020BA"/>
    <w:rsid w:val="0050212F"/>
    <w:rsid w:val="005021A7"/>
    <w:rsid w:val="005022E6"/>
    <w:rsid w:val="00502445"/>
    <w:rsid w:val="0050252E"/>
    <w:rsid w:val="0050255C"/>
    <w:rsid w:val="00502A20"/>
    <w:rsid w:val="00502CA5"/>
    <w:rsid w:val="00502DDB"/>
    <w:rsid w:val="00502E8A"/>
    <w:rsid w:val="00502ED8"/>
    <w:rsid w:val="00502FE5"/>
    <w:rsid w:val="0050302D"/>
    <w:rsid w:val="005030CC"/>
    <w:rsid w:val="005031A2"/>
    <w:rsid w:val="005031BD"/>
    <w:rsid w:val="005031DF"/>
    <w:rsid w:val="005034DD"/>
    <w:rsid w:val="0050372F"/>
    <w:rsid w:val="005037A6"/>
    <w:rsid w:val="005037D5"/>
    <w:rsid w:val="00503863"/>
    <w:rsid w:val="00503A24"/>
    <w:rsid w:val="00503A32"/>
    <w:rsid w:val="00503B0B"/>
    <w:rsid w:val="00503C3B"/>
    <w:rsid w:val="00503CD5"/>
    <w:rsid w:val="00503D2A"/>
    <w:rsid w:val="00503DFC"/>
    <w:rsid w:val="00504389"/>
    <w:rsid w:val="0050461A"/>
    <w:rsid w:val="005046DB"/>
    <w:rsid w:val="00504790"/>
    <w:rsid w:val="005049BA"/>
    <w:rsid w:val="00504A39"/>
    <w:rsid w:val="00504C37"/>
    <w:rsid w:val="00504C4E"/>
    <w:rsid w:val="00504C9C"/>
    <w:rsid w:val="00504DF2"/>
    <w:rsid w:val="00504FCF"/>
    <w:rsid w:val="00505243"/>
    <w:rsid w:val="00505372"/>
    <w:rsid w:val="0050564A"/>
    <w:rsid w:val="00505728"/>
    <w:rsid w:val="005059E7"/>
    <w:rsid w:val="00505A4C"/>
    <w:rsid w:val="00505B5C"/>
    <w:rsid w:val="00505BBE"/>
    <w:rsid w:val="00505FAF"/>
    <w:rsid w:val="005060C4"/>
    <w:rsid w:val="00506328"/>
    <w:rsid w:val="00506343"/>
    <w:rsid w:val="00506393"/>
    <w:rsid w:val="00506651"/>
    <w:rsid w:val="0050678B"/>
    <w:rsid w:val="005067F1"/>
    <w:rsid w:val="00506973"/>
    <w:rsid w:val="00506974"/>
    <w:rsid w:val="005069E5"/>
    <w:rsid w:val="00506A2C"/>
    <w:rsid w:val="00506ABD"/>
    <w:rsid w:val="00506CBA"/>
    <w:rsid w:val="00506CBE"/>
    <w:rsid w:val="00506D71"/>
    <w:rsid w:val="00506F71"/>
    <w:rsid w:val="0050731B"/>
    <w:rsid w:val="0050732C"/>
    <w:rsid w:val="0050751F"/>
    <w:rsid w:val="00507524"/>
    <w:rsid w:val="005075CB"/>
    <w:rsid w:val="00507649"/>
    <w:rsid w:val="005077FB"/>
    <w:rsid w:val="00507883"/>
    <w:rsid w:val="00507B0E"/>
    <w:rsid w:val="00507C53"/>
    <w:rsid w:val="00507DC7"/>
    <w:rsid w:val="005100C1"/>
    <w:rsid w:val="00510304"/>
    <w:rsid w:val="0051064C"/>
    <w:rsid w:val="00510A9E"/>
    <w:rsid w:val="00510B42"/>
    <w:rsid w:val="00510BB5"/>
    <w:rsid w:val="00510D79"/>
    <w:rsid w:val="00510DE2"/>
    <w:rsid w:val="00510E8D"/>
    <w:rsid w:val="00511273"/>
    <w:rsid w:val="00511769"/>
    <w:rsid w:val="005118A0"/>
    <w:rsid w:val="00511A0A"/>
    <w:rsid w:val="00511A16"/>
    <w:rsid w:val="00511BBA"/>
    <w:rsid w:val="00511CD7"/>
    <w:rsid w:val="00511D2E"/>
    <w:rsid w:val="00511DBD"/>
    <w:rsid w:val="00511E10"/>
    <w:rsid w:val="00511EA0"/>
    <w:rsid w:val="005120CE"/>
    <w:rsid w:val="00512187"/>
    <w:rsid w:val="005123A8"/>
    <w:rsid w:val="00512406"/>
    <w:rsid w:val="005126AD"/>
    <w:rsid w:val="00512779"/>
    <w:rsid w:val="005129F4"/>
    <w:rsid w:val="00512A3E"/>
    <w:rsid w:val="00512C16"/>
    <w:rsid w:val="00512C19"/>
    <w:rsid w:val="005135AB"/>
    <w:rsid w:val="005136C8"/>
    <w:rsid w:val="005137F7"/>
    <w:rsid w:val="00513C20"/>
    <w:rsid w:val="00513E27"/>
    <w:rsid w:val="00514090"/>
    <w:rsid w:val="00514209"/>
    <w:rsid w:val="00514360"/>
    <w:rsid w:val="00514399"/>
    <w:rsid w:val="00514455"/>
    <w:rsid w:val="0051456A"/>
    <w:rsid w:val="00514C0B"/>
    <w:rsid w:val="00514C22"/>
    <w:rsid w:val="00514C3D"/>
    <w:rsid w:val="00514D20"/>
    <w:rsid w:val="00514DF0"/>
    <w:rsid w:val="00514E83"/>
    <w:rsid w:val="005153FE"/>
    <w:rsid w:val="0051544B"/>
    <w:rsid w:val="00515534"/>
    <w:rsid w:val="00515573"/>
    <w:rsid w:val="00515665"/>
    <w:rsid w:val="00515937"/>
    <w:rsid w:val="00515940"/>
    <w:rsid w:val="00515941"/>
    <w:rsid w:val="0051596B"/>
    <w:rsid w:val="00515AE7"/>
    <w:rsid w:val="00515AF0"/>
    <w:rsid w:val="00515CF3"/>
    <w:rsid w:val="00515E24"/>
    <w:rsid w:val="00515FFD"/>
    <w:rsid w:val="00516072"/>
    <w:rsid w:val="005160AB"/>
    <w:rsid w:val="0051637C"/>
    <w:rsid w:val="00516564"/>
    <w:rsid w:val="005165F1"/>
    <w:rsid w:val="00516673"/>
    <w:rsid w:val="00516708"/>
    <w:rsid w:val="00516774"/>
    <w:rsid w:val="005169E0"/>
    <w:rsid w:val="00516A75"/>
    <w:rsid w:val="00516B2F"/>
    <w:rsid w:val="00516BB1"/>
    <w:rsid w:val="00516DDA"/>
    <w:rsid w:val="00516EFD"/>
    <w:rsid w:val="00516F47"/>
    <w:rsid w:val="0051702F"/>
    <w:rsid w:val="00517065"/>
    <w:rsid w:val="0051721D"/>
    <w:rsid w:val="0051727B"/>
    <w:rsid w:val="005174AC"/>
    <w:rsid w:val="00517546"/>
    <w:rsid w:val="0051762B"/>
    <w:rsid w:val="005176EB"/>
    <w:rsid w:val="00517722"/>
    <w:rsid w:val="0051772E"/>
    <w:rsid w:val="00517D3D"/>
    <w:rsid w:val="00520044"/>
    <w:rsid w:val="00520064"/>
    <w:rsid w:val="005200FA"/>
    <w:rsid w:val="0052035F"/>
    <w:rsid w:val="005203FD"/>
    <w:rsid w:val="0052046B"/>
    <w:rsid w:val="0052068B"/>
    <w:rsid w:val="00520793"/>
    <w:rsid w:val="00520A88"/>
    <w:rsid w:val="00520B72"/>
    <w:rsid w:val="00520CAC"/>
    <w:rsid w:val="00520DA6"/>
    <w:rsid w:val="005210A3"/>
    <w:rsid w:val="0052114F"/>
    <w:rsid w:val="00521246"/>
    <w:rsid w:val="0052140F"/>
    <w:rsid w:val="005215CD"/>
    <w:rsid w:val="00521660"/>
    <w:rsid w:val="0052166B"/>
    <w:rsid w:val="0052176A"/>
    <w:rsid w:val="00521A70"/>
    <w:rsid w:val="00521D8E"/>
    <w:rsid w:val="00521DEC"/>
    <w:rsid w:val="005221B7"/>
    <w:rsid w:val="005222F8"/>
    <w:rsid w:val="005223D7"/>
    <w:rsid w:val="005226DA"/>
    <w:rsid w:val="00522730"/>
    <w:rsid w:val="0052273B"/>
    <w:rsid w:val="00522A07"/>
    <w:rsid w:val="00522A1F"/>
    <w:rsid w:val="00522D01"/>
    <w:rsid w:val="00522DA1"/>
    <w:rsid w:val="00522E0D"/>
    <w:rsid w:val="0052305F"/>
    <w:rsid w:val="005230D3"/>
    <w:rsid w:val="00523371"/>
    <w:rsid w:val="0052343E"/>
    <w:rsid w:val="00523592"/>
    <w:rsid w:val="005235C0"/>
    <w:rsid w:val="005235C5"/>
    <w:rsid w:val="00523750"/>
    <w:rsid w:val="005237A4"/>
    <w:rsid w:val="0052386B"/>
    <w:rsid w:val="005238CA"/>
    <w:rsid w:val="0052394A"/>
    <w:rsid w:val="005239A0"/>
    <w:rsid w:val="00523A3D"/>
    <w:rsid w:val="00523A54"/>
    <w:rsid w:val="00523A64"/>
    <w:rsid w:val="00523D06"/>
    <w:rsid w:val="00523DB4"/>
    <w:rsid w:val="00523E7A"/>
    <w:rsid w:val="00523EC7"/>
    <w:rsid w:val="00523EE3"/>
    <w:rsid w:val="00523F41"/>
    <w:rsid w:val="00524030"/>
    <w:rsid w:val="00524319"/>
    <w:rsid w:val="00524387"/>
    <w:rsid w:val="00524508"/>
    <w:rsid w:val="00524570"/>
    <w:rsid w:val="005245B0"/>
    <w:rsid w:val="005245E4"/>
    <w:rsid w:val="0052460C"/>
    <w:rsid w:val="00524615"/>
    <w:rsid w:val="0052462E"/>
    <w:rsid w:val="005248E9"/>
    <w:rsid w:val="00524B3D"/>
    <w:rsid w:val="00524BE6"/>
    <w:rsid w:val="00524C7D"/>
    <w:rsid w:val="00524D67"/>
    <w:rsid w:val="00524FCA"/>
    <w:rsid w:val="00525008"/>
    <w:rsid w:val="00525010"/>
    <w:rsid w:val="005250FC"/>
    <w:rsid w:val="0052511D"/>
    <w:rsid w:val="005251B3"/>
    <w:rsid w:val="005251B5"/>
    <w:rsid w:val="005251EF"/>
    <w:rsid w:val="00525298"/>
    <w:rsid w:val="00525461"/>
    <w:rsid w:val="00525646"/>
    <w:rsid w:val="00525655"/>
    <w:rsid w:val="00525992"/>
    <w:rsid w:val="00525A04"/>
    <w:rsid w:val="00525C25"/>
    <w:rsid w:val="00525C60"/>
    <w:rsid w:val="00525E11"/>
    <w:rsid w:val="00525E26"/>
    <w:rsid w:val="00525F4F"/>
    <w:rsid w:val="005260D5"/>
    <w:rsid w:val="005262BD"/>
    <w:rsid w:val="00526568"/>
    <w:rsid w:val="005266C5"/>
    <w:rsid w:val="00526B6F"/>
    <w:rsid w:val="00526B8B"/>
    <w:rsid w:val="00526BD1"/>
    <w:rsid w:val="00526D56"/>
    <w:rsid w:val="00526D93"/>
    <w:rsid w:val="00526E21"/>
    <w:rsid w:val="00526EB1"/>
    <w:rsid w:val="00526F5A"/>
    <w:rsid w:val="00527035"/>
    <w:rsid w:val="005270E6"/>
    <w:rsid w:val="00527156"/>
    <w:rsid w:val="00527449"/>
    <w:rsid w:val="005274F6"/>
    <w:rsid w:val="005277D3"/>
    <w:rsid w:val="005277DE"/>
    <w:rsid w:val="00527A94"/>
    <w:rsid w:val="00527C56"/>
    <w:rsid w:val="00527CF0"/>
    <w:rsid w:val="0053026E"/>
    <w:rsid w:val="005304C7"/>
    <w:rsid w:val="00530535"/>
    <w:rsid w:val="0053065B"/>
    <w:rsid w:val="00530715"/>
    <w:rsid w:val="00530EE8"/>
    <w:rsid w:val="00531000"/>
    <w:rsid w:val="0053103D"/>
    <w:rsid w:val="005317E0"/>
    <w:rsid w:val="00531810"/>
    <w:rsid w:val="00531925"/>
    <w:rsid w:val="00531B98"/>
    <w:rsid w:val="00531BAB"/>
    <w:rsid w:val="00531E29"/>
    <w:rsid w:val="00531E85"/>
    <w:rsid w:val="005320B2"/>
    <w:rsid w:val="00532214"/>
    <w:rsid w:val="00532287"/>
    <w:rsid w:val="00532456"/>
    <w:rsid w:val="0053258F"/>
    <w:rsid w:val="0053259F"/>
    <w:rsid w:val="005325BE"/>
    <w:rsid w:val="00532793"/>
    <w:rsid w:val="0053282D"/>
    <w:rsid w:val="00532C69"/>
    <w:rsid w:val="00532CD3"/>
    <w:rsid w:val="00532EAC"/>
    <w:rsid w:val="00533014"/>
    <w:rsid w:val="00533094"/>
    <w:rsid w:val="005331EF"/>
    <w:rsid w:val="00533446"/>
    <w:rsid w:val="0053359E"/>
    <w:rsid w:val="005335A7"/>
    <w:rsid w:val="0053381C"/>
    <w:rsid w:val="0053384D"/>
    <w:rsid w:val="00533C60"/>
    <w:rsid w:val="005341AA"/>
    <w:rsid w:val="005343C2"/>
    <w:rsid w:val="005343C9"/>
    <w:rsid w:val="005344E9"/>
    <w:rsid w:val="00534892"/>
    <w:rsid w:val="00534952"/>
    <w:rsid w:val="00534ADD"/>
    <w:rsid w:val="00534B94"/>
    <w:rsid w:val="00534F22"/>
    <w:rsid w:val="00535124"/>
    <w:rsid w:val="00535178"/>
    <w:rsid w:val="00535224"/>
    <w:rsid w:val="005353D0"/>
    <w:rsid w:val="00535485"/>
    <w:rsid w:val="005355E7"/>
    <w:rsid w:val="00535600"/>
    <w:rsid w:val="00535877"/>
    <w:rsid w:val="005359DC"/>
    <w:rsid w:val="00535AC7"/>
    <w:rsid w:val="00535AFC"/>
    <w:rsid w:val="00535C51"/>
    <w:rsid w:val="00535C6C"/>
    <w:rsid w:val="00535DAB"/>
    <w:rsid w:val="0053612E"/>
    <w:rsid w:val="00536465"/>
    <w:rsid w:val="0053667A"/>
    <w:rsid w:val="00536864"/>
    <w:rsid w:val="005368C7"/>
    <w:rsid w:val="00536ACF"/>
    <w:rsid w:val="00536B03"/>
    <w:rsid w:val="00536B59"/>
    <w:rsid w:val="00536C26"/>
    <w:rsid w:val="00536F54"/>
    <w:rsid w:val="005371F1"/>
    <w:rsid w:val="005372BA"/>
    <w:rsid w:val="00537590"/>
    <w:rsid w:val="0053765F"/>
    <w:rsid w:val="00537912"/>
    <w:rsid w:val="00537BA4"/>
    <w:rsid w:val="00537E24"/>
    <w:rsid w:val="00537F31"/>
    <w:rsid w:val="00540059"/>
    <w:rsid w:val="0054065C"/>
    <w:rsid w:val="0054090F"/>
    <w:rsid w:val="0054091D"/>
    <w:rsid w:val="00540B26"/>
    <w:rsid w:val="00540FF0"/>
    <w:rsid w:val="0054108C"/>
    <w:rsid w:val="00541136"/>
    <w:rsid w:val="0054113B"/>
    <w:rsid w:val="005411AA"/>
    <w:rsid w:val="005412C8"/>
    <w:rsid w:val="00541361"/>
    <w:rsid w:val="005413AF"/>
    <w:rsid w:val="00541511"/>
    <w:rsid w:val="0054160A"/>
    <w:rsid w:val="005416B5"/>
    <w:rsid w:val="005416C9"/>
    <w:rsid w:val="00541895"/>
    <w:rsid w:val="005419F2"/>
    <w:rsid w:val="00541A0B"/>
    <w:rsid w:val="00541A69"/>
    <w:rsid w:val="00541AE7"/>
    <w:rsid w:val="00541DFB"/>
    <w:rsid w:val="005420F7"/>
    <w:rsid w:val="0054214A"/>
    <w:rsid w:val="00542473"/>
    <w:rsid w:val="00542517"/>
    <w:rsid w:val="00542762"/>
    <w:rsid w:val="00542769"/>
    <w:rsid w:val="0054279D"/>
    <w:rsid w:val="0054286F"/>
    <w:rsid w:val="005428C5"/>
    <w:rsid w:val="0054294A"/>
    <w:rsid w:val="00542A7E"/>
    <w:rsid w:val="00542A87"/>
    <w:rsid w:val="00542A9B"/>
    <w:rsid w:val="00542B10"/>
    <w:rsid w:val="00542B3F"/>
    <w:rsid w:val="00542CDD"/>
    <w:rsid w:val="00542D84"/>
    <w:rsid w:val="00542E41"/>
    <w:rsid w:val="00542F82"/>
    <w:rsid w:val="00543117"/>
    <w:rsid w:val="005432BE"/>
    <w:rsid w:val="005433DB"/>
    <w:rsid w:val="0054369F"/>
    <w:rsid w:val="005436DB"/>
    <w:rsid w:val="0054378D"/>
    <w:rsid w:val="0054384A"/>
    <w:rsid w:val="0054386C"/>
    <w:rsid w:val="005438D6"/>
    <w:rsid w:val="00543BF2"/>
    <w:rsid w:val="00543CEE"/>
    <w:rsid w:val="00543F32"/>
    <w:rsid w:val="005443DF"/>
    <w:rsid w:val="00544411"/>
    <w:rsid w:val="0054449D"/>
    <w:rsid w:val="005444CD"/>
    <w:rsid w:val="00544689"/>
    <w:rsid w:val="00544A62"/>
    <w:rsid w:val="00544AB7"/>
    <w:rsid w:val="00544B9B"/>
    <w:rsid w:val="00544C24"/>
    <w:rsid w:val="00544C70"/>
    <w:rsid w:val="005450A8"/>
    <w:rsid w:val="005453DD"/>
    <w:rsid w:val="0054557B"/>
    <w:rsid w:val="00545593"/>
    <w:rsid w:val="0054559C"/>
    <w:rsid w:val="005458E5"/>
    <w:rsid w:val="00545983"/>
    <w:rsid w:val="00545BCE"/>
    <w:rsid w:val="00545C0B"/>
    <w:rsid w:val="00545C41"/>
    <w:rsid w:val="00545E37"/>
    <w:rsid w:val="00545E83"/>
    <w:rsid w:val="00545F45"/>
    <w:rsid w:val="00546000"/>
    <w:rsid w:val="0054606E"/>
    <w:rsid w:val="00546134"/>
    <w:rsid w:val="0054613E"/>
    <w:rsid w:val="005465A4"/>
    <w:rsid w:val="005466D5"/>
    <w:rsid w:val="005466FE"/>
    <w:rsid w:val="005468A6"/>
    <w:rsid w:val="00546925"/>
    <w:rsid w:val="005469A7"/>
    <w:rsid w:val="00546AB1"/>
    <w:rsid w:val="00546C41"/>
    <w:rsid w:val="005470C3"/>
    <w:rsid w:val="005471F9"/>
    <w:rsid w:val="00547437"/>
    <w:rsid w:val="005474E6"/>
    <w:rsid w:val="005475A0"/>
    <w:rsid w:val="005478EA"/>
    <w:rsid w:val="00547A4C"/>
    <w:rsid w:val="00547B5F"/>
    <w:rsid w:val="00547BD3"/>
    <w:rsid w:val="00547CDB"/>
    <w:rsid w:val="0055000D"/>
    <w:rsid w:val="005501C9"/>
    <w:rsid w:val="00550319"/>
    <w:rsid w:val="005503FC"/>
    <w:rsid w:val="00550633"/>
    <w:rsid w:val="00550699"/>
    <w:rsid w:val="00550897"/>
    <w:rsid w:val="005508D9"/>
    <w:rsid w:val="00550963"/>
    <w:rsid w:val="00550A3A"/>
    <w:rsid w:val="00550B77"/>
    <w:rsid w:val="00550F13"/>
    <w:rsid w:val="00550F93"/>
    <w:rsid w:val="0055109B"/>
    <w:rsid w:val="00551323"/>
    <w:rsid w:val="00551343"/>
    <w:rsid w:val="00551403"/>
    <w:rsid w:val="00551678"/>
    <w:rsid w:val="00551802"/>
    <w:rsid w:val="00551872"/>
    <w:rsid w:val="00551A81"/>
    <w:rsid w:val="00551AD6"/>
    <w:rsid w:val="00551AF9"/>
    <w:rsid w:val="00551D88"/>
    <w:rsid w:val="00551E3C"/>
    <w:rsid w:val="00551E4F"/>
    <w:rsid w:val="0055226C"/>
    <w:rsid w:val="0055227D"/>
    <w:rsid w:val="005522B0"/>
    <w:rsid w:val="0055236C"/>
    <w:rsid w:val="005523BA"/>
    <w:rsid w:val="0055247D"/>
    <w:rsid w:val="005525EA"/>
    <w:rsid w:val="00552908"/>
    <w:rsid w:val="0055293B"/>
    <w:rsid w:val="00552C0D"/>
    <w:rsid w:val="00552C51"/>
    <w:rsid w:val="00552CC6"/>
    <w:rsid w:val="00552D49"/>
    <w:rsid w:val="005532D0"/>
    <w:rsid w:val="00553387"/>
    <w:rsid w:val="00553680"/>
    <w:rsid w:val="005536D0"/>
    <w:rsid w:val="005536DA"/>
    <w:rsid w:val="005536EF"/>
    <w:rsid w:val="00553715"/>
    <w:rsid w:val="0055385C"/>
    <w:rsid w:val="00553BA9"/>
    <w:rsid w:val="00553D5D"/>
    <w:rsid w:val="00553E35"/>
    <w:rsid w:val="00553E65"/>
    <w:rsid w:val="005541FF"/>
    <w:rsid w:val="005543BA"/>
    <w:rsid w:val="0055448C"/>
    <w:rsid w:val="005544A3"/>
    <w:rsid w:val="00554729"/>
    <w:rsid w:val="00554A8B"/>
    <w:rsid w:val="00554B0B"/>
    <w:rsid w:val="00554BAD"/>
    <w:rsid w:val="00554C14"/>
    <w:rsid w:val="00554C7A"/>
    <w:rsid w:val="00554CE2"/>
    <w:rsid w:val="00554D40"/>
    <w:rsid w:val="00554D92"/>
    <w:rsid w:val="00554EC1"/>
    <w:rsid w:val="0055509C"/>
    <w:rsid w:val="005550FC"/>
    <w:rsid w:val="005551BB"/>
    <w:rsid w:val="00555243"/>
    <w:rsid w:val="00555311"/>
    <w:rsid w:val="005553EB"/>
    <w:rsid w:val="005554EE"/>
    <w:rsid w:val="0055550E"/>
    <w:rsid w:val="0055560E"/>
    <w:rsid w:val="00555832"/>
    <w:rsid w:val="005558E2"/>
    <w:rsid w:val="00555916"/>
    <w:rsid w:val="00555B9C"/>
    <w:rsid w:val="00555BC9"/>
    <w:rsid w:val="00555CBE"/>
    <w:rsid w:val="00555CD6"/>
    <w:rsid w:val="00555D05"/>
    <w:rsid w:val="00555F3A"/>
    <w:rsid w:val="0055611D"/>
    <w:rsid w:val="005562A6"/>
    <w:rsid w:val="00556362"/>
    <w:rsid w:val="00556447"/>
    <w:rsid w:val="00556515"/>
    <w:rsid w:val="0055676B"/>
    <w:rsid w:val="005568C4"/>
    <w:rsid w:val="00556A3C"/>
    <w:rsid w:val="00556A8C"/>
    <w:rsid w:val="00556BE8"/>
    <w:rsid w:val="00556EA8"/>
    <w:rsid w:val="00556F41"/>
    <w:rsid w:val="00557296"/>
    <w:rsid w:val="005572FA"/>
    <w:rsid w:val="00557463"/>
    <w:rsid w:val="005574E7"/>
    <w:rsid w:val="00557507"/>
    <w:rsid w:val="0055757B"/>
    <w:rsid w:val="0055788E"/>
    <w:rsid w:val="00557B03"/>
    <w:rsid w:val="00557B85"/>
    <w:rsid w:val="00557C17"/>
    <w:rsid w:val="00557CE1"/>
    <w:rsid w:val="0056009A"/>
    <w:rsid w:val="0056010C"/>
    <w:rsid w:val="0056025D"/>
    <w:rsid w:val="0056031A"/>
    <w:rsid w:val="005604F0"/>
    <w:rsid w:val="005604F5"/>
    <w:rsid w:val="00560542"/>
    <w:rsid w:val="005607B3"/>
    <w:rsid w:val="00560840"/>
    <w:rsid w:val="005608DD"/>
    <w:rsid w:val="00560AF8"/>
    <w:rsid w:val="00560BE5"/>
    <w:rsid w:val="00560C01"/>
    <w:rsid w:val="00560C7F"/>
    <w:rsid w:val="00560CDB"/>
    <w:rsid w:val="00560CFD"/>
    <w:rsid w:val="00560D14"/>
    <w:rsid w:val="00560DAE"/>
    <w:rsid w:val="00560E6F"/>
    <w:rsid w:val="0056138F"/>
    <w:rsid w:val="005614AB"/>
    <w:rsid w:val="00561567"/>
    <w:rsid w:val="005615CB"/>
    <w:rsid w:val="00561813"/>
    <w:rsid w:val="005619DD"/>
    <w:rsid w:val="00561BB5"/>
    <w:rsid w:val="00561C92"/>
    <w:rsid w:val="00561FF7"/>
    <w:rsid w:val="00562067"/>
    <w:rsid w:val="00562107"/>
    <w:rsid w:val="005621B2"/>
    <w:rsid w:val="005621EF"/>
    <w:rsid w:val="0056223B"/>
    <w:rsid w:val="0056228F"/>
    <w:rsid w:val="005623D6"/>
    <w:rsid w:val="00562415"/>
    <w:rsid w:val="00562463"/>
    <w:rsid w:val="0056297F"/>
    <w:rsid w:val="00562AC4"/>
    <w:rsid w:val="00562AEF"/>
    <w:rsid w:val="00562C07"/>
    <w:rsid w:val="00562C3D"/>
    <w:rsid w:val="00562CDF"/>
    <w:rsid w:val="00562DB8"/>
    <w:rsid w:val="00562E9B"/>
    <w:rsid w:val="00562FE7"/>
    <w:rsid w:val="0056303A"/>
    <w:rsid w:val="005630C3"/>
    <w:rsid w:val="0056318A"/>
    <w:rsid w:val="00563192"/>
    <w:rsid w:val="005634CA"/>
    <w:rsid w:val="00563684"/>
    <w:rsid w:val="005636F6"/>
    <w:rsid w:val="005637E0"/>
    <w:rsid w:val="00563B5E"/>
    <w:rsid w:val="00563BE6"/>
    <w:rsid w:val="00563C38"/>
    <w:rsid w:val="005641A5"/>
    <w:rsid w:val="00564383"/>
    <w:rsid w:val="005643B7"/>
    <w:rsid w:val="00564707"/>
    <w:rsid w:val="00564836"/>
    <w:rsid w:val="00564907"/>
    <w:rsid w:val="00564A07"/>
    <w:rsid w:val="00564B2A"/>
    <w:rsid w:val="00564B30"/>
    <w:rsid w:val="00564D03"/>
    <w:rsid w:val="00564D17"/>
    <w:rsid w:val="00564E51"/>
    <w:rsid w:val="00565154"/>
    <w:rsid w:val="00565181"/>
    <w:rsid w:val="005651B1"/>
    <w:rsid w:val="005652EF"/>
    <w:rsid w:val="00565575"/>
    <w:rsid w:val="005656CA"/>
    <w:rsid w:val="005656D1"/>
    <w:rsid w:val="00565766"/>
    <w:rsid w:val="0056576B"/>
    <w:rsid w:val="00565829"/>
    <w:rsid w:val="00565A56"/>
    <w:rsid w:val="00565B27"/>
    <w:rsid w:val="00565C8F"/>
    <w:rsid w:val="00565DA6"/>
    <w:rsid w:val="00565E69"/>
    <w:rsid w:val="0056603D"/>
    <w:rsid w:val="00566075"/>
    <w:rsid w:val="0056631F"/>
    <w:rsid w:val="00566374"/>
    <w:rsid w:val="005666BB"/>
    <w:rsid w:val="005667BB"/>
    <w:rsid w:val="00566867"/>
    <w:rsid w:val="00566C6D"/>
    <w:rsid w:val="00566EE9"/>
    <w:rsid w:val="0056714D"/>
    <w:rsid w:val="0056720E"/>
    <w:rsid w:val="00567539"/>
    <w:rsid w:val="005675A4"/>
    <w:rsid w:val="0056767C"/>
    <w:rsid w:val="005678C4"/>
    <w:rsid w:val="005679B3"/>
    <w:rsid w:val="00567B01"/>
    <w:rsid w:val="00567C26"/>
    <w:rsid w:val="00567C33"/>
    <w:rsid w:val="00567C59"/>
    <w:rsid w:val="005700F0"/>
    <w:rsid w:val="00570118"/>
    <w:rsid w:val="0057014F"/>
    <w:rsid w:val="00570397"/>
    <w:rsid w:val="0057047F"/>
    <w:rsid w:val="005704B9"/>
    <w:rsid w:val="00570559"/>
    <w:rsid w:val="00570598"/>
    <w:rsid w:val="005706F7"/>
    <w:rsid w:val="0057078A"/>
    <w:rsid w:val="005707C1"/>
    <w:rsid w:val="00570836"/>
    <w:rsid w:val="00570956"/>
    <w:rsid w:val="00570990"/>
    <w:rsid w:val="005709C0"/>
    <w:rsid w:val="00570DFB"/>
    <w:rsid w:val="00570E99"/>
    <w:rsid w:val="00571079"/>
    <w:rsid w:val="0057135B"/>
    <w:rsid w:val="005716C6"/>
    <w:rsid w:val="0057179E"/>
    <w:rsid w:val="00571ABF"/>
    <w:rsid w:val="00571C6F"/>
    <w:rsid w:val="00571C90"/>
    <w:rsid w:val="00571EE5"/>
    <w:rsid w:val="00571FB9"/>
    <w:rsid w:val="00571FE7"/>
    <w:rsid w:val="0057233C"/>
    <w:rsid w:val="00572411"/>
    <w:rsid w:val="005725A1"/>
    <w:rsid w:val="00572B4A"/>
    <w:rsid w:val="00572CBD"/>
    <w:rsid w:val="00572D41"/>
    <w:rsid w:val="00572D61"/>
    <w:rsid w:val="00572DC5"/>
    <w:rsid w:val="005730B2"/>
    <w:rsid w:val="00573193"/>
    <w:rsid w:val="00573354"/>
    <w:rsid w:val="005737AE"/>
    <w:rsid w:val="00573A9A"/>
    <w:rsid w:val="00573C34"/>
    <w:rsid w:val="00574145"/>
    <w:rsid w:val="005741AD"/>
    <w:rsid w:val="0057422C"/>
    <w:rsid w:val="00574502"/>
    <w:rsid w:val="005745DF"/>
    <w:rsid w:val="00574726"/>
    <w:rsid w:val="00574760"/>
    <w:rsid w:val="00574986"/>
    <w:rsid w:val="00574BD5"/>
    <w:rsid w:val="005751C2"/>
    <w:rsid w:val="00575246"/>
    <w:rsid w:val="00575253"/>
    <w:rsid w:val="005752E0"/>
    <w:rsid w:val="00575442"/>
    <w:rsid w:val="00575579"/>
    <w:rsid w:val="0057564D"/>
    <w:rsid w:val="0057593B"/>
    <w:rsid w:val="005759AB"/>
    <w:rsid w:val="00575A86"/>
    <w:rsid w:val="00575D13"/>
    <w:rsid w:val="00575DE4"/>
    <w:rsid w:val="00575F5C"/>
    <w:rsid w:val="00575FE7"/>
    <w:rsid w:val="00576020"/>
    <w:rsid w:val="0057613F"/>
    <w:rsid w:val="00576375"/>
    <w:rsid w:val="00576407"/>
    <w:rsid w:val="005765DC"/>
    <w:rsid w:val="00576770"/>
    <w:rsid w:val="005767DC"/>
    <w:rsid w:val="005768F9"/>
    <w:rsid w:val="00576B4B"/>
    <w:rsid w:val="00576C25"/>
    <w:rsid w:val="00576C59"/>
    <w:rsid w:val="00576D62"/>
    <w:rsid w:val="00577096"/>
    <w:rsid w:val="00577222"/>
    <w:rsid w:val="005773D0"/>
    <w:rsid w:val="00577D31"/>
    <w:rsid w:val="00577EB9"/>
    <w:rsid w:val="00577F6F"/>
    <w:rsid w:val="00580131"/>
    <w:rsid w:val="005801A9"/>
    <w:rsid w:val="00580205"/>
    <w:rsid w:val="00580344"/>
    <w:rsid w:val="0058040E"/>
    <w:rsid w:val="0058041D"/>
    <w:rsid w:val="005806F6"/>
    <w:rsid w:val="00580A74"/>
    <w:rsid w:val="00580DD7"/>
    <w:rsid w:val="00580E43"/>
    <w:rsid w:val="00580EA6"/>
    <w:rsid w:val="00580FAF"/>
    <w:rsid w:val="00581013"/>
    <w:rsid w:val="005810C1"/>
    <w:rsid w:val="00581104"/>
    <w:rsid w:val="00581191"/>
    <w:rsid w:val="005811B2"/>
    <w:rsid w:val="0058127A"/>
    <w:rsid w:val="0058134A"/>
    <w:rsid w:val="00581418"/>
    <w:rsid w:val="005815A6"/>
    <w:rsid w:val="005815E9"/>
    <w:rsid w:val="00581753"/>
    <w:rsid w:val="0058191F"/>
    <w:rsid w:val="005819DF"/>
    <w:rsid w:val="00581A0B"/>
    <w:rsid w:val="00581CB1"/>
    <w:rsid w:val="00581EC1"/>
    <w:rsid w:val="00581F18"/>
    <w:rsid w:val="00581F1B"/>
    <w:rsid w:val="00581F9C"/>
    <w:rsid w:val="00582009"/>
    <w:rsid w:val="005820D7"/>
    <w:rsid w:val="00582255"/>
    <w:rsid w:val="005822CC"/>
    <w:rsid w:val="0058237B"/>
    <w:rsid w:val="0058250B"/>
    <w:rsid w:val="00582701"/>
    <w:rsid w:val="005829AE"/>
    <w:rsid w:val="005829F3"/>
    <w:rsid w:val="00582A90"/>
    <w:rsid w:val="00582B58"/>
    <w:rsid w:val="005830BB"/>
    <w:rsid w:val="0058331B"/>
    <w:rsid w:val="005833DD"/>
    <w:rsid w:val="005835C0"/>
    <w:rsid w:val="0058367F"/>
    <w:rsid w:val="005836DC"/>
    <w:rsid w:val="00583826"/>
    <w:rsid w:val="00583B5C"/>
    <w:rsid w:val="00583DF6"/>
    <w:rsid w:val="00583EB7"/>
    <w:rsid w:val="00583FF1"/>
    <w:rsid w:val="005841D9"/>
    <w:rsid w:val="00584245"/>
    <w:rsid w:val="005842C2"/>
    <w:rsid w:val="00584337"/>
    <w:rsid w:val="0058448F"/>
    <w:rsid w:val="005844A3"/>
    <w:rsid w:val="00584632"/>
    <w:rsid w:val="00584C2A"/>
    <w:rsid w:val="00584C5D"/>
    <w:rsid w:val="00584C61"/>
    <w:rsid w:val="005850D8"/>
    <w:rsid w:val="00585161"/>
    <w:rsid w:val="0058522E"/>
    <w:rsid w:val="00585391"/>
    <w:rsid w:val="005853FE"/>
    <w:rsid w:val="005856A2"/>
    <w:rsid w:val="00585839"/>
    <w:rsid w:val="005858DA"/>
    <w:rsid w:val="00585AE2"/>
    <w:rsid w:val="00585C6B"/>
    <w:rsid w:val="00585CC5"/>
    <w:rsid w:val="00585F6B"/>
    <w:rsid w:val="00585F88"/>
    <w:rsid w:val="00586118"/>
    <w:rsid w:val="00586243"/>
    <w:rsid w:val="00586550"/>
    <w:rsid w:val="00586561"/>
    <w:rsid w:val="005865D9"/>
    <w:rsid w:val="005865F4"/>
    <w:rsid w:val="005866D3"/>
    <w:rsid w:val="005866F0"/>
    <w:rsid w:val="00586AB8"/>
    <w:rsid w:val="00586B2F"/>
    <w:rsid w:val="00586D2D"/>
    <w:rsid w:val="00587042"/>
    <w:rsid w:val="0058720E"/>
    <w:rsid w:val="00587241"/>
    <w:rsid w:val="00587405"/>
    <w:rsid w:val="005875D5"/>
    <w:rsid w:val="00587625"/>
    <w:rsid w:val="005878F6"/>
    <w:rsid w:val="00587A96"/>
    <w:rsid w:val="00587C61"/>
    <w:rsid w:val="00587CC8"/>
    <w:rsid w:val="00587CEB"/>
    <w:rsid w:val="00587D74"/>
    <w:rsid w:val="00587F44"/>
    <w:rsid w:val="005901B3"/>
    <w:rsid w:val="005901EE"/>
    <w:rsid w:val="005903D8"/>
    <w:rsid w:val="005904F3"/>
    <w:rsid w:val="005905FE"/>
    <w:rsid w:val="00590646"/>
    <w:rsid w:val="0059068C"/>
    <w:rsid w:val="00590762"/>
    <w:rsid w:val="005908D9"/>
    <w:rsid w:val="00590BC7"/>
    <w:rsid w:val="00590E15"/>
    <w:rsid w:val="00590EED"/>
    <w:rsid w:val="005910C8"/>
    <w:rsid w:val="005912C0"/>
    <w:rsid w:val="005913FD"/>
    <w:rsid w:val="005914E0"/>
    <w:rsid w:val="00591676"/>
    <w:rsid w:val="005916A3"/>
    <w:rsid w:val="0059171D"/>
    <w:rsid w:val="005917B2"/>
    <w:rsid w:val="00591942"/>
    <w:rsid w:val="005919E5"/>
    <w:rsid w:val="00591A4E"/>
    <w:rsid w:val="00591A54"/>
    <w:rsid w:val="00591DF7"/>
    <w:rsid w:val="00591F82"/>
    <w:rsid w:val="00591FA5"/>
    <w:rsid w:val="0059204A"/>
    <w:rsid w:val="005920F0"/>
    <w:rsid w:val="005922C2"/>
    <w:rsid w:val="00592351"/>
    <w:rsid w:val="0059245A"/>
    <w:rsid w:val="00592488"/>
    <w:rsid w:val="005925A1"/>
    <w:rsid w:val="005926C2"/>
    <w:rsid w:val="005929EC"/>
    <w:rsid w:val="00592A05"/>
    <w:rsid w:val="00592A86"/>
    <w:rsid w:val="00592AD5"/>
    <w:rsid w:val="00592B7B"/>
    <w:rsid w:val="00592BE9"/>
    <w:rsid w:val="00592C54"/>
    <w:rsid w:val="00592FB1"/>
    <w:rsid w:val="00592FF9"/>
    <w:rsid w:val="0059312A"/>
    <w:rsid w:val="0059314A"/>
    <w:rsid w:val="00593194"/>
    <w:rsid w:val="005934E2"/>
    <w:rsid w:val="00593599"/>
    <w:rsid w:val="005935A2"/>
    <w:rsid w:val="005936D6"/>
    <w:rsid w:val="00593800"/>
    <w:rsid w:val="00593891"/>
    <w:rsid w:val="00593AE3"/>
    <w:rsid w:val="00593B7F"/>
    <w:rsid w:val="00593D42"/>
    <w:rsid w:val="00593DB7"/>
    <w:rsid w:val="0059416C"/>
    <w:rsid w:val="00594377"/>
    <w:rsid w:val="00594393"/>
    <w:rsid w:val="0059448E"/>
    <w:rsid w:val="00594A5A"/>
    <w:rsid w:val="00594AC4"/>
    <w:rsid w:val="00594C64"/>
    <w:rsid w:val="00594FC7"/>
    <w:rsid w:val="00595014"/>
    <w:rsid w:val="0059503C"/>
    <w:rsid w:val="00595065"/>
    <w:rsid w:val="005950F7"/>
    <w:rsid w:val="005952A1"/>
    <w:rsid w:val="005952F4"/>
    <w:rsid w:val="00595512"/>
    <w:rsid w:val="0059551E"/>
    <w:rsid w:val="005955BC"/>
    <w:rsid w:val="005955C1"/>
    <w:rsid w:val="0059567A"/>
    <w:rsid w:val="0059576E"/>
    <w:rsid w:val="00595822"/>
    <w:rsid w:val="0059590A"/>
    <w:rsid w:val="0059596E"/>
    <w:rsid w:val="00595A88"/>
    <w:rsid w:val="00595CEE"/>
    <w:rsid w:val="00595E90"/>
    <w:rsid w:val="00596081"/>
    <w:rsid w:val="00596358"/>
    <w:rsid w:val="00596598"/>
    <w:rsid w:val="005966E3"/>
    <w:rsid w:val="005967F9"/>
    <w:rsid w:val="00596819"/>
    <w:rsid w:val="00596963"/>
    <w:rsid w:val="0059696D"/>
    <w:rsid w:val="00596B60"/>
    <w:rsid w:val="00596BEB"/>
    <w:rsid w:val="00596F42"/>
    <w:rsid w:val="0059709E"/>
    <w:rsid w:val="00597121"/>
    <w:rsid w:val="0059712C"/>
    <w:rsid w:val="00597211"/>
    <w:rsid w:val="005972ED"/>
    <w:rsid w:val="00597766"/>
    <w:rsid w:val="00597776"/>
    <w:rsid w:val="0059778D"/>
    <w:rsid w:val="005977E1"/>
    <w:rsid w:val="00597874"/>
    <w:rsid w:val="005978C6"/>
    <w:rsid w:val="0059796F"/>
    <w:rsid w:val="00597A94"/>
    <w:rsid w:val="00597BA6"/>
    <w:rsid w:val="00597F12"/>
    <w:rsid w:val="00597F6F"/>
    <w:rsid w:val="005A0117"/>
    <w:rsid w:val="005A017E"/>
    <w:rsid w:val="005A0197"/>
    <w:rsid w:val="005A0551"/>
    <w:rsid w:val="005A0651"/>
    <w:rsid w:val="005A08F6"/>
    <w:rsid w:val="005A0949"/>
    <w:rsid w:val="005A0AC9"/>
    <w:rsid w:val="005A0C2B"/>
    <w:rsid w:val="005A0C87"/>
    <w:rsid w:val="005A0E4C"/>
    <w:rsid w:val="005A0E86"/>
    <w:rsid w:val="005A1303"/>
    <w:rsid w:val="005A1472"/>
    <w:rsid w:val="005A1485"/>
    <w:rsid w:val="005A151C"/>
    <w:rsid w:val="005A15CA"/>
    <w:rsid w:val="005A15EC"/>
    <w:rsid w:val="005A1635"/>
    <w:rsid w:val="005A167E"/>
    <w:rsid w:val="005A16E6"/>
    <w:rsid w:val="005A1922"/>
    <w:rsid w:val="005A19A3"/>
    <w:rsid w:val="005A1AD6"/>
    <w:rsid w:val="005A1AD7"/>
    <w:rsid w:val="005A2092"/>
    <w:rsid w:val="005A20F3"/>
    <w:rsid w:val="005A2247"/>
    <w:rsid w:val="005A229F"/>
    <w:rsid w:val="005A2333"/>
    <w:rsid w:val="005A24C4"/>
    <w:rsid w:val="005A25FA"/>
    <w:rsid w:val="005A28EB"/>
    <w:rsid w:val="005A2A71"/>
    <w:rsid w:val="005A2B0D"/>
    <w:rsid w:val="005A2CF5"/>
    <w:rsid w:val="005A2F79"/>
    <w:rsid w:val="005A3231"/>
    <w:rsid w:val="005A3561"/>
    <w:rsid w:val="005A3570"/>
    <w:rsid w:val="005A35D2"/>
    <w:rsid w:val="005A36E0"/>
    <w:rsid w:val="005A3701"/>
    <w:rsid w:val="005A3711"/>
    <w:rsid w:val="005A3885"/>
    <w:rsid w:val="005A38DB"/>
    <w:rsid w:val="005A3A1B"/>
    <w:rsid w:val="005A3A6F"/>
    <w:rsid w:val="005A3B86"/>
    <w:rsid w:val="005A3C9A"/>
    <w:rsid w:val="005A3FFA"/>
    <w:rsid w:val="005A41B8"/>
    <w:rsid w:val="005A423F"/>
    <w:rsid w:val="005A43FA"/>
    <w:rsid w:val="005A441A"/>
    <w:rsid w:val="005A44B6"/>
    <w:rsid w:val="005A4658"/>
    <w:rsid w:val="005A469E"/>
    <w:rsid w:val="005A477D"/>
    <w:rsid w:val="005A480B"/>
    <w:rsid w:val="005A4934"/>
    <w:rsid w:val="005A4974"/>
    <w:rsid w:val="005A4A63"/>
    <w:rsid w:val="005A4A84"/>
    <w:rsid w:val="005A4B80"/>
    <w:rsid w:val="005A4C4A"/>
    <w:rsid w:val="005A4E5F"/>
    <w:rsid w:val="005A4F20"/>
    <w:rsid w:val="005A4F4B"/>
    <w:rsid w:val="005A4F74"/>
    <w:rsid w:val="005A500C"/>
    <w:rsid w:val="005A51D0"/>
    <w:rsid w:val="005A52E0"/>
    <w:rsid w:val="005A531E"/>
    <w:rsid w:val="005A536F"/>
    <w:rsid w:val="005A55B7"/>
    <w:rsid w:val="005A5B53"/>
    <w:rsid w:val="005A5DAE"/>
    <w:rsid w:val="005A5E3E"/>
    <w:rsid w:val="005A5E59"/>
    <w:rsid w:val="005A5F6B"/>
    <w:rsid w:val="005A5FF8"/>
    <w:rsid w:val="005A6317"/>
    <w:rsid w:val="005A6397"/>
    <w:rsid w:val="005A63DB"/>
    <w:rsid w:val="005A6989"/>
    <w:rsid w:val="005A6C74"/>
    <w:rsid w:val="005A6CE1"/>
    <w:rsid w:val="005A6D4C"/>
    <w:rsid w:val="005A6DAB"/>
    <w:rsid w:val="005A6E80"/>
    <w:rsid w:val="005A6F4A"/>
    <w:rsid w:val="005A6F6F"/>
    <w:rsid w:val="005A6FFC"/>
    <w:rsid w:val="005A7103"/>
    <w:rsid w:val="005A7232"/>
    <w:rsid w:val="005A73E6"/>
    <w:rsid w:val="005A73EB"/>
    <w:rsid w:val="005A7475"/>
    <w:rsid w:val="005A74D9"/>
    <w:rsid w:val="005A7511"/>
    <w:rsid w:val="005A76F1"/>
    <w:rsid w:val="005A77C6"/>
    <w:rsid w:val="005A78CE"/>
    <w:rsid w:val="005A79CB"/>
    <w:rsid w:val="005A7B4F"/>
    <w:rsid w:val="005A7BF3"/>
    <w:rsid w:val="005A7F02"/>
    <w:rsid w:val="005B006E"/>
    <w:rsid w:val="005B00D8"/>
    <w:rsid w:val="005B0189"/>
    <w:rsid w:val="005B023E"/>
    <w:rsid w:val="005B0458"/>
    <w:rsid w:val="005B0544"/>
    <w:rsid w:val="005B0589"/>
    <w:rsid w:val="005B0632"/>
    <w:rsid w:val="005B08DC"/>
    <w:rsid w:val="005B08F3"/>
    <w:rsid w:val="005B09BA"/>
    <w:rsid w:val="005B0A04"/>
    <w:rsid w:val="005B0A3A"/>
    <w:rsid w:val="005B0BFC"/>
    <w:rsid w:val="005B0C36"/>
    <w:rsid w:val="005B0CCB"/>
    <w:rsid w:val="005B0DFC"/>
    <w:rsid w:val="005B119E"/>
    <w:rsid w:val="005B13E0"/>
    <w:rsid w:val="005B17BA"/>
    <w:rsid w:val="005B199A"/>
    <w:rsid w:val="005B19A4"/>
    <w:rsid w:val="005B1B2A"/>
    <w:rsid w:val="005B1BAB"/>
    <w:rsid w:val="005B205B"/>
    <w:rsid w:val="005B21D2"/>
    <w:rsid w:val="005B2233"/>
    <w:rsid w:val="005B24C5"/>
    <w:rsid w:val="005B2540"/>
    <w:rsid w:val="005B29BC"/>
    <w:rsid w:val="005B2A56"/>
    <w:rsid w:val="005B2A6A"/>
    <w:rsid w:val="005B2BB5"/>
    <w:rsid w:val="005B2E2B"/>
    <w:rsid w:val="005B2EA3"/>
    <w:rsid w:val="005B2F58"/>
    <w:rsid w:val="005B2FB8"/>
    <w:rsid w:val="005B30A9"/>
    <w:rsid w:val="005B31B0"/>
    <w:rsid w:val="005B324E"/>
    <w:rsid w:val="005B32B0"/>
    <w:rsid w:val="005B33E6"/>
    <w:rsid w:val="005B33F2"/>
    <w:rsid w:val="005B34D8"/>
    <w:rsid w:val="005B359B"/>
    <w:rsid w:val="005B35B3"/>
    <w:rsid w:val="005B35FF"/>
    <w:rsid w:val="005B3759"/>
    <w:rsid w:val="005B3A5B"/>
    <w:rsid w:val="005B3A95"/>
    <w:rsid w:val="005B3B57"/>
    <w:rsid w:val="005B3C1E"/>
    <w:rsid w:val="005B3C2E"/>
    <w:rsid w:val="005B3DB5"/>
    <w:rsid w:val="005B3E54"/>
    <w:rsid w:val="005B3FF7"/>
    <w:rsid w:val="005B414A"/>
    <w:rsid w:val="005B41F8"/>
    <w:rsid w:val="005B440B"/>
    <w:rsid w:val="005B4584"/>
    <w:rsid w:val="005B4661"/>
    <w:rsid w:val="005B483A"/>
    <w:rsid w:val="005B48E8"/>
    <w:rsid w:val="005B4A32"/>
    <w:rsid w:val="005B4C2A"/>
    <w:rsid w:val="005B4E8D"/>
    <w:rsid w:val="005B51C4"/>
    <w:rsid w:val="005B51F2"/>
    <w:rsid w:val="005B55CD"/>
    <w:rsid w:val="005B571D"/>
    <w:rsid w:val="005B5935"/>
    <w:rsid w:val="005B59C9"/>
    <w:rsid w:val="005B59F2"/>
    <w:rsid w:val="005B5AAA"/>
    <w:rsid w:val="005B5B9E"/>
    <w:rsid w:val="005B5C21"/>
    <w:rsid w:val="005B5D70"/>
    <w:rsid w:val="005B5E2E"/>
    <w:rsid w:val="005B5E63"/>
    <w:rsid w:val="005B5EF1"/>
    <w:rsid w:val="005B61DC"/>
    <w:rsid w:val="005B630F"/>
    <w:rsid w:val="005B6497"/>
    <w:rsid w:val="005B6677"/>
    <w:rsid w:val="005B67C2"/>
    <w:rsid w:val="005B68CB"/>
    <w:rsid w:val="005B690D"/>
    <w:rsid w:val="005B6D26"/>
    <w:rsid w:val="005B6E86"/>
    <w:rsid w:val="005B6F1B"/>
    <w:rsid w:val="005B6FCA"/>
    <w:rsid w:val="005B70AA"/>
    <w:rsid w:val="005B70DF"/>
    <w:rsid w:val="005B7103"/>
    <w:rsid w:val="005B71A7"/>
    <w:rsid w:val="005B73DE"/>
    <w:rsid w:val="005B757C"/>
    <w:rsid w:val="005B76FA"/>
    <w:rsid w:val="005B7751"/>
    <w:rsid w:val="005B7763"/>
    <w:rsid w:val="005B77AA"/>
    <w:rsid w:val="005B780C"/>
    <w:rsid w:val="005B7961"/>
    <w:rsid w:val="005B7BB3"/>
    <w:rsid w:val="005B7CAA"/>
    <w:rsid w:val="005B7D16"/>
    <w:rsid w:val="005B7D2D"/>
    <w:rsid w:val="005B7D52"/>
    <w:rsid w:val="005B7D90"/>
    <w:rsid w:val="005B7DA4"/>
    <w:rsid w:val="005B7DB5"/>
    <w:rsid w:val="005B7E8B"/>
    <w:rsid w:val="005B7F58"/>
    <w:rsid w:val="005C0238"/>
    <w:rsid w:val="005C026E"/>
    <w:rsid w:val="005C02A9"/>
    <w:rsid w:val="005C072F"/>
    <w:rsid w:val="005C0788"/>
    <w:rsid w:val="005C088A"/>
    <w:rsid w:val="005C08C0"/>
    <w:rsid w:val="005C09BF"/>
    <w:rsid w:val="005C0C0A"/>
    <w:rsid w:val="005C0CE3"/>
    <w:rsid w:val="005C0D07"/>
    <w:rsid w:val="005C0D33"/>
    <w:rsid w:val="005C0D40"/>
    <w:rsid w:val="005C0D9F"/>
    <w:rsid w:val="005C0DA9"/>
    <w:rsid w:val="005C11DC"/>
    <w:rsid w:val="005C11ED"/>
    <w:rsid w:val="005C1220"/>
    <w:rsid w:val="005C1333"/>
    <w:rsid w:val="005C1413"/>
    <w:rsid w:val="005C1486"/>
    <w:rsid w:val="005C1724"/>
    <w:rsid w:val="005C177A"/>
    <w:rsid w:val="005C186C"/>
    <w:rsid w:val="005C18B1"/>
    <w:rsid w:val="005C19C4"/>
    <w:rsid w:val="005C1BDD"/>
    <w:rsid w:val="005C1C67"/>
    <w:rsid w:val="005C1D87"/>
    <w:rsid w:val="005C2113"/>
    <w:rsid w:val="005C219C"/>
    <w:rsid w:val="005C2281"/>
    <w:rsid w:val="005C2448"/>
    <w:rsid w:val="005C24F5"/>
    <w:rsid w:val="005C25D6"/>
    <w:rsid w:val="005C284D"/>
    <w:rsid w:val="005C289C"/>
    <w:rsid w:val="005C2A07"/>
    <w:rsid w:val="005C2DA2"/>
    <w:rsid w:val="005C2DBD"/>
    <w:rsid w:val="005C2DE6"/>
    <w:rsid w:val="005C2E25"/>
    <w:rsid w:val="005C2FFF"/>
    <w:rsid w:val="005C312C"/>
    <w:rsid w:val="005C31B1"/>
    <w:rsid w:val="005C325D"/>
    <w:rsid w:val="005C32FC"/>
    <w:rsid w:val="005C3377"/>
    <w:rsid w:val="005C34BD"/>
    <w:rsid w:val="005C3527"/>
    <w:rsid w:val="005C36B2"/>
    <w:rsid w:val="005C395D"/>
    <w:rsid w:val="005C3A7C"/>
    <w:rsid w:val="005C3A96"/>
    <w:rsid w:val="005C3ADF"/>
    <w:rsid w:val="005C3D0F"/>
    <w:rsid w:val="005C3DAA"/>
    <w:rsid w:val="005C3FD1"/>
    <w:rsid w:val="005C4129"/>
    <w:rsid w:val="005C4287"/>
    <w:rsid w:val="005C44D1"/>
    <w:rsid w:val="005C455C"/>
    <w:rsid w:val="005C4655"/>
    <w:rsid w:val="005C48B7"/>
    <w:rsid w:val="005C4AA9"/>
    <w:rsid w:val="005C4C12"/>
    <w:rsid w:val="005C4CA5"/>
    <w:rsid w:val="005C4D8C"/>
    <w:rsid w:val="005C4EDC"/>
    <w:rsid w:val="005C4F81"/>
    <w:rsid w:val="005C528B"/>
    <w:rsid w:val="005C529B"/>
    <w:rsid w:val="005C5505"/>
    <w:rsid w:val="005C55CB"/>
    <w:rsid w:val="005C55D4"/>
    <w:rsid w:val="005C561A"/>
    <w:rsid w:val="005C565C"/>
    <w:rsid w:val="005C5681"/>
    <w:rsid w:val="005C56FA"/>
    <w:rsid w:val="005C5716"/>
    <w:rsid w:val="005C5752"/>
    <w:rsid w:val="005C583F"/>
    <w:rsid w:val="005C585D"/>
    <w:rsid w:val="005C5A11"/>
    <w:rsid w:val="005C5A65"/>
    <w:rsid w:val="005C5B08"/>
    <w:rsid w:val="005C5B2C"/>
    <w:rsid w:val="005C5B8D"/>
    <w:rsid w:val="005C6220"/>
    <w:rsid w:val="005C6560"/>
    <w:rsid w:val="005C661E"/>
    <w:rsid w:val="005C66B6"/>
    <w:rsid w:val="005C6867"/>
    <w:rsid w:val="005C6ABA"/>
    <w:rsid w:val="005C6D47"/>
    <w:rsid w:val="005C6EEE"/>
    <w:rsid w:val="005C6F1E"/>
    <w:rsid w:val="005C6FD0"/>
    <w:rsid w:val="005C7198"/>
    <w:rsid w:val="005C73AC"/>
    <w:rsid w:val="005C78C1"/>
    <w:rsid w:val="005C7D95"/>
    <w:rsid w:val="005C7E37"/>
    <w:rsid w:val="005D00FB"/>
    <w:rsid w:val="005D019D"/>
    <w:rsid w:val="005D04D4"/>
    <w:rsid w:val="005D04F2"/>
    <w:rsid w:val="005D06B4"/>
    <w:rsid w:val="005D077E"/>
    <w:rsid w:val="005D07CF"/>
    <w:rsid w:val="005D07F4"/>
    <w:rsid w:val="005D0960"/>
    <w:rsid w:val="005D0B5F"/>
    <w:rsid w:val="005D0DC0"/>
    <w:rsid w:val="005D0F9D"/>
    <w:rsid w:val="005D104F"/>
    <w:rsid w:val="005D10E9"/>
    <w:rsid w:val="005D158F"/>
    <w:rsid w:val="005D15C5"/>
    <w:rsid w:val="005D164F"/>
    <w:rsid w:val="005D1A0E"/>
    <w:rsid w:val="005D1B04"/>
    <w:rsid w:val="005D22BD"/>
    <w:rsid w:val="005D263F"/>
    <w:rsid w:val="005D2956"/>
    <w:rsid w:val="005D2978"/>
    <w:rsid w:val="005D2BE4"/>
    <w:rsid w:val="005D2CA3"/>
    <w:rsid w:val="005D2DA5"/>
    <w:rsid w:val="005D2DEA"/>
    <w:rsid w:val="005D3386"/>
    <w:rsid w:val="005D35F3"/>
    <w:rsid w:val="005D3746"/>
    <w:rsid w:val="005D387D"/>
    <w:rsid w:val="005D3A7A"/>
    <w:rsid w:val="005D3AD1"/>
    <w:rsid w:val="005D3BB0"/>
    <w:rsid w:val="005D3CAA"/>
    <w:rsid w:val="005D3CD3"/>
    <w:rsid w:val="005D3EC2"/>
    <w:rsid w:val="005D41AA"/>
    <w:rsid w:val="005D460A"/>
    <w:rsid w:val="005D4668"/>
    <w:rsid w:val="005D476E"/>
    <w:rsid w:val="005D4986"/>
    <w:rsid w:val="005D4B41"/>
    <w:rsid w:val="005D4C25"/>
    <w:rsid w:val="005D4C7C"/>
    <w:rsid w:val="005D4D7D"/>
    <w:rsid w:val="005D4E82"/>
    <w:rsid w:val="005D5057"/>
    <w:rsid w:val="005D536A"/>
    <w:rsid w:val="005D5473"/>
    <w:rsid w:val="005D548A"/>
    <w:rsid w:val="005D5583"/>
    <w:rsid w:val="005D56E5"/>
    <w:rsid w:val="005D5760"/>
    <w:rsid w:val="005D58E7"/>
    <w:rsid w:val="005D59BB"/>
    <w:rsid w:val="005D5AAB"/>
    <w:rsid w:val="005D5DE1"/>
    <w:rsid w:val="005D5EF8"/>
    <w:rsid w:val="005D5F2A"/>
    <w:rsid w:val="005D6192"/>
    <w:rsid w:val="005D6325"/>
    <w:rsid w:val="005D63FD"/>
    <w:rsid w:val="005D6613"/>
    <w:rsid w:val="005D66C5"/>
    <w:rsid w:val="005D6918"/>
    <w:rsid w:val="005D6957"/>
    <w:rsid w:val="005D697F"/>
    <w:rsid w:val="005D69EC"/>
    <w:rsid w:val="005D6A2E"/>
    <w:rsid w:val="005D6AC7"/>
    <w:rsid w:val="005D6B48"/>
    <w:rsid w:val="005D6DC4"/>
    <w:rsid w:val="005D703A"/>
    <w:rsid w:val="005D70B2"/>
    <w:rsid w:val="005D7181"/>
    <w:rsid w:val="005D71B8"/>
    <w:rsid w:val="005D7232"/>
    <w:rsid w:val="005D7274"/>
    <w:rsid w:val="005D7473"/>
    <w:rsid w:val="005D74DF"/>
    <w:rsid w:val="005D7622"/>
    <w:rsid w:val="005D764B"/>
    <w:rsid w:val="005D766D"/>
    <w:rsid w:val="005D76CC"/>
    <w:rsid w:val="005D77CA"/>
    <w:rsid w:val="005D7889"/>
    <w:rsid w:val="005D7998"/>
    <w:rsid w:val="005D7A58"/>
    <w:rsid w:val="005D7ABC"/>
    <w:rsid w:val="005D7C39"/>
    <w:rsid w:val="005D7C5A"/>
    <w:rsid w:val="005D7D19"/>
    <w:rsid w:val="005D7EB4"/>
    <w:rsid w:val="005D7F89"/>
    <w:rsid w:val="005E00FD"/>
    <w:rsid w:val="005E03F8"/>
    <w:rsid w:val="005E0695"/>
    <w:rsid w:val="005E07DB"/>
    <w:rsid w:val="005E08CB"/>
    <w:rsid w:val="005E0990"/>
    <w:rsid w:val="005E09AA"/>
    <w:rsid w:val="005E0C10"/>
    <w:rsid w:val="005E0C12"/>
    <w:rsid w:val="005E0C5D"/>
    <w:rsid w:val="005E0D05"/>
    <w:rsid w:val="005E0D42"/>
    <w:rsid w:val="005E0EDE"/>
    <w:rsid w:val="005E10E4"/>
    <w:rsid w:val="005E1112"/>
    <w:rsid w:val="005E11EB"/>
    <w:rsid w:val="005E1202"/>
    <w:rsid w:val="005E16E3"/>
    <w:rsid w:val="005E172C"/>
    <w:rsid w:val="005E1792"/>
    <w:rsid w:val="005E1794"/>
    <w:rsid w:val="005E1890"/>
    <w:rsid w:val="005E1A27"/>
    <w:rsid w:val="005E1AB6"/>
    <w:rsid w:val="005E1ABE"/>
    <w:rsid w:val="005E1B6B"/>
    <w:rsid w:val="005E1B78"/>
    <w:rsid w:val="005E1C81"/>
    <w:rsid w:val="005E1E34"/>
    <w:rsid w:val="005E230F"/>
    <w:rsid w:val="005E2463"/>
    <w:rsid w:val="005E26FB"/>
    <w:rsid w:val="005E2894"/>
    <w:rsid w:val="005E29EE"/>
    <w:rsid w:val="005E2A04"/>
    <w:rsid w:val="005E2B14"/>
    <w:rsid w:val="005E2D5C"/>
    <w:rsid w:val="005E2E48"/>
    <w:rsid w:val="005E2EE5"/>
    <w:rsid w:val="005E306A"/>
    <w:rsid w:val="005E30B4"/>
    <w:rsid w:val="005E3102"/>
    <w:rsid w:val="005E31F5"/>
    <w:rsid w:val="005E323E"/>
    <w:rsid w:val="005E3487"/>
    <w:rsid w:val="005E3582"/>
    <w:rsid w:val="005E35DE"/>
    <w:rsid w:val="005E3764"/>
    <w:rsid w:val="005E3774"/>
    <w:rsid w:val="005E3D3C"/>
    <w:rsid w:val="005E3D9A"/>
    <w:rsid w:val="005E3E67"/>
    <w:rsid w:val="005E3F2E"/>
    <w:rsid w:val="005E4006"/>
    <w:rsid w:val="005E4012"/>
    <w:rsid w:val="005E4037"/>
    <w:rsid w:val="005E41AB"/>
    <w:rsid w:val="005E43B9"/>
    <w:rsid w:val="005E43E0"/>
    <w:rsid w:val="005E4588"/>
    <w:rsid w:val="005E469E"/>
    <w:rsid w:val="005E46BF"/>
    <w:rsid w:val="005E49C2"/>
    <w:rsid w:val="005E4CE0"/>
    <w:rsid w:val="005E51A2"/>
    <w:rsid w:val="005E54A8"/>
    <w:rsid w:val="005E54E6"/>
    <w:rsid w:val="005E5697"/>
    <w:rsid w:val="005E5825"/>
    <w:rsid w:val="005E58EA"/>
    <w:rsid w:val="005E5A76"/>
    <w:rsid w:val="005E5D69"/>
    <w:rsid w:val="005E5DB5"/>
    <w:rsid w:val="005E5DF5"/>
    <w:rsid w:val="005E5FED"/>
    <w:rsid w:val="005E5FFB"/>
    <w:rsid w:val="005E6004"/>
    <w:rsid w:val="005E6466"/>
    <w:rsid w:val="005E6469"/>
    <w:rsid w:val="005E647E"/>
    <w:rsid w:val="005E6589"/>
    <w:rsid w:val="005E658A"/>
    <w:rsid w:val="005E66D9"/>
    <w:rsid w:val="005E6865"/>
    <w:rsid w:val="005E6A34"/>
    <w:rsid w:val="005E6B55"/>
    <w:rsid w:val="005E6CCD"/>
    <w:rsid w:val="005E721C"/>
    <w:rsid w:val="005E7456"/>
    <w:rsid w:val="005E758D"/>
    <w:rsid w:val="005E772D"/>
    <w:rsid w:val="005E79BF"/>
    <w:rsid w:val="005E7B5E"/>
    <w:rsid w:val="005E7C78"/>
    <w:rsid w:val="005E7FA9"/>
    <w:rsid w:val="005F01FD"/>
    <w:rsid w:val="005F03BF"/>
    <w:rsid w:val="005F04E2"/>
    <w:rsid w:val="005F061E"/>
    <w:rsid w:val="005F09AB"/>
    <w:rsid w:val="005F0B48"/>
    <w:rsid w:val="005F0B68"/>
    <w:rsid w:val="005F0C57"/>
    <w:rsid w:val="005F0EC2"/>
    <w:rsid w:val="005F10F5"/>
    <w:rsid w:val="005F117E"/>
    <w:rsid w:val="005F120E"/>
    <w:rsid w:val="005F1464"/>
    <w:rsid w:val="005F16DA"/>
    <w:rsid w:val="005F170B"/>
    <w:rsid w:val="005F1878"/>
    <w:rsid w:val="005F18C3"/>
    <w:rsid w:val="005F1C95"/>
    <w:rsid w:val="005F1CAE"/>
    <w:rsid w:val="005F1D96"/>
    <w:rsid w:val="005F203A"/>
    <w:rsid w:val="005F2085"/>
    <w:rsid w:val="005F208A"/>
    <w:rsid w:val="005F237E"/>
    <w:rsid w:val="005F2510"/>
    <w:rsid w:val="005F26FF"/>
    <w:rsid w:val="005F280A"/>
    <w:rsid w:val="005F2952"/>
    <w:rsid w:val="005F296C"/>
    <w:rsid w:val="005F2B20"/>
    <w:rsid w:val="005F2F64"/>
    <w:rsid w:val="005F3577"/>
    <w:rsid w:val="005F3638"/>
    <w:rsid w:val="005F3651"/>
    <w:rsid w:val="005F39FE"/>
    <w:rsid w:val="005F3AE9"/>
    <w:rsid w:val="005F3C36"/>
    <w:rsid w:val="005F3CE3"/>
    <w:rsid w:val="005F3F48"/>
    <w:rsid w:val="005F3F66"/>
    <w:rsid w:val="005F40EF"/>
    <w:rsid w:val="005F4112"/>
    <w:rsid w:val="005F446B"/>
    <w:rsid w:val="005F463C"/>
    <w:rsid w:val="005F4876"/>
    <w:rsid w:val="005F4930"/>
    <w:rsid w:val="005F4BA9"/>
    <w:rsid w:val="005F4BB2"/>
    <w:rsid w:val="005F4D11"/>
    <w:rsid w:val="005F51B9"/>
    <w:rsid w:val="005F5416"/>
    <w:rsid w:val="005F562D"/>
    <w:rsid w:val="005F563E"/>
    <w:rsid w:val="005F578F"/>
    <w:rsid w:val="005F57C4"/>
    <w:rsid w:val="005F59FF"/>
    <w:rsid w:val="005F5BA9"/>
    <w:rsid w:val="005F5F4D"/>
    <w:rsid w:val="005F5F53"/>
    <w:rsid w:val="005F5F5E"/>
    <w:rsid w:val="005F5FC0"/>
    <w:rsid w:val="005F60D8"/>
    <w:rsid w:val="005F6376"/>
    <w:rsid w:val="005F63B5"/>
    <w:rsid w:val="005F6473"/>
    <w:rsid w:val="005F64CB"/>
    <w:rsid w:val="005F64DC"/>
    <w:rsid w:val="005F6597"/>
    <w:rsid w:val="005F6694"/>
    <w:rsid w:val="005F671E"/>
    <w:rsid w:val="005F6786"/>
    <w:rsid w:val="005F67D6"/>
    <w:rsid w:val="005F6AF6"/>
    <w:rsid w:val="005F6B92"/>
    <w:rsid w:val="005F6C0B"/>
    <w:rsid w:val="005F6CB5"/>
    <w:rsid w:val="005F6D26"/>
    <w:rsid w:val="005F7574"/>
    <w:rsid w:val="005F7659"/>
    <w:rsid w:val="005F76CC"/>
    <w:rsid w:val="005F776C"/>
    <w:rsid w:val="005F77D0"/>
    <w:rsid w:val="005F7AAD"/>
    <w:rsid w:val="005F7BEB"/>
    <w:rsid w:val="005F7D9E"/>
    <w:rsid w:val="005F7EFD"/>
    <w:rsid w:val="00600156"/>
    <w:rsid w:val="00600381"/>
    <w:rsid w:val="006003D9"/>
    <w:rsid w:val="00600606"/>
    <w:rsid w:val="00600652"/>
    <w:rsid w:val="00600725"/>
    <w:rsid w:val="0060072E"/>
    <w:rsid w:val="006008C4"/>
    <w:rsid w:val="00600C83"/>
    <w:rsid w:val="00600D22"/>
    <w:rsid w:val="00600E99"/>
    <w:rsid w:val="00601252"/>
    <w:rsid w:val="006012FF"/>
    <w:rsid w:val="00601313"/>
    <w:rsid w:val="006016EB"/>
    <w:rsid w:val="0060173B"/>
    <w:rsid w:val="0060185D"/>
    <w:rsid w:val="006018CE"/>
    <w:rsid w:val="00601B1D"/>
    <w:rsid w:val="00601BB0"/>
    <w:rsid w:val="00601BF3"/>
    <w:rsid w:val="00601CAE"/>
    <w:rsid w:val="00601E64"/>
    <w:rsid w:val="00601EA3"/>
    <w:rsid w:val="00601EF8"/>
    <w:rsid w:val="00601F09"/>
    <w:rsid w:val="00601F80"/>
    <w:rsid w:val="00602297"/>
    <w:rsid w:val="0060241A"/>
    <w:rsid w:val="00602508"/>
    <w:rsid w:val="0060270A"/>
    <w:rsid w:val="0060282B"/>
    <w:rsid w:val="00602A4A"/>
    <w:rsid w:val="00602A73"/>
    <w:rsid w:val="00602B2B"/>
    <w:rsid w:val="00602B6E"/>
    <w:rsid w:val="00602B82"/>
    <w:rsid w:val="00602D1E"/>
    <w:rsid w:val="00602F45"/>
    <w:rsid w:val="00603061"/>
    <w:rsid w:val="0060307A"/>
    <w:rsid w:val="00603189"/>
    <w:rsid w:val="0060319E"/>
    <w:rsid w:val="00603258"/>
    <w:rsid w:val="00603481"/>
    <w:rsid w:val="006034E1"/>
    <w:rsid w:val="006037AC"/>
    <w:rsid w:val="006037B8"/>
    <w:rsid w:val="0060382A"/>
    <w:rsid w:val="0060393C"/>
    <w:rsid w:val="00603A25"/>
    <w:rsid w:val="00603D30"/>
    <w:rsid w:val="006040E1"/>
    <w:rsid w:val="006041DD"/>
    <w:rsid w:val="006043E8"/>
    <w:rsid w:val="0060460E"/>
    <w:rsid w:val="006047A3"/>
    <w:rsid w:val="00604826"/>
    <w:rsid w:val="00604A40"/>
    <w:rsid w:val="00604C40"/>
    <w:rsid w:val="00604F89"/>
    <w:rsid w:val="0060500F"/>
    <w:rsid w:val="00605162"/>
    <w:rsid w:val="006053A9"/>
    <w:rsid w:val="00605504"/>
    <w:rsid w:val="0060563E"/>
    <w:rsid w:val="00605660"/>
    <w:rsid w:val="006057A4"/>
    <w:rsid w:val="006057AB"/>
    <w:rsid w:val="006058FE"/>
    <w:rsid w:val="006059C3"/>
    <w:rsid w:val="00605A6B"/>
    <w:rsid w:val="00605BE8"/>
    <w:rsid w:val="00605C89"/>
    <w:rsid w:val="00605CC3"/>
    <w:rsid w:val="00605E42"/>
    <w:rsid w:val="00605EE3"/>
    <w:rsid w:val="00605F32"/>
    <w:rsid w:val="00606066"/>
    <w:rsid w:val="006061B2"/>
    <w:rsid w:val="006062B7"/>
    <w:rsid w:val="006064A2"/>
    <w:rsid w:val="006066F4"/>
    <w:rsid w:val="0060671A"/>
    <w:rsid w:val="006067CD"/>
    <w:rsid w:val="00606852"/>
    <w:rsid w:val="00606AD2"/>
    <w:rsid w:val="00606C80"/>
    <w:rsid w:val="00606CE4"/>
    <w:rsid w:val="00606CEA"/>
    <w:rsid w:val="00606DC9"/>
    <w:rsid w:val="00606F79"/>
    <w:rsid w:val="00607106"/>
    <w:rsid w:val="00607143"/>
    <w:rsid w:val="006073E2"/>
    <w:rsid w:val="00607578"/>
    <w:rsid w:val="00607689"/>
    <w:rsid w:val="006077D5"/>
    <w:rsid w:val="006078C6"/>
    <w:rsid w:val="006078CA"/>
    <w:rsid w:val="00607C75"/>
    <w:rsid w:val="00607D51"/>
    <w:rsid w:val="00607D58"/>
    <w:rsid w:val="00607E2E"/>
    <w:rsid w:val="00607FE9"/>
    <w:rsid w:val="00610283"/>
    <w:rsid w:val="006102CF"/>
    <w:rsid w:val="006103BA"/>
    <w:rsid w:val="00610469"/>
    <w:rsid w:val="00610480"/>
    <w:rsid w:val="0061061E"/>
    <w:rsid w:val="00610776"/>
    <w:rsid w:val="0061077A"/>
    <w:rsid w:val="00610884"/>
    <w:rsid w:val="00610C92"/>
    <w:rsid w:val="00610EAE"/>
    <w:rsid w:val="0061106F"/>
    <w:rsid w:val="006111A4"/>
    <w:rsid w:val="0061129D"/>
    <w:rsid w:val="00611359"/>
    <w:rsid w:val="006113BD"/>
    <w:rsid w:val="0061146C"/>
    <w:rsid w:val="0061161E"/>
    <w:rsid w:val="00611755"/>
    <w:rsid w:val="006117A5"/>
    <w:rsid w:val="006117EE"/>
    <w:rsid w:val="006118EA"/>
    <w:rsid w:val="00611B85"/>
    <w:rsid w:val="00611DA9"/>
    <w:rsid w:val="00611F6B"/>
    <w:rsid w:val="0061222A"/>
    <w:rsid w:val="0061244D"/>
    <w:rsid w:val="00612578"/>
    <w:rsid w:val="00612617"/>
    <w:rsid w:val="006126EF"/>
    <w:rsid w:val="0061275C"/>
    <w:rsid w:val="006127F0"/>
    <w:rsid w:val="0061286A"/>
    <w:rsid w:val="006128A1"/>
    <w:rsid w:val="00612B5B"/>
    <w:rsid w:val="00612DDA"/>
    <w:rsid w:val="00612DFB"/>
    <w:rsid w:val="00612E16"/>
    <w:rsid w:val="00612F2A"/>
    <w:rsid w:val="006133A3"/>
    <w:rsid w:val="006134D8"/>
    <w:rsid w:val="006134FC"/>
    <w:rsid w:val="0061376C"/>
    <w:rsid w:val="006137C7"/>
    <w:rsid w:val="00613808"/>
    <w:rsid w:val="00613B04"/>
    <w:rsid w:val="00613FE3"/>
    <w:rsid w:val="0061400A"/>
    <w:rsid w:val="006140B8"/>
    <w:rsid w:val="0061417E"/>
    <w:rsid w:val="00614230"/>
    <w:rsid w:val="00614294"/>
    <w:rsid w:val="0061436F"/>
    <w:rsid w:val="006143A6"/>
    <w:rsid w:val="00614548"/>
    <w:rsid w:val="00614631"/>
    <w:rsid w:val="0061473C"/>
    <w:rsid w:val="0061474E"/>
    <w:rsid w:val="00614848"/>
    <w:rsid w:val="00614853"/>
    <w:rsid w:val="0061498E"/>
    <w:rsid w:val="006149D9"/>
    <w:rsid w:val="00614C4C"/>
    <w:rsid w:val="00614EE6"/>
    <w:rsid w:val="00615144"/>
    <w:rsid w:val="00615453"/>
    <w:rsid w:val="006154ED"/>
    <w:rsid w:val="0061550D"/>
    <w:rsid w:val="00615516"/>
    <w:rsid w:val="006156D9"/>
    <w:rsid w:val="006157DF"/>
    <w:rsid w:val="006158C9"/>
    <w:rsid w:val="00615CBD"/>
    <w:rsid w:val="00615CE4"/>
    <w:rsid w:val="00615DA3"/>
    <w:rsid w:val="00615EB9"/>
    <w:rsid w:val="00615FA7"/>
    <w:rsid w:val="0061619A"/>
    <w:rsid w:val="0061651D"/>
    <w:rsid w:val="00616556"/>
    <w:rsid w:val="006165A0"/>
    <w:rsid w:val="00616612"/>
    <w:rsid w:val="006166BB"/>
    <w:rsid w:val="006167F2"/>
    <w:rsid w:val="00616800"/>
    <w:rsid w:val="0061689C"/>
    <w:rsid w:val="00616B7E"/>
    <w:rsid w:val="00616C7A"/>
    <w:rsid w:val="00616CF7"/>
    <w:rsid w:val="00617038"/>
    <w:rsid w:val="006171B8"/>
    <w:rsid w:val="00617426"/>
    <w:rsid w:val="006174DA"/>
    <w:rsid w:val="00617654"/>
    <w:rsid w:val="006176D2"/>
    <w:rsid w:val="00617753"/>
    <w:rsid w:val="00617957"/>
    <w:rsid w:val="00617B29"/>
    <w:rsid w:val="00617D45"/>
    <w:rsid w:val="00617D7E"/>
    <w:rsid w:val="00617E14"/>
    <w:rsid w:val="00617E86"/>
    <w:rsid w:val="0061F0A3"/>
    <w:rsid w:val="00620002"/>
    <w:rsid w:val="00620834"/>
    <w:rsid w:val="00620915"/>
    <w:rsid w:val="00620929"/>
    <w:rsid w:val="00620B79"/>
    <w:rsid w:val="00620D09"/>
    <w:rsid w:val="00620D5F"/>
    <w:rsid w:val="00620E11"/>
    <w:rsid w:val="0062123B"/>
    <w:rsid w:val="0062135A"/>
    <w:rsid w:val="0062153D"/>
    <w:rsid w:val="006215E3"/>
    <w:rsid w:val="0062178D"/>
    <w:rsid w:val="0062186C"/>
    <w:rsid w:val="00621C53"/>
    <w:rsid w:val="00621FAC"/>
    <w:rsid w:val="00622199"/>
    <w:rsid w:val="0062219D"/>
    <w:rsid w:val="00622345"/>
    <w:rsid w:val="00622454"/>
    <w:rsid w:val="006226D0"/>
    <w:rsid w:val="00622842"/>
    <w:rsid w:val="006228CA"/>
    <w:rsid w:val="0062290B"/>
    <w:rsid w:val="006229F9"/>
    <w:rsid w:val="00622A28"/>
    <w:rsid w:val="00622B00"/>
    <w:rsid w:val="00622B77"/>
    <w:rsid w:val="00622C3A"/>
    <w:rsid w:val="00622C5C"/>
    <w:rsid w:val="00622D42"/>
    <w:rsid w:val="00622E48"/>
    <w:rsid w:val="00622F58"/>
    <w:rsid w:val="00623144"/>
    <w:rsid w:val="0062316F"/>
    <w:rsid w:val="006236E4"/>
    <w:rsid w:val="00623765"/>
    <w:rsid w:val="006239C3"/>
    <w:rsid w:val="00623A0D"/>
    <w:rsid w:val="00623C76"/>
    <w:rsid w:val="00623D96"/>
    <w:rsid w:val="00623F0C"/>
    <w:rsid w:val="00623F39"/>
    <w:rsid w:val="006240E5"/>
    <w:rsid w:val="006242F4"/>
    <w:rsid w:val="0062445B"/>
    <w:rsid w:val="006248B6"/>
    <w:rsid w:val="00624B44"/>
    <w:rsid w:val="00624EAB"/>
    <w:rsid w:val="006250E1"/>
    <w:rsid w:val="00625303"/>
    <w:rsid w:val="0062532B"/>
    <w:rsid w:val="006253A8"/>
    <w:rsid w:val="006253BE"/>
    <w:rsid w:val="00625464"/>
    <w:rsid w:val="0062583C"/>
    <w:rsid w:val="006258D2"/>
    <w:rsid w:val="0062599E"/>
    <w:rsid w:val="006259BB"/>
    <w:rsid w:val="00625B8E"/>
    <w:rsid w:val="00625CD6"/>
    <w:rsid w:val="00625DC8"/>
    <w:rsid w:val="00625F43"/>
    <w:rsid w:val="00625FE9"/>
    <w:rsid w:val="00626053"/>
    <w:rsid w:val="00626142"/>
    <w:rsid w:val="0062619D"/>
    <w:rsid w:val="0062634D"/>
    <w:rsid w:val="0062647E"/>
    <w:rsid w:val="006264F1"/>
    <w:rsid w:val="0062656F"/>
    <w:rsid w:val="00626635"/>
    <w:rsid w:val="006267D4"/>
    <w:rsid w:val="00626898"/>
    <w:rsid w:val="006268B6"/>
    <w:rsid w:val="00626955"/>
    <w:rsid w:val="00626C6F"/>
    <w:rsid w:val="00626D9D"/>
    <w:rsid w:val="00626E1F"/>
    <w:rsid w:val="00626E2C"/>
    <w:rsid w:val="00626F15"/>
    <w:rsid w:val="00627061"/>
    <w:rsid w:val="00627138"/>
    <w:rsid w:val="006274AD"/>
    <w:rsid w:val="006275A8"/>
    <w:rsid w:val="006277DB"/>
    <w:rsid w:val="006279E7"/>
    <w:rsid w:val="006279F5"/>
    <w:rsid w:val="00627A24"/>
    <w:rsid w:val="00627B66"/>
    <w:rsid w:val="00627D92"/>
    <w:rsid w:val="00627E1C"/>
    <w:rsid w:val="00627EA1"/>
    <w:rsid w:val="00627EC4"/>
    <w:rsid w:val="00627F1F"/>
    <w:rsid w:val="00627F22"/>
    <w:rsid w:val="00627F2D"/>
    <w:rsid w:val="0063001E"/>
    <w:rsid w:val="00630050"/>
    <w:rsid w:val="006302B7"/>
    <w:rsid w:val="0063037A"/>
    <w:rsid w:val="006305C0"/>
    <w:rsid w:val="006305D8"/>
    <w:rsid w:val="00630678"/>
    <w:rsid w:val="006306AC"/>
    <w:rsid w:val="006306F6"/>
    <w:rsid w:val="00630A52"/>
    <w:rsid w:val="00630BE3"/>
    <w:rsid w:val="00630DB4"/>
    <w:rsid w:val="00630FDA"/>
    <w:rsid w:val="00630FFF"/>
    <w:rsid w:val="006310E9"/>
    <w:rsid w:val="006312CE"/>
    <w:rsid w:val="00631795"/>
    <w:rsid w:val="00631905"/>
    <w:rsid w:val="006319C0"/>
    <w:rsid w:val="00631B1D"/>
    <w:rsid w:val="00631B45"/>
    <w:rsid w:val="00631B86"/>
    <w:rsid w:val="00631DF2"/>
    <w:rsid w:val="00631E27"/>
    <w:rsid w:val="006320C9"/>
    <w:rsid w:val="006320FD"/>
    <w:rsid w:val="00632106"/>
    <w:rsid w:val="006321EE"/>
    <w:rsid w:val="00632266"/>
    <w:rsid w:val="0063230E"/>
    <w:rsid w:val="006325B2"/>
    <w:rsid w:val="00632621"/>
    <w:rsid w:val="00632655"/>
    <w:rsid w:val="00632797"/>
    <w:rsid w:val="00632800"/>
    <w:rsid w:val="00632980"/>
    <w:rsid w:val="00632A4C"/>
    <w:rsid w:val="00632B63"/>
    <w:rsid w:val="00632BDB"/>
    <w:rsid w:val="00632E56"/>
    <w:rsid w:val="00632FAA"/>
    <w:rsid w:val="00633370"/>
    <w:rsid w:val="0063339F"/>
    <w:rsid w:val="006334C4"/>
    <w:rsid w:val="0063366F"/>
    <w:rsid w:val="00633876"/>
    <w:rsid w:val="00633930"/>
    <w:rsid w:val="00633AEB"/>
    <w:rsid w:val="00633AF7"/>
    <w:rsid w:val="00633BDF"/>
    <w:rsid w:val="00633C29"/>
    <w:rsid w:val="00633DA7"/>
    <w:rsid w:val="00633DCD"/>
    <w:rsid w:val="0063424D"/>
    <w:rsid w:val="006346B7"/>
    <w:rsid w:val="006348FF"/>
    <w:rsid w:val="006349E3"/>
    <w:rsid w:val="00634B67"/>
    <w:rsid w:val="00634B95"/>
    <w:rsid w:val="00634C30"/>
    <w:rsid w:val="00634D7A"/>
    <w:rsid w:val="00634D7B"/>
    <w:rsid w:val="00634E06"/>
    <w:rsid w:val="00634E1A"/>
    <w:rsid w:val="00634F2F"/>
    <w:rsid w:val="00634FAE"/>
    <w:rsid w:val="0063532A"/>
    <w:rsid w:val="0063548D"/>
    <w:rsid w:val="0063556B"/>
    <w:rsid w:val="00635756"/>
    <w:rsid w:val="006357EC"/>
    <w:rsid w:val="0063588E"/>
    <w:rsid w:val="006358A5"/>
    <w:rsid w:val="006358DD"/>
    <w:rsid w:val="00635941"/>
    <w:rsid w:val="00635963"/>
    <w:rsid w:val="00635A52"/>
    <w:rsid w:val="00635D24"/>
    <w:rsid w:val="00635EC4"/>
    <w:rsid w:val="00635EC9"/>
    <w:rsid w:val="00635F16"/>
    <w:rsid w:val="0063627F"/>
    <w:rsid w:val="00636309"/>
    <w:rsid w:val="006363F6"/>
    <w:rsid w:val="006364BC"/>
    <w:rsid w:val="00636506"/>
    <w:rsid w:val="0063654E"/>
    <w:rsid w:val="00636604"/>
    <w:rsid w:val="00636919"/>
    <w:rsid w:val="00636ADB"/>
    <w:rsid w:val="00636BA6"/>
    <w:rsid w:val="00636BFC"/>
    <w:rsid w:val="00636C14"/>
    <w:rsid w:val="00636DAD"/>
    <w:rsid w:val="00636E7E"/>
    <w:rsid w:val="00637102"/>
    <w:rsid w:val="0063710A"/>
    <w:rsid w:val="00637140"/>
    <w:rsid w:val="00637210"/>
    <w:rsid w:val="0063725B"/>
    <w:rsid w:val="00637370"/>
    <w:rsid w:val="0063747F"/>
    <w:rsid w:val="006376B6"/>
    <w:rsid w:val="00637724"/>
    <w:rsid w:val="00637846"/>
    <w:rsid w:val="0063786A"/>
    <w:rsid w:val="006378C4"/>
    <w:rsid w:val="0063799F"/>
    <w:rsid w:val="00637A49"/>
    <w:rsid w:val="00637B09"/>
    <w:rsid w:val="00637BAC"/>
    <w:rsid w:val="00637CFB"/>
    <w:rsid w:val="00637D4B"/>
    <w:rsid w:val="00637FF4"/>
    <w:rsid w:val="0064003F"/>
    <w:rsid w:val="006400C2"/>
    <w:rsid w:val="00640408"/>
    <w:rsid w:val="00640539"/>
    <w:rsid w:val="00640987"/>
    <w:rsid w:val="00640F7F"/>
    <w:rsid w:val="00640FAC"/>
    <w:rsid w:val="00641045"/>
    <w:rsid w:val="006410FD"/>
    <w:rsid w:val="0064173B"/>
    <w:rsid w:val="00641775"/>
    <w:rsid w:val="006417A2"/>
    <w:rsid w:val="00641838"/>
    <w:rsid w:val="00641880"/>
    <w:rsid w:val="006418DB"/>
    <w:rsid w:val="00641A29"/>
    <w:rsid w:val="00641E92"/>
    <w:rsid w:val="00641FDE"/>
    <w:rsid w:val="00642155"/>
    <w:rsid w:val="00642406"/>
    <w:rsid w:val="00642414"/>
    <w:rsid w:val="006424D5"/>
    <w:rsid w:val="00642654"/>
    <w:rsid w:val="006427B4"/>
    <w:rsid w:val="006429B4"/>
    <w:rsid w:val="00642AB8"/>
    <w:rsid w:val="00642AC3"/>
    <w:rsid w:val="00642BA1"/>
    <w:rsid w:val="00642C7E"/>
    <w:rsid w:val="00642D0C"/>
    <w:rsid w:val="00642DFD"/>
    <w:rsid w:val="0064304E"/>
    <w:rsid w:val="006430ED"/>
    <w:rsid w:val="00643195"/>
    <w:rsid w:val="006432E3"/>
    <w:rsid w:val="00643321"/>
    <w:rsid w:val="006435C8"/>
    <w:rsid w:val="00643623"/>
    <w:rsid w:val="00643769"/>
    <w:rsid w:val="006437F0"/>
    <w:rsid w:val="00643849"/>
    <w:rsid w:val="006438CE"/>
    <w:rsid w:val="00643962"/>
    <w:rsid w:val="006439E4"/>
    <w:rsid w:val="00643A18"/>
    <w:rsid w:val="00643A9E"/>
    <w:rsid w:val="00643C3A"/>
    <w:rsid w:val="00643C6E"/>
    <w:rsid w:val="00643DDB"/>
    <w:rsid w:val="00643F26"/>
    <w:rsid w:val="00643F95"/>
    <w:rsid w:val="00643FF3"/>
    <w:rsid w:val="0064402B"/>
    <w:rsid w:val="00644146"/>
    <w:rsid w:val="0064427D"/>
    <w:rsid w:val="006444D9"/>
    <w:rsid w:val="00644657"/>
    <w:rsid w:val="00644671"/>
    <w:rsid w:val="006446A2"/>
    <w:rsid w:val="006446F0"/>
    <w:rsid w:val="00644808"/>
    <w:rsid w:val="00644834"/>
    <w:rsid w:val="00644916"/>
    <w:rsid w:val="00644C33"/>
    <w:rsid w:val="00644C38"/>
    <w:rsid w:val="00644C9E"/>
    <w:rsid w:val="00644CE8"/>
    <w:rsid w:val="00644E4C"/>
    <w:rsid w:val="00644EAA"/>
    <w:rsid w:val="00644FC0"/>
    <w:rsid w:val="00645049"/>
    <w:rsid w:val="00645255"/>
    <w:rsid w:val="0064534D"/>
    <w:rsid w:val="006455EA"/>
    <w:rsid w:val="00645676"/>
    <w:rsid w:val="006457AD"/>
    <w:rsid w:val="00645AE5"/>
    <w:rsid w:val="00645B47"/>
    <w:rsid w:val="00645B77"/>
    <w:rsid w:val="00645F30"/>
    <w:rsid w:val="00645F9C"/>
    <w:rsid w:val="00646070"/>
    <w:rsid w:val="0064614B"/>
    <w:rsid w:val="006461E1"/>
    <w:rsid w:val="006464DA"/>
    <w:rsid w:val="00646514"/>
    <w:rsid w:val="00646519"/>
    <w:rsid w:val="00646523"/>
    <w:rsid w:val="00646532"/>
    <w:rsid w:val="0064654F"/>
    <w:rsid w:val="0064659D"/>
    <w:rsid w:val="006465EB"/>
    <w:rsid w:val="00646618"/>
    <w:rsid w:val="00646718"/>
    <w:rsid w:val="00646757"/>
    <w:rsid w:val="00646AF8"/>
    <w:rsid w:val="00646B8A"/>
    <w:rsid w:val="00646C3C"/>
    <w:rsid w:val="00646D81"/>
    <w:rsid w:val="00646F7E"/>
    <w:rsid w:val="00647036"/>
    <w:rsid w:val="006471D5"/>
    <w:rsid w:val="006472F6"/>
    <w:rsid w:val="00647381"/>
    <w:rsid w:val="006474BE"/>
    <w:rsid w:val="0064786C"/>
    <w:rsid w:val="00647BC9"/>
    <w:rsid w:val="00647D42"/>
    <w:rsid w:val="00647FD8"/>
    <w:rsid w:val="006502A0"/>
    <w:rsid w:val="00650495"/>
    <w:rsid w:val="00650508"/>
    <w:rsid w:val="0065051A"/>
    <w:rsid w:val="00650EA5"/>
    <w:rsid w:val="00651828"/>
    <w:rsid w:val="00651840"/>
    <w:rsid w:val="006518A0"/>
    <w:rsid w:val="006518D7"/>
    <w:rsid w:val="00651940"/>
    <w:rsid w:val="00651BDF"/>
    <w:rsid w:val="00651DD3"/>
    <w:rsid w:val="00651E15"/>
    <w:rsid w:val="006521C4"/>
    <w:rsid w:val="006522B0"/>
    <w:rsid w:val="006523EC"/>
    <w:rsid w:val="0065249B"/>
    <w:rsid w:val="0065249D"/>
    <w:rsid w:val="00652644"/>
    <w:rsid w:val="0065281E"/>
    <w:rsid w:val="0065284B"/>
    <w:rsid w:val="006528C8"/>
    <w:rsid w:val="00652A47"/>
    <w:rsid w:val="00652BAF"/>
    <w:rsid w:val="00652C82"/>
    <w:rsid w:val="00652CA5"/>
    <w:rsid w:val="00652F2F"/>
    <w:rsid w:val="00652FA5"/>
    <w:rsid w:val="0065329D"/>
    <w:rsid w:val="00653357"/>
    <w:rsid w:val="00653589"/>
    <w:rsid w:val="006537D2"/>
    <w:rsid w:val="0065381C"/>
    <w:rsid w:val="00653AC5"/>
    <w:rsid w:val="00653C5C"/>
    <w:rsid w:val="00653C99"/>
    <w:rsid w:val="00653CE4"/>
    <w:rsid w:val="00653DB5"/>
    <w:rsid w:val="00653EF3"/>
    <w:rsid w:val="00654037"/>
    <w:rsid w:val="006541C7"/>
    <w:rsid w:val="00654427"/>
    <w:rsid w:val="00654498"/>
    <w:rsid w:val="0065474A"/>
    <w:rsid w:val="006547A2"/>
    <w:rsid w:val="00654838"/>
    <w:rsid w:val="00654978"/>
    <w:rsid w:val="006549D6"/>
    <w:rsid w:val="00654B1B"/>
    <w:rsid w:val="00654B58"/>
    <w:rsid w:val="00654BA4"/>
    <w:rsid w:val="00654C85"/>
    <w:rsid w:val="00654D3E"/>
    <w:rsid w:val="00654F1B"/>
    <w:rsid w:val="00654F27"/>
    <w:rsid w:val="00654FCC"/>
    <w:rsid w:val="006554D1"/>
    <w:rsid w:val="00655834"/>
    <w:rsid w:val="00655904"/>
    <w:rsid w:val="00655A35"/>
    <w:rsid w:val="00655A93"/>
    <w:rsid w:val="00655C0F"/>
    <w:rsid w:val="00655E37"/>
    <w:rsid w:val="00656113"/>
    <w:rsid w:val="006561C6"/>
    <w:rsid w:val="006562AB"/>
    <w:rsid w:val="00656633"/>
    <w:rsid w:val="00656794"/>
    <w:rsid w:val="00656CC6"/>
    <w:rsid w:val="00656D82"/>
    <w:rsid w:val="00656E19"/>
    <w:rsid w:val="00656F67"/>
    <w:rsid w:val="006570E8"/>
    <w:rsid w:val="0065726A"/>
    <w:rsid w:val="0065768F"/>
    <w:rsid w:val="0065777A"/>
    <w:rsid w:val="006577A2"/>
    <w:rsid w:val="006578BD"/>
    <w:rsid w:val="006579B7"/>
    <w:rsid w:val="00657B21"/>
    <w:rsid w:val="00657B28"/>
    <w:rsid w:val="00657BC8"/>
    <w:rsid w:val="00657F31"/>
    <w:rsid w:val="0065E9A8"/>
    <w:rsid w:val="00660102"/>
    <w:rsid w:val="006602A0"/>
    <w:rsid w:val="006604E4"/>
    <w:rsid w:val="006605F3"/>
    <w:rsid w:val="0066070C"/>
    <w:rsid w:val="006607C0"/>
    <w:rsid w:val="00660AF7"/>
    <w:rsid w:val="00660BA6"/>
    <w:rsid w:val="00660BC5"/>
    <w:rsid w:val="00660EC1"/>
    <w:rsid w:val="00661390"/>
    <w:rsid w:val="006613D3"/>
    <w:rsid w:val="006614AA"/>
    <w:rsid w:val="0066151D"/>
    <w:rsid w:val="006617E0"/>
    <w:rsid w:val="00661A96"/>
    <w:rsid w:val="00661AB4"/>
    <w:rsid w:val="00661D67"/>
    <w:rsid w:val="00661DCE"/>
    <w:rsid w:val="006621B8"/>
    <w:rsid w:val="0066287E"/>
    <w:rsid w:val="00662D60"/>
    <w:rsid w:val="00663029"/>
    <w:rsid w:val="006632E1"/>
    <w:rsid w:val="0066339A"/>
    <w:rsid w:val="00663477"/>
    <w:rsid w:val="006634F5"/>
    <w:rsid w:val="00663683"/>
    <w:rsid w:val="006636E9"/>
    <w:rsid w:val="006638A4"/>
    <w:rsid w:val="00663953"/>
    <w:rsid w:val="00663A55"/>
    <w:rsid w:val="00663BAD"/>
    <w:rsid w:val="00663BB9"/>
    <w:rsid w:val="00663D15"/>
    <w:rsid w:val="00663EAE"/>
    <w:rsid w:val="00663F35"/>
    <w:rsid w:val="00664042"/>
    <w:rsid w:val="00664059"/>
    <w:rsid w:val="0066408F"/>
    <w:rsid w:val="006644FF"/>
    <w:rsid w:val="0066452C"/>
    <w:rsid w:val="0066460F"/>
    <w:rsid w:val="00664653"/>
    <w:rsid w:val="00664966"/>
    <w:rsid w:val="00664A49"/>
    <w:rsid w:val="00664A5C"/>
    <w:rsid w:val="00664A88"/>
    <w:rsid w:val="00664B05"/>
    <w:rsid w:val="00664B5E"/>
    <w:rsid w:val="00664C0E"/>
    <w:rsid w:val="00664CC3"/>
    <w:rsid w:val="00664EE4"/>
    <w:rsid w:val="00665164"/>
    <w:rsid w:val="00665336"/>
    <w:rsid w:val="0066543B"/>
    <w:rsid w:val="00665500"/>
    <w:rsid w:val="0066574E"/>
    <w:rsid w:val="00665A1D"/>
    <w:rsid w:val="00665C84"/>
    <w:rsid w:val="00665E08"/>
    <w:rsid w:val="00665E7A"/>
    <w:rsid w:val="00665EE8"/>
    <w:rsid w:val="00666223"/>
    <w:rsid w:val="006667FD"/>
    <w:rsid w:val="00666818"/>
    <w:rsid w:val="00666C1E"/>
    <w:rsid w:val="00666D3A"/>
    <w:rsid w:val="00666F2F"/>
    <w:rsid w:val="00667078"/>
    <w:rsid w:val="00667083"/>
    <w:rsid w:val="006672EA"/>
    <w:rsid w:val="006672FA"/>
    <w:rsid w:val="006673D4"/>
    <w:rsid w:val="0066747D"/>
    <w:rsid w:val="00667676"/>
    <w:rsid w:val="00667829"/>
    <w:rsid w:val="0066788E"/>
    <w:rsid w:val="0066791C"/>
    <w:rsid w:val="00667DDF"/>
    <w:rsid w:val="00667E30"/>
    <w:rsid w:val="00667F83"/>
    <w:rsid w:val="00670098"/>
    <w:rsid w:val="00670160"/>
    <w:rsid w:val="006701B4"/>
    <w:rsid w:val="00670460"/>
    <w:rsid w:val="0067054D"/>
    <w:rsid w:val="00670552"/>
    <w:rsid w:val="0067077B"/>
    <w:rsid w:val="006708BD"/>
    <w:rsid w:val="006709E0"/>
    <w:rsid w:val="00670A8E"/>
    <w:rsid w:val="00670B5E"/>
    <w:rsid w:val="00670D84"/>
    <w:rsid w:val="00670DF6"/>
    <w:rsid w:val="00671183"/>
    <w:rsid w:val="00671245"/>
    <w:rsid w:val="00671345"/>
    <w:rsid w:val="006715B6"/>
    <w:rsid w:val="00671631"/>
    <w:rsid w:val="00671632"/>
    <w:rsid w:val="006716A1"/>
    <w:rsid w:val="006716A3"/>
    <w:rsid w:val="006716A4"/>
    <w:rsid w:val="006716A5"/>
    <w:rsid w:val="0067176B"/>
    <w:rsid w:val="00671879"/>
    <w:rsid w:val="00671884"/>
    <w:rsid w:val="006718F7"/>
    <w:rsid w:val="006719E9"/>
    <w:rsid w:val="00671A4D"/>
    <w:rsid w:val="00671A82"/>
    <w:rsid w:val="00671B00"/>
    <w:rsid w:val="00671BCB"/>
    <w:rsid w:val="00671D5F"/>
    <w:rsid w:val="00671D64"/>
    <w:rsid w:val="00671DBE"/>
    <w:rsid w:val="00671FB1"/>
    <w:rsid w:val="00672018"/>
    <w:rsid w:val="00672114"/>
    <w:rsid w:val="0067214F"/>
    <w:rsid w:val="006721DB"/>
    <w:rsid w:val="00672236"/>
    <w:rsid w:val="00672367"/>
    <w:rsid w:val="00672373"/>
    <w:rsid w:val="0067252E"/>
    <w:rsid w:val="00672588"/>
    <w:rsid w:val="006725B2"/>
    <w:rsid w:val="006725C9"/>
    <w:rsid w:val="006725E6"/>
    <w:rsid w:val="00672764"/>
    <w:rsid w:val="00672822"/>
    <w:rsid w:val="00672847"/>
    <w:rsid w:val="006728DB"/>
    <w:rsid w:val="00672ACD"/>
    <w:rsid w:val="00672AD3"/>
    <w:rsid w:val="00672B92"/>
    <w:rsid w:val="00672C30"/>
    <w:rsid w:val="00672CC1"/>
    <w:rsid w:val="00672E0D"/>
    <w:rsid w:val="00673023"/>
    <w:rsid w:val="00673081"/>
    <w:rsid w:val="006736EC"/>
    <w:rsid w:val="00673798"/>
    <w:rsid w:val="006737CD"/>
    <w:rsid w:val="00673A92"/>
    <w:rsid w:val="00673C4E"/>
    <w:rsid w:val="00673CAB"/>
    <w:rsid w:val="00673EA8"/>
    <w:rsid w:val="00673F9D"/>
    <w:rsid w:val="006742AD"/>
    <w:rsid w:val="0067446E"/>
    <w:rsid w:val="006746B4"/>
    <w:rsid w:val="00674845"/>
    <w:rsid w:val="0067496B"/>
    <w:rsid w:val="006750E8"/>
    <w:rsid w:val="006750F7"/>
    <w:rsid w:val="0067543D"/>
    <w:rsid w:val="00675440"/>
    <w:rsid w:val="00675514"/>
    <w:rsid w:val="00675591"/>
    <w:rsid w:val="0067579B"/>
    <w:rsid w:val="006759AB"/>
    <w:rsid w:val="00675D54"/>
    <w:rsid w:val="0067603F"/>
    <w:rsid w:val="00676199"/>
    <w:rsid w:val="006762CF"/>
    <w:rsid w:val="006762EE"/>
    <w:rsid w:val="00676308"/>
    <w:rsid w:val="0067632F"/>
    <w:rsid w:val="006769EA"/>
    <w:rsid w:val="00676A75"/>
    <w:rsid w:val="00676B91"/>
    <w:rsid w:val="00676CA6"/>
    <w:rsid w:val="00676CE6"/>
    <w:rsid w:val="00676D52"/>
    <w:rsid w:val="00676F37"/>
    <w:rsid w:val="00676F51"/>
    <w:rsid w:val="00676FFF"/>
    <w:rsid w:val="00677034"/>
    <w:rsid w:val="006771A1"/>
    <w:rsid w:val="00677287"/>
    <w:rsid w:val="0067737D"/>
    <w:rsid w:val="006773BC"/>
    <w:rsid w:val="006773F6"/>
    <w:rsid w:val="006775DD"/>
    <w:rsid w:val="006777DA"/>
    <w:rsid w:val="006777F0"/>
    <w:rsid w:val="0067793D"/>
    <w:rsid w:val="006779C3"/>
    <w:rsid w:val="00677ACB"/>
    <w:rsid w:val="00677C63"/>
    <w:rsid w:val="00677C70"/>
    <w:rsid w:val="00677E0C"/>
    <w:rsid w:val="00677F2B"/>
    <w:rsid w:val="00680070"/>
    <w:rsid w:val="006801A9"/>
    <w:rsid w:val="00680214"/>
    <w:rsid w:val="006803D0"/>
    <w:rsid w:val="006804B3"/>
    <w:rsid w:val="0068056D"/>
    <w:rsid w:val="006805FF"/>
    <w:rsid w:val="006806FB"/>
    <w:rsid w:val="0068075F"/>
    <w:rsid w:val="0068079E"/>
    <w:rsid w:val="00680A9C"/>
    <w:rsid w:val="00680C2D"/>
    <w:rsid w:val="00680D27"/>
    <w:rsid w:val="00680DE0"/>
    <w:rsid w:val="00680E67"/>
    <w:rsid w:val="00680EE9"/>
    <w:rsid w:val="00681297"/>
    <w:rsid w:val="006812FC"/>
    <w:rsid w:val="00681377"/>
    <w:rsid w:val="00681419"/>
    <w:rsid w:val="00681444"/>
    <w:rsid w:val="006814DC"/>
    <w:rsid w:val="006814FA"/>
    <w:rsid w:val="00681596"/>
    <w:rsid w:val="00681687"/>
    <w:rsid w:val="0068176E"/>
    <w:rsid w:val="00681794"/>
    <w:rsid w:val="006818F1"/>
    <w:rsid w:val="00681CEF"/>
    <w:rsid w:val="00681D58"/>
    <w:rsid w:val="00682101"/>
    <w:rsid w:val="006821EF"/>
    <w:rsid w:val="00682359"/>
    <w:rsid w:val="006823DE"/>
    <w:rsid w:val="006825A3"/>
    <w:rsid w:val="0068278B"/>
    <w:rsid w:val="0068296A"/>
    <w:rsid w:val="00682AC9"/>
    <w:rsid w:val="00682FD0"/>
    <w:rsid w:val="006831F8"/>
    <w:rsid w:val="00683235"/>
    <w:rsid w:val="006833BD"/>
    <w:rsid w:val="00683527"/>
    <w:rsid w:val="0068353F"/>
    <w:rsid w:val="00683566"/>
    <w:rsid w:val="006835AE"/>
    <w:rsid w:val="006836CF"/>
    <w:rsid w:val="00683785"/>
    <w:rsid w:val="006837C5"/>
    <w:rsid w:val="006837E7"/>
    <w:rsid w:val="006837F0"/>
    <w:rsid w:val="006838E6"/>
    <w:rsid w:val="00683BAA"/>
    <w:rsid w:val="00683C3E"/>
    <w:rsid w:val="00683C75"/>
    <w:rsid w:val="00683C8D"/>
    <w:rsid w:val="00683D5B"/>
    <w:rsid w:val="00683DD4"/>
    <w:rsid w:val="00683F9D"/>
    <w:rsid w:val="00683FFE"/>
    <w:rsid w:val="006840E6"/>
    <w:rsid w:val="00684110"/>
    <w:rsid w:val="00684254"/>
    <w:rsid w:val="00684287"/>
    <w:rsid w:val="00684364"/>
    <w:rsid w:val="0068444C"/>
    <w:rsid w:val="006844A7"/>
    <w:rsid w:val="006844EA"/>
    <w:rsid w:val="0068467D"/>
    <w:rsid w:val="00684692"/>
    <w:rsid w:val="00684989"/>
    <w:rsid w:val="00684A33"/>
    <w:rsid w:val="00684AF8"/>
    <w:rsid w:val="00684B0C"/>
    <w:rsid w:val="00684DA4"/>
    <w:rsid w:val="00685299"/>
    <w:rsid w:val="006853E7"/>
    <w:rsid w:val="00685453"/>
    <w:rsid w:val="00685468"/>
    <w:rsid w:val="00685480"/>
    <w:rsid w:val="00685746"/>
    <w:rsid w:val="006857B6"/>
    <w:rsid w:val="00685D10"/>
    <w:rsid w:val="00685D99"/>
    <w:rsid w:val="00685E20"/>
    <w:rsid w:val="00685EFE"/>
    <w:rsid w:val="006860C7"/>
    <w:rsid w:val="00686159"/>
    <w:rsid w:val="006861C9"/>
    <w:rsid w:val="00686253"/>
    <w:rsid w:val="0068626B"/>
    <w:rsid w:val="006865B9"/>
    <w:rsid w:val="00686681"/>
    <w:rsid w:val="0068682A"/>
    <w:rsid w:val="0068683C"/>
    <w:rsid w:val="00686B5A"/>
    <w:rsid w:val="00686BC5"/>
    <w:rsid w:val="00686D8A"/>
    <w:rsid w:val="00686ED5"/>
    <w:rsid w:val="00686F26"/>
    <w:rsid w:val="00686F4D"/>
    <w:rsid w:val="006870E9"/>
    <w:rsid w:val="00687170"/>
    <w:rsid w:val="00687215"/>
    <w:rsid w:val="006873DD"/>
    <w:rsid w:val="006874EB"/>
    <w:rsid w:val="00687648"/>
    <w:rsid w:val="006876E0"/>
    <w:rsid w:val="006878EC"/>
    <w:rsid w:val="00687C5A"/>
    <w:rsid w:val="00687E66"/>
    <w:rsid w:val="006900BA"/>
    <w:rsid w:val="00690240"/>
    <w:rsid w:val="00690270"/>
    <w:rsid w:val="006902B1"/>
    <w:rsid w:val="0069037E"/>
    <w:rsid w:val="0069053D"/>
    <w:rsid w:val="0069061A"/>
    <w:rsid w:val="006906F7"/>
    <w:rsid w:val="006907AC"/>
    <w:rsid w:val="006908AE"/>
    <w:rsid w:val="006908B7"/>
    <w:rsid w:val="00690B11"/>
    <w:rsid w:val="00690D11"/>
    <w:rsid w:val="00690DF3"/>
    <w:rsid w:val="00690F25"/>
    <w:rsid w:val="00690FC4"/>
    <w:rsid w:val="00691040"/>
    <w:rsid w:val="00691070"/>
    <w:rsid w:val="0069142F"/>
    <w:rsid w:val="00691595"/>
    <w:rsid w:val="00691677"/>
    <w:rsid w:val="00691696"/>
    <w:rsid w:val="006917E5"/>
    <w:rsid w:val="00691854"/>
    <w:rsid w:val="006918AB"/>
    <w:rsid w:val="0069191C"/>
    <w:rsid w:val="006919E8"/>
    <w:rsid w:val="00691C35"/>
    <w:rsid w:val="00691C62"/>
    <w:rsid w:val="00692069"/>
    <w:rsid w:val="0069226F"/>
    <w:rsid w:val="006922DA"/>
    <w:rsid w:val="00692382"/>
    <w:rsid w:val="00692448"/>
    <w:rsid w:val="0069248E"/>
    <w:rsid w:val="006924DD"/>
    <w:rsid w:val="00692543"/>
    <w:rsid w:val="00692AA5"/>
    <w:rsid w:val="00692B28"/>
    <w:rsid w:val="00692C3C"/>
    <w:rsid w:val="00692C71"/>
    <w:rsid w:val="00692D87"/>
    <w:rsid w:val="00692F7A"/>
    <w:rsid w:val="006930D3"/>
    <w:rsid w:val="00693167"/>
    <w:rsid w:val="0069318F"/>
    <w:rsid w:val="006932EA"/>
    <w:rsid w:val="006933E2"/>
    <w:rsid w:val="00693462"/>
    <w:rsid w:val="0069347A"/>
    <w:rsid w:val="00693485"/>
    <w:rsid w:val="006934E5"/>
    <w:rsid w:val="006936FA"/>
    <w:rsid w:val="00693726"/>
    <w:rsid w:val="00693DC9"/>
    <w:rsid w:val="00693DCF"/>
    <w:rsid w:val="00693F80"/>
    <w:rsid w:val="0069452C"/>
    <w:rsid w:val="006945FE"/>
    <w:rsid w:val="0069466B"/>
    <w:rsid w:val="00694EAF"/>
    <w:rsid w:val="00695060"/>
    <w:rsid w:val="006950A6"/>
    <w:rsid w:val="0069530C"/>
    <w:rsid w:val="00695550"/>
    <w:rsid w:val="0069556E"/>
    <w:rsid w:val="0069564F"/>
    <w:rsid w:val="006957D1"/>
    <w:rsid w:val="00695997"/>
    <w:rsid w:val="00695A53"/>
    <w:rsid w:val="00695A5A"/>
    <w:rsid w:val="00695BA5"/>
    <w:rsid w:val="00695C73"/>
    <w:rsid w:val="00695CEB"/>
    <w:rsid w:val="00695E0F"/>
    <w:rsid w:val="00695E9D"/>
    <w:rsid w:val="00696087"/>
    <w:rsid w:val="00696381"/>
    <w:rsid w:val="00696543"/>
    <w:rsid w:val="00696875"/>
    <w:rsid w:val="00696CEC"/>
    <w:rsid w:val="006972F0"/>
    <w:rsid w:val="006974A4"/>
    <w:rsid w:val="006978CE"/>
    <w:rsid w:val="00697935"/>
    <w:rsid w:val="00697949"/>
    <w:rsid w:val="00697BE5"/>
    <w:rsid w:val="00697C4F"/>
    <w:rsid w:val="00697D40"/>
    <w:rsid w:val="00697D4D"/>
    <w:rsid w:val="006A02B7"/>
    <w:rsid w:val="006A02CB"/>
    <w:rsid w:val="006A0798"/>
    <w:rsid w:val="006A08D0"/>
    <w:rsid w:val="006A091B"/>
    <w:rsid w:val="006A0AB7"/>
    <w:rsid w:val="006A0B22"/>
    <w:rsid w:val="006A0CE1"/>
    <w:rsid w:val="006A0D1A"/>
    <w:rsid w:val="006A0F88"/>
    <w:rsid w:val="006A0FEA"/>
    <w:rsid w:val="006A104A"/>
    <w:rsid w:val="006A125B"/>
    <w:rsid w:val="006A12D1"/>
    <w:rsid w:val="006A1417"/>
    <w:rsid w:val="006A180B"/>
    <w:rsid w:val="006A1AAA"/>
    <w:rsid w:val="006A1AF4"/>
    <w:rsid w:val="006A1C2D"/>
    <w:rsid w:val="006A1D9A"/>
    <w:rsid w:val="006A201D"/>
    <w:rsid w:val="006A2364"/>
    <w:rsid w:val="006A24ED"/>
    <w:rsid w:val="006A26AF"/>
    <w:rsid w:val="006A26EE"/>
    <w:rsid w:val="006A2912"/>
    <w:rsid w:val="006A2996"/>
    <w:rsid w:val="006A29DA"/>
    <w:rsid w:val="006A2C31"/>
    <w:rsid w:val="006A2DDE"/>
    <w:rsid w:val="006A3068"/>
    <w:rsid w:val="006A325C"/>
    <w:rsid w:val="006A36B4"/>
    <w:rsid w:val="006A36B8"/>
    <w:rsid w:val="006A3757"/>
    <w:rsid w:val="006A3D8E"/>
    <w:rsid w:val="006A3E4C"/>
    <w:rsid w:val="006A40CD"/>
    <w:rsid w:val="006A419C"/>
    <w:rsid w:val="006A41E4"/>
    <w:rsid w:val="006A42CF"/>
    <w:rsid w:val="006A4339"/>
    <w:rsid w:val="006A4413"/>
    <w:rsid w:val="006A48CB"/>
    <w:rsid w:val="006A49A0"/>
    <w:rsid w:val="006A49FC"/>
    <w:rsid w:val="006A4B59"/>
    <w:rsid w:val="006A4BCB"/>
    <w:rsid w:val="006A4C9C"/>
    <w:rsid w:val="006A4DAA"/>
    <w:rsid w:val="006A4EAA"/>
    <w:rsid w:val="006A4EAC"/>
    <w:rsid w:val="006A50FD"/>
    <w:rsid w:val="006A521A"/>
    <w:rsid w:val="006A5355"/>
    <w:rsid w:val="006A5386"/>
    <w:rsid w:val="006A5433"/>
    <w:rsid w:val="006A54C4"/>
    <w:rsid w:val="006A5511"/>
    <w:rsid w:val="006A55D0"/>
    <w:rsid w:val="006A5766"/>
    <w:rsid w:val="006A582F"/>
    <w:rsid w:val="006A59E8"/>
    <w:rsid w:val="006A5A8E"/>
    <w:rsid w:val="006A5BE2"/>
    <w:rsid w:val="006A5D6A"/>
    <w:rsid w:val="006A5ED8"/>
    <w:rsid w:val="006A5F8D"/>
    <w:rsid w:val="006A6043"/>
    <w:rsid w:val="006A60BF"/>
    <w:rsid w:val="006A615E"/>
    <w:rsid w:val="006A627D"/>
    <w:rsid w:val="006A6348"/>
    <w:rsid w:val="006A64FA"/>
    <w:rsid w:val="006A6535"/>
    <w:rsid w:val="006A65DB"/>
    <w:rsid w:val="006A66F9"/>
    <w:rsid w:val="006A67BA"/>
    <w:rsid w:val="006A689E"/>
    <w:rsid w:val="006A6CDC"/>
    <w:rsid w:val="006A70F5"/>
    <w:rsid w:val="006A7543"/>
    <w:rsid w:val="006A78CD"/>
    <w:rsid w:val="006A7B1E"/>
    <w:rsid w:val="006A7BD5"/>
    <w:rsid w:val="006A7CDC"/>
    <w:rsid w:val="006A7E51"/>
    <w:rsid w:val="006A7E55"/>
    <w:rsid w:val="006A7E5D"/>
    <w:rsid w:val="006B0058"/>
    <w:rsid w:val="006B036D"/>
    <w:rsid w:val="006B0411"/>
    <w:rsid w:val="006B04D4"/>
    <w:rsid w:val="006B0635"/>
    <w:rsid w:val="006B0669"/>
    <w:rsid w:val="006B0784"/>
    <w:rsid w:val="006B0A2E"/>
    <w:rsid w:val="006B0A4D"/>
    <w:rsid w:val="006B0B50"/>
    <w:rsid w:val="006B0BAF"/>
    <w:rsid w:val="006B0D14"/>
    <w:rsid w:val="006B0EDB"/>
    <w:rsid w:val="006B1043"/>
    <w:rsid w:val="006B12F2"/>
    <w:rsid w:val="006B12FF"/>
    <w:rsid w:val="006B13E4"/>
    <w:rsid w:val="006B1405"/>
    <w:rsid w:val="006B140C"/>
    <w:rsid w:val="006B141D"/>
    <w:rsid w:val="006B1438"/>
    <w:rsid w:val="006B1462"/>
    <w:rsid w:val="006B1741"/>
    <w:rsid w:val="006B178D"/>
    <w:rsid w:val="006B1935"/>
    <w:rsid w:val="006B19A1"/>
    <w:rsid w:val="006B1A3D"/>
    <w:rsid w:val="006B1A43"/>
    <w:rsid w:val="006B1AEF"/>
    <w:rsid w:val="006B1B5F"/>
    <w:rsid w:val="006B1BA8"/>
    <w:rsid w:val="006B1F6D"/>
    <w:rsid w:val="006B200B"/>
    <w:rsid w:val="006B2089"/>
    <w:rsid w:val="006B20F7"/>
    <w:rsid w:val="006B2215"/>
    <w:rsid w:val="006B22D8"/>
    <w:rsid w:val="006B231F"/>
    <w:rsid w:val="006B2364"/>
    <w:rsid w:val="006B23D7"/>
    <w:rsid w:val="006B2548"/>
    <w:rsid w:val="006B2680"/>
    <w:rsid w:val="006B2863"/>
    <w:rsid w:val="006B28A6"/>
    <w:rsid w:val="006B2906"/>
    <w:rsid w:val="006B2922"/>
    <w:rsid w:val="006B2A63"/>
    <w:rsid w:val="006B2BCD"/>
    <w:rsid w:val="006B2BFB"/>
    <w:rsid w:val="006B2CE5"/>
    <w:rsid w:val="006B2CF0"/>
    <w:rsid w:val="006B2DF5"/>
    <w:rsid w:val="006B2E8C"/>
    <w:rsid w:val="006B30F9"/>
    <w:rsid w:val="006B323E"/>
    <w:rsid w:val="006B333C"/>
    <w:rsid w:val="006B3377"/>
    <w:rsid w:val="006B3701"/>
    <w:rsid w:val="006B386C"/>
    <w:rsid w:val="006B3A61"/>
    <w:rsid w:val="006B3E45"/>
    <w:rsid w:val="006B3F3F"/>
    <w:rsid w:val="006B4049"/>
    <w:rsid w:val="006B4562"/>
    <w:rsid w:val="006B4667"/>
    <w:rsid w:val="006B4901"/>
    <w:rsid w:val="006B4B01"/>
    <w:rsid w:val="006B4B9B"/>
    <w:rsid w:val="006B4C2C"/>
    <w:rsid w:val="006B4DD2"/>
    <w:rsid w:val="006B4EEB"/>
    <w:rsid w:val="006B4FEA"/>
    <w:rsid w:val="006B5127"/>
    <w:rsid w:val="006B52AE"/>
    <w:rsid w:val="006B530B"/>
    <w:rsid w:val="006B547F"/>
    <w:rsid w:val="006B56E8"/>
    <w:rsid w:val="006B5751"/>
    <w:rsid w:val="006B588E"/>
    <w:rsid w:val="006B5917"/>
    <w:rsid w:val="006B5941"/>
    <w:rsid w:val="006B599B"/>
    <w:rsid w:val="006B5DF1"/>
    <w:rsid w:val="006B5E33"/>
    <w:rsid w:val="006B5E63"/>
    <w:rsid w:val="006B5F39"/>
    <w:rsid w:val="006B5F9A"/>
    <w:rsid w:val="006B6034"/>
    <w:rsid w:val="006B6079"/>
    <w:rsid w:val="006B6125"/>
    <w:rsid w:val="006B6138"/>
    <w:rsid w:val="006B63D3"/>
    <w:rsid w:val="006B650E"/>
    <w:rsid w:val="006B6981"/>
    <w:rsid w:val="006B698C"/>
    <w:rsid w:val="006B69C8"/>
    <w:rsid w:val="006B6A7C"/>
    <w:rsid w:val="006B6B5F"/>
    <w:rsid w:val="006B6E8D"/>
    <w:rsid w:val="006B70DE"/>
    <w:rsid w:val="006B72AC"/>
    <w:rsid w:val="006B72CC"/>
    <w:rsid w:val="006B72CD"/>
    <w:rsid w:val="006B7615"/>
    <w:rsid w:val="006B77AA"/>
    <w:rsid w:val="006B79BB"/>
    <w:rsid w:val="006B7A91"/>
    <w:rsid w:val="006B7B9F"/>
    <w:rsid w:val="006B7C3F"/>
    <w:rsid w:val="006B7DD1"/>
    <w:rsid w:val="006B7E07"/>
    <w:rsid w:val="006B7F79"/>
    <w:rsid w:val="006B7FDA"/>
    <w:rsid w:val="006C01C0"/>
    <w:rsid w:val="006C03BA"/>
    <w:rsid w:val="006C03D9"/>
    <w:rsid w:val="006C043B"/>
    <w:rsid w:val="006C07C6"/>
    <w:rsid w:val="006C0D8A"/>
    <w:rsid w:val="006C0F05"/>
    <w:rsid w:val="006C0FF9"/>
    <w:rsid w:val="006C1118"/>
    <w:rsid w:val="006C11DC"/>
    <w:rsid w:val="006C143B"/>
    <w:rsid w:val="006C1458"/>
    <w:rsid w:val="006C14B0"/>
    <w:rsid w:val="006C161A"/>
    <w:rsid w:val="006C170E"/>
    <w:rsid w:val="006C18A5"/>
    <w:rsid w:val="006C1D22"/>
    <w:rsid w:val="006C1EF0"/>
    <w:rsid w:val="006C266F"/>
    <w:rsid w:val="006C28BC"/>
    <w:rsid w:val="006C2A30"/>
    <w:rsid w:val="006C2AAD"/>
    <w:rsid w:val="006C2AE4"/>
    <w:rsid w:val="006C2B0F"/>
    <w:rsid w:val="006C30F3"/>
    <w:rsid w:val="006C3306"/>
    <w:rsid w:val="006C331B"/>
    <w:rsid w:val="006C3381"/>
    <w:rsid w:val="006C34CF"/>
    <w:rsid w:val="006C3765"/>
    <w:rsid w:val="006C38C0"/>
    <w:rsid w:val="006C390F"/>
    <w:rsid w:val="006C3B24"/>
    <w:rsid w:val="006C402D"/>
    <w:rsid w:val="006C432E"/>
    <w:rsid w:val="006C437A"/>
    <w:rsid w:val="006C453D"/>
    <w:rsid w:val="006C4573"/>
    <w:rsid w:val="006C4596"/>
    <w:rsid w:val="006C45E7"/>
    <w:rsid w:val="006C46D6"/>
    <w:rsid w:val="006C4716"/>
    <w:rsid w:val="006C486D"/>
    <w:rsid w:val="006C498A"/>
    <w:rsid w:val="006C4AAD"/>
    <w:rsid w:val="006C4CD4"/>
    <w:rsid w:val="006C4EC5"/>
    <w:rsid w:val="006C4F7D"/>
    <w:rsid w:val="006C505E"/>
    <w:rsid w:val="006C515D"/>
    <w:rsid w:val="006C525C"/>
    <w:rsid w:val="006C52F0"/>
    <w:rsid w:val="006C540D"/>
    <w:rsid w:val="006C5563"/>
    <w:rsid w:val="006C563E"/>
    <w:rsid w:val="006C5795"/>
    <w:rsid w:val="006C5856"/>
    <w:rsid w:val="006C5EF7"/>
    <w:rsid w:val="006C5F8C"/>
    <w:rsid w:val="006C620E"/>
    <w:rsid w:val="006C6265"/>
    <w:rsid w:val="006C62B6"/>
    <w:rsid w:val="006C6384"/>
    <w:rsid w:val="006C6619"/>
    <w:rsid w:val="006C682A"/>
    <w:rsid w:val="006C68C7"/>
    <w:rsid w:val="006C690A"/>
    <w:rsid w:val="006C6964"/>
    <w:rsid w:val="006C6A71"/>
    <w:rsid w:val="006C6B5C"/>
    <w:rsid w:val="006C6BF5"/>
    <w:rsid w:val="006C6EE9"/>
    <w:rsid w:val="006C7010"/>
    <w:rsid w:val="006C707F"/>
    <w:rsid w:val="006C724C"/>
    <w:rsid w:val="006C7289"/>
    <w:rsid w:val="006C7498"/>
    <w:rsid w:val="006C74B7"/>
    <w:rsid w:val="006C74EB"/>
    <w:rsid w:val="006C761D"/>
    <w:rsid w:val="006C76CF"/>
    <w:rsid w:val="006C783D"/>
    <w:rsid w:val="006C799A"/>
    <w:rsid w:val="006C79A5"/>
    <w:rsid w:val="006C7ABA"/>
    <w:rsid w:val="006C7C14"/>
    <w:rsid w:val="006C7C29"/>
    <w:rsid w:val="006C7CFF"/>
    <w:rsid w:val="006C7E1C"/>
    <w:rsid w:val="006C7E35"/>
    <w:rsid w:val="006C7E96"/>
    <w:rsid w:val="006D01FF"/>
    <w:rsid w:val="006D031D"/>
    <w:rsid w:val="006D07D0"/>
    <w:rsid w:val="006D07F1"/>
    <w:rsid w:val="006D09D0"/>
    <w:rsid w:val="006D0B7C"/>
    <w:rsid w:val="006D0BA5"/>
    <w:rsid w:val="006D0C24"/>
    <w:rsid w:val="006D0ECD"/>
    <w:rsid w:val="006D1055"/>
    <w:rsid w:val="006D138C"/>
    <w:rsid w:val="006D13B2"/>
    <w:rsid w:val="006D1438"/>
    <w:rsid w:val="006D151C"/>
    <w:rsid w:val="006D1647"/>
    <w:rsid w:val="006D19C1"/>
    <w:rsid w:val="006D1B45"/>
    <w:rsid w:val="006D1D4F"/>
    <w:rsid w:val="006D1DBF"/>
    <w:rsid w:val="006D1FAA"/>
    <w:rsid w:val="006D2158"/>
    <w:rsid w:val="006D21A0"/>
    <w:rsid w:val="006D23B0"/>
    <w:rsid w:val="006D23C4"/>
    <w:rsid w:val="006D2498"/>
    <w:rsid w:val="006D2592"/>
    <w:rsid w:val="006D27D8"/>
    <w:rsid w:val="006D286D"/>
    <w:rsid w:val="006D2B21"/>
    <w:rsid w:val="006D2F79"/>
    <w:rsid w:val="006D301E"/>
    <w:rsid w:val="006D339E"/>
    <w:rsid w:val="006D375D"/>
    <w:rsid w:val="006D37FE"/>
    <w:rsid w:val="006D3879"/>
    <w:rsid w:val="006D3A77"/>
    <w:rsid w:val="006D3D7B"/>
    <w:rsid w:val="006D3F90"/>
    <w:rsid w:val="006D3FA6"/>
    <w:rsid w:val="006D4545"/>
    <w:rsid w:val="006D45C5"/>
    <w:rsid w:val="006D47F4"/>
    <w:rsid w:val="006D4989"/>
    <w:rsid w:val="006D49F2"/>
    <w:rsid w:val="006D4A67"/>
    <w:rsid w:val="006D501A"/>
    <w:rsid w:val="006D521F"/>
    <w:rsid w:val="006D5305"/>
    <w:rsid w:val="006D5357"/>
    <w:rsid w:val="006D53FB"/>
    <w:rsid w:val="006D5709"/>
    <w:rsid w:val="006D5D21"/>
    <w:rsid w:val="006D5ECA"/>
    <w:rsid w:val="006D60A7"/>
    <w:rsid w:val="006D6287"/>
    <w:rsid w:val="006D62A5"/>
    <w:rsid w:val="006D64CA"/>
    <w:rsid w:val="006D67EC"/>
    <w:rsid w:val="006D682C"/>
    <w:rsid w:val="006D69EB"/>
    <w:rsid w:val="006D6BCC"/>
    <w:rsid w:val="006D6F76"/>
    <w:rsid w:val="006D70BD"/>
    <w:rsid w:val="006D734E"/>
    <w:rsid w:val="006D75D3"/>
    <w:rsid w:val="006D768A"/>
    <w:rsid w:val="006D770C"/>
    <w:rsid w:val="006D7777"/>
    <w:rsid w:val="006D77BC"/>
    <w:rsid w:val="006D7884"/>
    <w:rsid w:val="006D7933"/>
    <w:rsid w:val="006D7ABC"/>
    <w:rsid w:val="006D7AF7"/>
    <w:rsid w:val="006D7B4C"/>
    <w:rsid w:val="006D7B95"/>
    <w:rsid w:val="006D7C5C"/>
    <w:rsid w:val="006D7C9B"/>
    <w:rsid w:val="006D7F10"/>
    <w:rsid w:val="006D7FB7"/>
    <w:rsid w:val="006DC8CB"/>
    <w:rsid w:val="006E000D"/>
    <w:rsid w:val="006E02FE"/>
    <w:rsid w:val="006E05A8"/>
    <w:rsid w:val="006E06AE"/>
    <w:rsid w:val="006E06FF"/>
    <w:rsid w:val="006E072C"/>
    <w:rsid w:val="006E0792"/>
    <w:rsid w:val="006E0A46"/>
    <w:rsid w:val="006E0B36"/>
    <w:rsid w:val="006E0C48"/>
    <w:rsid w:val="006E0D3A"/>
    <w:rsid w:val="006E0D75"/>
    <w:rsid w:val="006E0D8B"/>
    <w:rsid w:val="006E0DDE"/>
    <w:rsid w:val="006E13F5"/>
    <w:rsid w:val="006E14DC"/>
    <w:rsid w:val="006E14E2"/>
    <w:rsid w:val="006E16AE"/>
    <w:rsid w:val="006E16FA"/>
    <w:rsid w:val="006E18B3"/>
    <w:rsid w:val="006E19C0"/>
    <w:rsid w:val="006E1AE4"/>
    <w:rsid w:val="006E1B69"/>
    <w:rsid w:val="006E1C26"/>
    <w:rsid w:val="006E1C31"/>
    <w:rsid w:val="006E1E4C"/>
    <w:rsid w:val="006E1EF1"/>
    <w:rsid w:val="006E1F4D"/>
    <w:rsid w:val="006E1FA5"/>
    <w:rsid w:val="006E2064"/>
    <w:rsid w:val="006E2094"/>
    <w:rsid w:val="006E24BD"/>
    <w:rsid w:val="006E258C"/>
    <w:rsid w:val="006E285C"/>
    <w:rsid w:val="006E2A61"/>
    <w:rsid w:val="006E2A6D"/>
    <w:rsid w:val="006E2B0D"/>
    <w:rsid w:val="006E2B66"/>
    <w:rsid w:val="006E2C8A"/>
    <w:rsid w:val="006E3359"/>
    <w:rsid w:val="006E3366"/>
    <w:rsid w:val="006E336C"/>
    <w:rsid w:val="006E3510"/>
    <w:rsid w:val="006E35E7"/>
    <w:rsid w:val="006E36F2"/>
    <w:rsid w:val="006E3C6D"/>
    <w:rsid w:val="006E40A1"/>
    <w:rsid w:val="006E4120"/>
    <w:rsid w:val="006E41C5"/>
    <w:rsid w:val="006E420D"/>
    <w:rsid w:val="006E44A7"/>
    <w:rsid w:val="006E44C4"/>
    <w:rsid w:val="006E4585"/>
    <w:rsid w:val="006E4A33"/>
    <w:rsid w:val="006E4B90"/>
    <w:rsid w:val="006E4E57"/>
    <w:rsid w:val="006E4E5D"/>
    <w:rsid w:val="006E5064"/>
    <w:rsid w:val="006E50B9"/>
    <w:rsid w:val="006E5245"/>
    <w:rsid w:val="006E52A0"/>
    <w:rsid w:val="006E536D"/>
    <w:rsid w:val="006E54DA"/>
    <w:rsid w:val="006E562F"/>
    <w:rsid w:val="006E5640"/>
    <w:rsid w:val="006E58FD"/>
    <w:rsid w:val="006E59FD"/>
    <w:rsid w:val="006E5B1D"/>
    <w:rsid w:val="006E5C18"/>
    <w:rsid w:val="006E5F92"/>
    <w:rsid w:val="006E6038"/>
    <w:rsid w:val="006E6173"/>
    <w:rsid w:val="006E61CF"/>
    <w:rsid w:val="006E620B"/>
    <w:rsid w:val="006E6221"/>
    <w:rsid w:val="006E6372"/>
    <w:rsid w:val="006E6513"/>
    <w:rsid w:val="006E6621"/>
    <w:rsid w:val="006E66EB"/>
    <w:rsid w:val="006E68A9"/>
    <w:rsid w:val="006E6A48"/>
    <w:rsid w:val="006E6B52"/>
    <w:rsid w:val="006E6BE7"/>
    <w:rsid w:val="006E6E78"/>
    <w:rsid w:val="006E6ECE"/>
    <w:rsid w:val="006E6EDE"/>
    <w:rsid w:val="006E6F17"/>
    <w:rsid w:val="006E6F38"/>
    <w:rsid w:val="006E7108"/>
    <w:rsid w:val="006E72AC"/>
    <w:rsid w:val="006E72AD"/>
    <w:rsid w:val="006E75C0"/>
    <w:rsid w:val="006E763D"/>
    <w:rsid w:val="006E7770"/>
    <w:rsid w:val="006E78EF"/>
    <w:rsid w:val="006E7957"/>
    <w:rsid w:val="006E7A30"/>
    <w:rsid w:val="006E7B13"/>
    <w:rsid w:val="006E7F01"/>
    <w:rsid w:val="006F0006"/>
    <w:rsid w:val="006F00CB"/>
    <w:rsid w:val="006F0254"/>
    <w:rsid w:val="006F0305"/>
    <w:rsid w:val="006F0310"/>
    <w:rsid w:val="006F0370"/>
    <w:rsid w:val="006F0421"/>
    <w:rsid w:val="006F04CB"/>
    <w:rsid w:val="006F04DD"/>
    <w:rsid w:val="006F07A3"/>
    <w:rsid w:val="006F0841"/>
    <w:rsid w:val="006F0851"/>
    <w:rsid w:val="006F09AA"/>
    <w:rsid w:val="006F09B0"/>
    <w:rsid w:val="006F0C79"/>
    <w:rsid w:val="006F0D67"/>
    <w:rsid w:val="006F0DE4"/>
    <w:rsid w:val="006F0E64"/>
    <w:rsid w:val="006F13F5"/>
    <w:rsid w:val="006F1518"/>
    <w:rsid w:val="006F1659"/>
    <w:rsid w:val="006F176C"/>
    <w:rsid w:val="006F17B6"/>
    <w:rsid w:val="006F1897"/>
    <w:rsid w:val="006F196A"/>
    <w:rsid w:val="006F1A2B"/>
    <w:rsid w:val="006F1BD4"/>
    <w:rsid w:val="006F1C6D"/>
    <w:rsid w:val="006F1E26"/>
    <w:rsid w:val="006F1E54"/>
    <w:rsid w:val="006F1E56"/>
    <w:rsid w:val="006F1F15"/>
    <w:rsid w:val="006F1F85"/>
    <w:rsid w:val="006F201E"/>
    <w:rsid w:val="006F2190"/>
    <w:rsid w:val="006F2554"/>
    <w:rsid w:val="006F27B9"/>
    <w:rsid w:val="006F2AC1"/>
    <w:rsid w:val="006F2B45"/>
    <w:rsid w:val="006F2BC9"/>
    <w:rsid w:val="006F2E04"/>
    <w:rsid w:val="006F2E36"/>
    <w:rsid w:val="006F2F20"/>
    <w:rsid w:val="006F311B"/>
    <w:rsid w:val="006F3198"/>
    <w:rsid w:val="006F32F9"/>
    <w:rsid w:val="006F3302"/>
    <w:rsid w:val="006F3349"/>
    <w:rsid w:val="006F3364"/>
    <w:rsid w:val="006F3392"/>
    <w:rsid w:val="006F3814"/>
    <w:rsid w:val="006F397A"/>
    <w:rsid w:val="006F3AF6"/>
    <w:rsid w:val="006F3BAB"/>
    <w:rsid w:val="006F3BD7"/>
    <w:rsid w:val="006F3DAE"/>
    <w:rsid w:val="006F3EEA"/>
    <w:rsid w:val="006F4110"/>
    <w:rsid w:val="006F4167"/>
    <w:rsid w:val="006F457A"/>
    <w:rsid w:val="006F4681"/>
    <w:rsid w:val="006F4742"/>
    <w:rsid w:val="006F4769"/>
    <w:rsid w:val="006F476B"/>
    <w:rsid w:val="006F4916"/>
    <w:rsid w:val="006F4B02"/>
    <w:rsid w:val="006F4C8F"/>
    <w:rsid w:val="006F4D74"/>
    <w:rsid w:val="006F50C2"/>
    <w:rsid w:val="006F5354"/>
    <w:rsid w:val="006F5435"/>
    <w:rsid w:val="006F548F"/>
    <w:rsid w:val="006F55A7"/>
    <w:rsid w:val="006F560A"/>
    <w:rsid w:val="006F5645"/>
    <w:rsid w:val="006F566A"/>
    <w:rsid w:val="006F5DC0"/>
    <w:rsid w:val="006F6196"/>
    <w:rsid w:val="006F6255"/>
    <w:rsid w:val="006F6379"/>
    <w:rsid w:val="006F63D5"/>
    <w:rsid w:val="006F6605"/>
    <w:rsid w:val="006F66EC"/>
    <w:rsid w:val="006F67A7"/>
    <w:rsid w:val="006F6A5D"/>
    <w:rsid w:val="006F6CBC"/>
    <w:rsid w:val="006F6F5C"/>
    <w:rsid w:val="006F70FF"/>
    <w:rsid w:val="006F7A40"/>
    <w:rsid w:val="006F7AEC"/>
    <w:rsid w:val="006F7B1E"/>
    <w:rsid w:val="006F7B2C"/>
    <w:rsid w:val="006F7D90"/>
    <w:rsid w:val="006F7EBD"/>
    <w:rsid w:val="006F7F19"/>
    <w:rsid w:val="006F7F1D"/>
    <w:rsid w:val="006F7FBA"/>
    <w:rsid w:val="006FD624"/>
    <w:rsid w:val="00700157"/>
    <w:rsid w:val="00700184"/>
    <w:rsid w:val="00700299"/>
    <w:rsid w:val="007002C5"/>
    <w:rsid w:val="007003B2"/>
    <w:rsid w:val="007003C4"/>
    <w:rsid w:val="00700510"/>
    <w:rsid w:val="00700554"/>
    <w:rsid w:val="0070056E"/>
    <w:rsid w:val="0070084A"/>
    <w:rsid w:val="007009D9"/>
    <w:rsid w:val="00700A74"/>
    <w:rsid w:val="00700ABE"/>
    <w:rsid w:val="00700CA2"/>
    <w:rsid w:val="00700D05"/>
    <w:rsid w:val="00700E17"/>
    <w:rsid w:val="00700E66"/>
    <w:rsid w:val="00701046"/>
    <w:rsid w:val="007010AF"/>
    <w:rsid w:val="007011F9"/>
    <w:rsid w:val="0070133C"/>
    <w:rsid w:val="007015CE"/>
    <w:rsid w:val="007015F5"/>
    <w:rsid w:val="007015FE"/>
    <w:rsid w:val="00701698"/>
    <w:rsid w:val="0070188E"/>
    <w:rsid w:val="00701926"/>
    <w:rsid w:val="00701932"/>
    <w:rsid w:val="00701B7B"/>
    <w:rsid w:val="00701C27"/>
    <w:rsid w:val="00701C33"/>
    <w:rsid w:val="00701E89"/>
    <w:rsid w:val="00701EC3"/>
    <w:rsid w:val="00701EC9"/>
    <w:rsid w:val="0070214C"/>
    <w:rsid w:val="007024AF"/>
    <w:rsid w:val="0070262B"/>
    <w:rsid w:val="00702653"/>
    <w:rsid w:val="00702665"/>
    <w:rsid w:val="00702675"/>
    <w:rsid w:val="007026B4"/>
    <w:rsid w:val="007028B3"/>
    <w:rsid w:val="0070292F"/>
    <w:rsid w:val="00702B2C"/>
    <w:rsid w:val="00702BAA"/>
    <w:rsid w:val="00702D46"/>
    <w:rsid w:val="00702DD6"/>
    <w:rsid w:val="00702F5A"/>
    <w:rsid w:val="00703121"/>
    <w:rsid w:val="00703240"/>
    <w:rsid w:val="007033F9"/>
    <w:rsid w:val="00703503"/>
    <w:rsid w:val="00703615"/>
    <w:rsid w:val="00703885"/>
    <w:rsid w:val="0070394A"/>
    <w:rsid w:val="007039E9"/>
    <w:rsid w:val="00703B31"/>
    <w:rsid w:val="00703B68"/>
    <w:rsid w:val="00703CE8"/>
    <w:rsid w:val="00703D2B"/>
    <w:rsid w:val="00703E80"/>
    <w:rsid w:val="00703EAD"/>
    <w:rsid w:val="00703F83"/>
    <w:rsid w:val="0070401E"/>
    <w:rsid w:val="0070422F"/>
    <w:rsid w:val="00704315"/>
    <w:rsid w:val="00704386"/>
    <w:rsid w:val="00704684"/>
    <w:rsid w:val="00704741"/>
    <w:rsid w:val="00704973"/>
    <w:rsid w:val="00704A23"/>
    <w:rsid w:val="00704A63"/>
    <w:rsid w:val="00704B34"/>
    <w:rsid w:val="00704B8B"/>
    <w:rsid w:val="00704C13"/>
    <w:rsid w:val="00704DA1"/>
    <w:rsid w:val="00704F43"/>
    <w:rsid w:val="007054F5"/>
    <w:rsid w:val="007056BA"/>
    <w:rsid w:val="0070570C"/>
    <w:rsid w:val="007057D8"/>
    <w:rsid w:val="00705879"/>
    <w:rsid w:val="0070588F"/>
    <w:rsid w:val="007059BF"/>
    <w:rsid w:val="00705B18"/>
    <w:rsid w:val="00705B76"/>
    <w:rsid w:val="00705D6D"/>
    <w:rsid w:val="00705DB1"/>
    <w:rsid w:val="00705E37"/>
    <w:rsid w:val="00705EDF"/>
    <w:rsid w:val="00706154"/>
    <w:rsid w:val="00706482"/>
    <w:rsid w:val="007064B2"/>
    <w:rsid w:val="007064D9"/>
    <w:rsid w:val="00706598"/>
    <w:rsid w:val="00706960"/>
    <w:rsid w:val="00706B5B"/>
    <w:rsid w:val="00706BE7"/>
    <w:rsid w:val="0070749F"/>
    <w:rsid w:val="00707578"/>
    <w:rsid w:val="00707650"/>
    <w:rsid w:val="0070769F"/>
    <w:rsid w:val="0070774A"/>
    <w:rsid w:val="00707961"/>
    <w:rsid w:val="00707A75"/>
    <w:rsid w:val="00707BE8"/>
    <w:rsid w:val="00707CA0"/>
    <w:rsid w:val="00707D0E"/>
    <w:rsid w:val="00707F6E"/>
    <w:rsid w:val="00707FC4"/>
    <w:rsid w:val="007101C4"/>
    <w:rsid w:val="0071020B"/>
    <w:rsid w:val="0071023A"/>
    <w:rsid w:val="00710366"/>
    <w:rsid w:val="00710410"/>
    <w:rsid w:val="00710607"/>
    <w:rsid w:val="0071086F"/>
    <w:rsid w:val="0071098E"/>
    <w:rsid w:val="00710AAD"/>
    <w:rsid w:val="0071102B"/>
    <w:rsid w:val="007110A8"/>
    <w:rsid w:val="0071136F"/>
    <w:rsid w:val="00711412"/>
    <w:rsid w:val="00711448"/>
    <w:rsid w:val="00711598"/>
    <w:rsid w:val="00711877"/>
    <w:rsid w:val="00711960"/>
    <w:rsid w:val="007119B4"/>
    <w:rsid w:val="007119CA"/>
    <w:rsid w:val="00711DF6"/>
    <w:rsid w:val="007120AF"/>
    <w:rsid w:val="007121B7"/>
    <w:rsid w:val="0071232A"/>
    <w:rsid w:val="007123C0"/>
    <w:rsid w:val="007124E8"/>
    <w:rsid w:val="00712597"/>
    <w:rsid w:val="00712755"/>
    <w:rsid w:val="00712777"/>
    <w:rsid w:val="00712813"/>
    <w:rsid w:val="00712896"/>
    <w:rsid w:val="00712B31"/>
    <w:rsid w:val="00712B7B"/>
    <w:rsid w:val="00712D7F"/>
    <w:rsid w:val="00712FF2"/>
    <w:rsid w:val="0071302C"/>
    <w:rsid w:val="007131E2"/>
    <w:rsid w:val="007132CE"/>
    <w:rsid w:val="0071347D"/>
    <w:rsid w:val="007135B6"/>
    <w:rsid w:val="00713627"/>
    <w:rsid w:val="007137C8"/>
    <w:rsid w:val="0071394A"/>
    <w:rsid w:val="00713A7F"/>
    <w:rsid w:val="00713BC7"/>
    <w:rsid w:val="00713D6B"/>
    <w:rsid w:val="00713D77"/>
    <w:rsid w:val="00713E14"/>
    <w:rsid w:val="00713E8A"/>
    <w:rsid w:val="00713FB8"/>
    <w:rsid w:val="007141FC"/>
    <w:rsid w:val="00714282"/>
    <w:rsid w:val="007146D5"/>
    <w:rsid w:val="00714933"/>
    <w:rsid w:val="00714CFB"/>
    <w:rsid w:val="00714E0F"/>
    <w:rsid w:val="00714ECC"/>
    <w:rsid w:val="00714F68"/>
    <w:rsid w:val="00715015"/>
    <w:rsid w:val="007150BC"/>
    <w:rsid w:val="00715170"/>
    <w:rsid w:val="0071579E"/>
    <w:rsid w:val="0071590E"/>
    <w:rsid w:val="00715AB8"/>
    <w:rsid w:val="00715BC3"/>
    <w:rsid w:val="00715F6A"/>
    <w:rsid w:val="00715FDE"/>
    <w:rsid w:val="0071606A"/>
    <w:rsid w:val="007160FC"/>
    <w:rsid w:val="00716161"/>
    <w:rsid w:val="00716421"/>
    <w:rsid w:val="0071663C"/>
    <w:rsid w:val="00716642"/>
    <w:rsid w:val="007168CA"/>
    <w:rsid w:val="007168FF"/>
    <w:rsid w:val="00716992"/>
    <w:rsid w:val="00716B25"/>
    <w:rsid w:val="00716B36"/>
    <w:rsid w:val="00716BF5"/>
    <w:rsid w:val="00716C67"/>
    <w:rsid w:val="00716D62"/>
    <w:rsid w:val="00716D6F"/>
    <w:rsid w:val="00716E0E"/>
    <w:rsid w:val="007175BA"/>
    <w:rsid w:val="00717A40"/>
    <w:rsid w:val="00717AD2"/>
    <w:rsid w:val="00717AFE"/>
    <w:rsid w:val="00717B6E"/>
    <w:rsid w:val="00717BD6"/>
    <w:rsid w:val="00717D14"/>
    <w:rsid w:val="00717D17"/>
    <w:rsid w:val="0072029A"/>
    <w:rsid w:val="007204C8"/>
    <w:rsid w:val="00720AD1"/>
    <w:rsid w:val="00720CBA"/>
    <w:rsid w:val="00720DD2"/>
    <w:rsid w:val="00721019"/>
    <w:rsid w:val="007210FD"/>
    <w:rsid w:val="007211B4"/>
    <w:rsid w:val="007211EA"/>
    <w:rsid w:val="00721203"/>
    <w:rsid w:val="00721378"/>
    <w:rsid w:val="007213E5"/>
    <w:rsid w:val="0072140B"/>
    <w:rsid w:val="00721B31"/>
    <w:rsid w:val="00721DDA"/>
    <w:rsid w:val="00721EA1"/>
    <w:rsid w:val="0072205F"/>
    <w:rsid w:val="00722133"/>
    <w:rsid w:val="007223FC"/>
    <w:rsid w:val="00722448"/>
    <w:rsid w:val="00722548"/>
    <w:rsid w:val="0072257F"/>
    <w:rsid w:val="0072276A"/>
    <w:rsid w:val="0072279E"/>
    <w:rsid w:val="007227FD"/>
    <w:rsid w:val="007229B2"/>
    <w:rsid w:val="00722DEE"/>
    <w:rsid w:val="00722E4E"/>
    <w:rsid w:val="00722F34"/>
    <w:rsid w:val="00722FAA"/>
    <w:rsid w:val="0072303A"/>
    <w:rsid w:val="0072313C"/>
    <w:rsid w:val="00723167"/>
    <w:rsid w:val="00723195"/>
    <w:rsid w:val="007234AF"/>
    <w:rsid w:val="0072355A"/>
    <w:rsid w:val="00723772"/>
    <w:rsid w:val="0072379B"/>
    <w:rsid w:val="00723836"/>
    <w:rsid w:val="00723850"/>
    <w:rsid w:val="00723978"/>
    <w:rsid w:val="00723F17"/>
    <w:rsid w:val="00724052"/>
    <w:rsid w:val="0072420C"/>
    <w:rsid w:val="00724219"/>
    <w:rsid w:val="00724264"/>
    <w:rsid w:val="00724383"/>
    <w:rsid w:val="007244AF"/>
    <w:rsid w:val="007245DB"/>
    <w:rsid w:val="00724679"/>
    <w:rsid w:val="00724830"/>
    <w:rsid w:val="0072496D"/>
    <w:rsid w:val="00724A1B"/>
    <w:rsid w:val="00724B80"/>
    <w:rsid w:val="00724B8E"/>
    <w:rsid w:val="00724BB3"/>
    <w:rsid w:val="00724BCE"/>
    <w:rsid w:val="00724C03"/>
    <w:rsid w:val="00724C5A"/>
    <w:rsid w:val="00724D37"/>
    <w:rsid w:val="00724E62"/>
    <w:rsid w:val="00724EF8"/>
    <w:rsid w:val="00724FEA"/>
    <w:rsid w:val="00725160"/>
    <w:rsid w:val="00725215"/>
    <w:rsid w:val="0072532F"/>
    <w:rsid w:val="0072584C"/>
    <w:rsid w:val="0072591F"/>
    <w:rsid w:val="00725ABC"/>
    <w:rsid w:val="00725AE4"/>
    <w:rsid w:val="00725C2E"/>
    <w:rsid w:val="00725E42"/>
    <w:rsid w:val="00725EB4"/>
    <w:rsid w:val="0072605B"/>
    <w:rsid w:val="00726141"/>
    <w:rsid w:val="0072653A"/>
    <w:rsid w:val="007269B1"/>
    <w:rsid w:val="007269E5"/>
    <w:rsid w:val="00726A08"/>
    <w:rsid w:val="00726F63"/>
    <w:rsid w:val="0072701C"/>
    <w:rsid w:val="007271A4"/>
    <w:rsid w:val="007271B9"/>
    <w:rsid w:val="007273F0"/>
    <w:rsid w:val="00727661"/>
    <w:rsid w:val="007278F3"/>
    <w:rsid w:val="00727A8A"/>
    <w:rsid w:val="00727BC0"/>
    <w:rsid w:val="00727DD7"/>
    <w:rsid w:val="00727E20"/>
    <w:rsid w:val="00727FB1"/>
    <w:rsid w:val="0073001A"/>
    <w:rsid w:val="00730176"/>
    <w:rsid w:val="00730178"/>
    <w:rsid w:val="007303C6"/>
    <w:rsid w:val="007303D4"/>
    <w:rsid w:val="007305B4"/>
    <w:rsid w:val="007305E0"/>
    <w:rsid w:val="0073063A"/>
    <w:rsid w:val="0073066E"/>
    <w:rsid w:val="00730685"/>
    <w:rsid w:val="00730826"/>
    <w:rsid w:val="00730857"/>
    <w:rsid w:val="0073092D"/>
    <w:rsid w:val="007309FD"/>
    <w:rsid w:val="00730A24"/>
    <w:rsid w:val="00730BA9"/>
    <w:rsid w:val="00730BB0"/>
    <w:rsid w:val="00730CB2"/>
    <w:rsid w:val="00730CD6"/>
    <w:rsid w:val="00730D10"/>
    <w:rsid w:val="00730D86"/>
    <w:rsid w:val="00730E0C"/>
    <w:rsid w:val="00730F49"/>
    <w:rsid w:val="0073100F"/>
    <w:rsid w:val="0073121F"/>
    <w:rsid w:val="00731357"/>
    <w:rsid w:val="0073147D"/>
    <w:rsid w:val="0073178B"/>
    <w:rsid w:val="007318EC"/>
    <w:rsid w:val="00731A9D"/>
    <w:rsid w:val="00731AEA"/>
    <w:rsid w:val="00731B04"/>
    <w:rsid w:val="00731DB3"/>
    <w:rsid w:val="00731E49"/>
    <w:rsid w:val="0073207F"/>
    <w:rsid w:val="007325CF"/>
    <w:rsid w:val="00732785"/>
    <w:rsid w:val="007327BB"/>
    <w:rsid w:val="00732A03"/>
    <w:rsid w:val="00732A90"/>
    <w:rsid w:val="00732B33"/>
    <w:rsid w:val="00732B60"/>
    <w:rsid w:val="00732BFD"/>
    <w:rsid w:val="00732C85"/>
    <w:rsid w:val="00732D89"/>
    <w:rsid w:val="00732D9F"/>
    <w:rsid w:val="00732DBA"/>
    <w:rsid w:val="00732E63"/>
    <w:rsid w:val="00732EB1"/>
    <w:rsid w:val="00733014"/>
    <w:rsid w:val="007330F6"/>
    <w:rsid w:val="007331A3"/>
    <w:rsid w:val="00733218"/>
    <w:rsid w:val="007332EB"/>
    <w:rsid w:val="00733520"/>
    <w:rsid w:val="007336A9"/>
    <w:rsid w:val="007336EA"/>
    <w:rsid w:val="00733A9C"/>
    <w:rsid w:val="00733BC6"/>
    <w:rsid w:val="00733D73"/>
    <w:rsid w:val="00733ECA"/>
    <w:rsid w:val="0073402E"/>
    <w:rsid w:val="00734042"/>
    <w:rsid w:val="00734260"/>
    <w:rsid w:val="0073431F"/>
    <w:rsid w:val="0073435D"/>
    <w:rsid w:val="0073452A"/>
    <w:rsid w:val="00734578"/>
    <w:rsid w:val="00734628"/>
    <w:rsid w:val="0073473B"/>
    <w:rsid w:val="0073477D"/>
    <w:rsid w:val="0073482B"/>
    <w:rsid w:val="00734966"/>
    <w:rsid w:val="0073498F"/>
    <w:rsid w:val="007349E3"/>
    <w:rsid w:val="00734A0E"/>
    <w:rsid w:val="00734AB9"/>
    <w:rsid w:val="00734D7D"/>
    <w:rsid w:val="00734F5C"/>
    <w:rsid w:val="0073530F"/>
    <w:rsid w:val="0073542E"/>
    <w:rsid w:val="00735716"/>
    <w:rsid w:val="0073587C"/>
    <w:rsid w:val="00735944"/>
    <w:rsid w:val="00735A0E"/>
    <w:rsid w:val="00735BF2"/>
    <w:rsid w:val="00735CFC"/>
    <w:rsid w:val="00735E9A"/>
    <w:rsid w:val="0073618C"/>
    <w:rsid w:val="007361EB"/>
    <w:rsid w:val="007361F7"/>
    <w:rsid w:val="007363A3"/>
    <w:rsid w:val="00736419"/>
    <w:rsid w:val="0073651C"/>
    <w:rsid w:val="0073680F"/>
    <w:rsid w:val="0073689E"/>
    <w:rsid w:val="0073690E"/>
    <w:rsid w:val="00736A8B"/>
    <w:rsid w:val="00736C0B"/>
    <w:rsid w:val="00736DB6"/>
    <w:rsid w:val="00736EE0"/>
    <w:rsid w:val="00736F0E"/>
    <w:rsid w:val="00737208"/>
    <w:rsid w:val="00737227"/>
    <w:rsid w:val="00737298"/>
    <w:rsid w:val="0073732A"/>
    <w:rsid w:val="00737493"/>
    <w:rsid w:val="00737548"/>
    <w:rsid w:val="0073760E"/>
    <w:rsid w:val="00737720"/>
    <w:rsid w:val="007378CB"/>
    <w:rsid w:val="007379B5"/>
    <w:rsid w:val="007379D5"/>
    <w:rsid w:val="00737D1C"/>
    <w:rsid w:val="0074014D"/>
    <w:rsid w:val="00740252"/>
    <w:rsid w:val="00740382"/>
    <w:rsid w:val="00740483"/>
    <w:rsid w:val="007404D4"/>
    <w:rsid w:val="00740608"/>
    <w:rsid w:val="00740737"/>
    <w:rsid w:val="00740C19"/>
    <w:rsid w:val="00740E95"/>
    <w:rsid w:val="00740EE0"/>
    <w:rsid w:val="00740FD5"/>
    <w:rsid w:val="00740FF0"/>
    <w:rsid w:val="0074121A"/>
    <w:rsid w:val="00741220"/>
    <w:rsid w:val="007412B4"/>
    <w:rsid w:val="007412C1"/>
    <w:rsid w:val="007414FF"/>
    <w:rsid w:val="0074152D"/>
    <w:rsid w:val="007415C2"/>
    <w:rsid w:val="007415D1"/>
    <w:rsid w:val="007416C7"/>
    <w:rsid w:val="007417D2"/>
    <w:rsid w:val="0074192F"/>
    <w:rsid w:val="007419A4"/>
    <w:rsid w:val="00741B62"/>
    <w:rsid w:val="00741DAC"/>
    <w:rsid w:val="007421D8"/>
    <w:rsid w:val="007421E2"/>
    <w:rsid w:val="007423B5"/>
    <w:rsid w:val="007424E3"/>
    <w:rsid w:val="00742502"/>
    <w:rsid w:val="00742541"/>
    <w:rsid w:val="00742549"/>
    <w:rsid w:val="00742CA8"/>
    <w:rsid w:val="00742E9C"/>
    <w:rsid w:val="00742F46"/>
    <w:rsid w:val="00742F7A"/>
    <w:rsid w:val="007431F4"/>
    <w:rsid w:val="00743333"/>
    <w:rsid w:val="00743366"/>
    <w:rsid w:val="007433AD"/>
    <w:rsid w:val="007435B4"/>
    <w:rsid w:val="00743699"/>
    <w:rsid w:val="00743977"/>
    <w:rsid w:val="00743F3B"/>
    <w:rsid w:val="00743FE4"/>
    <w:rsid w:val="007445BB"/>
    <w:rsid w:val="007447F1"/>
    <w:rsid w:val="007449BD"/>
    <w:rsid w:val="007449DD"/>
    <w:rsid w:val="00744B24"/>
    <w:rsid w:val="00744BC1"/>
    <w:rsid w:val="00744C24"/>
    <w:rsid w:val="00744CA6"/>
    <w:rsid w:val="00744CCA"/>
    <w:rsid w:val="00744CD4"/>
    <w:rsid w:val="00744EAF"/>
    <w:rsid w:val="00744F83"/>
    <w:rsid w:val="00744F84"/>
    <w:rsid w:val="00745278"/>
    <w:rsid w:val="007454A0"/>
    <w:rsid w:val="00745585"/>
    <w:rsid w:val="007455A0"/>
    <w:rsid w:val="007456D7"/>
    <w:rsid w:val="00745769"/>
    <w:rsid w:val="00745790"/>
    <w:rsid w:val="007458EB"/>
    <w:rsid w:val="00745979"/>
    <w:rsid w:val="00745C74"/>
    <w:rsid w:val="00745CBD"/>
    <w:rsid w:val="00745D72"/>
    <w:rsid w:val="00745E00"/>
    <w:rsid w:val="00745E44"/>
    <w:rsid w:val="00745F35"/>
    <w:rsid w:val="00745F57"/>
    <w:rsid w:val="0074616A"/>
    <w:rsid w:val="007461B7"/>
    <w:rsid w:val="0074630B"/>
    <w:rsid w:val="0074650E"/>
    <w:rsid w:val="007465B7"/>
    <w:rsid w:val="0074661B"/>
    <w:rsid w:val="007467CC"/>
    <w:rsid w:val="007467F5"/>
    <w:rsid w:val="00746828"/>
    <w:rsid w:val="00746901"/>
    <w:rsid w:val="00746C5D"/>
    <w:rsid w:val="007473A8"/>
    <w:rsid w:val="0074754B"/>
    <w:rsid w:val="00747852"/>
    <w:rsid w:val="0074798B"/>
    <w:rsid w:val="00747A57"/>
    <w:rsid w:val="00747CF9"/>
    <w:rsid w:val="00747D1A"/>
    <w:rsid w:val="00747D52"/>
    <w:rsid w:val="00747D8A"/>
    <w:rsid w:val="00747E02"/>
    <w:rsid w:val="00747E79"/>
    <w:rsid w:val="0075008C"/>
    <w:rsid w:val="00750188"/>
    <w:rsid w:val="00750249"/>
    <w:rsid w:val="00750521"/>
    <w:rsid w:val="0075054A"/>
    <w:rsid w:val="007505EC"/>
    <w:rsid w:val="0075060E"/>
    <w:rsid w:val="0075080F"/>
    <w:rsid w:val="00750850"/>
    <w:rsid w:val="0075095F"/>
    <w:rsid w:val="007509F1"/>
    <w:rsid w:val="00750A17"/>
    <w:rsid w:val="00750A7B"/>
    <w:rsid w:val="00750BFA"/>
    <w:rsid w:val="00750F0C"/>
    <w:rsid w:val="00750F44"/>
    <w:rsid w:val="00750F76"/>
    <w:rsid w:val="00751118"/>
    <w:rsid w:val="00751169"/>
    <w:rsid w:val="00751174"/>
    <w:rsid w:val="0075121B"/>
    <w:rsid w:val="0075131A"/>
    <w:rsid w:val="007515E7"/>
    <w:rsid w:val="0075163E"/>
    <w:rsid w:val="007516FE"/>
    <w:rsid w:val="00751909"/>
    <w:rsid w:val="00751A72"/>
    <w:rsid w:val="00751A90"/>
    <w:rsid w:val="00751B94"/>
    <w:rsid w:val="00751CF6"/>
    <w:rsid w:val="00751D3E"/>
    <w:rsid w:val="00751D9A"/>
    <w:rsid w:val="00751ECE"/>
    <w:rsid w:val="00751F2D"/>
    <w:rsid w:val="00751F2E"/>
    <w:rsid w:val="00751FCA"/>
    <w:rsid w:val="00752010"/>
    <w:rsid w:val="0075204E"/>
    <w:rsid w:val="00752227"/>
    <w:rsid w:val="00752309"/>
    <w:rsid w:val="007524A1"/>
    <w:rsid w:val="007526CD"/>
    <w:rsid w:val="007526CF"/>
    <w:rsid w:val="007528B9"/>
    <w:rsid w:val="00752959"/>
    <w:rsid w:val="00752A6F"/>
    <w:rsid w:val="00752B99"/>
    <w:rsid w:val="00752BE1"/>
    <w:rsid w:val="00752C92"/>
    <w:rsid w:val="00752D2F"/>
    <w:rsid w:val="00753034"/>
    <w:rsid w:val="007530B8"/>
    <w:rsid w:val="0075319E"/>
    <w:rsid w:val="00753206"/>
    <w:rsid w:val="00753235"/>
    <w:rsid w:val="0075326F"/>
    <w:rsid w:val="00753421"/>
    <w:rsid w:val="00753429"/>
    <w:rsid w:val="007534E1"/>
    <w:rsid w:val="00753539"/>
    <w:rsid w:val="007537EC"/>
    <w:rsid w:val="007537F4"/>
    <w:rsid w:val="007538CB"/>
    <w:rsid w:val="00753925"/>
    <w:rsid w:val="00753B09"/>
    <w:rsid w:val="00753B31"/>
    <w:rsid w:val="00753B32"/>
    <w:rsid w:val="00753B53"/>
    <w:rsid w:val="00753C1C"/>
    <w:rsid w:val="00753D7F"/>
    <w:rsid w:val="00753E8F"/>
    <w:rsid w:val="00753FCB"/>
    <w:rsid w:val="0075410C"/>
    <w:rsid w:val="007541CE"/>
    <w:rsid w:val="00754205"/>
    <w:rsid w:val="007542AF"/>
    <w:rsid w:val="007544EF"/>
    <w:rsid w:val="0075450E"/>
    <w:rsid w:val="00754558"/>
    <w:rsid w:val="007545A1"/>
    <w:rsid w:val="00754682"/>
    <w:rsid w:val="007546FD"/>
    <w:rsid w:val="0075480C"/>
    <w:rsid w:val="00754869"/>
    <w:rsid w:val="007548B5"/>
    <w:rsid w:val="00754A10"/>
    <w:rsid w:val="00754AD1"/>
    <w:rsid w:val="00754BF7"/>
    <w:rsid w:val="00754C67"/>
    <w:rsid w:val="00754D96"/>
    <w:rsid w:val="0075503B"/>
    <w:rsid w:val="0075512E"/>
    <w:rsid w:val="007551E0"/>
    <w:rsid w:val="0075527E"/>
    <w:rsid w:val="007554A4"/>
    <w:rsid w:val="007556BC"/>
    <w:rsid w:val="007556CC"/>
    <w:rsid w:val="00755890"/>
    <w:rsid w:val="00755B65"/>
    <w:rsid w:val="007560FD"/>
    <w:rsid w:val="00756219"/>
    <w:rsid w:val="0075628C"/>
    <w:rsid w:val="00756732"/>
    <w:rsid w:val="0075674E"/>
    <w:rsid w:val="007567A8"/>
    <w:rsid w:val="00756815"/>
    <w:rsid w:val="00756A7D"/>
    <w:rsid w:val="00756A8D"/>
    <w:rsid w:val="00756C0B"/>
    <w:rsid w:val="00756C76"/>
    <w:rsid w:val="00756DC4"/>
    <w:rsid w:val="00756E00"/>
    <w:rsid w:val="00756E1A"/>
    <w:rsid w:val="00756F0D"/>
    <w:rsid w:val="007570F6"/>
    <w:rsid w:val="00757324"/>
    <w:rsid w:val="00757596"/>
    <w:rsid w:val="007575A8"/>
    <w:rsid w:val="00757ADA"/>
    <w:rsid w:val="00757B65"/>
    <w:rsid w:val="00757D1B"/>
    <w:rsid w:val="00757D39"/>
    <w:rsid w:val="00757DC0"/>
    <w:rsid w:val="00757FAB"/>
    <w:rsid w:val="00760367"/>
    <w:rsid w:val="00760494"/>
    <w:rsid w:val="00760756"/>
    <w:rsid w:val="0076094D"/>
    <w:rsid w:val="00760A12"/>
    <w:rsid w:val="00760C15"/>
    <w:rsid w:val="00760CF4"/>
    <w:rsid w:val="00760DC8"/>
    <w:rsid w:val="00760DCB"/>
    <w:rsid w:val="00760EB1"/>
    <w:rsid w:val="00760F11"/>
    <w:rsid w:val="00760F2C"/>
    <w:rsid w:val="00760FC9"/>
    <w:rsid w:val="007611DC"/>
    <w:rsid w:val="007612EC"/>
    <w:rsid w:val="007613F3"/>
    <w:rsid w:val="0076157E"/>
    <w:rsid w:val="0076165F"/>
    <w:rsid w:val="0076176E"/>
    <w:rsid w:val="0076186C"/>
    <w:rsid w:val="00761873"/>
    <w:rsid w:val="00761886"/>
    <w:rsid w:val="007618E9"/>
    <w:rsid w:val="0076195C"/>
    <w:rsid w:val="00761B2D"/>
    <w:rsid w:val="00761BDF"/>
    <w:rsid w:val="00761BE3"/>
    <w:rsid w:val="00761C38"/>
    <w:rsid w:val="00761DA5"/>
    <w:rsid w:val="00761ECB"/>
    <w:rsid w:val="00762025"/>
    <w:rsid w:val="0076206D"/>
    <w:rsid w:val="007623A1"/>
    <w:rsid w:val="00762659"/>
    <w:rsid w:val="00762782"/>
    <w:rsid w:val="00762815"/>
    <w:rsid w:val="00762880"/>
    <w:rsid w:val="00762916"/>
    <w:rsid w:val="007629A9"/>
    <w:rsid w:val="00762A81"/>
    <w:rsid w:val="00762B13"/>
    <w:rsid w:val="00762B50"/>
    <w:rsid w:val="00762B7E"/>
    <w:rsid w:val="00762C73"/>
    <w:rsid w:val="00762E1F"/>
    <w:rsid w:val="00762EF8"/>
    <w:rsid w:val="00762F2C"/>
    <w:rsid w:val="007631A9"/>
    <w:rsid w:val="00763291"/>
    <w:rsid w:val="00763357"/>
    <w:rsid w:val="0076341E"/>
    <w:rsid w:val="00763865"/>
    <w:rsid w:val="007639F3"/>
    <w:rsid w:val="00763AD4"/>
    <w:rsid w:val="00763C53"/>
    <w:rsid w:val="00763CA2"/>
    <w:rsid w:val="00763CA8"/>
    <w:rsid w:val="00763CF3"/>
    <w:rsid w:val="00763D23"/>
    <w:rsid w:val="00763D3B"/>
    <w:rsid w:val="00763D73"/>
    <w:rsid w:val="00763F96"/>
    <w:rsid w:val="0076402A"/>
    <w:rsid w:val="007641C6"/>
    <w:rsid w:val="00764244"/>
    <w:rsid w:val="007642AD"/>
    <w:rsid w:val="007645C5"/>
    <w:rsid w:val="007645E4"/>
    <w:rsid w:val="00764689"/>
    <w:rsid w:val="007648C0"/>
    <w:rsid w:val="00764A91"/>
    <w:rsid w:val="00764AEC"/>
    <w:rsid w:val="00764DB5"/>
    <w:rsid w:val="00764DF6"/>
    <w:rsid w:val="00764F35"/>
    <w:rsid w:val="00764F86"/>
    <w:rsid w:val="00765022"/>
    <w:rsid w:val="00765419"/>
    <w:rsid w:val="0076547C"/>
    <w:rsid w:val="00765488"/>
    <w:rsid w:val="007654B0"/>
    <w:rsid w:val="00765581"/>
    <w:rsid w:val="007657E0"/>
    <w:rsid w:val="0076596C"/>
    <w:rsid w:val="00765A8B"/>
    <w:rsid w:val="00765C20"/>
    <w:rsid w:val="00765E05"/>
    <w:rsid w:val="007660BD"/>
    <w:rsid w:val="00766283"/>
    <w:rsid w:val="00766498"/>
    <w:rsid w:val="007664B1"/>
    <w:rsid w:val="00766517"/>
    <w:rsid w:val="00766585"/>
    <w:rsid w:val="0076664C"/>
    <w:rsid w:val="00766707"/>
    <w:rsid w:val="00766781"/>
    <w:rsid w:val="0076694B"/>
    <w:rsid w:val="00766A2B"/>
    <w:rsid w:val="00766AB7"/>
    <w:rsid w:val="00766B75"/>
    <w:rsid w:val="00766D95"/>
    <w:rsid w:val="00766F0E"/>
    <w:rsid w:val="007670CA"/>
    <w:rsid w:val="0076722A"/>
    <w:rsid w:val="0076732C"/>
    <w:rsid w:val="00767427"/>
    <w:rsid w:val="0076752C"/>
    <w:rsid w:val="00767640"/>
    <w:rsid w:val="007676C5"/>
    <w:rsid w:val="007677BD"/>
    <w:rsid w:val="00767B85"/>
    <w:rsid w:val="00767D8B"/>
    <w:rsid w:val="00767D94"/>
    <w:rsid w:val="00767E52"/>
    <w:rsid w:val="00768260"/>
    <w:rsid w:val="007700FD"/>
    <w:rsid w:val="007701C8"/>
    <w:rsid w:val="007701F9"/>
    <w:rsid w:val="0077050C"/>
    <w:rsid w:val="007705F4"/>
    <w:rsid w:val="00770776"/>
    <w:rsid w:val="00770882"/>
    <w:rsid w:val="00770952"/>
    <w:rsid w:val="00770998"/>
    <w:rsid w:val="00770A12"/>
    <w:rsid w:val="00770AB3"/>
    <w:rsid w:val="00770ACA"/>
    <w:rsid w:val="00770B36"/>
    <w:rsid w:val="00770C8D"/>
    <w:rsid w:val="00770D22"/>
    <w:rsid w:val="007711A5"/>
    <w:rsid w:val="00771607"/>
    <w:rsid w:val="0077182F"/>
    <w:rsid w:val="007718D8"/>
    <w:rsid w:val="00771A9C"/>
    <w:rsid w:val="00771C2A"/>
    <w:rsid w:val="00771DC9"/>
    <w:rsid w:val="0077210E"/>
    <w:rsid w:val="00772147"/>
    <w:rsid w:val="0077231A"/>
    <w:rsid w:val="00772623"/>
    <w:rsid w:val="0077277F"/>
    <w:rsid w:val="007728D0"/>
    <w:rsid w:val="00772908"/>
    <w:rsid w:val="00772A50"/>
    <w:rsid w:val="00772C2A"/>
    <w:rsid w:val="00772C2F"/>
    <w:rsid w:val="00772C38"/>
    <w:rsid w:val="00772C8F"/>
    <w:rsid w:val="00772CD7"/>
    <w:rsid w:val="00772D24"/>
    <w:rsid w:val="00772E5C"/>
    <w:rsid w:val="00772F4B"/>
    <w:rsid w:val="00773052"/>
    <w:rsid w:val="00773336"/>
    <w:rsid w:val="0077335E"/>
    <w:rsid w:val="0077349C"/>
    <w:rsid w:val="0077358B"/>
    <w:rsid w:val="007739E4"/>
    <w:rsid w:val="00773A55"/>
    <w:rsid w:val="00773B96"/>
    <w:rsid w:val="00773C9C"/>
    <w:rsid w:val="007740A5"/>
    <w:rsid w:val="00774311"/>
    <w:rsid w:val="00774482"/>
    <w:rsid w:val="00774586"/>
    <w:rsid w:val="007745E6"/>
    <w:rsid w:val="00774633"/>
    <w:rsid w:val="00774838"/>
    <w:rsid w:val="00774B62"/>
    <w:rsid w:val="00774B81"/>
    <w:rsid w:val="00774B8C"/>
    <w:rsid w:val="00774B9B"/>
    <w:rsid w:val="00774C62"/>
    <w:rsid w:val="00774DC5"/>
    <w:rsid w:val="00774F64"/>
    <w:rsid w:val="00774FC7"/>
    <w:rsid w:val="00775097"/>
    <w:rsid w:val="007750F9"/>
    <w:rsid w:val="00775232"/>
    <w:rsid w:val="007753F4"/>
    <w:rsid w:val="0077543A"/>
    <w:rsid w:val="0077586A"/>
    <w:rsid w:val="00775B85"/>
    <w:rsid w:val="00775D18"/>
    <w:rsid w:val="0077640D"/>
    <w:rsid w:val="00776542"/>
    <w:rsid w:val="0077665E"/>
    <w:rsid w:val="00776665"/>
    <w:rsid w:val="0077687C"/>
    <w:rsid w:val="00776CDC"/>
    <w:rsid w:val="00776D38"/>
    <w:rsid w:val="00776E16"/>
    <w:rsid w:val="00776FA5"/>
    <w:rsid w:val="00776FBC"/>
    <w:rsid w:val="007776E0"/>
    <w:rsid w:val="00777A9A"/>
    <w:rsid w:val="00777AB7"/>
    <w:rsid w:val="00777BC2"/>
    <w:rsid w:val="00777C70"/>
    <w:rsid w:val="00777DD1"/>
    <w:rsid w:val="00777E00"/>
    <w:rsid w:val="007802C8"/>
    <w:rsid w:val="0078057C"/>
    <w:rsid w:val="007806A1"/>
    <w:rsid w:val="0078071A"/>
    <w:rsid w:val="00780905"/>
    <w:rsid w:val="0078096A"/>
    <w:rsid w:val="00780A5F"/>
    <w:rsid w:val="00780AFF"/>
    <w:rsid w:val="00780B59"/>
    <w:rsid w:val="00780BA6"/>
    <w:rsid w:val="00780DA1"/>
    <w:rsid w:val="00780E63"/>
    <w:rsid w:val="00780F23"/>
    <w:rsid w:val="00780F4C"/>
    <w:rsid w:val="00780F9A"/>
    <w:rsid w:val="007810CA"/>
    <w:rsid w:val="007813E6"/>
    <w:rsid w:val="00781435"/>
    <w:rsid w:val="007815C2"/>
    <w:rsid w:val="00781692"/>
    <w:rsid w:val="007817E9"/>
    <w:rsid w:val="00781911"/>
    <w:rsid w:val="0078194E"/>
    <w:rsid w:val="00781B12"/>
    <w:rsid w:val="00781B16"/>
    <w:rsid w:val="00781B1B"/>
    <w:rsid w:val="00781B24"/>
    <w:rsid w:val="00781B7A"/>
    <w:rsid w:val="00781EEF"/>
    <w:rsid w:val="00782152"/>
    <w:rsid w:val="0078217E"/>
    <w:rsid w:val="007822DE"/>
    <w:rsid w:val="00782360"/>
    <w:rsid w:val="00782437"/>
    <w:rsid w:val="00782517"/>
    <w:rsid w:val="00782675"/>
    <w:rsid w:val="00782F3E"/>
    <w:rsid w:val="00782FE9"/>
    <w:rsid w:val="00783298"/>
    <w:rsid w:val="00783318"/>
    <w:rsid w:val="007837FB"/>
    <w:rsid w:val="0078382F"/>
    <w:rsid w:val="00783865"/>
    <w:rsid w:val="00783C1A"/>
    <w:rsid w:val="00783D49"/>
    <w:rsid w:val="00784162"/>
    <w:rsid w:val="00784229"/>
    <w:rsid w:val="0078484C"/>
    <w:rsid w:val="0078488E"/>
    <w:rsid w:val="007849E6"/>
    <w:rsid w:val="00784D9F"/>
    <w:rsid w:val="00784EBB"/>
    <w:rsid w:val="00784FFD"/>
    <w:rsid w:val="00785459"/>
    <w:rsid w:val="00785518"/>
    <w:rsid w:val="00785856"/>
    <w:rsid w:val="00785AC6"/>
    <w:rsid w:val="00785B1F"/>
    <w:rsid w:val="00785B58"/>
    <w:rsid w:val="00785BEA"/>
    <w:rsid w:val="00785C23"/>
    <w:rsid w:val="00786316"/>
    <w:rsid w:val="007863ED"/>
    <w:rsid w:val="007864E6"/>
    <w:rsid w:val="007865B7"/>
    <w:rsid w:val="007866FF"/>
    <w:rsid w:val="0078670A"/>
    <w:rsid w:val="007867D9"/>
    <w:rsid w:val="0078683B"/>
    <w:rsid w:val="0078704A"/>
    <w:rsid w:val="00787060"/>
    <w:rsid w:val="007870DA"/>
    <w:rsid w:val="007872CB"/>
    <w:rsid w:val="007875A0"/>
    <w:rsid w:val="00787930"/>
    <w:rsid w:val="00787A49"/>
    <w:rsid w:val="00787AA9"/>
    <w:rsid w:val="00787AB2"/>
    <w:rsid w:val="00787BBB"/>
    <w:rsid w:val="00787BFD"/>
    <w:rsid w:val="00787CD0"/>
    <w:rsid w:val="00787F1E"/>
    <w:rsid w:val="00787F76"/>
    <w:rsid w:val="00787FB4"/>
    <w:rsid w:val="0079029C"/>
    <w:rsid w:val="00790336"/>
    <w:rsid w:val="0079039F"/>
    <w:rsid w:val="007904C8"/>
    <w:rsid w:val="0079060F"/>
    <w:rsid w:val="007906A1"/>
    <w:rsid w:val="00790786"/>
    <w:rsid w:val="00790828"/>
    <w:rsid w:val="00790C65"/>
    <w:rsid w:val="00790D5E"/>
    <w:rsid w:val="00791181"/>
    <w:rsid w:val="0079123A"/>
    <w:rsid w:val="00791287"/>
    <w:rsid w:val="0079138F"/>
    <w:rsid w:val="007917A3"/>
    <w:rsid w:val="007917D8"/>
    <w:rsid w:val="007919E2"/>
    <w:rsid w:val="00791B0F"/>
    <w:rsid w:val="00791B42"/>
    <w:rsid w:val="00791B72"/>
    <w:rsid w:val="00791D71"/>
    <w:rsid w:val="00791F8D"/>
    <w:rsid w:val="00792013"/>
    <w:rsid w:val="00792169"/>
    <w:rsid w:val="00792538"/>
    <w:rsid w:val="0079259C"/>
    <w:rsid w:val="007928BA"/>
    <w:rsid w:val="007928C6"/>
    <w:rsid w:val="00792A05"/>
    <w:rsid w:val="00792C1F"/>
    <w:rsid w:val="00792C8C"/>
    <w:rsid w:val="00792D74"/>
    <w:rsid w:val="00792E46"/>
    <w:rsid w:val="00792E97"/>
    <w:rsid w:val="00792E9F"/>
    <w:rsid w:val="00792F3A"/>
    <w:rsid w:val="007930E5"/>
    <w:rsid w:val="00793137"/>
    <w:rsid w:val="007932F0"/>
    <w:rsid w:val="0079330C"/>
    <w:rsid w:val="0079333F"/>
    <w:rsid w:val="0079354C"/>
    <w:rsid w:val="00793814"/>
    <w:rsid w:val="007938F7"/>
    <w:rsid w:val="00793981"/>
    <w:rsid w:val="00793A98"/>
    <w:rsid w:val="00793C0A"/>
    <w:rsid w:val="00793D8F"/>
    <w:rsid w:val="00793EF7"/>
    <w:rsid w:val="00794065"/>
    <w:rsid w:val="0079415D"/>
    <w:rsid w:val="0079425E"/>
    <w:rsid w:val="0079434E"/>
    <w:rsid w:val="00794401"/>
    <w:rsid w:val="00794543"/>
    <w:rsid w:val="0079459A"/>
    <w:rsid w:val="0079480B"/>
    <w:rsid w:val="00794903"/>
    <w:rsid w:val="0079490F"/>
    <w:rsid w:val="00794A68"/>
    <w:rsid w:val="00794B2C"/>
    <w:rsid w:val="00794D77"/>
    <w:rsid w:val="00794DDF"/>
    <w:rsid w:val="00794E59"/>
    <w:rsid w:val="00794EC3"/>
    <w:rsid w:val="00794F31"/>
    <w:rsid w:val="00794F85"/>
    <w:rsid w:val="00794FAC"/>
    <w:rsid w:val="007950F4"/>
    <w:rsid w:val="0079515D"/>
    <w:rsid w:val="0079524E"/>
    <w:rsid w:val="0079527C"/>
    <w:rsid w:val="007952C2"/>
    <w:rsid w:val="007954D4"/>
    <w:rsid w:val="007957F2"/>
    <w:rsid w:val="007958B3"/>
    <w:rsid w:val="007959F1"/>
    <w:rsid w:val="00795DDE"/>
    <w:rsid w:val="00795F19"/>
    <w:rsid w:val="00795F27"/>
    <w:rsid w:val="0079608B"/>
    <w:rsid w:val="007962A7"/>
    <w:rsid w:val="007962F0"/>
    <w:rsid w:val="00796594"/>
    <w:rsid w:val="0079673B"/>
    <w:rsid w:val="007967D2"/>
    <w:rsid w:val="0079695B"/>
    <w:rsid w:val="0079695C"/>
    <w:rsid w:val="00796A66"/>
    <w:rsid w:val="00796BED"/>
    <w:rsid w:val="00796C01"/>
    <w:rsid w:val="00796FB6"/>
    <w:rsid w:val="00797298"/>
    <w:rsid w:val="0079741A"/>
    <w:rsid w:val="0079745F"/>
    <w:rsid w:val="00797640"/>
    <w:rsid w:val="00797788"/>
    <w:rsid w:val="007977A3"/>
    <w:rsid w:val="00797910"/>
    <w:rsid w:val="00797A33"/>
    <w:rsid w:val="00797A46"/>
    <w:rsid w:val="00797C10"/>
    <w:rsid w:val="00797DF1"/>
    <w:rsid w:val="007A00AA"/>
    <w:rsid w:val="007A00C3"/>
    <w:rsid w:val="007A00E3"/>
    <w:rsid w:val="007A035E"/>
    <w:rsid w:val="007A0438"/>
    <w:rsid w:val="007A050A"/>
    <w:rsid w:val="007A06A6"/>
    <w:rsid w:val="007A0917"/>
    <w:rsid w:val="007A09EF"/>
    <w:rsid w:val="007A09F2"/>
    <w:rsid w:val="007A0B9D"/>
    <w:rsid w:val="007A0CDE"/>
    <w:rsid w:val="007A0CF7"/>
    <w:rsid w:val="007A0F2B"/>
    <w:rsid w:val="007A0FE4"/>
    <w:rsid w:val="007A1096"/>
    <w:rsid w:val="007A116B"/>
    <w:rsid w:val="007A1175"/>
    <w:rsid w:val="007A11C8"/>
    <w:rsid w:val="007A1200"/>
    <w:rsid w:val="007A13AC"/>
    <w:rsid w:val="007A14C7"/>
    <w:rsid w:val="007A1527"/>
    <w:rsid w:val="007A1808"/>
    <w:rsid w:val="007A1865"/>
    <w:rsid w:val="007A1920"/>
    <w:rsid w:val="007A1C25"/>
    <w:rsid w:val="007A1C47"/>
    <w:rsid w:val="007A1CD0"/>
    <w:rsid w:val="007A1E64"/>
    <w:rsid w:val="007A1EC1"/>
    <w:rsid w:val="007A1F3D"/>
    <w:rsid w:val="007A1FB3"/>
    <w:rsid w:val="007A2288"/>
    <w:rsid w:val="007A2315"/>
    <w:rsid w:val="007A2334"/>
    <w:rsid w:val="007A2353"/>
    <w:rsid w:val="007A2400"/>
    <w:rsid w:val="007A2425"/>
    <w:rsid w:val="007A248F"/>
    <w:rsid w:val="007A25B6"/>
    <w:rsid w:val="007A2685"/>
    <w:rsid w:val="007A27FF"/>
    <w:rsid w:val="007A2903"/>
    <w:rsid w:val="007A2912"/>
    <w:rsid w:val="007A2A4D"/>
    <w:rsid w:val="007A2A63"/>
    <w:rsid w:val="007A2C69"/>
    <w:rsid w:val="007A2C76"/>
    <w:rsid w:val="007A2D1C"/>
    <w:rsid w:val="007A2F82"/>
    <w:rsid w:val="007A3309"/>
    <w:rsid w:val="007A3315"/>
    <w:rsid w:val="007A3386"/>
    <w:rsid w:val="007A3564"/>
    <w:rsid w:val="007A39FF"/>
    <w:rsid w:val="007A3A49"/>
    <w:rsid w:val="007A3BFA"/>
    <w:rsid w:val="007A3CCF"/>
    <w:rsid w:val="007A3D85"/>
    <w:rsid w:val="007A3F4A"/>
    <w:rsid w:val="007A3FB1"/>
    <w:rsid w:val="007A406A"/>
    <w:rsid w:val="007A40FB"/>
    <w:rsid w:val="007A4190"/>
    <w:rsid w:val="007A41D4"/>
    <w:rsid w:val="007A41DC"/>
    <w:rsid w:val="007A432B"/>
    <w:rsid w:val="007A45F6"/>
    <w:rsid w:val="007A4674"/>
    <w:rsid w:val="007A492A"/>
    <w:rsid w:val="007A4B39"/>
    <w:rsid w:val="007A4B84"/>
    <w:rsid w:val="007A4C07"/>
    <w:rsid w:val="007A4E21"/>
    <w:rsid w:val="007A4E5E"/>
    <w:rsid w:val="007A511F"/>
    <w:rsid w:val="007A51B6"/>
    <w:rsid w:val="007A5505"/>
    <w:rsid w:val="007A5695"/>
    <w:rsid w:val="007A56AE"/>
    <w:rsid w:val="007A57E3"/>
    <w:rsid w:val="007A585E"/>
    <w:rsid w:val="007A5AD4"/>
    <w:rsid w:val="007A5C5A"/>
    <w:rsid w:val="007A5C7D"/>
    <w:rsid w:val="007A5E19"/>
    <w:rsid w:val="007A5E79"/>
    <w:rsid w:val="007A5F14"/>
    <w:rsid w:val="007A604C"/>
    <w:rsid w:val="007A62DB"/>
    <w:rsid w:val="007A6322"/>
    <w:rsid w:val="007A6382"/>
    <w:rsid w:val="007A6429"/>
    <w:rsid w:val="007A6434"/>
    <w:rsid w:val="007A6443"/>
    <w:rsid w:val="007A6654"/>
    <w:rsid w:val="007A6808"/>
    <w:rsid w:val="007A6811"/>
    <w:rsid w:val="007A6850"/>
    <w:rsid w:val="007A698D"/>
    <w:rsid w:val="007A6C2E"/>
    <w:rsid w:val="007A6F81"/>
    <w:rsid w:val="007A708E"/>
    <w:rsid w:val="007A73C1"/>
    <w:rsid w:val="007A74FC"/>
    <w:rsid w:val="007A7569"/>
    <w:rsid w:val="007A7727"/>
    <w:rsid w:val="007A77B7"/>
    <w:rsid w:val="007A7887"/>
    <w:rsid w:val="007A7AA8"/>
    <w:rsid w:val="007A7B0E"/>
    <w:rsid w:val="007A7B7B"/>
    <w:rsid w:val="007A7DFE"/>
    <w:rsid w:val="007A7E7C"/>
    <w:rsid w:val="007A7FA5"/>
    <w:rsid w:val="007B028D"/>
    <w:rsid w:val="007B0403"/>
    <w:rsid w:val="007B0466"/>
    <w:rsid w:val="007B0794"/>
    <w:rsid w:val="007B07C0"/>
    <w:rsid w:val="007B0A84"/>
    <w:rsid w:val="007B0B00"/>
    <w:rsid w:val="007B0BCC"/>
    <w:rsid w:val="007B0DA0"/>
    <w:rsid w:val="007B0EE5"/>
    <w:rsid w:val="007B1075"/>
    <w:rsid w:val="007B1476"/>
    <w:rsid w:val="007B14BD"/>
    <w:rsid w:val="007B15A6"/>
    <w:rsid w:val="007B1679"/>
    <w:rsid w:val="007B1788"/>
    <w:rsid w:val="007B17E5"/>
    <w:rsid w:val="007B192E"/>
    <w:rsid w:val="007B1D25"/>
    <w:rsid w:val="007B2029"/>
    <w:rsid w:val="007B2039"/>
    <w:rsid w:val="007B218C"/>
    <w:rsid w:val="007B2276"/>
    <w:rsid w:val="007B2442"/>
    <w:rsid w:val="007B2460"/>
    <w:rsid w:val="007B24E0"/>
    <w:rsid w:val="007B25D7"/>
    <w:rsid w:val="007B26C4"/>
    <w:rsid w:val="007B2741"/>
    <w:rsid w:val="007B2763"/>
    <w:rsid w:val="007B28BD"/>
    <w:rsid w:val="007B29A8"/>
    <w:rsid w:val="007B2B98"/>
    <w:rsid w:val="007B2BE5"/>
    <w:rsid w:val="007B2C2A"/>
    <w:rsid w:val="007B31E7"/>
    <w:rsid w:val="007B3773"/>
    <w:rsid w:val="007B381A"/>
    <w:rsid w:val="007B3CBA"/>
    <w:rsid w:val="007B3D1B"/>
    <w:rsid w:val="007B3DB7"/>
    <w:rsid w:val="007B3E4C"/>
    <w:rsid w:val="007B4068"/>
    <w:rsid w:val="007B4379"/>
    <w:rsid w:val="007B4640"/>
    <w:rsid w:val="007B46E4"/>
    <w:rsid w:val="007B48DB"/>
    <w:rsid w:val="007B490D"/>
    <w:rsid w:val="007B49F0"/>
    <w:rsid w:val="007B4BAB"/>
    <w:rsid w:val="007B4C26"/>
    <w:rsid w:val="007B4C38"/>
    <w:rsid w:val="007B4CB4"/>
    <w:rsid w:val="007B4F99"/>
    <w:rsid w:val="007B5026"/>
    <w:rsid w:val="007B53A0"/>
    <w:rsid w:val="007B575C"/>
    <w:rsid w:val="007B5899"/>
    <w:rsid w:val="007B58B1"/>
    <w:rsid w:val="007B58FE"/>
    <w:rsid w:val="007B590E"/>
    <w:rsid w:val="007B5D54"/>
    <w:rsid w:val="007B5DBD"/>
    <w:rsid w:val="007B5DCE"/>
    <w:rsid w:val="007B5DFE"/>
    <w:rsid w:val="007B5E34"/>
    <w:rsid w:val="007B5E7D"/>
    <w:rsid w:val="007B5F7C"/>
    <w:rsid w:val="007B62CF"/>
    <w:rsid w:val="007B64ED"/>
    <w:rsid w:val="007B66CA"/>
    <w:rsid w:val="007B678B"/>
    <w:rsid w:val="007B6ACB"/>
    <w:rsid w:val="007B6B45"/>
    <w:rsid w:val="007B6C7E"/>
    <w:rsid w:val="007B6FD9"/>
    <w:rsid w:val="007B7222"/>
    <w:rsid w:val="007B7302"/>
    <w:rsid w:val="007B7303"/>
    <w:rsid w:val="007B731B"/>
    <w:rsid w:val="007B73A4"/>
    <w:rsid w:val="007B73BC"/>
    <w:rsid w:val="007B73E4"/>
    <w:rsid w:val="007B743C"/>
    <w:rsid w:val="007B755F"/>
    <w:rsid w:val="007B787E"/>
    <w:rsid w:val="007B7C82"/>
    <w:rsid w:val="007B7EE8"/>
    <w:rsid w:val="007C02B3"/>
    <w:rsid w:val="007C0361"/>
    <w:rsid w:val="007C03D2"/>
    <w:rsid w:val="007C043A"/>
    <w:rsid w:val="007C062A"/>
    <w:rsid w:val="007C0655"/>
    <w:rsid w:val="007C0762"/>
    <w:rsid w:val="007C07B6"/>
    <w:rsid w:val="007C0825"/>
    <w:rsid w:val="007C0A89"/>
    <w:rsid w:val="007C0C2B"/>
    <w:rsid w:val="007C0D6F"/>
    <w:rsid w:val="007C0E37"/>
    <w:rsid w:val="007C0E93"/>
    <w:rsid w:val="007C10E3"/>
    <w:rsid w:val="007C1112"/>
    <w:rsid w:val="007C1119"/>
    <w:rsid w:val="007C15AE"/>
    <w:rsid w:val="007C162F"/>
    <w:rsid w:val="007C16DF"/>
    <w:rsid w:val="007C180A"/>
    <w:rsid w:val="007C197D"/>
    <w:rsid w:val="007C1B3D"/>
    <w:rsid w:val="007C1B3F"/>
    <w:rsid w:val="007C1B6F"/>
    <w:rsid w:val="007C1EFA"/>
    <w:rsid w:val="007C2108"/>
    <w:rsid w:val="007C220D"/>
    <w:rsid w:val="007C2240"/>
    <w:rsid w:val="007C2540"/>
    <w:rsid w:val="007C26AA"/>
    <w:rsid w:val="007C27A2"/>
    <w:rsid w:val="007C27D0"/>
    <w:rsid w:val="007C29B5"/>
    <w:rsid w:val="007C2A70"/>
    <w:rsid w:val="007C2AA2"/>
    <w:rsid w:val="007C32F5"/>
    <w:rsid w:val="007C35D4"/>
    <w:rsid w:val="007C35E4"/>
    <w:rsid w:val="007C3670"/>
    <w:rsid w:val="007C387A"/>
    <w:rsid w:val="007C3E2C"/>
    <w:rsid w:val="007C4290"/>
    <w:rsid w:val="007C44BD"/>
    <w:rsid w:val="007C48B8"/>
    <w:rsid w:val="007C4906"/>
    <w:rsid w:val="007C4A72"/>
    <w:rsid w:val="007C4B2D"/>
    <w:rsid w:val="007C4DCD"/>
    <w:rsid w:val="007C5605"/>
    <w:rsid w:val="007C56CB"/>
    <w:rsid w:val="007C5747"/>
    <w:rsid w:val="007C58B9"/>
    <w:rsid w:val="007C597D"/>
    <w:rsid w:val="007C59D8"/>
    <w:rsid w:val="007C5A77"/>
    <w:rsid w:val="007C5A82"/>
    <w:rsid w:val="007C5B84"/>
    <w:rsid w:val="007C5F6D"/>
    <w:rsid w:val="007C601D"/>
    <w:rsid w:val="007C6252"/>
    <w:rsid w:val="007C632E"/>
    <w:rsid w:val="007C6330"/>
    <w:rsid w:val="007C645B"/>
    <w:rsid w:val="007C6468"/>
    <w:rsid w:val="007C64B2"/>
    <w:rsid w:val="007C6542"/>
    <w:rsid w:val="007C66D9"/>
    <w:rsid w:val="007C67AF"/>
    <w:rsid w:val="007C68F0"/>
    <w:rsid w:val="007C6977"/>
    <w:rsid w:val="007C6A4D"/>
    <w:rsid w:val="007C6AB8"/>
    <w:rsid w:val="007C6C06"/>
    <w:rsid w:val="007C6DE9"/>
    <w:rsid w:val="007C6EE4"/>
    <w:rsid w:val="007C6F3B"/>
    <w:rsid w:val="007C704E"/>
    <w:rsid w:val="007C7064"/>
    <w:rsid w:val="007C7165"/>
    <w:rsid w:val="007C71E2"/>
    <w:rsid w:val="007C7305"/>
    <w:rsid w:val="007C73DB"/>
    <w:rsid w:val="007C74CA"/>
    <w:rsid w:val="007C7551"/>
    <w:rsid w:val="007C761E"/>
    <w:rsid w:val="007C7724"/>
    <w:rsid w:val="007C79D1"/>
    <w:rsid w:val="007C7ABD"/>
    <w:rsid w:val="007C7C0B"/>
    <w:rsid w:val="007C7C28"/>
    <w:rsid w:val="007C7DC8"/>
    <w:rsid w:val="007C7FCF"/>
    <w:rsid w:val="007D02E1"/>
    <w:rsid w:val="007D03F4"/>
    <w:rsid w:val="007D04FC"/>
    <w:rsid w:val="007D054A"/>
    <w:rsid w:val="007D06E2"/>
    <w:rsid w:val="007D0896"/>
    <w:rsid w:val="007D0B07"/>
    <w:rsid w:val="007D0C2A"/>
    <w:rsid w:val="007D0DF9"/>
    <w:rsid w:val="007D0EBF"/>
    <w:rsid w:val="007D11F4"/>
    <w:rsid w:val="007D1219"/>
    <w:rsid w:val="007D14FC"/>
    <w:rsid w:val="007D14FF"/>
    <w:rsid w:val="007D164E"/>
    <w:rsid w:val="007D1747"/>
    <w:rsid w:val="007D17C4"/>
    <w:rsid w:val="007D1A92"/>
    <w:rsid w:val="007D1DC4"/>
    <w:rsid w:val="007D1DF6"/>
    <w:rsid w:val="007D1EE1"/>
    <w:rsid w:val="007D1F3D"/>
    <w:rsid w:val="007D2038"/>
    <w:rsid w:val="007D2278"/>
    <w:rsid w:val="007D2297"/>
    <w:rsid w:val="007D245C"/>
    <w:rsid w:val="007D2727"/>
    <w:rsid w:val="007D27B6"/>
    <w:rsid w:val="007D28C3"/>
    <w:rsid w:val="007D2AF9"/>
    <w:rsid w:val="007D2C47"/>
    <w:rsid w:val="007D2CA8"/>
    <w:rsid w:val="007D2CD7"/>
    <w:rsid w:val="007D2DEA"/>
    <w:rsid w:val="007D2FD5"/>
    <w:rsid w:val="007D30E6"/>
    <w:rsid w:val="007D3184"/>
    <w:rsid w:val="007D31C4"/>
    <w:rsid w:val="007D329F"/>
    <w:rsid w:val="007D3459"/>
    <w:rsid w:val="007D353D"/>
    <w:rsid w:val="007D3700"/>
    <w:rsid w:val="007D3707"/>
    <w:rsid w:val="007D37F4"/>
    <w:rsid w:val="007D3A2D"/>
    <w:rsid w:val="007D3A73"/>
    <w:rsid w:val="007D3E91"/>
    <w:rsid w:val="007D4166"/>
    <w:rsid w:val="007D4239"/>
    <w:rsid w:val="007D4271"/>
    <w:rsid w:val="007D429B"/>
    <w:rsid w:val="007D4331"/>
    <w:rsid w:val="007D437A"/>
    <w:rsid w:val="007D438D"/>
    <w:rsid w:val="007D455A"/>
    <w:rsid w:val="007D45E3"/>
    <w:rsid w:val="007D4865"/>
    <w:rsid w:val="007D4DA6"/>
    <w:rsid w:val="007D4E8A"/>
    <w:rsid w:val="007D4F65"/>
    <w:rsid w:val="007D51AE"/>
    <w:rsid w:val="007D5408"/>
    <w:rsid w:val="007D541E"/>
    <w:rsid w:val="007D5499"/>
    <w:rsid w:val="007D56D4"/>
    <w:rsid w:val="007D5BBD"/>
    <w:rsid w:val="007D5C71"/>
    <w:rsid w:val="007D5CFA"/>
    <w:rsid w:val="007D630B"/>
    <w:rsid w:val="007D6B3C"/>
    <w:rsid w:val="007D6C0E"/>
    <w:rsid w:val="007D6DCF"/>
    <w:rsid w:val="007D6E1B"/>
    <w:rsid w:val="007D6EAC"/>
    <w:rsid w:val="007D723C"/>
    <w:rsid w:val="007D724D"/>
    <w:rsid w:val="007D788A"/>
    <w:rsid w:val="007D7C75"/>
    <w:rsid w:val="007D7E2C"/>
    <w:rsid w:val="007D7F74"/>
    <w:rsid w:val="007E0113"/>
    <w:rsid w:val="007E029E"/>
    <w:rsid w:val="007E03FC"/>
    <w:rsid w:val="007E07E0"/>
    <w:rsid w:val="007E093C"/>
    <w:rsid w:val="007E0CB5"/>
    <w:rsid w:val="007E0D85"/>
    <w:rsid w:val="007E0F85"/>
    <w:rsid w:val="007E1707"/>
    <w:rsid w:val="007E1845"/>
    <w:rsid w:val="007E18C7"/>
    <w:rsid w:val="007E1D18"/>
    <w:rsid w:val="007E1E57"/>
    <w:rsid w:val="007E1EE9"/>
    <w:rsid w:val="007E1F3F"/>
    <w:rsid w:val="007E21A4"/>
    <w:rsid w:val="007E244B"/>
    <w:rsid w:val="007E24F9"/>
    <w:rsid w:val="007E260D"/>
    <w:rsid w:val="007E27A5"/>
    <w:rsid w:val="007E27B8"/>
    <w:rsid w:val="007E2877"/>
    <w:rsid w:val="007E29D8"/>
    <w:rsid w:val="007E2CD3"/>
    <w:rsid w:val="007E2DB0"/>
    <w:rsid w:val="007E3113"/>
    <w:rsid w:val="007E31E1"/>
    <w:rsid w:val="007E34AA"/>
    <w:rsid w:val="007E350D"/>
    <w:rsid w:val="007E39B9"/>
    <w:rsid w:val="007E3E06"/>
    <w:rsid w:val="007E3ECA"/>
    <w:rsid w:val="007E3F9D"/>
    <w:rsid w:val="007E4223"/>
    <w:rsid w:val="007E439E"/>
    <w:rsid w:val="007E43A4"/>
    <w:rsid w:val="007E4533"/>
    <w:rsid w:val="007E457B"/>
    <w:rsid w:val="007E4591"/>
    <w:rsid w:val="007E46F1"/>
    <w:rsid w:val="007E4780"/>
    <w:rsid w:val="007E47C9"/>
    <w:rsid w:val="007E4851"/>
    <w:rsid w:val="007E4B62"/>
    <w:rsid w:val="007E4BBB"/>
    <w:rsid w:val="007E4C98"/>
    <w:rsid w:val="007E4CE9"/>
    <w:rsid w:val="007E4E3A"/>
    <w:rsid w:val="007E5186"/>
    <w:rsid w:val="007E5193"/>
    <w:rsid w:val="007E5264"/>
    <w:rsid w:val="007E5310"/>
    <w:rsid w:val="007E536D"/>
    <w:rsid w:val="007E5381"/>
    <w:rsid w:val="007E54CD"/>
    <w:rsid w:val="007E5543"/>
    <w:rsid w:val="007E5740"/>
    <w:rsid w:val="007E57B2"/>
    <w:rsid w:val="007E5A22"/>
    <w:rsid w:val="007E5A77"/>
    <w:rsid w:val="007E5AF4"/>
    <w:rsid w:val="007E5B24"/>
    <w:rsid w:val="007E5C56"/>
    <w:rsid w:val="007E64BC"/>
    <w:rsid w:val="007E6522"/>
    <w:rsid w:val="007E6534"/>
    <w:rsid w:val="007E6591"/>
    <w:rsid w:val="007E66AC"/>
    <w:rsid w:val="007E6A07"/>
    <w:rsid w:val="007E6CA1"/>
    <w:rsid w:val="007E6D4A"/>
    <w:rsid w:val="007E6D9F"/>
    <w:rsid w:val="007E6EAB"/>
    <w:rsid w:val="007E7118"/>
    <w:rsid w:val="007E7245"/>
    <w:rsid w:val="007E739C"/>
    <w:rsid w:val="007E73C5"/>
    <w:rsid w:val="007E740D"/>
    <w:rsid w:val="007E74E0"/>
    <w:rsid w:val="007E75FC"/>
    <w:rsid w:val="007E789B"/>
    <w:rsid w:val="007E7995"/>
    <w:rsid w:val="007E79F6"/>
    <w:rsid w:val="007E7A64"/>
    <w:rsid w:val="007E7C47"/>
    <w:rsid w:val="007E7E55"/>
    <w:rsid w:val="007E7E5E"/>
    <w:rsid w:val="007E7FCE"/>
    <w:rsid w:val="007F011F"/>
    <w:rsid w:val="007F0181"/>
    <w:rsid w:val="007F0187"/>
    <w:rsid w:val="007F0261"/>
    <w:rsid w:val="007F03E1"/>
    <w:rsid w:val="007F07DB"/>
    <w:rsid w:val="007F0809"/>
    <w:rsid w:val="007F0880"/>
    <w:rsid w:val="007F0886"/>
    <w:rsid w:val="007F08E1"/>
    <w:rsid w:val="007F0A92"/>
    <w:rsid w:val="007F0DA3"/>
    <w:rsid w:val="007F0DB9"/>
    <w:rsid w:val="007F0E62"/>
    <w:rsid w:val="007F0F03"/>
    <w:rsid w:val="007F0F5D"/>
    <w:rsid w:val="007F11CD"/>
    <w:rsid w:val="007F131B"/>
    <w:rsid w:val="007F14E4"/>
    <w:rsid w:val="007F167E"/>
    <w:rsid w:val="007F17F2"/>
    <w:rsid w:val="007F1CCD"/>
    <w:rsid w:val="007F1D00"/>
    <w:rsid w:val="007F1F51"/>
    <w:rsid w:val="007F2225"/>
    <w:rsid w:val="007F2248"/>
    <w:rsid w:val="007F23AB"/>
    <w:rsid w:val="007F2424"/>
    <w:rsid w:val="007F2685"/>
    <w:rsid w:val="007F28BA"/>
    <w:rsid w:val="007F2A10"/>
    <w:rsid w:val="007F2AA3"/>
    <w:rsid w:val="007F2EB9"/>
    <w:rsid w:val="007F2EBE"/>
    <w:rsid w:val="007F300E"/>
    <w:rsid w:val="007F30BC"/>
    <w:rsid w:val="007F3192"/>
    <w:rsid w:val="007F32C5"/>
    <w:rsid w:val="007F3472"/>
    <w:rsid w:val="007F3483"/>
    <w:rsid w:val="007F3532"/>
    <w:rsid w:val="007F357D"/>
    <w:rsid w:val="007F3652"/>
    <w:rsid w:val="007F3948"/>
    <w:rsid w:val="007F3D7C"/>
    <w:rsid w:val="007F3EDF"/>
    <w:rsid w:val="007F3F3D"/>
    <w:rsid w:val="007F404F"/>
    <w:rsid w:val="007F4182"/>
    <w:rsid w:val="007F4369"/>
    <w:rsid w:val="007F4398"/>
    <w:rsid w:val="007F44B5"/>
    <w:rsid w:val="007F44E9"/>
    <w:rsid w:val="007F4679"/>
    <w:rsid w:val="007F46F7"/>
    <w:rsid w:val="007F47A6"/>
    <w:rsid w:val="007F4A31"/>
    <w:rsid w:val="007F4B29"/>
    <w:rsid w:val="007F4B9C"/>
    <w:rsid w:val="007F4D50"/>
    <w:rsid w:val="007F4DF1"/>
    <w:rsid w:val="007F4F95"/>
    <w:rsid w:val="007F5000"/>
    <w:rsid w:val="007F5027"/>
    <w:rsid w:val="007F5146"/>
    <w:rsid w:val="007F51A6"/>
    <w:rsid w:val="007F5478"/>
    <w:rsid w:val="007F55C8"/>
    <w:rsid w:val="007F5646"/>
    <w:rsid w:val="007F564A"/>
    <w:rsid w:val="007F576F"/>
    <w:rsid w:val="007F5A08"/>
    <w:rsid w:val="007F5EE1"/>
    <w:rsid w:val="007F5F2B"/>
    <w:rsid w:val="007F5F2D"/>
    <w:rsid w:val="007F614F"/>
    <w:rsid w:val="007F624E"/>
    <w:rsid w:val="007F655D"/>
    <w:rsid w:val="007F6750"/>
    <w:rsid w:val="007F68ED"/>
    <w:rsid w:val="007F6A44"/>
    <w:rsid w:val="007F6A95"/>
    <w:rsid w:val="007F6FFF"/>
    <w:rsid w:val="007F7095"/>
    <w:rsid w:val="007F7238"/>
    <w:rsid w:val="007F761F"/>
    <w:rsid w:val="007F777A"/>
    <w:rsid w:val="007F7B97"/>
    <w:rsid w:val="007F7BFB"/>
    <w:rsid w:val="007F7C44"/>
    <w:rsid w:val="007F7C6E"/>
    <w:rsid w:val="007F7C98"/>
    <w:rsid w:val="007F7CDD"/>
    <w:rsid w:val="007F7EFE"/>
    <w:rsid w:val="007F7F10"/>
    <w:rsid w:val="00800073"/>
    <w:rsid w:val="008000B0"/>
    <w:rsid w:val="00800122"/>
    <w:rsid w:val="00800199"/>
    <w:rsid w:val="008001C8"/>
    <w:rsid w:val="008003BE"/>
    <w:rsid w:val="0080066D"/>
    <w:rsid w:val="008008FC"/>
    <w:rsid w:val="00800A57"/>
    <w:rsid w:val="00800ADA"/>
    <w:rsid w:val="00800C53"/>
    <w:rsid w:val="00800D19"/>
    <w:rsid w:val="00800E1B"/>
    <w:rsid w:val="00801199"/>
    <w:rsid w:val="008013B1"/>
    <w:rsid w:val="00801403"/>
    <w:rsid w:val="008015B4"/>
    <w:rsid w:val="00801910"/>
    <w:rsid w:val="00801D3B"/>
    <w:rsid w:val="00801D57"/>
    <w:rsid w:val="00801FA8"/>
    <w:rsid w:val="00802063"/>
    <w:rsid w:val="00802236"/>
    <w:rsid w:val="0080228F"/>
    <w:rsid w:val="0080250E"/>
    <w:rsid w:val="008025EB"/>
    <w:rsid w:val="00802638"/>
    <w:rsid w:val="0080269B"/>
    <w:rsid w:val="008026EF"/>
    <w:rsid w:val="008027FB"/>
    <w:rsid w:val="008028B1"/>
    <w:rsid w:val="008028BD"/>
    <w:rsid w:val="00802A2D"/>
    <w:rsid w:val="00802ACE"/>
    <w:rsid w:val="00802B31"/>
    <w:rsid w:val="00802C97"/>
    <w:rsid w:val="00802D11"/>
    <w:rsid w:val="00802D3C"/>
    <w:rsid w:val="00802E42"/>
    <w:rsid w:val="00802EB4"/>
    <w:rsid w:val="00803075"/>
    <w:rsid w:val="008034A5"/>
    <w:rsid w:val="008035AC"/>
    <w:rsid w:val="00803886"/>
    <w:rsid w:val="008038A2"/>
    <w:rsid w:val="008039FC"/>
    <w:rsid w:val="00803AC8"/>
    <w:rsid w:val="00803BAF"/>
    <w:rsid w:val="00803F81"/>
    <w:rsid w:val="008040D4"/>
    <w:rsid w:val="0080438F"/>
    <w:rsid w:val="008043A6"/>
    <w:rsid w:val="008043CB"/>
    <w:rsid w:val="00804570"/>
    <w:rsid w:val="00804573"/>
    <w:rsid w:val="00804644"/>
    <w:rsid w:val="0080468D"/>
    <w:rsid w:val="008046A0"/>
    <w:rsid w:val="00804701"/>
    <w:rsid w:val="008047A9"/>
    <w:rsid w:val="00804A32"/>
    <w:rsid w:val="00804C23"/>
    <w:rsid w:val="00804C98"/>
    <w:rsid w:val="0080502A"/>
    <w:rsid w:val="00805191"/>
    <w:rsid w:val="008053B9"/>
    <w:rsid w:val="00805590"/>
    <w:rsid w:val="00805638"/>
    <w:rsid w:val="0080574B"/>
    <w:rsid w:val="00805BA0"/>
    <w:rsid w:val="00805DB4"/>
    <w:rsid w:val="00805FF6"/>
    <w:rsid w:val="00806014"/>
    <w:rsid w:val="008060ED"/>
    <w:rsid w:val="008061CB"/>
    <w:rsid w:val="00806294"/>
    <w:rsid w:val="0080684C"/>
    <w:rsid w:val="00806879"/>
    <w:rsid w:val="00806951"/>
    <w:rsid w:val="00806B7F"/>
    <w:rsid w:val="00806BE0"/>
    <w:rsid w:val="00806C0A"/>
    <w:rsid w:val="00806C87"/>
    <w:rsid w:val="00806F28"/>
    <w:rsid w:val="00807053"/>
    <w:rsid w:val="0080722E"/>
    <w:rsid w:val="0080731C"/>
    <w:rsid w:val="008073C7"/>
    <w:rsid w:val="0080749C"/>
    <w:rsid w:val="00807631"/>
    <w:rsid w:val="008076B3"/>
    <w:rsid w:val="008076B4"/>
    <w:rsid w:val="00807723"/>
    <w:rsid w:val="008079DA"/>
    <w:rsid w:val="00807A4D"/>
    <w:rsid w:val="00807C46"/>
    <w:rsid w:val="00807D5C"/>
    <w:rsid w:val="00807FA8"/>
    <w:rsid w:val="00810073"/>
    <w:rsid w:val="0081019C"/>
    <w:rsid w:val="008103C7"/>
    <w:rsid w:val="00810434"/>
    <w:rsid w:val="008104E9"/>
    <w:rsid w:val="00810558"/>
    <w:rsid w:val="0081065B"/>
    <w:rsid w:val="0081074C"/>
    <w:rsid w:val="00810846"/>
    <w:rsid w:val="0081086E"/>
    <w:rsid w:val="00810993"/>
    <w:rsid w:val="00810A37"/>
    <w:rsid w:val="00810D49"/>
    <w:rsid w:val="00810D96"/>
    <w:rsid w:val="00810D9C"/>
    <w:rsid w:val="00810E20"/>
    <w:rsid w:val="00810E73"/>
    <w:rsid w:val="00810F0D"/>
    <w:rsid w:val="0081100E"/>
    <w:rsid w:val="00811104"/>
    <w:rsid w:val="008111FE"/>
    <w:rsid w:val="0081135C"/>
    <w:rsid w:val="008117B9"/>
    <w:rsid w:val="00811A66"/>
    <w:rsid w:val="00811BAA"/>
    <w:rsid w:val="00811DE4"/>
    <w:rsid w:val="00812015"/>
    <w:rsid w:val="00812035"/>
    <w:rsid w:val="00812063"/>
    <w:rsid w:val="00812148"/>
    <w:rsid w:val="00812197"/>
    <w:rsid w:val="008123DA"/>
    <w:rsid w:val="0081273A"/>
    <w:rsid w:val="0081281D"/>
    <w:rsid w:val="0081293C"/>
    <w:rsid w:val="0081294E"/>
    <w:rsid w:val="00812998"/>
    <w:rsid w:val="00812A14"/>
    <w:rsid w:val="00812A8A"/>
    <w:rsid w:val="00812BAF"/>
    <w:rsid w:val="00812CFE"/>
    <w:rsid w:val="00812D1E"/>
    <w:rsid w:val="00812DA7"/>
    <w:rsid w:val="00812FF4"/>
    <w:rsid w:val="0081316A"/>
    <w:rsid w:val="008131CF"/>
    <w:rsid w:val="0081334F"/>
    <w:rsid w:val="008133D3"/>
    <w:rsid w:val="00813482"/>
    <w:rsid w:val="008134A8"/>
    <w:rsid w:val="0081351E"/>
    <w:rsid w:val="00813605"/>
    <w:rsid w:val="00813678"/>
    <w:rsid w:val="00813794"/>
    <w:rsid w:val="00813AEC"/>
    <w:rsid w:val="00813B3D"/>
    <w:rsid w:val="00813B41"/>
    <w:rsid w:val="00813C0F"/>
    <w:rsid w:val="00813CAF"/>
    <w:rsid w:val="00813D26"/>
    <w:rsid w:val="00813EA8"/>
    <w:rsid w:val="00813F7C"/>
    <w:rsid w:val="008141CB"/>
    <w:rsid w:val="008143F6"/>
    <w:rsid w:val="0081442E"/>
    <w:rsid w:val="00814661"/>
    <w:rsid w:val="008147E5"/>
    <w:rsid w:val="008149F0"/>
    <w:rsid w:val="00814BA0"/>
    <w:rsid w:val="00814C9C"/>
    <w:rsid w:val="00814F38"/>
    <w:rsid w:val="0081505C"/>
    <w:rsid w:val="00815116"/>
    <w:rsid w:val="0081514F"/>
    <w:rsid w:val="008151D9"/>
    <w:rsid w:val="00815324"/>
    <w:rsid w:val="0081533C"/>
    <w:rsid w:val="00815362"/>
    <w:rsid w:val="00815374"/>
    <w:rsid w:val="0081542C"/>
    <w:rsid w:val="0081551C"/>
    <w:rsid w:val="00815596"/>
    <w:rsid w:val="008157E2"/>
    <w:rsid w:val="00815870"/>
    <w:rsid w:val="008158FC"/>
    <w:rsid w:val="00815906"/>
    <w:rsid w:val="00815A10"/>
    <w:rsid w:val="00815A5E"/>
    <w:rsid w:val="00815D95"/>
    <w:rsid w:val="00815F3D"/>
    <w:rsid w:val="00816061"/>
    <w:rsid w:val="00816242"/>
    <w:rsid w:val="00816282"/>
    <w:rsid w:val="008167D6"/>
    <w:rsid w:val="00816876"/>
    <w:rsid w:val="00816997"/>
    <w:rsid w:val="00816AC6"/>
    <w:rsid w:val="00816DCF"/>
    <w:rsid w:val="00816E89"/>
    <w:rsid w:val="00816E8F"/>
    <w:rsid w:val="00816F47"/>
    <w:rsid w:val="0081704D"/>
    <w:rsid w:val="008170AB"/>
    <w:rsid w:val="008170D2"/>
    <w:rsid w:val="0081728C"/>
    <w:rsid w:val="008173FD"/>
    <w:rsid w:val="00817477"/>
    <w:rsid w:val="008174B8"/>
    <w:rsid w:val="00817938"/>
    <w:rsid w:val="00817963"/>
    <w:rsid w:val="00817B44"/>
    <w:rsid w:val="00817BE7"/>
    <w:rsid w:val="00817F45"/>
    <w:rsid w:val="00817F59"/>
    <w:rsid w:val="00817F7D"/>
    <w:rsid w:val="00817FDC"/>
    <w:rsid w:val="00820045"/>
    <w:rsid w:val="0082007C"/>
    <w:rsid w:val="008200D5"/>
    <w:rsid w:val="00820201"/>
    <w:rsid w:val="008203E1"/>
    <w:rsid w:val="00820449"/>
    <w:rsid w:val="00820478"/>
    <w:rsid w:val="00820487"/>
    <w:rsid w:val="008204D8"/>
    <w:rsid w:val="008206A8"/>
    <w:rsid w:val="00820753"/>
    <w:rsid w:val="00820798"/>
    <w:rsid w:val="00820864"/>
    <w:rsid w:val="008208DD"/>
    <w:rsid w:val="00820A1E"/>
    <w:rsid w:val="00820AB8"/>
    <w:rsid w:val="00820B4E"/>
    <w:rsid w:val="00820D8E"/>
    <w:rsid w:val="00820EE6"/>
    <w:rsid w:val="008210FC"/>
    <w:rsid w:val="00821174"/>
    <w:rsid w:val="00821218"/>
    <w:rsid w:val="0082126E"/>
    <w:rsid w:val="008212CB"/>
    <w:rsid w:val="0082138E"/>
    <w:rsid w:val="008214E6"/>
    <w:rsid w:val="00821515"/>
    <w:rsid w:val="00821786"/>
    <w:rsid w:val="00821B78"/>
    <w:rsid w:val="00821C3D"/>
    <w:rsid w:val="00821E0A"/>
    <w:rsid w:val="008221F4"/>
    <w:rsid w:val="00822210"/>
    <w:rsid w:val="00822452"/>
    <w:rsid w:val="00822470"/>
    <w:rsid w:val="00822939"/>
    <w:rsid w:val="008229C2"/>
    <w:rsid w:val="00822C02"/>
    <w:rsid w:val="00822F5B"/>
    <w:rsid w:val="00823115"/>
    <w:rsid w:val="00823399"/>
    <w:rsid w:val="008233B2"/>
    <w:rsid w:val="0082343C"/>
    <w:rsid w:val="00823582"/>
    <w:rsid w:val="0082363D"/>
    <w:rsid w:val="0082364B"/>
    <w:rsid w:val="008236BD"/>
    <w:rsid w:val="00823783"/>
    <w:rsid w:val="008238E8"/>
    <w:rsid w:val="0082394B"/>
    <w:rsid w:val="00823A0D"/>
    <w:rsid w:val="00823A16"/>
    <w:rsid w:val="00823A48"/>
    <w:rsid w:val="00823D06"/>
    <w:rsid w:val="00823D66"/>
    <w:rsid w:val="00823E8B"/>
    <w:rsid w:val="00823EBA"/>
    <w:rsid w:val="0082421B"/>
    <w:rsid w:val="008243B5"/>
    <w:rsid w:val="00824404"/>
    <w:rsid w:val="00824ABB"/>
    <w:rsid w:val="00824BD5"/>
    <w:rsid w:val="00824C28"/>
    <w:rsid w:val="00824C4F"/>
    <w:rsid w:val="00824C98"/>
    <w:rsid w:val="00824D58"/>
    <w:rsid w:val="00824DD5"/>
    <w:rsid w:val="00824EA2"/>
    <w:rsid w:val="00824EC5"/>
    <w:rsid w:val="00824F1A"/>
    <w:rsid w:val="00824FE3"/>
    <w:rsid w:val="00825181"/>
    <w:rsid w:val="008252B6"/>
    <w:rsid w:val="00825313"/>
    <w:rsid w:val="00825321"/>
    <w:rsid w:val="008254EE"/>
    <w:rsid w:val="00825B92"/>
    <w:rsid w:val="00825ED9"/>
    <w:rsid w:val="00825F86"/>
    <w:rsid w:val="008260A5"/>
    <w:rsid w:val="008260D0"/>
    <w:rsid w:val="00826490"/>
    <w:rsid w:val="00826712"/>
    <w:rsid w:val="00826760"/>
    <w:rsid w:val="008268EA"/>
    <w:rsid w:val="00826A89"/>
    <w:rsid w:val="00826E50"/>
    <w:rsid w:val="00826E97"/>
    <w:rsid w:val="0082707C"/>
    <w:rsid w:val="00827349"/>
    <w:rsid w:val="00827401"/>
    <w:rsid w:val="008274E7"/>
    <w:rsid w:val="008275F0"/>
    <w:rsid w:val="0082765D"/>
    <w:rsid w:val="008276A7"/>
    <w:rsid w:val="00827726"/>
    <w:rsid w:val="00827792"/>
    <w:rsid w:val="008277F1"/>
    <w:rsid w:val="00827840"/>
    <w:rsid w:val="008278AC"/>
    <w:rsid w:val="00827A2F"/>
    <w:rsid w:val="00827A33"/>
    <w:rsid w:val="00827C2A"/>
    <w:rsid w:val="00827DB2"/>
    <w:rsid w:val="00827FB0"/>
    <w:rsid w:val="008301FA"/>
    <w:rsid w:val="008302C4"/>
    <w:rsid w:val="00830306"/>
    <w:rsid w:val="00830321"/>
    <w:rsid w:val="00830524"/>
    <w:rsid w:val="008305DF"/>
    <w:rsid w:val="0083065C"/>
    <w:rsid w:val="00830A53"/>
    <w:rsid w:val="00830AB7"/>
    <w:rsid w:val="00830B53"/>
    <w:rsid w:val="00830BC6"/>
    <w:rsid w:val="00830BEB"/>
    <w:rsid w:val="00830C27"/>
    <w:rsid w:val="00830DDE"/>
    <w:rsid w:val="00830E71"/>
    <w:rsid w:val="008313E5"/>
    <w:rsid w:val="00831781"/>
    <w:rsid w:val="008319A1"/>
    <w:rsid w:val="00831A37"/>
    <w:rsid w:val="00831B51"/>
    <w:rsid w:val="00831B96"/>
    <w:rsid w:val="00831CCC"/>
    <w:rsid w:val="00831D6F"/>
    <w:rsid w:val="00831DA6"/>
    <w:rsid w:val="00831F7D"/>
    <w:rsid w:val="00832321"/>
    <w:rsid w:val="00832351"/>
    <w:rsid w:val="00832965"/>
    <w:rsid w:val="00832F26"/>
    <w:rsid w:val="00833343"/>
    <w:rsid w:val="00833447"/>
    <w:rsid w:val="008335C6"/>
    <w:rsid w:val="008337B7"/>
    <w:rsid w:val="00833961"/>
    <w:rsid w:val="00833A06"/>
    <w:rsid w:val="00833A2D"/>
    <w:rsid w:val="00833C5A"/>
    <w:rsid w:val="00833E00"/>
    <w:rsid w:val="00833E9C"/>
    <w:rsid w:val="00833FD8"/>
    <w:rsid w:val="00834070"/>
    <w:rsid w:val="00834087"/>
    <w:rsid w:val="0083410B"/>
    <w:rsid w:val="0083410E"/>
    <w:rsid w:val="00834176"/>
    <w:rsid w:val="008345EF"/>
    <w:rsid w:val="00834713"/>
    <w:rsid w:val="008348D8"/>
    <w:rsid w:val="00834A9E"/>
    <w:rsid w:val="00834AE8"/>
    <w:rsid w:val="00834D9E"/>
    <w:rsid w:val="00834DF2"/>
    <w:rsid w:val="00834E18"/>
    <w:rsid w:val="00834F73"/>
    <w:rsid w:val="00835035"/>
    <w:rsid w:val="0083526E"/>
    <w:rsid w:val="0083558F"/>
    <w:rsid w:val="00835633"/>
    <w:rsid w:val="0083564D"/>
    <w:rsid w:val="00835A2E"/>
    <w:rsid w:val="00835CDB"/>
    <w:rsid w:val="00835D69"/>
    <w:rsid w:val="00835E48"/>
    <w:rsid w:val="00835F64"/>
    <w:rsid w:val="00835FA8"/>
    <w:rsid w:val="008361A6"/>
    <w:rsid w:val="0083627D"/>
    <w:rsid w:val="0083637C"/>
    <w:rsid w:val="008365B8"/>
    <w:rsid w:val="00836772"/>
    <w:rsid w:val="008367A9"/>
    <w:rsid w:val="0083685F"/>
    <w:rsid w:val="008369B6"/>
    <w:rsid w:val="00836C02"/>
    <w:rsid w:val="00836C54"/>
    <w:rsid w:val="00836D45"/>
    <w:rsid w:val="00836EA8"/>
    <w:rsid w:val="00836F0F"/>
    <w:rsid w:val="00836FFE"/>
    <w:rsid w:val="0083705B"/>
    <w:rsid w:val="008376D9"/>
    <w:rsid w:val="00837922"/>
    <w:rsid w:val="00837A3F"/>
    <w:rsid w:val="00837AB7"/>
    <w:rsid w:val="00837ABB"/>
    <w:rsid w:val="00837BFA"/>
    <w:rsid w:val="00837C1A"/>
    <w:rsid w:val="00837CC0"/>
    <w:rsid w:val="00837D76"/>
    <w:rsid w:val="00837E4C"/>
    <w:rsid w:val="00837F39"/>
    <w:rsid w:val="00840098"/>
    <w:rsid w:val="0084010D"/>
    <w:rsid w:val="008401CD"/>
    <w:rsid w:val="0084029E"/>
    <w:rsid w:val="0084036A"/>
    <w:rsid w:val="008404E9"/>
    <w:rsid w:val="00840524"/>
    <w:rsid w:val="00840637"/>
    <w:rsid w:val="008406FA"/>
    <w:rsid w:val="008408E4"/>
    <w:rsid w:val="0084093E"/>
    <w:rsid w:val="00840B32"/>
    <w:rsid w:val="00840C7B"/>
    <w:rsid w:val="00840DAE"/>
    <w:rsid w:val="008410A0"/>
    <w:rsid w:val="00841165"/>
    <w:rsid w:val="0084119B"/>
    <w:rsid w:val="008411F1"/>
    <w:rsid w:val="0084169C"/>
    <w:rsid w:val="00841950"/>
    <w:rsid w:val="00841A80"/>
    <w:rsid w:val="00841E5F"/>
    <w:rsid w:val="00841F83"/>
    <w:rsid w:val="0084205F"/>
    <w:rsid w:val="0084215E"/>
    <w:rsid w:val="00842278"/>
    <w:rsid w:val="00842381"/>
    <w:rsid w:val="008423D3"/>
    <w:rsid w:val="008423DB"/>
    <w:rsid w:val="0084251A"/>
    <w:rsid w:val="00842522"/>
    <w:rsid w:val="008425F7"/>
    <w:rsid w:val="00842606"/>
    <w:rsid w:val="008428FC"/>
    <w:rsid w:val="00842923"/>
    <w:rsid w:val="00842978"/>
    <w:rsid w:val="00842A46"/>
    <w:rsid w:val="00842A7E"/>
    <w:rsid w:val="00842BB9"/>
    <w:rsid w:val="00842D58"/>
    <w:rsid w:val="00843063"/>
    <w:rsid w:val="008430FD"/>
    <w:rsid w:val="00843389"/>
    <w:rsid w:val="0084347A"/>
    <w:rsid w:val="008436DB"/>
    <w:rsid w:val="00843724"/>
    <w:rsid w:val="00843974"/>
    <w:rsid w:val="00843BCD"/>
    <w:rsid w:val="00843C2E"/>
    <w:rsid w:val="00843D8A"/>
    <w:rsid w:val="00843F99"/>
    <w:rsid w:val="0084402C"/>
    <w:rsid w:val="008440D3"/>
    <w:rsid w:val="00844382"/>
    <w:rsid w:val="008446A1"/>
    <w:rsid w:val="00844789"/>
    <w:rsid w:val="008447BE"/>
    <w:rsid w:val="0084485E"/>
    <w:rsid w:val="00844ACC"/>
    <w:rsid w:val="00844B3E"/>
    <w:rsid w:val="00844DD7"/>
    <w:rsid w:val="00844F9F"/>
    <w:rsid w:val="0084505D"/>
    <w:rsid w:val="00845194"/>
    <w:rsid w:val="00845209"/>
    <w:rsid w:val="008453E6"/>
    <w:rsid w:val="00845429"/>
    <w:rsid w:val="00845589"/>
    <w:rsid w:val="00845827"/>
    <w:rsid w:val="008458B3"/>
    <w:rsid w:val="008458E2"/>
    <w:rsid w:val="00845B5C"/>
    <w:rsid w:val="00845DEE"/>
    <w:rsid w:val="00845E67"/>
    <w:rsid w:val="00846012"/>
    <w:rsid w:val="0084608F"/>
    <w:rsid w:val="008460E4"/>
    <w:rsid w:val="008461E2"/>
    <w:rsid w:val="00846309"/>
    <w:rsid w:val="00846343"/>
    <w:rsid w:val="00846461"/>
    <w:rsid w:val="0084648C"/>
    <w:rsid w:val="008465FB"/>
    <w:rsid w:val="008467B1"/>
    <w:rsid w:val="008467D0"/>
    <w:rsid w:val="0084698E"/>
    <w:rsid w:val="008469CD"/>
    <w:rsid w:val="00846A8A"/>
    <w:rsid w:val="00846C6A"/>
    <w:rsid w:val="00846CA3"/>
    <w:rsid w:val="00846F89"/>
    <w:rsid w:val="008471D4"/>
    <w:rsid w:val="008471E9"/>
    <w:rsid w:val="008472AA"/>
    <w:rsid w:val="008475B7"/>
    <w:rsid w:val="008476FA"/>
    <w:rsid w:val="00847912"/>
    <w:rsid w:val="00847919"/>
    <w:rsid w:val="008479E3"/>
    <w:rsid w:val="008479EF"/>
    <w:rsid w:val="00847AE5"/>
    <w:rsid w:val="00847B5D"/>
    <w:rsid w:val="00847C00"/>
    <w:rsid w:val="00847C31"/>
    <w:rsid w:val="00847CEE"/>
    <w:rsid w:val="00847D4A"/>
    <w:rsid w:val="00847F41"/>
    <w:rsid w:val="0085011C"/>
    <w:rsid w:val="008504B8"/>
    <w:rsid w:val="008507EA"/>
    <w:rsid w:val="0085094A"/>
    <w:rsid w:val="00850AD7"/>
    <w:rsid w:val="00850B4E"/>
    <w:rsid w:val="00850BB2"/>
    <w:rsid w:val="00850CBC"/>
    <w:rsid w:val="00850D1E"/>
    <w:rsid w:val="00850E50"/>
    <w:rsid w:val="00850E98"/>
    <w:rsid w:val="00851007"/>
    <w:rsid w:val="0085133F"/>
    <w:rsid w:val="008513E0"/>
    <w:rsid w:val="00851834"/>
    <w:rsid w:val="0085185D"/>
    <w:rsid w:val="00851967"/>
    <w:rsid w:val="008519E1"/>
    <w:rsid w:val="00851A90"/>
    <w:rsid w:val="00851B0D"/>
    <w:rsid w:val="00851D1B"/>
    <w:rsid w:val="00851DC0"/>
    <w:rsid w:val="00851E61"/>
    <w:rsid w:val="00851FA2"/>
    <w:rsid w:val="00851FB8"/>
    <w:rsid w:val="008522D4"/>
    <w:rsid w:val="00852638"/>
    <w:rsid w:val="0085263C"/>
    <w:rsid w:val="00852679"/>
    <w:rsid w:val="008528E4"/>
    <w:rsid w:val="00852964"/>
    <w:rsid w:val="008529CD"/>
    <w:rsid w:val="00852A5A"/>
    <w:rsid w:val="00852E24"/>
    <w:rsid w:val="00852E9A"/>
    <w:rsid w:val="00852F6F"/>
    <w:rsid w:val="0085318F"/>
    <w:rsid w:val="00853530"/>
    <w:rsid w:val="008535A1"/>
    <w:rsid w:val="00853638"/>
    <w:rsid w:val="008536AC"/>
    <w:rsid w:val="0085381A"/>
    <w:rsid w:val="00853906"/>
    <w:rsid w:val="00853952"/>
    <w:rsid w:val="00853A4D"/>
    <w:rsid w:val="00853BC9"/>
    <w:rsid w:val="00853DEF"/>
    <w:rsid w:val="00854063"/>
    <w:rsid w:val="0085410E"/>
    <w:rsid w:val="00854236"/>
    <w:rsid w:val="00854644"/>
    <w:rsid w:val="008546A6"/>
    <w:rsid w:val="008546EF"/>
    <w:rsid w:val="008548DC"/>
    <w:rsid w:val="008549C7"/>
    <w:rsid w:val="008549DB"/>
    <w:rsid w:val="00854A28"/>
    <w:rsid w:val="00854BBA"/>
    <w:rsid w:val="00854C8C"/>
    <w:rsid w:val="00854CDA"/>
    <w:rsid w:val="00854D09"/>
    <w:rsid w:val="00854D77"/>
    <w:rsid w:val="00854EE5"/>
    <w:rsid w:val="00855037"/>
    <w:rsid w:val="008551E9"/>
    <w:rsid w:val="0085531A"/>
    <w:rsid w:val="008553E5"/>
    <w:rsid w:val="008553F2"/>
    <w:rsid w:val="008554A9"/>
    <w:rsid w:val="008554C9"/>
    <w:rsid w:val="008557D2"/>
    <w:rsid w:val="00855831"/>
    <w:rsid w:val="0085587B"/>
    <w:rsid w:val="00855908"/>
    <w:rsid w:val="00855ABE"/>
    <w:rsid w:val="00855CB6"/>
    <w:rsid w:val="00855EA7"/>
    <w:rsid w:val="00855FF1"/>
    <w:rsid w:val="00855FFA"/>
    <w:rsid w:val="008560D4"/>
    <w:rsid w:val="0085632C"/>
    <w:rsid w:val="0085640E"/>
    <w:rsid w:val="00856423"/>
    <w:rsid w:val="008564C2"/>
    <w:rsid w:val="008565E0"/>
    <w:rsid w:val="0085665D"/>
    <w:rsid w:val="00856A14"/>
    <w:rsid w:val="00856B7B"/>
    <w:rsid w:val="00856BA1"/>
    <w:rsid w:val="00856BA2"/>
    <w:rsid w:val="00856C22"/>
    <w:rsid w:val="00857119"/>
    <w:rsid w:val="008572CA"/>
    <w:rsid w:val="00857440"/>
    <w:rsid w:val="00857448"/>
    <w:rsid w:val="00857562"/>
    <w:rsid w:val="00857598"/>
    <w:rsid w:val="008575FA"/>
    <w:rsid w:val="00857958"/>
    <w:rsid w:val="00857B27"/>
    <w:rsid w:val="00860151"/>
    <w:rsid w:val="0086038E"/>
    <w:rsid w:val="00860484"/>
    <w:rsid w:val="0086048B"/>
    <w:rsid w:val="0086073F"/>
    <w:rsid w:val="00860D50"/>
    <w:rsid w:val="00860D8F"/>
    <w:rsid w:val="0086131D"/>
    <w:rsid w:val="00861561"/>
    <w:rsid w:val="008615E4"/>
    <w:rsid w:val="0086184E"/>
    <w:rsid w:val="00861896"/>
    <w:rsid w:val="008619D0"/>
    <w:rsid w:val="008619DB"/>
    <w:rsid w:val="00861A8D"/>
    <w:rsid w:val="00861ACD"/>
    <w:rsid w:val="00861CBE"/>
    <w:rsid w:val="00861E10"/>
    <w:rsid w:val="00861E1B"/>
    <w:rsid w:val="00861EED"/>
    <w:rsid w:val="00861FAF"/>
    <w:rsid w:val="00861FFC"/>
    <w:rsid w:val="00862014"/>
    <w:rsid w:val="00862339"/>
    <w:rsid w:val="00862362"/>
    <w:rsid w:val="008624AB"/>
    <w:rsid w:val="008624E1"/>
    <w:rsid w:val="00862647"/>
    <w:rsid w:val="008627E4"/>
    <w:rsid w:val="00862964"/>
    <w:rsid w:val="0086299C"/>
    <w:rsid w:val="008629CC"/>
    <w:rsid w:val="008629E7"/>
    <w:rsid w:val="00862B97"/>
    <w:rsid w:val="00862CBA"/>
    <w:rsid w:val="00862FAE"/>
    <w:rsid w:val="00862FB1"/>
    <w:rsid w:val="008631E4"/>
    <w:rsid w:val="008632D3"/>
    <w:rsid w:val="00863347"/>
    <w:rsid w:val="00863507"/>
    <w:rsid w:val="00863623"/>
    <w:rsid w:val="008636FC"/>
    <w:rsid w:val="0086373B"/>
    <w:rsid w:val="0086388A"/>
    <w:rsid w:val="008638D6"/>
    <w:rsid w:val="00863B26"/>
    <w:rsid w:val="00863B52"/>
    <w:rsid w:val="0086401B"/>
    <w:rsid w:val="008640C9"/>
    <w:rsid w:val="008641FB"/>
    <w:rsid w:val="00864286"/>
    <w:rsid w:val="008642F9"/>
    <w:rsid w:val="0086443B"/>
    <w:rsid w:val="008644A1"/>
    <w:rsid w:val="0086487D"/>
    <w:rsid w:val="00864A26"/>
    <w:rsid w:val="00864ABA"/>
    <w:rsid w:val="00864B0E"/>
    <w:rsid w:val="00864B86"/>
    <w:rsid w:val="00864E39"/>
    <w:rsid w:val="00864FEC"/>
    <w:rsid w:val="0086513A"/>
    <w:rsid w:val="008651FA"/>
    <w:rsid w:val="00865459"/>
    <w:rsid w:val="008654BB"/>
    <w:rsid w:val="00865530"/>
    <w:rsid w:val="0086553A"/>
    <w:rsid w:val="008656FD"/>
    <w:rsid w:val="00865863"/>
    <w:rsid w:val="0086587F"/>
    <w:rsid w:val="00865919"/>
    <w:rsid w:val="0086595A"/>
    <w:rsid w:val="00865C31"/>
    <w:rsid w:val="00865C5F"/>
    <w:rsid w:val="00865E12"/>
    <w:rsid w:val="00865E2B"/>
    <w:rsid w:val="00865FB5"/>
    <w:rsid w:val="00866029"/>
    <w:rsid w:val="008660CA"/>
    <w:rsid w:val="0086624D"/>
    <w:rsid w:val="008667E7"/>
    <w:rsid w:val="008668BD"/>
    <w:rsid w:val="00866910"/>
    <w:rsid w:val="00866C08"/>
    <w:rsid w:val="00866E95"/>
    <w:rsid w:val="00866EA6"/>
    <w:rsid w:val="00867235"/>
    <w:rsid w:val="008672E2"/>
    <w:rsid w:val="00867308"/>
    <w:rsid w:val="008674DD"/>
    <w:rsid w:val="00867521"/>
    <w:rsid w:val="0086787B"/>
    <w:rsid w:val="00867893"/>
    <w:rsid w:val="008678B4"/>
    <w:rsid w:val="0086790A"/>
    <w:rsid w:val="00867A6F"/>
    <w:rsid w:val="00867ADE"/>
    <w:rsid w:val="00867AED"/>
    <w:rsid w:val="00867B60"/>
    <w:rsid w:val="00867B90"/>
    <w:rsid w:val="00867E2B"/>
    <w:rsid w:val="00867E79"/>
    <w:rsid w:val="00867F13"/>
    <w:rsid w:val="008700AC"/>
    <w:rsid w:val="0087011D"/>
    <w:rsid w:val="00870245"/>
    <w:rsid w:val="00870484"/>
    <w:rsid w:val="00870490"/>
    <w:rsid w:val="008704B2"/>
    <w:rsid w:val="008705AA"/>
    <w:rsid w:val="008705C0"/>
    <w:rsid w:val="00870674"/>
    <w:rsid w:val="008706AD"/>
    <w:rsid w:val="008706E0"/>
    <w:rsid w:val="008708DB"/>
    <w:rsid w:val="008709B3"/>
    <w:rsid w:val="00870D5F"/>
    <w:rsid w:val="00870EEE"/>
    <w:rsid w:val="00870FEF"/>
    <w:rsid w:val="0087111C"/>
    <w:rsid w:val="00871243"/>
    <w:rsid w:val="008712AB"/>
    <w:rsid w:val="0087136D"/>
    <w:rsid w:val="00871419"/>
    <w:rsid w:val="008714C2"/>
    <w:rsid w:val="008714F7"/>
    <w:rsid w:val="008715D9"/>
    <w:rsid w:val="008715F6"/>
    <w:rsid w:val="008715FF"/>
    <w:rsid w:val="00871605"/>
    <w:rsid w:val="00871778"/>
    <w:rsid w:val="00871AA8"/>
    <w:rsid w:val="00871B7A"/>
    <w:rsid w:val="00871C23"/>
    <w:rsid w:val="00871C83"/>
    <w:rsid w:val="00871CFA"/>
    <w:rsid w:val="00871E70"/>
    <w:rsid w:val="00871ED1"/>
    <w:rsid w:val="00872038"/>
    <w:rsid w:val="0087215B"/>
    <w:rsid w:val="008721E6"/>
    <w:rsid w:val="00872222"/>
    <w:rsid w:val="00872303"/>
    <w:rsid w:val="008725D6"/>
    <w:rsid w:val="008727DC"/>
    <w:rsid w:val="008727FF"/>
    <w:rsid w:val="0087282D"/>
    <w:rsid w:val="0087284B"/>
    <w:rsid w:val="00872940"/>
    <w:rsid w:val="00872A3C"/>
    <w:rsid w:val="00872A45"/>
    <w:rsid w:val="00872A7C"/>
    <w:rsid w:val="00872B26"/>
    <w:rsid w:val="00872C71"/>
    <w:rsid w:val="0087309D"/>
    <w:rsid w:val="0087309F"/>
    <w:rsid w:val="008730AB"/>
    <w:rsid w:val="008730B1"/>
    <w:rsid w:val="0087343C"/>
    <w:rsid w:val="00873596"/>
    <w:rsid w:val="008738E6"/>
    <w:rsid w:val="00873997"/>
    <w:rsid w:val="00873C43"/>
    <w:rsid w:val="00873DD7"/>
    <w:rsid w:val="00873F3D"/>
    <w:rsid w:val="0087401E"/>
    <w:rsid w:val="00874053"/>
    <w:rsid w:val="008740A0"/>
    <w:rsid w:val="008740B7"/>
    <w:rsid w:val="008740CF"/>
    <w:rsid w:val="008744D3"/>
    <w:rsid w:val="00874550"/>
    <w:rsid w:val="00874735"/>
    <w:rsid w:val="00874AFA"/>
    <w:rsid w:val="00874C91"/>
    <w:rsid w:val="00874EC4"/>
    <w:rsid w:val="00874F0A"/>
    <w:rsid w:val="00875071"/>
    <w:rsid w:val="00875074"/>
    <w:rsid w:val="008751AC"/>
    <w:rsid w:val="00875233"/>
    <w:rsid w:val="00875252"/>
    <w:rsid w:val="0087545A"/>
    <w:rsid w:val="00875723"/>
    <w:rsid w:val="008757B1"/>
    <w:rsid w:val="00875827"/>
    <w:rsid w:val="00875843"/>
    <w:rsid w:val="00875921"/>
    <w:rsid w:val="00875A4A"/>
    <w:rsid w:val="00875C65"/>
    <w:rsid w:val="00875F08"/>
    <w:rsid w:val="00875FBD"/>
    <w:rsid w:val="00875FC6"/>
    <w:rsid w:val="008760AF"/>
    <w:rsid w:val="008763CA"/>
    <w:rsid w:val="008763DF"/>
    <w:rsid w:val="008763F2"/>
    <w:rsid w:val="008764D2"/>
    <w:rsid w:val="00876693"/>
    <w:rsid w:val="0087669F"/>
    <w:rsid w:val="008766E2"/>
    <w:rsid w:val="008767CF"/>
    <w:rsid w:val="00876802"/>
    <w:rsid w:val="00876BA8"/>
    <w:rsid w:val="00876D68"/>
    <w:rsid w:val="00876D86"/>
    <w:rsid w:val="00876F33"/>
    <w:rsid w:val="00876F48"/>
    <w:rsid w:val="008772A0"/>
    <w:rsid w:val="00877354"/>
    <w:rsid w:val="00877503"/>
    <w:rsid w:val="0087761B"/>
    <w:rsid w:val="0087764D"/>
    <w:rsid w:val="008777A4"/>
    <w:rsid w:val="00877A56"/>
    <w:rsid w:val="00877ADF"/>
    <w:rsid w:val="00877B37"/>
    <w:rsid w:val="00877B64"/>
    <w:rsid w:val="00877BAC"/>
    <w:rsid w:val="00877C49"/>
    <w:rsid w:val="00877D1A"/>
    <w:rsid w:val="00877D2D"/>
    <w:rsid w:val="00877F51"/>
    <w:rsid w:val="00877FF2"/>
    <w:rsid w:val="00880045"/>
    <w:rsid w:val="008801C0"/>
    <w:rsid w:val="0088038F"/>
    <w:rsid w:val="008803D3"/>
    <w:rsid w:val="0088046F"/>
    <w:rsid w:val="00880474"/>
    <w:rsid w:val="0088072B"/>
    <w:rsid w:val="00880736"/>
    <w:rsid w:val="00880EED"/>
    <w:rsid w:val="00880F9C"/>
    <w:rsid w:val="0088109E"/>
    <w:rsid w:val="008813D1"/>
    <w:rsid w:val="00881494"/>
    <w:rsid w:val="00881510"/>
    <w:rsid w:val="008815CE"/>
    <w:rsid w:val="0088162D"/>
    <w:rsid w:val="0088176B"/>
    <w:rsid w:val="00881794"/>
    <w:rsid w:val="0088191E"/>
    <w:rsid w:val="00881A63"/>
    <w:rsid w:val="00881C76"/>
    <w:rsid w:val="00881CC1"/>
    <w:rsid w:val="00881D9D"/>
    <w:rsid w:val="00881DA2"/>
    <w:rsid w:val="00881E0D"/>
    <w:rsid w:val="00882259"/>
    <w:rsid w:val="008822C0"/>
    <w:rsid w:val="00882392"/>
    <w:rsid w:val="00882609"/>
    <w:rsid w:val="008827BE"/>
    <w:rsid w:val="008828A7"/>
    <w:rsid w:val="008828FE"/>
    <w:rsid w:val="00882967"/>
    <w:rsid w:val="00882A74"/>
    <w:rsid w:val="00882D23"/>
    <w:rsid w:val="00882FAA"/>
    <w:rsid w:val="008830E9"/>
    <w:rsid w:val="0088324F"/>
    <w:rsid w:val="008836A8"/>
    <w:rsid w:val="0088391F"/>
    <w:rsid w:val="008839EE"/>
    <w:rsid w:val="00883A9B"/>
    <w:rsid w:val="00883B93"/>
    <w:rsid w:val="00883BEF"/>
    <w:rsid w:val="00883C7A"/>
    <w:rsid w:val="00883D88"/>
    <w:rsid w:val="00883E7A"/>
    <w:rsid w:val="00884019"/>
    <w:rsid w:val="0088423F"/>
    <w:rsid w:val="008842BF"/>
    <w:rsid w:val="00884303"/>
    <w:rsid w:val="00884420"/>
    <w:rsid w:val="008846F2"/>
    <w:rsid w:val="008847E1"/>
    <w:rsid w:val="008847E4"/>
    <w:rsid w:val="008853AE"/>
    <w:rsid w:val="00885465"/>
    <w:rsid w:val="0088547E"/>
    <w:rsid w:val="0088567B"/>
    <w:rsid w:val="00885778"/>
    <w:rsid w:val="00885A57"/>
    <w:rsid w:val="00885C0E"/>
    <w:rsid w:val="00885DAB"/>
    <w:rsid w:val="00885E28"/>
    <w:rsid w:val="00885FBF"/>
    <w:rsid w:val="00886010"/>
    <w:rsid w:val="00886126"/>
    <w:rsid w:val="008861D0"/>
    <w:rsid w:val="0088628E"/>
    <w:rsid w:val="008867BD"/>
    <w:rsid w:val="008868A4"/>
    <w:rsid w:val="008868AF"/>
    <w:rsid w:val="00886ABE"/>
    <w:rsid w:val="00886B86"/>
    <w:rsid w:val="00886C2F"/>
    <w:rsid w:val="00886CA1"/>
    <w:rsid w:val="00886F02"/>
    <w:rsid w:val="00886F99"/>
    <w:rsid w:val="00886FD8"/>
    <w:rsid w:val="0088704A"/>
    <w:rsid w:val="008871C4"/>
    <w:rsid w:val="008873AC"/>
    <w:rsid w:val="008874C1"/>
    <w:rsid w:val="00887582"/>
    <w:rsid w:val="0088764C"/>
    <w:rsid w:val="0088785E"/>
    <w:rsid w:val="008878B6"/>
    <w:rsid w:val="0088794E"/>
    <w:rsid w:val="008879DF"/>
    <w:rsid w:val="00887A86"/>
    <w:rsid w:val="00887C40"/>
    <w:rsid w:val="00887DA5"/>
    <w:rsid w:val="00887DC1"/>
    <w:rsid w:val="00887DD6"/>
    <w:rsid w:val="00887E8E"/>
    <w:rsid w:val="00887EC8"/>
    <w:rsid w:val="00887F84"/>
    <w:rsid w:val="00890091"/>
    <w:rsid w:val="00890170"/>
    <w:rsid w:val="00890335"/>
    <w:rsid w:val="00890398"/>
    <w:rsid w:val="008904F6"/>
    <w:rsid w:val="00890685"/>
    <w:rsid w:val="008908D1"/>
    <w:rsid w:val="008909EB"/>
    <w:rsid w:val="00890A1D"/>
    <w:rsid w:val="00890A4B"/>
    <w:rsid w:val="00890D92"/>
    <w:rsid w:val="00890DC2"/>
    <w:rsid w:val="00890DD2"/>
    <w:rsid w:val="008910CA"/>
    <w:rsid w:val="008913CF"/>
    <w:rsid w:val="008915A7"/>
    <w:rsid w:val="008915B3"/>
    <w:rsid w:val="008916FA"/>
    <w:rsid w:val="008918C9"/>
    <w:rsid w:val="008919C2"/>
    <w:rsid w:val="00891B62"/>
    <w:rsid w:val="00891DB6"/>
    <w:rsid w:val="0089201F"/>
    <w:rsid w:val="00892338"/>
    <w:rsid w:val="0089236E"/>
    <w:rsid w:val="00892427"/>
    <w:rsid w:val="008924A3"/>
    <w:rsid w:val="0089275F"/>
    <w:rsid w:val="00892881"/>
    <w:rsid w:val="008928D7"/>
    <w:rsid w:val="008929FD"/>
    <w:rsid w:val="00892D9F"/>
    <w:rsid w:val="00892E17"/>
    <w:rsid w:val="0089308A"/>
    <w:rsid w:val="008931F5"/>
    <w:rsid w:val="0089333E"/>
    <w:rsid w:val="00893495"/>
    <w:rsid w:val="00893850"/>
    <w:rsid w:val="008939DD"/>
    <w:rsid w:val="00893F33"/>
    <w:rsid w:val="008940D8"/>
    <w:rsid w:val="008941A5"/>
    <w:rsid w:val="008942E2"/>
    <w:rsid w:val="00894303"/>
    <w:rsid w:val="00894557"/>
    <w:rsid w:val="00894765"/>
    <w:rsid w:val="00894A24"/>
    <w:rsid w:val="00894A34"/>
    <w:rsid w:val="00894AE2"/>
    <w:rsid w:val="00894AF6"/>
    <w:rsid w:val="00894B28"/>
    <w:rsid w:val="00894B7E"/>
    <w:rsid w:val="00894C85"/>
    <w:rsid w:val="00894C93"/>
    <w:rsid w:val="00894D43"/>
    <w:rsid w:val="00894D7F"/>
    <w:rsid w:val="00894F93"/>
    <w:rsid w:val="00895225"/>
    <w:rsid w:val="0089523D"/>
    <w:rsid w:val="00895621"/>
    <w:rsid w:val="0089576F"/>
    <w:rsid w:val="008957E3"/>
    <w:rsid w:val="00895925"/>
    <w:rsid w:val="00895951"/>
    <w:rsid w:val="00895B84"/>
    <w:rsid w:val="00895F23"/>
    <w:rsid w:val="00895FAD"/>
    <w:rsid w:val="0089602D"/>
    <w:rsid w:val="0089607F"/>
    <w:rsid w:val="008960CE"/>
    <w:rsid w:val="008961BC"/>
    <w:rsid w:val="008961E3"/>
    <w:rsid w:val="008962FE"/>
    <w:rsid w:val="00896302"/>
    <w:rsid w:val="00896314"/>
    <w:rsid w:val="0089643E"/>
    <w:rsid w:val="00896458"/>
    <w:rsid w:val="00896582"/>
    <w:rsid w:val="008965E8"/>
    <w:rsid w:val="008966FA"/>
    <w:rsid w:val="00896BD6"/>
    <w:rsid w:val="00896C7C"/>
    <w:rsid w:val="00896D83"/>
    <w:rsid w:val="00896D88"/>
    <w:rsid w:val="00896DCC"/>
    <w:rsid w:val="00896DE5"/>
    <w:rsid w:val="00896FF1"/>
    <w:rsid w:val="00897102"/>
    <w:rsid w:val="00897108"/>
    <w:rsid w:val="008971AE"/>
    <w:rsid w:val="008971CA"/>
    <w:rsid w:val="0089720C"/>
    <w:rsid w:val="00897245"/>
    <w:rsid w:val="0089730A"/>
    <w:rsid w:val="008973FA"/>
    <w:rsid w:val="00897433"/>
    <w:rsid w:val="008974AB"/>
    <w:rsid w:val="008975B9"/>
    <w:rsid w:val="008975E7"/>
    <w:rsid w:val="00897949"/>
    <w:rsid w:val="00897A47"/>
    <w:rsid w:val="00897A48"/>
    <w:rsid w:val="00897C60"/>
    <w:rsid w:val="00897D68"/>
    <w:rsid w:val="008A0198"/>
    <w:rsid w:val="008A02BD"/>
    <w:rsid w:val="008A036D"/>
    <w:rsid w:val="008A0472"/>
    <w:rsid w:val="008A047F"/>
    <w:rsid w:val="008A04CB"/>
    <w:rsid w:val="008A072A"/>
    <w:rsid w:val="008A0752"/>
    <w:rsid w:val="008A077C"/>
    <w:rsid w:val="008A07CA"/>
    <w:rsid w:val="008A097A"/>
    <w:rsid w:val="008A0A3A"/>
    <w:rsid w:val="008A0C86"/>
    <w:rsid w:val="008A0E96"/>
    <w:rsid w:val="008A0F1B"/>
    <w:rsid w:val="008A1130"/>
    <w:rsid w:val="008A14D2"/>
    <w:rsid w:val="008A1639"/>
    <w:rsid w:val="008A1733"/>
    <w:rsid w:val="008A1F81"/>
    <w:rsid w:val="008A224E"/>
    <w:rsid w:val="008A22A6"/>
    <w:rsid w:val="008A243E"/>
    <w:rsid w:val="008A258C"/>
    <w:rsid w:val="008A25C8"/>
    <w:rsid w:val="008A2630"/>
    <w:rsid w:val="008A2634"/>
    <w:rsid w:val="008A2717"/>
    <w:rsid w:val="008A2B00"/>
    <w:rsid w:val="008A2B63"/>
    <w:rsid w:val="008A2C3B"/>
    <w:rsid w:val="008A2C6A"/>
    <w:rsid w:val="008A2F0E"/>
    <w:rsid w:val="008A2FDD"/>
    <w:rsid w:val="008A313F"/>
    <w:rsid w:val="008A33A4"/>
    <w:rsid w:val="008A33D4"/>
    <w:rsid w:val="008A33ED"/>
    <w:rsid w:val="008A355C"/>
    <w:rsid w:val="008A359B"/>
    <w:rsid w:val="008A35A4"/>
    <w:rsid w:val="008A3873"/>
    <w:rsid w:val="008A38BE"/>
    <w:rsid w:val="008A38D0"/>
    <w:rsid w:val="008A399A"/>
    <w:rsid w:val="008A3B4B"/>
    <w:rsid w:val="008A4237"/>
    <w:rsid w:val="008A42FB"/>
    <w:rsid w:val="008A45C8"/>
    <w:rsid w:val="008A47A6"/>
    <w:rsid w:val="008A483E"/>
    <w:rsid w:val="008A4920"/>
    <w:rsid w:val="008A4E37"/>
    <w:rsid w:val="008A5001"/>
    <w:rsid w:val="008A50F3"/>
    <w:rsid w:val="008A5116"/>
    <w:rsid w:val="008A5225"/>
    <w:rsid w:val="008A5254"/>
    <w:rsid w:val="008A537D"/>
    <w:rsid w:val="008A5442"/>
    <w:rsid w:val="008A5493"/>
    <w:rsid w:val="008A5691"/>
    <w:rsid w:val="008A5859"/>
    <w:rsid w:val="008A5A13"/>
    <w:rsid w:val="008A5A34"/>
    <w:rsid w:val="008A5B8C"/>
    <w:rsid w:val="008A5C12"/>
    <w:rsid w:val="008A5C8D"/>
    <w:rsid w:val="008A5CCA"/>
    <w:rsid w:val="008A5F9B"/>
    <w:rsid w:val="008A5FE8"/>
    <w:rsid w:val="008A6001"/>
    <w:rsid w:val="008A6096"/>
    <w:rsid w:val="008A630E"/>
    <w:rsid w:val="008A63BE"/>
    <w:rsid w:val="008A6520"/>
    <w:rsid w:val="008A6561"/>
    <w:rsid w:val="008A65A5"/>
    <w:rsid w:val="008A66F3"/>
    <w:rsid w:val="008A67D0"/>
    <w:rsid w:val="008A6B51"/>
    <w:rsid w:val="008A6C8B"/>
    <w:rsid w:val="008A6CEB"/>
    <w:rsid w:val="008A6D95"/>
    <w:rsid w:val="008A6EDE"/>
    <w:rsid w:val="008A701D"/>
    <w:rsid w:val="008A70CD"/>
    <w:rsid w:val="008A72A2"/>
    <w:rsid w:val="008A7554"/>
    <w:rsid w:val="008A76F3"/>
    <w:rsid w:val="008A79A0"/>
    <w:rsid w:val="008A7A61"/>
    <w:rsid w:val="008A7C6C"/>
    <w:rsid w:val="008A7D9E"/>
    <w:rsid w:val="008A7F6E"/>
    <w:rsid w:val="008B0107"/>
    <w:rsid w:val="008B01FB"/>
    <w:rsid w:val="008B0350"/>
    <w:rsid w:val="008B0360"/>
    <w:rsid w:val="008B0396"/>
    <w:rsid w:val="008B04A2"/>
    <w:rsid w:val="008B04B3"/>
    <w:rsid w:val="008B0572"/>
    <w:rsid w:val="008B08AB"/>
    <w:rsid w:val="008B0984"/>
    <w:rsid w:val="008B098A"/>
    <w:rsid w:val="008B0994"/>
    <w:rsid w:val="008B0A7E"/>
    <w:rsid w:val="008B0AC3"/>
    <w:rsid w:val="008B0C86"/>
    <w:rsid w:val="008B0C9B"/>
    <w:rsid w:val="008B0CCC"/>
    <w:rsid w:val="008B0D3E"/>
    <w:rsid w:val="008B0E12"/>
    <w:rsid w:val="008B0F8D"/>
    <w:rsid w:val="008B0FC3"/>
    <w:rsid w:val="008B1018"/>
    <w:rsid w:val="008B10DE"/>
    <w:rsid w:val="008B11FD"/>
    <w:rsid w:val="008B13ED"/>
    <w:rsid w:val="008B151C"/>
    <w:rsid w:val="008B1615"/>
    <w:rsid w:val="008B1643"/>
    <w:rsid w:val="008B165D"/>
    <w:rsid w:val="008B1A60"/>
    <w:rsid w:val="008B1B5C"/>
    <w:rsid w:val="008B1BAD"/>
    <w:rsid w:val="008B1E83"/>
    <w:rsid w:val="008B1EF8"/>
    <w:rsid w:val="008B1FEF"/>
    <w:rsid w:val="008B2130"/>
    <w:rsid w:val="008B2251"/>
    <w:rsid w:val="008B2308"/>
    <w:rsid w:val="008B23DE"/>
    <w:rsid w:val="008B23F1"/>
    <w:rsid w:val="008B250A"/>
    <w:rsid w:val="008B2623"/>
    <w:rsid w:val="008B26B5"/>
    <w:rsid w:val="008B2706"/>
    <w:rsid w:val="008B2730"/>
    <w:rsid w:val="008B27FC"/>
    <w:rsid w:val="008B2D24"/>
    <w:rsid w:val="008B2D60"/>
    <w:rsid w:val="008B3037"/>
    <w:rsid w:val="008B3205"/>
    <w:rsid w:val="008B3215"/>
    <w:rsid w:val="008B33B0"/>
    <w:rsid w:val="008B343B"/>
    <w:rsid w:val="008B354D"/>
    <w:rsid w:val="008B35DA"/>
    <w:rsid w:val="008B3670"/>
    <w:rsid w:val="008B39A9"/>
    <w:rsid w:val="008B3ABA"/>
    <w:rsid w:val="008B3C4A"/>
    <w:rsid w:val="008B3D1A"/>
    <w:rsid w:val="008B3F1B"/>
    <w:rsid w:val="008B3F73"/>
    <w:rsid w:val="008B3FA3"/>
    <w:rsid w:val="008B42FC"/>
    <w:rsid w:val="008B43D8"/>
    <w:rsid w:val="008B43E2"/>
    <w:rsid w:val="008B43E3"/>
    <w:rsid w:val="008B44D8"/>
    <w:rsid w:val="008B450A"/>
    <w:rsid w:val="008B472B"/>
    <w:rsid w:val="008B48ED"/>
    <w:rsid w:val="008B494A"/>
    <w:rsid w:val="008B4AF8"/>
    <w:rsid w:val="008B4C86"/>
    <w:rsid w:val="008B4D20"/>
    <w:rsid w:val="008B4E02"/>
    <w:rsid w:val="008B4F0F"/>
    <w:rsid w:val="008B5103"/>
    <w:rsid w:val="008B5197"/>
    <w:rsid w:val="008B5372"/>
    <w:rsid w:val="008B5382"/>
    <w:rsid w:val="008B53AA"/>
    <w:rsid w:val="008B55AC"/>
    <w:rsid w:val="008B570F"/>
    <w:rsid w:val="008B578D"/>
    <w:rsid w:val="008B5A43"/>
    <w:rsid w:val="008B5A54"/>
    <w:rsid w:val="008B5EA6"/>
    <w:rsid w:val="008B5FAA"/>
    <w:rsid w:val="008B60BC"/>
    <w:rsid w:val="008B6158"/>
    <w:rsid w:val="008B630A"/>
    <w:rsid w:val="008B63B0"/>
    <w:rsid w:val="008B645F"/>
    <w:rsid w:val="008B64A1"/>
    <w:rsid w:val="008B6554"/>
    <w:rsid w:val="008B657C"/>
    <w:rsid w:val="008B6582"/>
    <w:rsid w:val="008B6602"/>
    <w:rsid w:val="008B67AA"/>
    <w:rsid w:val="008B6A8E"/>
    <w:rsid w:val="008B6C8F"/>
    <w:rsid w:val="008B6D91"/>
    <w:rsid w:val="008B7008"/>
    <w:rsid w:val="008B70B2"/>
    <w:rsid w:val="008B7412"/>
    <w:rsid w:val="008B75B6"/>
    <w:rsid w:val="008B778B"/>
    <w:rsid w:val="008B7830"/>
    <w:rsid w:val="008B7A01"/>
    <w:rsid w:val="008B7B57"/>
    <w:rsid w:val="008B7C38"/>
    <w:rsid w:val="008B7E91"/>
    <w:rsid w:val="008B7ECF"/>
    <w:rsid w:val="008C0193"/>
    <w:rsid w:val="008C0582"/>
    <w:rsid w:val="008C0858"/>
    <w:rsid w:val="008C0890"/>
    <w:rsid w:val="008C0AFE"/>
    <w:rsid w:val="008C0DFD"/>
    <w:rsid w:val="008C0F9F"/>
    <w:rsid w:val="008C0FF3"/>
    <w:rsid w:val="008C0FFA"/>
    <w:rsid w:val="008C12BA"/>
    <w:rsid w:val="008C153E"/>
    <w:rsid w:val="008C1584"/>
    <w:rsid w:val="008C161A"/>
    <w:rsid w:val="008C190D"/>
    <w:rsid w:val="008C1960"/>
    <w:rsid w:val="008C1CF4"/>
    <w:rsid w:val="008C1E71"/>
    <w:rsid w:val="008C1F13"/>
    <w:rsid w:val="008C21F8"/>
    <w:rsid w:val="008C223B"/>
    <w:rsid w:val="008C2342"/>
    <w:rsid w:val="008C242C"/>
    <w:rsid w:val="008C2515"/>
    <w:rsid w:val="008C254D"/>
    <w:rsid w:val="008C256A"/>
    <w:rsid w:val="008C29ED"/>
    <w:rsid w:val="008C29F2"/>
    <w:rsid w:val="008C2A07"/>
    <w:rsid w:val="008C2AD7"/>
    <w:rsid w:val="008C2CDB"/>
    <w:rsid w:val="008C2F7F"/>
    <w:rsid w:val="008C313E"/>
    <w:rsid w:val="008C32F8"/>
    <w:rsid w:val="008C337C"/>
    <w:rsid w:val="008C342D"/>
    <w:rsid w:val="008C349F"/>
    <w:rsid w:val="008C3519"/>
    <w:rsid w:val="008C3967"/>
    <w:rsid w:val="008C3B41"/>
    <w:rsid w:val="008C3B90"/>
    <w:rsid w:val="008C3C3E"/>
    <w:rsid w:val="008C3C62"/>
    <w:rsid w:val="008C3ECC"/>
    <w:rsid w:val="008C4055"/>
    <w:rsid w:val="008C4248"/>
    <w:rsid w:val="008C4436"/>
    <w:rsid w:val="008C463B"/>
    <w:rsid w:val="008C4C19"/>
    <w:rsid w:val="008C4CF2"/>
    <w:rsid w:val="008C5029"/>
    <w:rsid w:val="008C5470"/>
    <w:rsid w:val="008C561B"/>
    <w:rsid w:val="008C5715"/>
    <w:rsid w:val="008C598C"/>
    <w:rsid w:val="008C5ABE"/>
    <w:rsid w:val="008C5FFD"/>
    <w:rsid w:val="008C6194"/>
    <w:rsid w:val="008C61D6"/>
    <w:rsid w:val="008C650D"/>
    <w:rsid w:val="008C68BE"/>
    <w:rsid w:val="008C69AB"/>
    <w:rsid w:val="008C6BA5"/>
    <w:rsid w:val="008C6BFC"/>
    <w:rsid w:val="008C6D31"/>
    <w:rsid w:val="008C6D8A"/>
    <w:rsid w:val="008C6DD5"/>
    <w:rsid w:val="008C6F23"/>
    <w:rsid w:val="008C71D2"/>
    <w:rsid w:val="008C730F"/>
    <w:rsid w:val="008C73DF"/>
    <w:rsid w:val="008C75B7"/>
    <w:rsid w:val="008C76AE"/>
    <w:rsid w:val="008C7747"/>
    <w:rsid w:val="008C7A0C"/>
    <w:rsid w:val="008C7D89"/>
    <w:rsid w:val="008D0080"/>
    <w:rsid w:val="008D030E"/>
    <w:rsid w:val="008D03E1"/>
    <w:rsid w:val="008D0532"/>
    <w:rsid w:val="008D0869"/>
    <w:rsid w:val="008D0929"/>
    <w:rsid w:val="008D0969"/>
    <w:rsid w:val="008D0A59"/>
    <w:rsid w:val="008D0CF4"/>
    <w:rsid w:val="008D0DAB"/>
    <w:rsid w:val="008D12C6"/>
    <w:rsid w:val="008D134B"/>
    <w:rsid w:val="008D13E8"/>
    <w:rsid w:val="008D148D"/>
    <w:rsid w:val="008D15C5"/>
    <w:rsid w:val="008D15E4"/>
    <w:rsid w:val="008D1808"/>
    <w:rsid w:val="008D1963"/>
    <w:rsid w:val="008D1E64"/>
    <w:rsid w:val="008D1EB5"/>
    <w:rsid w:val="008D20B7"/>
    <w:rsid w:val="008D21C6"/>
    <w:rsid w:val="008D231A"/>
    <w:rsid w:val="008D254F"/>
    <w:rsid w:val="008D2602"/>
    <w:rsid w:val="008D26B2"/>
    <w:rsid w:val="008D26DB"/>
    <w:rsid w:val="008D2747"/>
    <w:rsid w:val="008D2ED4"/>
    <w:rsid w:val="008D3011"/>
    <w:rsid w:val="008D3149"/>
    <w:rsid w:val="008D3164"/>
    <w:rsid w:val="008D32D8"/>
    <w:rsid w:val="008D3435"/>
    <w:rsid w:val="008D35A7"/>
    <w:rsid w:val="008D36AE"/>
    <w:rsid w:val="008D36B1"/>
    <w:rsid w:val="008D37D5"/>
    <w:rsid w:val="008D391A"/>
    <w:rsid w:val="008D3BD5"/>
    <w:rsid w:val="008D3CD1"/>
    <w:rsid w:val="008D3D01"/>
    <w:rsid w:val="008D3D96"/>
    <w:rsid w:val="008D3E84"/>
    <w:rsid w:val="008D3F73"/>
    <w:rsid w:val="008D4104"/>
    <w:rsid w:val="008D4244"/>
    <w:rsid w:val="008D430C"/>
    <w:rsid w:val="008D4348"/>
    <w:rsid w:val="008D490F"/>
    <w:rsid w:val="008D4D88"/>
    <w:rsid w:val="008D4DCA"/>
    <w:rsid w:val="008D530F"/>
    <w:rsid w:val="008D551B"/>
    <w:rsid w:val="008D5671"/>
    <w:rsid w:val="008D5759"/>
    <w:rsid w:val="008D586B"/>
    <w:rsid w:val="008D598B"/>
    <w:rsid w:val="008D5B3C"/>
    <w:rsid w:val="008D5BEF"/>
    <w:rsid w:val="008D5CA8"/>
    <w:rsid w:val="008D5D78"/>
    <w:rsid w:val="008D5F9E"/>
    <w:rsid w:val="008D60B0"/>
    <w:rsid w:val="008D615E"/>
    <w:rsid w:val="008D629E"/>
    <w:rsid w:val="008D6548"/>
    <w:rsid w:val="008D669F"/>
    <w:rsid w:val="008D67A7"/>
    <w:rsid w:val="008D67F8"/>
    <w:rsid w:val="008D68DD"/>
    <w:rsid w:val="008D6C5D"/>
    <w:rsid w:val="008D6F74"/>
    <w:rsid w:val="008D6FFC"/>
    <w:rsid w:val="008D7064"/>
    <w:rsid w:val="008D715C"/>
    <w:rsid w:val="008D71E9"/>
    <w:rsid w:val="008D768C"/>
    <w:rsid w:val="008D776F"/>
    <w:rsid w:val="008D7875"/>
    <w:rsid w:val="008D7AD5"/>
    <w:rsid w:val="008D7B30"/>
    <w:rsid w:val="008D7DFA"/>
    <w:rsid w:val="008D7F87"/>
    <w:rsid w:val="008D7FA4"/>
    <w:rsid w:val="008E0070"/>
    <w:rsid w:val="008E059E"/>
    <w:rsid w:val="008E0735"/>
    <w:rsid w:val="008E07A4"/>
    <w:rsid w:val="008E0960"/>
    <w:rsid w:val="008E0993"/>
    <w:rsid w:val="008E0AB0"/>
    <w:rsid w:val="008E0B88"/>
    <w:rsid w:val="008E0BCC"/>
    <w:rsid w:val="008E0D89"/>
    <w:rsid w:val="008E0DAE"/>
    <w:rsid w:val="008E0EA7"/>
    <w:rsid w:val="008E0F9A"/>
    <w:rsid w:val="008E101F"/>
    <w:rsid w:val="008E1123"/>
    <w:rsid w:val="008E175B"/>
    <w:rsid w:val="008E1C28"/>
    <w:rsid w:val="008E1CD2"/>
    <w:rsid w:val="008E1E9D"/>
    <w:rsid w:val="008E1F02"/>
    <w:rsid w:val="008E1F0E"/>
    <w:rsid w:val="008E224A"/>
    <w:rsid w:val="008E247E"/>
    <w:rsid w:val="008E25BA"/>
    <w:rsid w:val="008E27E6"/>
    <w:rsid w:val="008E2951"/>
    <w:rsid w:val="008E2A20"/>
    <w:rsid w:val="008E2B85"/>
    <w:rsid w:val="008E2BEE"/>
    <w:rsid w:val="008E2E6F"/>
    <w:rsid w:val="008E32AB"/>
    <w:rsid w:val="008E3301"/>
    <w:rsid w:val="008E3325"/>
    <w:rsid w:val="008E3408"/>
    <w:rsid w:val="008E352D"/>
    <w:rsid w:val="008E35BB"/>
    <w:rsid w:val="008E3718"/>
    <w:rsid w:val="008E3C90"/>
    <w:rsid w:val="008E3DA4"/>
    <w:rsid w:val="008E3F09"/>
    <w:rsid w:val="008E43F6"/>
    <w:rsid w:val="008E441C"/>
    <w:rsid w:val="008E46F5"/>
    <w:rsid w:val="008E4716"/>
    <w:rsid w:val="008E4873"/>
    <w:rsid w:val="008E4986"/>
    <w:rsid w:val="008E4AFF"/>
    <w:rsid w:val="008E4BB6"/>
    <w:rsid w:val="008E4BBD"/>
    <w:rsid w:val="008E4BDF"/>
    <w:rsid w:val="008E4D9E"/>
    <w:rsid w:val="008E4E0E"/>
    <w:rsid w:val="008E4E76"/>
    <w:rsid w:val="008E4F9E"/>
    <w:rsid w:val="008E5117"/>
    <w:rsid w:val="008E5208"/>
    <w:rsid w:val="008E521B"/>
    <w:rsid w:val="008E5323"/>
    <w:rsid w:val="008E533D"/>
    <w:rsid w:val="008E54A4"/>
    <w:rsid w:val="008E54A5"/>
    <w:rsid w:val="008E54AB"/>
    <w:rsid w:val="008E559B"/>
    <w:rsid w:val="008E55B3"/>
    <w:rsid w:val="008E571F"/>
    <w:rsid w:val="008E5785"/>
    <w:rsid w:val="008E581A"/>
    <w:rsid w:val="008E5833"/>
    <w:rsid w:val="008E5A74"/>
    <w:rsid w:val="008E5AAC"/>
    <w:rsid w:val="008E5AC7"/>
    <w:rsid w:val="008E5B2A"/>
    <w:rsid w:val="008E5B8B"/>
    <w:rsid w:val="008E5D3A"/>
    <w:rsid w:val="008E5FE0"/>
    <w:rsid w:val="008E6025"/>
    <w:rsid w:val="008E613E"/>
    <w:rsid w:val="008E619E"/>
    <w:rsid w:val="008E61CC"/>
    <w:rsid w:val="008E62A0"/>
    <w:rsid w:val="008E62C5"/>
    <w:rsid w:val="008E6387"/>
    <w:rsid w:val="008E672B"/>
    <w:rsid w:val="008E6969"/>
    <w:rsid w:val="008E69FF"/>
    <w:rsid w:val="008E6A69"/>
    <w:rsid w:val="008E6B88"/>
    <w:rsid w:val="008E6C7C"/>
    <w:rsid w:val="008E6CBD"/>
    <w:rsid w:val="008E6D2E"/>
    <w:rsid w:val="008E6ED9"/>
    <w:rsid w:val="008E7279"/>
    <w:rsid w:val="008E758D"/>
    <w:rsid w:val="008E75FC"/>
    <w:rsid w:val="008E7816"/>
    <w:rsid w:val="008E78A0"/>
    <w:rsid w:val="008E78E9"/>
    <w:rsid w:val="008E7969"/>
    <w:rsid w:val="008E7B93"/>
    <w:rsid w:val="008E7D7D"/>
    <w:rsid w:val="008E7F89"/>
    <w:rsid w:val="008F0619"/>
    <w:rsid w:val="008F06AB"/>
    <w:rsid w:val="008F09DA"/>
    <w:rsid w:val="008F0BFD"/>
    <w:rsid w:val="008F0EEA"/>
    <w:rsid w:val="008F0F50"/>
    <w:rsid w:val="008F10C8"/>
    <w:rsid w:val="008F123F"/>
    <w:rsid w:val="008F1341"/>
    <w:rsid w:val="008F16D1"/>
    <w:rsid w:val="008F178B"/>
    <w:rsid w:val="008F1794"/>
    <w:rsid w:val="008F1F65"/>
    <w:rsid w:val="008F2225"/>
    <w:rsid w:val="008F223A"/>
    <w:rsid w:val="008F242E"/>
    <w:rsid w:val="008F24FD"/>
    <w:rsid w:val="008F2560"/>
    <w:rsid w:val="008F284F"/>
    <w:rsid w:val="008F2891"/>
    <w:rsid w:val="008F2994"/>
    <w:rsid w:val="008F2A25"/>
    <w:rsid w:val="008F2ACC"/>
    <w:rsid w:val="008F2BF9"/>
    <w:rsid w:val="008F2D80"/>
    <w:rsid w:val="008F2D8F"/>
    <w:rsid w:val="008F319B"/>
    <w:rsid w:val="008F332C"/>
    <w:rsid w:val="008F378F"/>
    <w:rsid w:val="008F381F"/>
    <w:rsid w:val="008F3C26"/>
    <w:rsid w:val="008F3DD1"/>
    <w:rsid w:val="008F3F1D"/>
    <w:rsid w:val="008F3FA0"/>
    <w:rsid w:val="008F40EC"/>
    <w:rsid w:val="008F41BA"/>
    <w:rsid w:val="008F41C2"/>
    <w:rsid w:val="008F424D"/>
    <w:rsid w:val="008F4443"/>
    <w:rsid w:val="008F4487"/>
    <w:rsid w:val="008F44C1"/>
    <w:rsid w:val="008F44EB"/>
    <w:rsid w:val="008F4596"/>
    <w:rsid w:val="008F46CE"/>
    <w:rsid w:val="008F46CF"/>
    <w:rsid w:val="008F474A"/>
    <w:rsid w:val="008F497D"/>
    <w:rsid w:val="008F4A6E"/>
    <w:rsid w:val="008F4AE4"/>
    <w:rsid w:val="008F4B0F"/>
    <w:rsid w:val="008F4B3E"/>
    <w:rsid w:val="008F4C03"/>
    <w:rsid w:val="008F4DAC"/>
    <w:rsid w:val="008F4FF7"/>
    <w:rsid w:val="008F5229"/>
    <w:rsid w:val="008F523D"/>
    <w:rsid w:val="008F542A"/>
    <w:rsid w:val="008F54BD"/>
    <w:rsid w:val="008F55B5"/>
    <w:rsid w:val="008F5874"/>
    <w:rsid w:val="008F593F"/>
    <w:rsid w:val="008F5F30"/>
    <w:rsid w:val="008F6200"/>
    <w:rsid w:val="008F63B4"/>
    <w:rsid w:val="008F66C4"/>
    <w:rsid w:val="008F6892"/>
    <w:rsid w:val="008F6A45"/>
    <w:rsid w:val="008F6B16"/>
    <w:rsid w:val="008F6E83"/>
    <w:rsid w:val="008F707B"/>
    <w:rsid w:val="008F708F"/>
    <w:rsid w:val="008F7168"/>
    <w:rsid w:val="008F7362"/>
    <w:rsid w:val="008F7398"/>
    <w:rsid w:val="008F73C9"/>
    <w:rsid w:val="008F743D"/>
    <w:rsid w:val="008F74B9"/>
    <w:rsid w:val="008F75A0"/>
    <w:rsid w:val="008F77F0"/>
    <w:rsid w:val="008F79C2"/>
    <w:rsid w:val="008F7AA2"/>
    <w:rsid w:val="008F7AE4"/>
    <w:rsid w:val="008F7D5E"/>
    <w:rsid w:val="008F7DA6"/>
    <w:rsid w:val="008F7E66"/>
    <w:rsid w:val="008F7E9B"/>
    <w:rsid w:val="00900021"/>
    <w:rsid w:val="0090006C"/>
    <w:rsid w:val="00900086"/>
    <w:rsid w:val="00900288"/>
    <w:rsid w:val="009003AE"/>
    <w:rsid w:val="00900472"/>
    <w:rsid w:val="009006B9"/>
    <w:rsid w:val="00900757"/>
    <w:rsid w:val="00900813"/>
    <w:rsid w:val="00900960"/>
    <w:rsid w:val="00900985"/>
    <w:rsid w:val="009009D6"/>
    <w:rsid w:val="00900BB0"/>
    <w:rsid w:val="00900C52"/>
    <w:rsid w:val="0090124C"/>
    <w:rsid w:val="00901277"/>
    <w:rsid w:val="009012F4"/>
    <w:rsid w:val="00901328"/>
    <w:rsid w:val="00901449"/>
    <w:rsid w:val="00901977"/>
    <w:rsid w:val="009019DC"/>
    <w:rsid w:val="00901BA0"/>
    <w:rsid w:val="00901E20"/>
    <w:rsid w:val="00901E3E"/>
    <w:rsid w:val="009021E8"/>
    <w:rsid w:val="009023A5"/>
    <w:rsid w:val="009024F6"/>
    <w:rsid w:val="009026A5"/>
    <w:rsid w:val="009026EF"/>
    <w:rsid w:val="00902788"/>
    <w:rsid w:val="009027C6"/>
    <w:rsid w:val="0090281E"/>
    <w:rsid w:val="0090293E"/>
    <w:rsid w:val="00902A8B"/>
    <w:rsid w:val="00902ED2"/>
    <w:rsid w:val="009030AD"/>
    <w:rsid w:val="00903359"/>
    <w:rsid w:val="0090335C"/>
    <w:rsid w:val="00903448"/>
    <w:rsid w:val="00903784"/>
    <w:rsid w:val="00903860"/>
    <w:rsid w:val="00903A6C"/>
    <w:rsid w:val="00903BBA"/>
    <w:rsid w:val="00903E61"/>
    <w:rsid w:val="00903F45"/>
    <w:rsid w:val="00904148"/>
    <w:rsid w:val="0090422F"/>
    <w:rsid w:val="0090452B"/>
    <w:rsid w:val="009046E4"/>
    <w:rsid w:val="0090482F"/>
    <w:rsid w:val="009049E3"/>
    <w:rsid w:val="00904A74"/>
    <w:rsid w:val="00904BD0"/>
    <w:rsid w:val="00904BE0"/>
    <w:rsid w:val="00904C98"/>
    <w:rsid w:val="00904DA4"/>
    <w:rsid w:val="00904E51"/>
    <w:rsid w:val="00904E67"/>
    <w:rsid w:val="00904F71"/>
    <w:rsid w:val="0090509E"/>
    <w:rsid w:val="009052DA"/>
    <w:rsid w:val="00905360"/>
    <w:rsid w:val="009054B0"/>
    <w:rsid w:val="00905831"/>
    <w:rsid w:val="00905F3D"/>
    <w:rsid w:val="00905FB6"/>
    <w:rsid w:val="00905FF5"/>
    <w:rsid w:val="00906084"/>
    <w:rsid w:val="009060D4"/>
    <w:rsid w:val="00906184"/>
    <w:rsid w:val="009061BB"/>
    <w:rsid w:val="00906428"/>
    <w:rsid w:val="00906536"/>
    <w:rsid w:val="00906637"/>
    <w:rsid w:val="00906680"/>
    <w:rsid w:val="0090677D"/>
    <w:rsid w:val="00906A2D"/>
    <w:rsid w:val="00906AFF"/>
    <w:rsid w:val="00906B7B"/>
    <w:rsid w:val="00906DC3"/>
    <w:rsid w:val="00906E87"/>
    <w:rsid w:val="00906E9F"/>
    <w:rsid w:val="00906F83"/>
    <w:rsid w:val="009070B4"/>
    <w:rsid w:val="009071AD"/>
    <w:rsid w:val="009072B6"/>
    <w:rsid w:val="009074BF"/>
    <w:rsid w:val="009077DB"/>
    <w:rsid w:val="00907844"/>
    <w:rsid w:val="009079D9"/>
    <w:rsid w:val="00907A55"/>
    <w:rsid w:val="00907BE1"/>
    <w:rsid w:val="00907CD2"/>
    <w:rsid w:val="00907D43"/>
    <w:rsid w:val="00910012"/>
    <w:rsid w:val="0091004D"/>
    <w:rsid w:val="00910431"/>
    <w:rsid w:val="00910518"/>
    <w:rsid w:val="009106B7"/>
    <w:rsid w:val="009107F4"/>
    <w:rsid w:val="00910844"/>
    <w:rsid w:val="009108D0"/>
    <w:rsid w:val="00910984"/>
    <w:rsid w:val="00910B33"/>
    <w:rsid w:val="00910CA4"/>
    <w:rsid w:val="00910D8F"/>
    <w:rsid w:val="00910F11"/>
    <w:rsid w:val="00910FA4"/>
    <w:rsid w:val="0091121A"/>
    <w:rsid w:val="009112DC"/>
    <w:rsid w:val="00911480"/>
    <w:rsid w:val="00911A1F"/>
    <w:rsid w:val="00911B4D"/>
    <w:rsid w:val="00911C84"/>
    <w:rsid w:val="00911D0A"/>
    <w:rsid w:val="00912074"/>
    <w:rsid w:val="00912234"/>
    <w:rsid w:val="0091229E"/>
    <w:rsid w:val="00912345"/>
    <w:rsid w:val="00912656"/>
    <w:rsid w:val="0091267D"/>
    <w:rsid w:val="00912944"/>
    <w:rsid w:val="00912AC1"/>
    <w:rsid w:val="00912AC6"/>
    <w:rsid w:val="00912BB6"/>
    <w:rsid w:val="00912E97"/>
    <w:rsid w:val="00912FBC"/>
    <w:rsid w:val="009130CB"/>
    <w:rsid w:val="009131D0"/>
    <w:rsid w:val="0091332C"/>
    <w:rsid w:val="0091338E"/>
    <w:rsid w:val="009134D3"/>
    <w:rsid w:val="0091352C"/>
    <w:rsid w:val="009136B5"/>
    <w:rsid w:val="00913797"/>
    <w:rsid w:val="0091383F"/>
    <w:rsid w:val="00913D4C"/>
    <w:rsid w:val="00913D89"/>
    <w:rsid w:val="00913FCB"/>
    <w:rsid w:val="00913FF4"/>
    <w:rsid w:val="0091425B"/>
    <w:rsid w:val="00914270"/>
    <w:rsid w:val="00914274"/>
    <w:rsid w:val="00914485"/>
    <w:rsid w:val="00914A0B"/>
    <w:rsid w:val="00914C2E"/>
    <w:rsid w:val="00914D56"/>
    <w:rsid w:val="00914F23"/>
    <w:rsid w:val="009151E8"/>
    <w:rsid w:val="00915232"/>
    <w:rsid w:val="00915506"/>
    <w:rsid w:val="00915538"/>
    <w:rsid w:val="00915659"/>
    <w:rsid w:val="009156BC"/>
    <w:rsid w:val="009156ED"/>
    <w:rsid w:val="0091580B"/>
    <w:rsid w:val="0091587C"/>
    <w:rsid w:val="00915938"/>
    <w:rsid w:val="00915A4F"/>
    <w:rsid w:val="00915B2A"/>
    <w:rsid w:val="00915C03"/>
    <w:rsid w:val="00915D91"/>
    <w:rsid w:val="00915EBE"/>
    <w:rsid w:val="00915EF7"/>
    <w:rsid w:val="00915F38"/>
    <w:rsid w:val="00916220"/>
    <w:rsid w:val="0091625D"/>
    <w:rsid w:val="0091643F"/>
    <w:rsid w:val="00916554"/>
    <w:rsid w:val="0091658E"/>
    <w:rsid w:val="009165EF"/>
    <w:rsid w:val="00916680"/>
    <w:rsid w:val="00916789"/>
    <w:rsid w:val="00916A3A"/>
    <w:rsid w:val="00916B8C"/>
    <w:rsid w:val="00916BCF"/>
    <w:rsid w:val="00916C89"/>
    <w:rsid w:val="00916CBB"/>
    <w:rsid w:val="00916D4C"/>
    <w:rsid w:val="00916EC7"/>
    <w:rsid w:val="00916F10"/>
    <w:rsid w:val="00916FB2"/>
    <w:rsid w:val="0091707A"/>
    <w:rsid w:val="00917286"/>
    <w:rsid w:val="009172D5"/>
    <w:rsid w:val="00917397"/>
    <w:rsid w:val="00917471"/>
    <w:rsid w:val="009175E8"/>
    <w:rsid w:val="00917853"/>
    <w:rsid w:val="00917AE2"/>
    <w:rsid w:val="00917B0D"/>
    <w:rsid w:val="00917CDB"/>
    <w:rsid w:val="00917CE7"/>
    <w:rsid w:val="00917E74"/>
    <w:rsid w:val="00917EC5"/>
    <w:rsid w:val="00917F7B"/>
    <w:rsid w:val="009200DE"/>
    <w:rsid w:val="00920164"/>
    <w:rsid w:val="0092033A"/>
    <w:rsid w:val="009203C9"/>
    <w:rsid w:val="00920622"/>
    <w:rsid w:val="0092068F"/>
    <w:rsid w:val="00920724"/>
    <w:rsid w:val="00920840"/>
    <w:rsid w:val="009209A9"/>
    <w:rsid w:val="00920A5B"/>
    <w:rsid w:val="00920AAD"/>
    <w:rsid w:val="00920C2C"/>
    <w:rsid w:val="00920CFC"/>
    <w:rsid w:val="00920D3B"/>
    <w:rsid w:val="00920F1F"/>
    <w:rsid w:val="0092152A"/>
    <w:rsid w:val="0092154F"/>
    <w:rsid w:val="009219B3"/>
    <w:rsid w:val="00921DA9"/>
    <w:rsid w:val="00921DBE"/>
    <w:rsid w:val="00921F63"/>
    <w:rsid w:val="00922291"/>
    <w:rsid w:val="009222FA"/>
    <w:rsid w:val="00922304"/>
    <w:rsid w:val="00922394"/>
    <w:rsid w:val="009224E0"/>
    <w:rsid w:val="009224E4"/>
    <w:rsid w:val="009225C5"/>
    <w:rsid w:val="00922692"/>
    <w:rsid w:val="0092290F"/>
    <w:rsid w:val="00922C28"/>
    <w:rsid w:val="00922C32"/>
    <w:rsid w:val="00922D8E"/>
    <w:rsid w:val="00922E06"/>
    <w:rsid w:val="00922FB7"/>
    <w:rsid w:val="0092301E"/>
    <w:rsid w:val="00923092"/>
    <w:rsid w:val="00923380"/>
    <w:rsid w:val="0092346D"/>
    <w:rsid w:val="0092372E"/>
    <w:rsid w:val="00923941"/>
    <w:rsid w:val="009239AD"/>
    <w:rsid w:val="00923A65"/>
    <w:rsid w:val="00923AC6"/>
    <w:rsid w:val="00923B40"/>
    <w:rsid w:val="00923CCF"/>
    <w:rsid w:val="00923F64"/>
    <w:rsid w:val="009242D1"/>
    <w:rsid w:val="00924325"/>
    <w:rsid w:val="009244CE"/>
    <w:rsid w:val="0092457C"/>
    <w:rsid w:val="00924756"/>
    <w:rsid w:val="00924999"/>
    <w:rsid w:val="00924A38"/>
    <w:rsid w:val="00924CF6"/>
    <w:rsid w:val="00924D01"/>
    <w:rsid w:val="00924E05"/>
    <w:rsid w:val="00924E0B"/>
    <w:rsid w:val="00924FA3"/>
    <w:rsid w:val="0092500C"/>
    <w:rsid w:val="00925451"/>
    <w:rsid w:val="009256BE"/>
    <w:rsid w:val="0092581F"/>
    <w:rsid w:val="00925970"/>
    <w:rsid w:val="00925B0B"/>
    <w:rsid w:val="00925C56"/>
    <w:rsid w:val="00925C7C"/>
    <w:rsid w:val="00925D07"/>
    <w:rsid w:val="00925F67"/>
    <w:rsid w:val="00925FD5"/>
    <w:rsid w:val="00926014"/>
    <w:rsid w:val="009260BD"/>
    <w:rsid w:val="00926140"/>
    <w:rsid w:val="0092622A"/>
    <w:rsid w:val="00926530"/>
    <w:rsid w:val="00926724"/>
    <w:rsid w:val="009269AE"/>
    <w:rsid w:val="009269E2"/>
    <w:rsid w:val="00926C1B"/>
    <w:rsid w:val="00926C97"/>
    <w:rsid w:val="00926C9F"/>
    <w:rsid w:val="00926DA7"/>
    <w:rsid w:val="00926DE3"/>
    <w:rsid w:val="009270A1"/>
    <w:rsid w:val="009270DC"/>
    <w:rsid w:val="00927177"/>
    <w:rsid w:val="0092718E"/>
    <w:rsid w:val="009272E0"/>
    <w:rsid w:val="0092750B"/>
    <w:rsid w:val="00927680"/>
    <w:rsid w:val="009276FC"/>
    <w:rsid w:val="00927735"/>
    <w:rsid w:val="00927BBE"/>
    <w:rsid w:val="00927C0B"/>
    <w:rsid w:val="0093021E"/>
    <w:rsid w:val="00930282"/>
    <w:rsid w:val="009303DA"/>
    <w:rsid w:val="00930531"/>
    <w:rsid w:val="00930629"/>
    <w:rsid w:val="00930656"/>
    <w:rsid w:val="00930661"/>
    <w:rsid w:val="009306F2"/>
    <w:rsid w:val="00930777"/>
    <w:rsid w:val="0093078B"/>
    <w:rsid w:val="00930938"/>
    <w:rsid w:val="00930946"/>
    <w:rsid w:val="00930973"/>
    <w:rsid w:val="00930D52"/>
    <w:rsid w:val="00931008"/>
    <w:rsid w:val="0093149A"/>
    <w:rsid w:val="009314E9"/>
    <w:rsid w:val="009315A1"/>
    <w:rsid w:val="00931962"/>
    <w:rsid w:val="0093197E"/>
    <w:rsid w:val="00931C96"/>
    <w:rsid w:val="00931CA2"/>
    <w:rsid w:val="00931DEB"/>
    <w:rsid w:val="00931E6B"/>
    <w:rsid w:val="00931F45"/>
    <w:rsid w:val="00931F46"/>
    <w:rsid w:val="0093216F"/>
    <w:rsid w:val="009321F2"/>
    <w:rsid w:val="0093229C"/>
    <w:rsid w:val="0093236C"/>
    <w:rsid w:val="0093265B"/>
    <w:rsid w:val="00932778"/>
    <w:rsid w:val="00932859"/>
    <w:rsid w:val="009328B8"/>
    <w:rsid w:val="00932A2A"/>
    <w:rsid w:val="00932CC0"/>
    <w:rsid w:val="00932CC1"/>
    <w:rsid w:val="00932E9E"/>
    <w:rsid w:val="00933045"/>
    <w:rsid w:val="009331D7"/>
    <w:rsid w:val="009337E0"/>
    <w:rsid w:val="00933806"/>
    <w:rsid w:val="009338A0"/>
    <w:rsid w:val="00933B4C"/>
    <w:rsid w:val="00933B7D"/>
    <w:rsid w:val="00933BC3"/>
    <w:rsid w:val="00933D40"/>
    <w:rsid w:val="00933DD3"/>
    <w:rsid w:val="00933ED4"/>
    <w:rsid w:val="00933F99"/>
    <w:rsid w:val="00934027"/>
    <w:rsid w:val="009341AE"/>
    <w:rsid w:val="00934237"/>
    <w:rsid w:val="009342A1"/>
    <w:rsid w:val="009343E9"/>
    <w:rsid w:val="00934495"/>
    <w:rsid w:val="009344E6"/>
    <w:rsid w:val="00934698"/>
    <w:rsid w:val="009346D3"/>
    <w:rsid w:val="00934902"/>
    <w:rsid w:val="00934934"/>
    <w:rsid w:val="00934A73"/>
    <w:rsid w:val="00934B53"/>
    <w:rsid w:val="00934E61"/>
    <w:rsid w:val="00934F96"/>
    <w:rsid w:val="00935093"/>
    <w:rsid w:val="009350A2"/>
    <w:rsid w:val="0093557A"/>
    <w:rsid w:val="00935647"/>
    <w:rsid w:val="009359D6"/>
    <w:rsid w:val="00935AA2"/>
    <w:rsid w:val="00935AE5"/>
    <w:rsid w:val="00935C35"/>
    <w:rsid w:val="00936558"/>
    <w:rsid w:val="00936743"/>
    <w:rsid w:val="009367B9"/>
    <w:rsid w:val="00936814"/>
    <w:rsid w:val="00936933"/>
    <w:rsid w:val="00936986"/>
    <w:rsid w:val="00936B41"/>
    <w:rsid w:val="00936B7C"/>
    <w:rsid w:val="00936E59"/>
    <w:rsid w:val="00936FCF"/>
    <w:rsid w:val="00936FE8"/>
    <w:rsid w:val="0093700A"/>
    <w:rsid w:val="009370D3"/>
    <w:rsid w:val="009371A1"/>
    <w:rsid w:val="009371CE"/>
    <w:rsid w:val="009374D9"/>
    <w:rsid w:val="00937691"/>
    <w:rsid w:val="00937700"/>
    <w:rsid w:val="00937750"/>
    <w:rsid w:val="009377A4"/>
    <w:rsid w:val="00937B30"/>
    <w:rsid w:val="00937D16"/>
    <w:rsid w:val="00937F63"/>
    <w:rsid w:val="00937F9B"/>
    <w:rsid w:val="009400D9"/>
    <w:rsid w:val="009400E9"/>
    <w:rsid w:val="00940198"/>
    <w:rsid w:val="009401D9"/>
    <w:rsid w:val="0094039C"/>
    <w:rsid w:val="00940A18"/>
    <w:rsid w:val="00940F9D"/>
    <w:rsid w:val="00941105"/>
    <w:rsid w:val="009411D6"/>
    <w:rsid w:val="009411E5"/>
    <w:rsid w:val="0094120D"/>
    <w:rsid w:val="00941295"/>
    <w:rsid w:val="0094146E"/>
    <w:rsid w:val="0094190B"/>
    <w:rsid w:val="00941911"/>
    <w:rsid w:val="00941B6F"/>
    <w:rsid w:val="00941C0A"/>
    <w:rsid w:val="00941C66"/>
    <w:rsid w:val="00941D6E"/>
    <w:rsid w:val="00941E76"/>
    <w:rsid w:val="00942073"/>
    <w:rsid w:val="00942130"/>
    <w:rsid w:val="00942401"/>
    <w:rsid w:val="0094240C"/>
    <w:rsid w:val="009424F5"/>
    <w:rsid w:val="0094255B"/>
    <w:rsid w:val="00942574"/>
    <w:rsid w:val="0094257C"/>
    <w:rsid w:val="009427ED"/>
    <w:rsid w:val="00942828"/>
    <w:rsid w:val="00942AB4"/>
    <w:rsid w:val="00942D14"/>
    <w:rsid w:val="00942D76"/>
    <w:rsid w:val="00942F87"/>
    <w:rsid w:val="009430BE"/>
    <w:rsid w:val="009431DE"/>
    <w:rsid w:val="009435B7"/>
    <w:rsid w:val="00943683"/>
    <w:rsid w:val="00943758"/>
    <w:rsid w:val="00943882"/>
    <w:rsid w:val="00943987"/>
    <w:rsid w:val="00943A94"/>
    <w:rsid w:val="00943B23"/>
    <w:rsid w:val="00943C8C"/>
    <w:rsid w:val="00943D1D"/>
    <w:rsid w:val="00943D78"/>
    <w:rsid w:val="00943E89"/>
    <w:rsid w:val="00943F05"/>
    <w:rsid w:val="00943FC3"/>
    <w:rsid w:val="00944081"/>
    <w:rsid w:val="009441D8"/>
    <w:rsid w:val="00944534"/>
    <w:rsid w:val="009445AE"/>
    <w:rsid w:val="00944773"/>
    <w:rsid w:val="009447B7"/>
    <w:rsid w:val="009448B5"/>
    <w:rsid w:val="00944A17"/>
    <w:rsid w:val="00944A5A"/>
    <w:rsid w:val="00944DCD"/>
    <w:rsid w:val="00944E54"/>
    <w:rsid w:val="009450DB"/>
    <w:rsid w:val="0094531D"/>
    <w:rsid w:val="009453E9"/>
    <w:rsid w:val="00945935"/>
    <w:rsid w:val="00945959"/>
    <w:rsid w:val="009459A3"/>
    <w:rsid w:val="00945B04"/>
    <w:rsid w:val="00945B99"/>
    <w:rsid w:val="00945E6E"/>
    <w:rsid w:val="00945F94"/>
    <w:rsid w:val="0094619A"/>
    <w:rsid w:val="0094620F"/>
    <w:rsid w:val="0094632B"/>
    <w:rsid w:val="00946394"/>
    <w:rsid w:val="0094656A"/>
    <w:rsid w:val="0094668B"/>
    <w:rsid w:val="009468A9"/>
    <w:rsid w:val="00946A28"/>
    <w:rsid w:val="00946F7E"/>
    <w:rsid w:val="00946F99"/>
    <w:rsid w:val="00946F9C"/>
    <w:rsid w:val="00946FB6"/>
    <w:rsid w:val="0094711A"/>
    <w:rsid w:val="00947234"/>
    <w:rsid w:val="00947294"/>
    <w:rsid w:val="00947474"/>
    <w:rsid w:val="00947A4C"/>
    <w:rsid w:val="00947E7F"/>
    <w:rsid w:val="00947E88"/>
    <w:rsid w:val="00947FC1"/>
    <w:rsid w:val="00947FE5"/>
    <w:rsid w:val="00950379"/>
    <w:rsid w:val="00950716"/>
    <w:rsid w:val="009508FB"/>
    <w:rsid w:val="009509A7"/>
    <w:rsid w:val="00950ADF"/>
    <w:rsid w:val="00950BBA"/>
    <w:rsid w:val="00950C62"/>
    <w:rsid w:val="00950E90"/>
    <w:rsid w:val="00951092"/>
    <w:rsid w:val="009510C9"/>
    <w:rsid w:val="009511B7"/>
    <w:rsid w:val="00951280"/>
    <w:rsid w:val="009515AD"/>
    <w:rsid w:val="009515E8"/>
    <w:rsid w:val="00951746"/>
    <w:rsid w:val="00951B3C"/>
    <w:rsid w:val="00951B8E"/>
    <w:rsid w:val="00951D7B"/>
    <w:rsid w:val="00951FC5"/>
    <w:rsid w:val="0095265E"/>
    <w:rsid w:val="009526D0"/>
    <w:rsid w:val="0095297B"/>
    <w:rsid w:val="009529B2"/>
    <w:rsid w:val="00952C94"/>
    <w:rsid w:val="00952D9D"/>
    <w:rsid w:val="00952DD7"/>
    <w:rsid w:val="00952F10"/>
    <w:rsid w:val="00953108"/>
    <w:rsid w:val="00953314"/>
    <w:rsid w:val="00953357"/>
    <w:rsid w:val="0095337B"/>
    <w:rsid w:val="00953468"/>
    <w:rsid w:val="009534B4"/>
    <w:rsid w:val="00953543"/>
    <w:rsid w:val="009537A5"/>
    <w:rsid w:val="00953816"/>
    <w:rsid w:val="0095384D"/>
    <w:rsid w:val="0095387D"/>
    <w:rsid w:val="009538DA"/>
    <w:rsid w:val="009538E7"/>
    <w:rsid w:val="00953D78"/>
    <w:rsid w:val="00953E8F"/>
    <w:rsid w:val="00953ECA"/>
    <w:rsid w:val="00953EE3"/>
    <w:rsid w:val="00953FE9"/>
    <w:rsid w:val="009540E9"/>
    <w:rsid w:val="0095412E"/>
    <w:rsid w:val="00954621"/>
    <w:rsid w:val="00954631"/>
    <w:rsid w:val="00954675"/>
    <w:rsid w:val="00954720"/>
    <w:rsid w:val="00954831"/>
    <w:rsid w:val="00954889"/>
    <w:rsid w:val="00954937"/>
    <w:rsid w:val="009549CC"/>
    <w:rsid w:val="009549E6"/>
    <w:rsid w:val="00954A74"/>
    <w:rsid w:val="00954C79"/>
    <w:rsid w:val="00954CDD"/>
    <w:rsid w:val="00954D71"/>
    <w:rsid w:val="00955053"/>
    <w:rsid w:val="00955509"/>
    <w:rsid w:val="009555F8"/>
    <w:rsid w:val="00955CB1"/>
    <w:rsid w:val="00955DE9"/>
    <w:rsid w:val="009565B4"/>
    <w:rsid w:val="009566AF"/>
    <w:rsid w:val="009568A8"/>
    <w:rsid w:val="009569C3"/>
    <w:rsid w:val="00956A84"/>
    <w:rsid w:val="00956A88"/>
    <w:rsid w:val="00956AD1"/>
    <w:rsid w:val="00956C13"/>
    <w:rsid w:val="00956D74"/>
    <w:rsid w:val="00956F34"/>
    <w:rsid w:val="00957177"/>
    <w:rsid w:val="009571B4"/>
    <w:rsid w:val="009573F1"/>
    <w:rsid w:val="00957461"/>
    <w:rsid w:val="009576BF"/>
    <w:rsid w:val="009578B6"/>
    <w:rsid w:val="00957AC3"/>
    <w:rsid w:val="00957ADF"/>
    <w:rsid w:val="00957CC6"/>
    <w:rsid w:val="00957D0A"/>
    <w:rsid w:val="00957D4E"/>
    <w:rsid w:val="00957D70"/>
    <w:rsid w:val="00957DED"/>
    <w:rsid w:val="00957F2C"/>
    <w:rsid w:val="009600FE"/>
    <w:rsid w:val="0096012E"/>
    <w:rsid w:val="0096013A"/>
    <w:rsid w:val="0096024B"/>
    <w:rsid w:val="00960366"/>
    <w:rsid w:val="009603E1"/>
    <w:rsid w:val="00960432"/>
    <w:rsid w:val="009605DD"/>
    <w:rsid w:val="00960799"/>
    <w:rsid w:val="00960801"/>
    <w:rsid w:val="00960A76"/>
    <w:rsid w:val="00960AC4"/>
    <w:rsid w:val="00960C50"/>
    <w:rsid w:val="00960D2B"/>
    <w:rsid w:val="00960E5D"/>
    <w:rsid w:val="00960EDF"/>
    <w:rsid w:val="00960F5D"/>
    <w:rsid w:val="00960FF3"/>
    <w:rsid w:val="00960FF4"/>
    <w:rsid w:val="00961043"/>
    <w:rsid w:val="009610A6"/>
    <w:rsid w:val="009610DA"/>
    <w:rsid w:val="00961181"/>
    <w:rsid w:val="009613D1"/>
    <w:rsid w:val="0096141D"/>
    <w:rsid w:val="009614BD"/>
    <w:rsid w:val="00961529"/>
    <w:rsid w:val="00961884"/>
    <w:rsid w:val="0096196B"/>
    <w:rsid w:val="00961C44"/>
    <w:rsid w:val="00961DE5"/>
    <w:rsid w:val="00961E31"/>
    <w:rsid w:val="00961ECC"/>
    <w:rsid w:val="0096208F"/>
    <w:rsid w:val="00962092"/>
    <w:rsid w:val="00962235"/>
    <w:rsid w:val="009622B5"/>
    <w:rsid w:val="009623A1"/>
    <w:rsid w:val="00962466"/>
    <w:rsid w:val="00962611"/>
    <w:rsid w:val="009626BE"/>
    <w:rsid w:val="0096270B"/>
    <w:rsid w:val="009627CE"/>
    <w:rsid w:val="009628A9"/>
    <w:rsid w:val="0096312C"/>
    <w:rsid w:val="00963352"/>
    <w:rsid w:val="0096346A"/>
    <w:rsid w:val="00963677"/>
    <w:rsid w:val="0096384B"/>
    <w:rsid w:val="0096397E"/>
    <w:rsid w:val="00963B59"/>
    <w:rsid w:val="00963E29"/>
    <w:rsid w:val="00963ED0"/>
    <w:rsid w:val="00963F43"/>
    <w:rsid w:val="00964027"/>
    <w:rsid w:val="00964045"/>
    <w:rsid w:val="009641C1"/>
    <w:rsid w:val="00964519"/>
    <w:rsid w:val="009645A9"/>
    <w:rsid w:val="0096475F"/>
    <w:rsid w:val="00964833"/>
    <w:rsid w:val="00964A2D"/>
    <w:rsid w:val="00964BE9"/>
    <w:rsid w:val="00964C73"/>
    <w:rsid w:val="00964CD3"/>
    <w:rsid w:val="00964D58"/>
    <w:rsid w:val="00964DA0"/>
    <w:rsid w:val="00964E1C"/>
    <w:rsid w:val="00964EBF"/>
    <w:rsid w:val="0096501C"/>
    <w:rsid w:val="009654BE"/>
    <w:rsid w:val="00965955"/>
    <w:rsid w:val="009659DB"/>
    <w:rsid w:val="00965AA9"/>
    <w:rsid w:val="00965AB0"/>
    <w:rsid w:val="00965ECD"/>
    <w:rsid w:val="00965F70"/>
    <w:rsid w:val="00965FB9"/>
    <w:rsid w:val="009661E9"/>
    <w:rsid w:val="0096625B"/>
    <w:rsid w:val="00966279"/>
    <w:rsid w:val="009663D8"/>
    <w:rsid w:val="009667AA"/>
    <w:rsid w:val="009668A4"/>
    <w:rsid w:val="00966A4D"/>
    <w:rsid w:val="00966E30"/>
    <w:rsid w:val="00966F5A"/>
    <w:rsid w:val="00966F76"/>
    <w:rsid w:val="00966FA5"/>
    <w:rsid w:val="00967154"/>
    <w:rsid w:val="00967206"/>
    <w:rsid w:val="00967234"/>
    <w:rsid w:val="009673BD"/>
    <w:rsid w:val="00967400"/>
    <w:rsid w:val="0096744C"/>
    <w:rsid w:val="009675CE"/>
    <w:rsid w:val="0096763C"/>
    <w:rsid w:val="009676FB"/>
    <w:rsid w:val="00967723"/>
    <w:rsid w:val="00967862"/>
    <w:rsid w:val="00967899"/>
    <w:rsid w:val="009679D3"/>
    <w:rsid w:val="00967A84"/>
    <w:rsid w:val="00967AD3"/>
    <w:rsid w:val="00967C2A"/>
    <w:rsid w:val="00967F90"/>
    <w:rsid w:val="009702E8"/>
    <w:rsid w:val="00970356"/>
    <w:rsid w:val="009703C7"/>
    <w:rsid w:val="00970454"/>
    <w:rsid w:val="00970567"/>
    <w:rsid w:val="009705E3"/>
    <w:rsid w:val="0097065F"/>
    <w:rsid w:val="009707F9"/>
    <w:rsid w:val="00970929"/>
    <w:rsid w:val="00970A0D"/>
    <w:rsid w:val="00970A28"/>
    <w:rsid w:val="00970E36"/>
    <w:rsid w:val="00970F12"/>
    <w:rsid w:val="0097114D"/>
    <w:rsid w:val="00971233"/>
    <w:rsid w:val="00971389"/>
    <w:rsid w:val="0097190D"/>
    <w:rsid w:val="00971917"/>
    <w:rsid w:val="00971AC2"/>
    <w:rsid w:val="00971B45"/>
    <w:rsid w:val="00971CFF"/>
    <w:rsid w:val="00971D34"/>
    <w:rsid w:val="00972088"/>
    <w:rsid w:val="009720E1"/>
    <w:rsid w:val="009721F9"/>
    <w:rsid w:val="009722A9"/>
    <w:rsid w:val="0097265B"/>
    <w:rsid w:val="0097272E"/>
    <w:rsid w:val="0097279F"/>
    <w:rsid w:val="009727CF"/>
    <w:rsid w:val="00972867"/>
    <w:rsid w:val="009729BC"/>
    <w:rsid w:val="00972BF0"/>
    <w:rsid w:val="00972DDD"/>
    <w:rsid w:val="00972E6E"/>
    <w:rsid w:val="00972EBB"/>
    <w:rsid w:val="00972F31"/>
    <w:rsid w:val="00972F48"/>
    <w:rsid w:val="009730F9"/>
    <w:rsid w:val="009733A6"/>
    <w:rsid w:val="009736CD"/>
    <w:rsid w:val="009738F4"/>
    <w:rsid w:val="00973917"/>
    <w:rsid w:val="00973D2D"/>
    <w:rsid w:val="00973EEB"/>
    <w:rsid w:val="009740C9"/>
    <w:rsid w:val="009740E0"/>
    <w:rsid w:val="00974276"/>
    <w:rsid w:val="009744B4"/>
    <w:rsid w:val="0097481D"/>
    <w:rsid w:val="00974984"/>
    <w:rsid w:val="00974B01"/>
    <w:rsid w:val="00974D42"/>
    <w:rsid w:val="00974E3B"/>
    <w:rsid w:val="00974F68"/>
    <w:rsid w:val="00974FDE"/>
    <w:rsid w:val="00974FE8"/>
    <w:rsid w:val="0097503D"/>
    <w:rsid w:val="009752BC"/>
    <w:rsid w:val="009752D1"/>
    <w:rsid w:val="00975313"/>
    <w:rsid w:val="009753F0"/>
    <w:rsid w:val="0097544B"/>
    <w:rsid w:val="0097545A"/>
    <w:rsid w:val="00975530"/>
    <w:rsid w:val="00975578"/>
    <w:rsid w:val="00975790"/>
    <w:rsid w:val="00975A48"/>
    <w:rsid w:val="00975B66"/>
    <w:rsid w:val="00975CE0"/>
    <w:rsid w:val="00975DFE"/>
    <w:rsid w:val="00975E54"/>
    <w:rsid w:val="00975EBC"/>
    <w:rsid w:val="009760E6"/>
    <w:rsid w:val="009763B5"/>
    <w:rsid w:val="00976761"/>
    <w:rsid w:val="00976928"/>
    <w:rsid w:val="0097699F"/>
    <w:rsid w:val="00976CD4"/>
    <w:rsid w:val="00976D98"/>
    <w:rsid w:val="00976D9C"/>
    <w:rsid w:val="00976F73"/>
    <w:rsid w:val="00976FF5"/>
    <w:rsid w:val="009771E1"/>
    <w:rsid w:val="009776D3"/>
    <w:rsid w:val="009776E4"/>
    <w:rsid w:val="00977713"/>
    <w:rsid w:val="009777C4"/>
    <w:rsid w:val="009777C5"/>
    <w:rsid w:val="00977844"/>
    <w:rsid w:val="00977A8B"/>
    <w:rsid w:val="00977B6E"/>
    <w:rsid w:val="00977B71"/>
    <w:rsid w:val="00977B98"/>
    <w:rsid w:val="00977C1B"/>
    <w:rsid w:val="00977CDB"/>
    <w:rsid w:val="00977DEA"/>
    <w:rsid w:val="00977F29"/>
    <w:rsid w:val="00977F6B"/>
    <w:rsid w:val="00977F8B"/>
    <w:rsid w:val="00980008"/>
    <w:rsid w:val="00980020"/>
    <w:rsid w:val="009801E8"/>
    <w:rsid w:val="00980234"/>
    <w:rsid w:val="009803DE"/>
    <w:rsid w:val="00980561"/>
    <w:rsid w:val="0098061C"/>
    <w:rsid w:val="009809B9"/>
    <w:rsid w:val="00980BD6"/>
    <w:rsid w:val="00980CF2"/>
    <w:rsid w:val="00980D43"/>
    <w:rsid w:val="00980F3F"/>
    <w:rsid w:val="0098102A"/>
    <w:rsid w:val="00981099"/>
    <w:rsid w:val="009810BC"/>
    <w:rsid w:val="00981146"/>
    <w:rsid w:val="0098128E"/>
    <w:rsid w:val="00981660"/>
    <w:rsid w:val="009816C4"/>
    <w:rsid w:val="0098174F"/>
    <w:rsid w:val="00981A7C"/>
    <w:rsid w:val="00981E3E"/>
    <w:rsid w:val="00981EFF"/>
    <w:rsid w:val="0098211E"/>
    <w:rsid w:val="00982163"/>
    <w:rsid w:val="00982241"/>
    <w:rsid w:val="009824E4"/>
    <w:rsid w:val="00982509"/>
    <w:rsid w:val="0098250F"/>
    <w:rsid w:val="009827B7"/>
    <w:rsid w:val="0098280D"/>
    <w:rsid w:val="0098295B"/>
    <w:rsid w:val="00982B77"/>
    <w:rsid w:val="00982B85"/>
    <w:rsid w:val="00982B90"/>
    <w:rsid w:val="00982BCD"/>
    <w:rsid w:val="00982C28"/>
    <w:rsid w:val="00982C8F"/>
    <w:rsid w:val="00982E96"/>
    <w:rsid w:val="00983395"/>
    <w:rsid w:val="00983449"/>
    <w:rsid w:val="0098354D"/>
    <w:rsid w:val="009838B5"/>
    <w:rsid w:val="00983914"/>
    <w:rsid w:val="00983923"/>
    <w:rsid w:val="00983A44"/>
    <w:rsid w:val="00983C9A"/>
    <w:rsid w:val="00983CC2"/>
    <w:rsid w:val="00983DFF"/>
    <w:rsid w:val="0098405B"/>
    <w:rsid w:val="009841BF"/>
    <w:rsid w:val="009843D3"/>
    <w:rsid w:val="009846F6"/>
    <w:rsid w:val="00984B8B"/>
    <w:rsid w:val="00984DB1"/>
    <w:rsid w:val="0098511A"/>
    <w:rsid w:val="0098541B"/>
    <w:rsid w:val="00985507"/>
    <w:rsid w:val="009856FE"/>
    <w:rsid w:val="0098570C"/>
    <w:rsid w:val="009857D8"/>
    <w:rsid w:val="00985BF3"/>
    <w:rsid w:val="00985D75"/>
    <w:rsid w:val="00985F4F"/>
    <w:rsid w:val="00986392"/>
    <w:rsid w:val="0098657C"/>
    <w:rsid w:val="00986663"/>
    <w:rsid w:val="00986793"/>
    <w:rsid w:val="00986914"/>
    <w:rsid w:val="00986AFA"/>
    <w:rsid w:val="00986C6E"/>
    <w:rsid w:val="00986C88"/>
    <w:rsid w:val="00986D45"/>
    <w:rsid w:val="00986EC9"/>
    <w:rsid w:val="0098715E"/>
    <w:rsid w:val="00987186"/>
    <w:rsid w:val="0098718C"/>
    <w:rsid w:val="00987341"/>
    <w:rsid w:val="009875B5"/>
    <w:rsid w:val="009876F2"/>
    <w:rsid w:val="009876F4"/>
    <w:rsid w:val="00987785"/>
    <w:rsid w:val="009879A2"/>
    <w:rsid w:val="009879A5"/>
    <w:rsid w:val="00987B7E"/>
    <w:rsid w:val="00987F11"/>
    <w:rsid w:val="00987F13"/>
    <w:rsid w:val="00990013"/>
    <w:rsid w:val="0099005F"/>
    <w:rsid w:val="00990074"/>
    <w:rsid w:val="00990228"/>
    <w:rsid w:val="009903F4"/>
    <w:rsid w:val="009906FA"/>
    <w:rsid w:val="00990745"/>
    <w:rsid w:val="009907C6"/>
    <w:rsid w:val="009908AA"/>
    <w:rsid w:val="00990CCD"/>
    <w:rsid w:val="00990D76"/>
    <w:rsid w:val="00990E53"/>
    <w:rsid w:val="00990EA5"/>
    <w:rsid w:val="00990F31"/>
    <w:rsid w:val="00991261"/>
    <w:rsid w:val="009912FC"/>
    <w:rsid w:val="00991545"/>
    <w:rsid w:val="009915E6"/>
    <w:rsid w:val="00991794"/>
    <w:rsid w:val="00991868"/>
    <w:rsid w:val="00991928"/>
    <w:rsid w:val="009919CB"/>
    <w:rsid w:val="009919EB"/>
    <w:rsid w:val="00991B08"/>
    <w:rsid w:val="00991F50"/>
    <w:rsid w:val="00992049"/>
    <w:rsid w:val="009920F2"/>
    <w:rsid w:val="00992160"/>
    <w:rsid w:val="009922BA"/>
    <w:rsid w:val="00992506"/>
    <w:rsid w:val="00992918"/>
    <w:rsid w:val="00992945"/>
    <w:rsid w:val="00992950"/>
    <w:rsid w:val="009929D1"/>
    <w:rsid w:val="00992A1B"/>
    <w:rsid w:val="00992B37"/>
    <w:rsid w:val="00992CDB"/>
    <w:rsid w:val="00992EB4"/>
    <w:rsid w:val="00992FA2"/>
    <w:rsid w:val="00993031"/>
    <w:rsid w:val="009930E8"/>
    <w:rsid w:val="00993103"/>
    <w:rsid w:val="0099315A"/>
    <w:rsid w:val="00993213"/>
    <w:rsid w:val="009932E5"/>
    <w:rsid w:val="009933F5"/>
    <w:rsid w:val="00993578"/>
    <w:rsid w:val="00993AD1"/>
    <w:rsid w:val="00993BE5"/>
    <w:rsid w:val="00993FA3"/>
    <w:rsid w:val="00993FFC"/>
    <w:rsid w:val="00994084"/>
    <w:rsid w:val="00994773"/>
    <w:rsid w:val="009947B8"/>
    <w:rsid w:val="009947E4"/>
    <w:rsid w:val="00994A69"/>
    <w:rsid w:val="00994B41"/>
    <w:rsid w:val="00994B8B"/>
    <w:rsid w:val="00994D9F"/>
    <w:rsid w:val="00994EEB"/>
    <w:rsid w:val="00995302"/>
    <w:rsid w:val="009955B5"/>
    <w:rsid w:val="009956C7"/>
    <w:rsid w:val="0099575C"/>
    <w:rsid w:val="00995884"/>
    <w:rsid w:val="0099589C"/>
    <w:rsid w:val="009958DB"/>
    <w:rsid w:val="009958ED"/>
    <w:rsid w:val="00995929"/>
    <w:rsid w:val="00995957"/>
    <w:rsid w:val="00995BFB"/>
    <w:rsid w:val="00995DB8"/>
    <w:rsid w:val="00995FBE"/>
    <w:rsid w:val="00995FC4"/>
    <w:rsid w:val="009961A6"/>
    <w:rsid w:val="009961B4"/>
    <w:rsid w:val="009962E8"/>
    <w:rsid w:val="00996694"/>
    <w:rsid w:val="00996714"/>
    <w:rsid w:val="00996744"/>
    <w:rsid w:val="0099677A"/>
    <w:rsid w:val="009969D8"/>
    <w:rsid w:val="00996C3B"/>
    <w:rsid w:val="00996C6E"/>
    <w:rsid w:val="00996E7E"/>
    <w:rsid w:val="0099703F"/>
    <w:rsid w:val="00997283"/>
    <w:rsid w:val="009972F5"/>
    <w:rsid w:val="00997352"/>
    <w:rsid w:val="0099738C"/>
    <w:rsid w:val="0099743D"/>
    <w:rsid w:val="0099749F"/>
    <w:rsid w:val="00997590"/>
    <w:rsid w:val="009976F6"/>
    <w:rsid w:val="009977D5"/>
    <w:rsid w:val="0099785B"/>
    <w:rsid w:val="00997875"/>
    <w:rsid w:val="009978F5"/>
    <w:rsid w:val="00997A8B"/>
    <w:rsid w:val="00997B08"/>
    <w:rsid w:val="00997BC4"/>
    <w:rsid w:val="00997DD2"/>
    <w:rsid w:val="00997E39"/>
    <w:rsid w:val="00997F56"/>
    <w:rsid w:val="009A0076"/>
    <w:rsid w:val="009A008C"/>
    <w:rsid w:val="009A0115"/>
    <w:rsid w:val="009A0498"/>
    <w:rsid w:val="009A060D"/>
    <w:rsid w:val="009A065A"/>
    <w:rsid w:val="009A07A9"/>
    <w:rsid w:val="009A07F9"/>
    <w:rsid w:val="009A090A"/>
    <w:rsid w:val="009A0A49"/>
    <w:rsid w:val="009A0BBF"/>
    <w:rsid w:val="009A0C28"/>
    <w:rsid w:val="009A0C3C"/>
    <w:rsid w:val="009A0CB8"/>
    <w:rsid w:val="009A0FFF"/>
    <w:rsid w:val="009A1176"/>
    <w:rsid w:val="009A1243"/>
    <w:rsid w:val="009A14CE"/>
    <w:rsid w:val="009A15E3"/>
    <w:rsid w:val="009A17D0"/>
    <w:rsid w:val="009A19C3"/>
    <w:rsid w:val="009A19F3"/>
    <w:rsid w:val="009A1A6B"/>
    <w:rsid w:val="009A1B23"/>
    <w:rsid w:val="009A1B8F"/>
    <w:rsid w:val="009A1CC6"/>
    <w:rsid w:val="009A1E1B"/>
    <w:rsid w:val="009A1F52"/>
    <w:rsid w:val="009A23E6"/>
    <w:rsid w:val="009A24C1"/>
    <w:rsid w:val="009A2523"/>
    <w:rsid w:val="009A2552"/>
    <w:rsid w:val="009A25B6"/>
    <w:rsid w:val="009A27E4"/>
    <w:rsid w:val="009A2802"/>
    <w:rsid w:val="009A28B4"/>
    <w:rsid w:val="009A28D7"/>
    <w:rsid w:val="009A2BDF"/>
    <w:rsid w:val="009A2D56"/>
    <w:rsid w:val="009A2ECF"/>
    <w:rsid w:val="009A3000"/>
    <w:rsid w:val="009A317D"/>
    <w:rsid w:val="009A33BA"/>
    <w:rsid w:val="009A33C7"/>
    <w:rsid w:val="009A3407"/>
    <w:rsid w:val="009A3447"/>
    <w:rsid w:val="009A34EE"/>
    <w:rsid w:val="009A3692"/>
    <w:rsid w:val="009A377E"/>
    <w:rsid w:val="009A37EB"/>
    <w:rsid w:val="009A3A8C"/>
    <w:rsid w:val="009A3AAE"/>
    <w:rsid w:val="009A3BA0"/>
    <w:rsid w:val="009A47E8"/>
    <w:rsid w:val="009A485C"/>
    <w:rsid w:val="009A49E6"/>
    <w:rsid w:val="009A4B7D"/>
    <w:rsid w:val="009A4CAC"/>
    <w:rsid w:val="009A4E09"/>
    <w:rsid w:val="009A4F14"/>
    <w:rsid w:val="009A4FD1"/>
    <w:rsid w:val="009A50D2"/>
    <w:rsid w:val="009A50DC"/>
    <w:rsid w:val="009A5426"/>
    <w:rsid w:val="009A5485"/>
    <w:rsid w:val="009A5E2B"/>
    <w:rsid w:val="009A5FC5"/>
    <w:rsid w:val="009A60EE"/>
    <w:rsid w:val="009A60FF"/>
    <w:rsid w:val="009A62E0"/>
    <w:rsid w:val="009A6336"/>
    <w:rsid w:val="009A63FD"/>
    <w:rsid w:val="009A6439"/>
    <w:rsid w:val="009A6447"/>
    <w:rsid w:val="009A6B98"/>
    <w:rsid w:val="009A6C85"/>
    <w:rsid w:val="009A6DB4"/>
    <w:rsid w:val="009A7289"/>
    <w:rsid w:val="009A72EB"/>
    <w:rsid w:val="009A74FF"/>
    <w:rsid w:val="009A7987"/>
    <w:rsid w:val="009A7A43"/>
    <w:rsid w:val="009A7AD3"/>
    <w:rsid w:val="009A7AEE"/>
    <w:rsid w:val="009B04B8"/>
    <w:rsid w:val="009B0517"/>
    <w:rsid w:val="009B075E"/>
    <w:rsid w:val="009B0988"/>
    <w:rsid w:val="009B0A8C"/>
    <w:rsid w:val="009B0B0D"/>
    <w:rsid w:val="009B0DD4"/>
    <w:rsid w:val="009B0E24"/>
    <w:rsid w:val="009B0F10"/>
    <w:rsid w:val="009B103B"/>
    <w:rsid w:val="009B13FC"/>
    <w:rsid w:val="009B1829"/>
    <w:rsid w:val="009B1B31"/>
    <w:rsid w:val="009B1D98"/>
    <w:rsid w:val="009B1ED9"/>
    <w:rsid w:val="009B20EA"/>
    <w:rsid w:val="009B26DA"/>
    <w:rsid w:val="009B2A04"/>
    <w:rsid w:val="009B2AFB"/>
    <w:rsid w:val="009B2B5A"/>
    <w:rsid w:val="009B2C1D"/>
    <w:rsid w:val="009B2C43"/>
    <w:rsid w:val="009B2C46"/>
    <w:rsid w:val="009B2CB9"/>
    <w:rsid w:val="009B2D3C"/>
    <w:rsid w:val="009B309F"/>
    <w:rsid w:val="009B3183"/>
    <w:rsid w:val="009B3413"/>
    <w:rsid w:val="009B34C5"/>
    <w:rsid w:val="009B35C7"/>
    <w:rsid w:val="009B365A"/>
    <w:rsid w:val="009B3982"/>
    <w:rsid w:val="009B3B43"/>
    <w:rsid w:val="009B3B73"/>
    <w:rsid w:val="009B3B7C"/>
    <w:rsid w:val="009B3C8F"/>
    <w:rsid w:val="009B3D03"/>
    <w:rsid w:val="009B3EB6"/>
    <w:rsid w:val="009B4127"/>
    <w:rsid w:val="009B4250"/>
    <w:rsid w:val="009B4267"/>
    <w:rsid w:val="009B430B"/>
    <w:rsid w:val="009B432E"/>
    <w:rsid w:val="009B43BB"/>
    <w:rsid w:val="009B4553"/>
    <w:rsid w:val="009B4619"/>
    <w:rsid w:val="009B47E3"/>
    <w:rsid w:val="009B497C"/>
    <w:rsid w:val="009B49C3"/>
    <w:rsid w:val="009B4A38"/>
    <w:rsid w:val="009B4AA8"/>
    <w:rsid w:val="009B4AAF"/>
    <w:rsid w:val="009B4ADC"/>
    <w:rsid w:val="009B4B34"/>
    <w:rsid w:val="009B4B43"/>
    <w:rsid w:val="009B4CB1"/>
    <w:rsid w:val="009B4EB9"/>
    <w:rsid w:val="009B4F20"/>
    <w:rsid w:val="009B5040"/>
    <w:rsid w:val="009B5132"/>
    <w:rsid w:val="009B513D"/>
    <w:rsid w:val="009B5373"/>
    <w:rsid w:val="009B5485"/>
    <w:rsid w:val="009B5553"/>
    <w:rsid w:val="009B5571"/>
    <w:rsid w:val="009B56B6"/>
    <w:rsid w:val="009B57B6"/>
    <w:rsid w:val="009B589A"/>
    <w:rsid w:val="009B58B6"/>
    <w:rsid w:val="009B5A50"/>
    <w:rsid w:val="009B5B03"/>
    <w:rsid w:val="009B5B8D"/>
    <w:rsid w:val="009B5CFC"/>
    <w:rsid w:val="009B5D9B"/>
    <w:rsid w:val="009B6058"/>
    <w:rsid w:val="009B610E"/>
    <w:rsid w:val="009B626B"/>
    <w:rsid w:val="009B6440"/>
    <w:rsid w:val="009B6490"/>
    <w:rsid w:val="009B655F"/>
    <w:rsid w:val="009B6575"/>
    <w:rsid w:val="009B66B8"/>
    <w:rsid w:val="009B6A46"/>
    <w:rsid w:val="009B6B9A"/>
    <w:rsid w:val="009B6C01"/>
    <w:rsid w:val="009B6D6B"/>
    <w:rsid w:val="009B6E0A"/>
    <w:rsid w:val="009B7028"/>
    <w:rsid w:val="009B7047"/>
    <w:rsid w:val="009B70CA"/>
    <w:rsid w:val="009B7137"/>
    <w:rsid w:val="009B71F9"/>
    <w:rsid w:val="009B73CE"/>
    <w:rsid w:val="009B73E7"/>
    <w:rsid w:val="009B76AA"/>
    <w:rsid w:val="009B7A1F"/>
    <w:rsid w:val="009B7A37"/>
    <w:rsid w:val="009B7A39"/>
    <w:rsid w:val="009B7A58"/>
    <w:rsid w:val="009B7E65"/>
    <w:rsid w:val="009B7F00"/>
    <w:rsid w:val="009B7F3E"/>
    <w:rsid w:val="009C009A"/>
    <w:rsid w:val="009C01A3"/>
    <w:rsid w:val="009C070F"/>
    <w:rsid w:val="009C076C"/>
    <w:rsid w:val="009C081E"/>
    <w:rsid w:val="009C0906"/>
    <w:rsid w:val="009C0A4D"/>
    <w:rsid w:val="009C0B04"/>
    <w:rsid w:val="009C0CF6"/>
    <w:rsid w:val="009C0E18"/>
    <w:rsid w:val="009C0E65"/>
    <w:rsid w:val="009C129D"/>
    <w:rsid w:val="009C163E"/>
    <w:rsid w:val="009C1654"/>
    <w:rsid w:val="009C1703"/>
    <w:rsid w:val="009C181E"/>
    <w:rsid w:val="009C1852"/>
    <w:rsid w:val="009C19F8"/>
    <w:rsid w:val="009C1A3D"/>
    <w:rsid w:val="009C1A83"/>
    <w:rsid w:val="009C1B7B"/>
    <w:rsid w:val="009C1F83"/>
    <w:rsid w:val="009C218C"/>
    <w:rsid w:val="009C224B"/>
    <w:rsid w:val="009C277E"/>
    <w:rsid w:val="009C28EE"/>
    <w:rsid w:val="009C2904"/>
    <w:rsid w:val="009C2918"/>
    <w:rsid w:val="009C292C"/>
    <w:rsid w:val="009C2A2E"/>
    <w:rsid w:val="009C2A5E"/>
    <w:rsid w:val="009C2D16"/>
    <w:rsid w:val="009C2F65"/>
    <w:rsid w:val="009C2FA3"/>
    <w:rsid w:val="009C2FBD"/>
    <w:rsid w:val="009C3238"/>
    <w:rsid w:val="009C3567"/>
    <w:rsid w:val="009C3580"/>
    <w:rsid w:val="009C3706"/>
    <w:rsid w:val="009C3BE7"/>
    <w:rsid w:val="009C3C1F"/>
    <w:rsid w:val="009C3C38"/>
    <w:rsid w:val="009C3F56"/>
    <w:rsid w:val="009C41E8"/>
    <w:rsid w:val="009C4225"/>
    <w:rsid w:val="009C4374"/>
    <w:rsid w:val="009C4434"/>
    <w:rsid w:val="009C44CA"/>
    <w:rsid w:val="009C4B78"/>
    <w:rsid w:val="009C4F29"/>
    <w:rsid w:val="009C50AB"/>
    <w:rsid w:val="009C513D"/>
    <w:rsid w:val="009C52CC"/>
    <w:rsid w:val="009C5410"/>
    <w:rsid w:val="009C5574"/>
    <w:rsid w:val="009C56A3"/>
    <w:rsid w:val="009C579E"/>
    <w:rsid w:val="009C580B"/>
    <w:rsid w:val="009C5820"/>
    <w:rsid w:val="009C5836"/>
    <w:rsid w:val="009C5883"/>
    <w:rsid w:val="009C5A06"/>
    <w:rsid w:val="009C5AA5"/>
    <w:rsid w:val="009C5C04"/>
    <w:rsid w:val="009C5CB8"/>
    <w:rsid w:val="009C5D18"/>
    <w:rsid w:val="009C5D27"/>
    <w:rsid w:val="009C5EAE"/>
    <w:rsid w:val="009C5ED2"/>
    <w:rsid w:val="009C5F39"/>
    <w:rsid w:val="009C62CA"/>
    <w:rsid w:val="009C63C7"/>
    <w:rsid w:val="009C63E7"/>
    <w:rsid w:val="009C6426"/>
    <w:rsid w:val="009C654B"/>
    <w:rsid w:val="009C6645"/>
    <w:rsid w:val="009C6755"/>
    <w:rsid w:val="009C67DB"/>
    <w:rsid w:val="009C6E7C"/>
    <w:rsid w:val="009C6F73"/>
    <w:rsid w:val="009C6F80"/>
    <w:rsid w:val="009C6F8B"/>
    <w:rsid w:val="009C7040"/>
    <w:rsid w:val="009C70FA"/>
    <w:rsid w:val="009C75B9"/>
    <w:rsid w:val="009C7676"/>
    <w:rsid w:val="009C77A4"/>
    <w:rsid w:val="009C7810"/>
    <w:rsid w:val="009C78B2"/>
    <w:rsid w:val="009C7AC2"/>
    <w:rsid w:val="009C7ACB"/>
    <w:rsid w:val="009C7E17"/>
    <w:rsid w:val="009D0395"/>
    <w:rsid w:val="009D041A"/>
    <w:rsid w:val="009D0428"/>
    <w:rsid w:val="009D0479"/>
    <w:rsid w:val="009D0B3E"/>
    <w:rsid w:val="009D0D58"/>
    <w:rsid w:val="009D0DA8"/>
    <w:rsid w:val="009D0E17"/>
    <w:rsid w:val="009D1142"/>
    <w:rsid w:val="009D128C"/>
    <w:rsid w:val="009D1399"/>
    <w:rsid w:val="009D14B1"/>
    <w:rsid w:val="009D15F4"/>
    <w:rsid w:val="009D1765"/>
    <w:rsid w:val="009D188A"/>
    <w:rsid w:val="009D18B8"/>
    <w:rsid w:val="009D19A2"/>
    <w:rsid w:val="009D1A03"/>
    <w:rsid w:val="009D1A17"/>
    <w:rsid w:val="009D1BD7"/>
    <w:rsid w:val="009D1D60"/>
    <w:rsid w:val="009D1E6D"/>
    <w:rsid w:val="009D2135"/>
    <w:rsid w:val="009D25A0"/>
    <w:rsid w:val="009D2638"/>
    <w:rsid w:val="009D2689"/>
    <w:rsid w:val="009D291D"/>
    <w:rsid w:val="009D2B32"/>
    <w:rsid w:val="009D2BCB"/>
    <w:rsid w:val="009D2C6D"/>
    <w:rsid w:val="009D2E2A"/>
    <w:rsid w:val="009D2E5D"/>
    <w:rsid w:val="009D320A"/>
    <w:rsid w:val="009D32D5"/>
    <w:rsid w:val="009D347B"/>
    <w:rsid w:val="009D36A0"/>
    <w:rsid w:val="009D38BD"/>
    <w:rsid w:val="009D3A08"/>
    <w:rsid w:val="009D3A29"/>
    <w:rsid w:val="009D3C99"/>
    <w:rsid w:val="009D3CB5"/>
    <w:rsid w:val="009D3CD9"/>
    <w:rsid w:val="009D41FA"/>
    <w:rsid w:val="009D4395"/>
    <w:rsid w:val="009D4539"/>
    <w:rsid w:val="009D468A"/>
    <w:rsid w:val="009D4875"/>
    <w:rsid w:val="009D4B90"/>
    <w:rsid w:val="009D4C7C"/>
    <w:rsid w:val="009D52FD"/>
    <w:rsid w:val="009D5401"/>
    <w:rsid w:val="009D5488"/>
    <w:rsid w:val="009D54AD"/>
    <w:rsid w:val="009D58E6"/>
    <w:rsid w:val="009D5A1A"/>
    <w:rsid w:val="009D5DB0"/>
    <w:rsid w:val="009D5DB4"/>
    <w:rsid w:val="009D5FEB"/>
    <w:rsid w:val="009D61CE"/>
    <w:rsid w:val="009D6339"/>
    <w:rsid w:val="009D6455"/>
    <w:rsid w:val="009D6510"/>
    <w:rsid w:val="009D6613"/>
    <w:rsid w:val="009D696F"/>
    <w:rsid w:val="009D69D8"/>
    <w:rsid w:val="009D69EB"/>
    <w:rsid w:val="009D6A63"/>
    <w:rsid w:val="009D6AEA"/>
    <w:rsid w:val="009D6B14"/>
    <w:rsid w:val="009D6C66"/>
    <w:rsid w:val="009D6C87"/>
    <w:rsid w:val="009D6CA6"/>
    <w:rsid w:val="009D70E4"/>
    <w:rsid w:val="009D76DB"/>
    <w:rsid w:val="009D7720"/>
    <w:rsid w:val="009D7793"/>
    <w:rsid w:val="009D7951"/>
    <w:rsid w:val="009D7997"/>
    <w:rsid w:val="009D7A90"/>
    <w:rsid w:val="009D7BFF"/>
    <w:rsid w:val="009D7D45"/>
    <w:rsid w:val="009D7D9A"/>
    <w:rsid w:val="009D7E3A"/>
    <w:rsid w:val="009D7FD7"/>
    <w:rsid w:val="009D80AC"/>
    <w:rsid w:val="009E009D"/>
    <w:rsid w:val="009E02C9"/>
    <w:rsid w:val="009E0454"/>
    <w:rsid w:val="009E04A9"/>
    <w:rsid w:val="009E0641"/>
    <w:rsid w:val="009E0896"/>
    <w:rsid w:val="009E0A1D"/>
    <w:rsid w:val="009E0C35"/>
    <w:rsid w:val="009E0C5A"/>
    <w:rsid w:val="009E0DCB"/>
    <w:rsid w:val="009E1156"/>
    <w:rsid w:val="009E1238"/>
    <w:rsid w:val="009E12D0"/>
    <w:rsid w:val="009E1387"/>
    <w:rsid w:val="009E13A6"/>
    <w:rsid w:val="009E1737"/>
    <w:rsid w:val="009E1780"/>
    <w:rsid w:val="009E1879"/>
    <w:rsid w:val="009E187B"/>
    <w:rsid w:val="009E1A04"/>
    <w:rsid w:val="009E1A38"/>
    <w:rsid w:val="009E1A79"/>
    <w:rsid w:val="009E1ADF"/>
    <w:rsid w:val="009E1B58"/>
    <w:rsid w:val="009E1C4B"/>
    <w:rsid w:val="009E1CC2"/>
    <w:rsid w:val="009E1D29"/>
    <w:rsid w:val="009E1FEB"/>
    <w:rsid w:val="009E200E"/>
    <w:rsid w:val="009E2072"/>
    <w:rsid w:val="009E20EB"/>
    <w:rsid w:val="009E229A"/>
    <w:rsid w:val="009E23B5"/>
    <w:rsid w:val="009E2532"/>
    <w:rsid w:val="009E263B"/>
    <w:rsid w:val="009E2692"/>
    <w:rsid w:val="009E2696"/>
    <w:rsid w:val="009E2744"/>
    <w:rsid w:val="009E2789"/>
    <w:rsid w:val="009E2B64"/>
    <w:rsid w:val="009E2CAB"/>
    <w:rsid w:val="009E2D1F"/>
    <w:rsid w:val="009E2EA9"/>
    <w:rsid w:val="009E2F49"/>
    <w:rsid w:val="009E3139"/>
    <w:rsid w:val="009E3212"/>
    <w:rsid w:val="009E3253"/>
    <w:rsid w:val="009E333D"/>
    <w:rsid w:val="009E3343"/>
    <w:rsid w:val="009E34F6"/>
    <w:rsid w:val="009E35D5"/>
    <w:rsid w:val="009E3699"/>
    <w:rsid w:val="009E36AE"/>
    <w:rsid w:val="009E3A38"/>
    <w:rsid w:val="009E3B03"/>
    <w:rsid w:val="009E3C3E"/>
    <w:rsid w:val="009E3E1E"/>
    <w:rsid w:val="009E40C0"/>
    <w:rsid w:val="009E43C4"/>
    <w:rsid w:val="009E4434"/>
    <w:rsid w:val="009E453F"/>
    <w:rsid w:val="009E4832"/>
    <w:rsid w:val="009E483A"/>
    <w:rsid w:val="009E4929"/>
    <w:rsid w:val="009E499B"/>
    <w:rsid w:val="009E49CE"/>
    <w:rsid w:val="009E4A29"/>
    <w:rsid w:val="009E4B3C"/>
    <w:rsid w:val="009E4E0C"/>
    <w:rsid w:val="009E4E1F"/>
    <w:rsid w:val="009E4E98"/>
    <w:rsid w:val="009E4ED5"/>
    <w:rsid w:val="009E4F11"/>
    <w:rsid w:val="009E519B"/>
    <w:rsid w:val="009E5287"/>
    <w:rsid w:val="009E52FA"/>
    <w:rsid w:val="009E53EA"/>
    <w:rsid w:val="009E5596"/>
    <w:rsid w:val="009E579E"/>
    <w:rsid w:val="009E5873"/>
    <w:rsid w:val="009E58D1"/>
    <w:rsid w:val="009E5964"/>
    <w:rsid w:val="009E5BF5"/>
    <w:rsid w:val="009E5C02"/>
    <w:rsid w:val="009E5D90"/>
    <w:rsid w:val="009E6028"/>
    <w:rsid w:val="009E616A"/>
    <w:rsid w:val="009E619E"/>
    <w:rsid w:val="009E621C"/>
    <w:rsid w:val="009E627B"/>
    <w:rsid w:val="009E63B1"/>
    <w:rsid w:val="009E63E1"/>
    <w:rsid w:val="009E64EB"/>
    <w:rsid w:val="009E66B9"/>
    <w:rsid w:val="009E67EF"/>
    <w:rsid w:val="009E68A0"/>
    <w:rsid w:val="009E69E1"/>
    <w:rsid w:val="009E6AAD"/>
    <w:rsid w:val="009E6BAA"/>
    <w:rsid w:val="009E6C74"/>
    <w:rsid w:val="009E6D42"/>
    <w:rsid w:val="009E6D64"/>
    <w:rsid w:val="009E70D1"/>
    <w:rsid w:val="009E70E7"/>
    <w:rsid w:val="009E71E3"/>
    <w:rsid w:val="009E74CB"/>
    <w:rsid w:val="009E7845"/>
    <w:rsid w:val="009E7855"/>
    <w:rsid w:val="009E7CA6"/>
    <w:rsid w:val="009E7FC9"/>
    <w:rsid w:val="009F0142"/>
    <w:rsid w:val="009F054F"/>
    <w:rsid w:val="009F05CD"/>
    <w:rsid w:val="009F0B05"/>
    <w:rsid w:val="009F0DD6"/>
    <w:rsid w:val="009F12AE"/>
    <w:rsid w:val="009F13E7"/>
    <w:rsid w:val="009F14A0"/>
    <w:rsid w:val="009F1542"/>
    <w:rsid w:val="009F176D"/>
    <w:rsid w:val="009F1872"/>
    <w:rsid w:val="009F19D1"/>
    <w:rsid w:val="009F1A84"/>
    <w:rsid w:val="009F1BF2"/>
    <w:rsid w:val="009F1CB5"/>
    <w:rsid w:val="009F1F72"/>
    <w:rsid w:val="009F1FB4"/>
    <w:rsid w:val="009F2028"/>
    <w:rsid w:val="009F20DE"/>
    <w:rsid w:val="009F2140"/>
    <w:rsid w:val="009F2297"/>
    <w:rsid w:val="009F244F"/>
    <w:rsid w:val="009F2470"/>
    <w:rsid w:val="009F25BA"/>
    <w:rsid w:val="009F26A8"/>
    <w:rsid w:val="009F27C6"/>
    <w:rsid w:val="009F2B6E"/>
    <w:rsid w:val="009F2BF5"/>
    <w:rsid w:val="009F2EE2"/>
    <w:rsid w:val="009F3020"/>
    <w:rsid w:val="009F36F3"/>
    <w:rsid w:val="009F39FB"/>
    <w:rsid w:val="009F3A35"/>
    <w:rsid w:val="009F3AA8"/>
    <w:rsid w:val="009F3B81"/>
    <w:rsid w:val="009F3B8E"/>
    <w:rsid w:val="009F3C06"/>
    <w:rsid w:val="009F3C7D"/>
    <w:rsid w:val="009F3D19"/>
    <w:rsid w:val="009F3D1D"/>
    <w:rsid w:val="009F3D70"/>
    <w:rsid w:val="009F3DE7"/>
    <w:rsid w:val="009F3E41"/>
    <w:rsid w:val="009F40A8"/>
    <w:rsid w:val="009F413B"/>
    <w:rsid w:val="009F4332"/>
    <w:rsid w:val="009F499A"/>
    <w:rsid w:val="009F49BB"/>
    <w:rsid w:val="009F4CC0"/>
    <w:rsid w:val="009F4F47"/>
    <w:rsid w:val="009F4F84"/>
    <w:rsid w:val="009F5402"/>
    <w:rsid w:val="009F5622"/>
    <w:rsid w:val="009F57C4"/>
    <w:rsid w:val="009F589D"/>
    <w:rsid w:val="009F58E2"/>
    <w:rsid w:val="009F595F"/>
    <w:rsid w:val="009F599C"/>
    <w:rsid w:val="009F5D38"/>
    <w:rsid w:val="009F5F0B"/>
    <w:rsid w:val="009F609C"/>
    <w:rsid w:val="009F60C6"/>
    <w:rsid w:val="009F61A7"/>
    <w:rsid w:val="009F641E"/>
    <w:rsid w:val="009F655D"/>
    <w:rsid w:val="009F660C"/>
    <w:rsid w:val="009F6674"/>
    <w:rsid w:val="009F6805"/>
    <w:rsid w:val="009F69DC"/>
    <w:rsid w:val="009F6AD5"/>
    <w:rsid w:val="009F6C25"/>
    <w:rsid w:val="009F6EBA"/>
    <w:rsid w:val="009F771A"/>
    <w:rsid w:val="009F789F"/>
    <w:rsid w:val="009F78FD"/>
    <w:rsid w:val="009F7958"/>
    <w:rsid w:val="009F7BB2"/>
    <w:rsid w:val="009F7BD0"/>
    <w:rsid w:val="009F7BE3"/>
    <w:rsid w:val="009F7C32"/>
    <w:rsid w:val="009F7C82"/>
    <w:rsid w:val="00A00226"/>
    <w:rsid w:val="00A0033B"/>
    <w:rsid w:val="00A0046A"/>
    <w:rsid w:val="00A004B8"/>
    <w:rsid w:val="00A00B21"/>
    <w:rsid w:val="00A00BB0"/>
    <w:rsid w:val="00A00C44"/>
    <w:rsid w:val="00A00C4E"/>
    <w:rsid w:val="00A00F03"/>
    <w:rsid w:val="00A00F36"/>
    <w:rsid w:val="00A00F89"/>
    <w:rsid w:val="00A01069"/>
    <w:rsid w:val="00A01086"/>
    <w:rsid w:val="00A011A3"/>
    <w:rsid w:val="00A011EF"/>
    <w:rsid w:val="00A012D1"/>
    <w:rsid w:val="00A0157F"/>
    <w:rsid w:val="00A01598"/>
    <w:rsid w:val="00A01792"/>
    <w:rsid w:val="00A017C8"/>
    <w:rsid w:val="00A0184F"/>
    <w:rsid w:val="00A01916"/>
    <w:rsid w:val="00A0197A"/>
    <w:rsid w:val="00A01ACA"/>
    <w:rsid w:val="00A01AFD"/>
    <w:rsid w:val="00A01B66"/>
    <w:rsid w:val="00A01DA1"/>
    <w:rsid w:val="00A01EBC"/>
    <w:rsid w:val="00A01F12"/>
    <w:rsid w:val="00A024BC"/>
    <w:rsid w:val="00A02654"/>
    <w:rsid w:val="00A026A8"/>
    <w:rsid w:val="00A0279D"/>
    <w:rsid w:val="00A028F2"/>
    <w:rsid w:val="00A02A10"/>
    <w:rsid w:val="00A02B36"/>
    <w:rsid w:val="00A02C11"/>
    <w:rsid w:val="00A02C8A"/>
    <w:rsid w:val="00A02D36"/>
    <w:rsid w:val="00A02DE7"/>
    <w:rsid w:val="00A02EEB"/>
    <w:rsid w:val="00A02F0D"/>
    <w:rsid w:val="00A02F92"/>
    <w:rsid w:val="00A030E4"/>
    <w:rsid w:val="00A03705"/>
    <w:rsid w:val="00A03890"/>
    <w:rsid w:val="00A038AF"/>
    <w:rsid w:val="00A039B7"/>
    <w:rsid w:val="00A03F55"/>
    <w:rsid w:val="00A040F3"/>
    <w:rsid w:val="00A04390"/>
    <w:rsid w:val="00A04462"/>
    <w:rsid w:val="00A044D6"/>
    <w:rsid w:val="00A046CC"/>
    <w:rsid w:val="00A0478A"/>
    <w:rsid w:val="00A04918"/>
    <w:rsid w:val="00A04948"/>
    <w:rsid w:val="00A04A99"/>
    <w:rsid w:val="00A04DD6"/>
    <w:rsid w:val="00A04EDE"/>
    <w:rsid w:val="00A04F4E"/>
    <w:rsid w:val="00A04FC5"/>
    <w:rsid w:val="00A050EE"/>
    <w:rsid w:val="00A05100"/>
    <w:rsid w:val="00A05110"/>
    <w:rsid w:val="00A051E8"/>
    <w:rsid w:val="00A05376"/>
    <w:rsid w:val="00A053BB"/>
    <w:rsid w:val="00A05505"/>
    <w:rsid w:val="00A05A57"/>
    <w:rsid w:val="00A05AFB"/>
    <w:rsid w:val="00A05C3D"/>
    <w:rsid w:val="00A05CD4"/>
    <w:rsid w:val="00A06023"/>
    <w:rsid w:val="00A0620B"/>
    <w:rsid w:val="00A0624A"/>
    <w:rsid w:val="00A0626D"/>
    <w:rsid w:val="00A0653F"/>
    <w:rsid w:val="00A06A4E"/>
    <w:rsid w:val="00A06AEE"/>
    <w:rsid w:val="00A06C75"/>
    <w:rsid w:val="00A06CFA"/>
    <w:rsid w:val="00A06D8A"/>
    <w:rsid w:val="00A06E26"/>
    <w:rsid w:val="00A06EAA"/>
    <w:rsid w:val="00A070E4"/>
    <w:rsid w:val="00A0715F"/>
    <w:rsid w:val="00A072A8"/>
    <w:rsid w:val="00A072F4"/>
    <w:rsid w:val="00A0735A"/>
    <w:rsid w:val="00A0737E"/>
    <w:rsid w:val="00A07510"/>
    <w:rsid w:val="00A0756B"/>
    <w:rsid w:val="00A075B1"/>
    <w:rsid w:val="00A075F0"/>
    <w:rsid w:val="00A07691"/>
    <w:rsid w:val="00A076A1"/>
    <w:rsid w:val="00A07751"/>
    <w:rsid w:val="00A07754"/>
    <w:rsid w:val="00A07856"/>
    <w:rsid w:val="00A07A4C"/>
    <w:rsid w:val="00A07A7B"/>
    <w:rsid w:val="00A07AE5"/>
    <w:rsid w:val="00A07AFD"/>
    <w:rsid w:val="00A07EE7"/>
    <w:rsid w:val="00A07F87"/>
    <w:rsid w:val="00A07FE2"/>
    <w:rsid w:val="00A10206"/>
    <w:rsid w:val="00A10284"/>
    <w:rsid w:val="00A1051D"/>
    <w:rsid w:val="00A10892"/>
    <w:rsid w:val="00A108DA"/>
    <w:rsid w:val="00A10CA8"/>
    <w:rsid w:val="00A10CDE"/>
    <w:rsid w:val="00A10D47"/>
    <w:rsid w:val="00A10DEA"/>
    <w:rsid w:val="00A10EE4"/>
    <w:rsid w:val="00A10FF7"/>
    <w:rsid w:val="00A11008"/>
    <w:rsid w:val="00A114A7"/>
    <w:rsid w:val="00A115C1"/>
    <w:rsid w:val="00A119C2"/>
    <w:rsid w:val="00A119D9"/>
    <w:rsid w:val="00A11A83"/>
    <w:rsid w:val="00A11BD8"/>
    <w:rsid w:val="00A11D88"/>
    <w:rsid w:val="00A11DC5"/>
    <w:rsid w:val="00A11EAC"/>
    <w:rsid w:val="00A11F26"/>
    <w:rsid w:val="00A11FCC"/>
    <w:rsid w:val="00A11FE0"/>
    <w:rsid w:val="00A121A4"/>
    <w:rsid w:val="00A12249"/>
    <w:rsid w:val="00A12346"/>
    <w:rsid w:val="00A12476"/>
    <w:rsid w:val="00A12676"/>
    <w:rsid w:val="00A1272E"/>
    <w:rsid w:val="00A12778"/>
    <w:rsid w:val="00A1278E"/>
    <w:rsid w:val="00A128BA"/>
    <w:rsid w:val="00A12B50"/>
    <w:rsid w:val="00A12BDE"/>
    <w:rsid w:val="00A12C73"/>
    <w:rsid w:val="00A12C76"/>
    <w:rsid w:val="00A12CCB"/>
    <w:rsid w:val="00A12D1E"/>
    <w:rsid w:val="00A12E4E"/>
    <w:rsid w:val="00A12E5F"/>
    <w:rsid w:val="00A12FF3"/>
    <w:rsid w:val="00A13040"/>
    <w:rsid w:val="00A130B4"/>
    <w:rsid w:val="00A1319D"/>
    <w:rsid w:val="00A13274"/>
    <w:rsid w:val="00A132C6"/>
    <w:rsid w:val="00A133A5"/>
    <w:rsid w:val="00A13429"/>
    <w:rsid w:val="00A134B9"/>
    <w:rsid w:val="00A137E2"/>
    <w:rsid w:val="00A13869"/>
    <w:rsid w:val="00A139E8"/>
    <w:rsid w:val="00A13BF2"/>
    <w:rsid w:val="00A13ED1"/>
    <w:rsid w:val="00A13F7A"/>
    <w:rsid w:val="00A13F88"/>
    <w:rsid w:val="00A14268"/>
    <w:rsid w:val="00A14315"/>
    <w:rsid w:val="00A14375"/>
    <w:rsid w:val="00A143F7"/>
    <w:rsid w:val="00A1447A"/>
    <w:rsid w:val="00A144BE"/>
    <w:rsid w:val="00A14597"/>
    <w:rsid w:val="00A14693"/>
    <w:rsid w:val="00A1497C"/>
    <w:rsid w:val="00A14A52"/>
    <w:rsid w:val="00A14B77"/>
    <w:rsid w:val="00A14D56"/>
    <w:rsid w:val="00A150E3"/>
    <w:rsid w:val="00A150E4"/>
    <w:rsid w:val="00A152E3"/>
    <w:rsid w:val="00A15384"/>
    <w:rsid w:val="00A15562"/>
    <w:rsid w:val="00A1559C"/>
    <w:rsid w:val="00A155F1"/>
    <w:rsid w:val="00A15754"/>
    <w:rsid w:val="00A15808"/>
    <w:rsid w:val="00A15851"/>
    <w:rsid w:val="00A15A5E"/>
    <w:rsid w:val="00A15B49"/>
    <w:rsid w:val="00A15B63"/>
    <w:rsid w:val="00A15B7B"/>
    <w:rsid w:val="00A15C3F"/>
    <w:rsid w:val="00A15CD7"/>
    <w:rsid w:val="00A15DBC"/>
    <w:rsid w:val="00A15DD2"/>
    <w:rsid w:val="00A15DDA"/>
    <w:rsid w:val="00A15F54"/>
    <w:rsid w:val="00A15FE2"/>
    <w:rsid w:val="00A1614B"/>
    <w:rsid w:val="00A16216"/>
    <w:rsid w:val="00A16565"/>
    <w:rsid w:val="00A16685"/>
    <w:rsid w:val="00A167CC"/>
    <w:rsid w:val="00A1688E"/>
    <w:rsid w:val="00A168BE"/>
    <w:rsid w:val="00A169EC"/>
    <w:rsid w:val="00A16BC5"/>
    <w:rsid w:val="00A16D07"/>
    <w:rsid w:val="00A16D33"/>
    <w:rsid w:val="00A16EAB"/>
    <w:rsid w:val="00A16ED6"/>
    <w:rsid w:val="00A17303"/>
    <w:rsid w:val="00A1730E"/>
    <w:rsid w:val="00A17540"/>
    <w:rsid w:val="00A176BC"/>
    <w:rsid w:val="00A1790F"/>
    <w:rsid w:val="00A1793B"/>
    <w:rsid w:val="00A1797D"/>
    <w:rsid w:val="00A17B8A"/>
    <w:rsid w:val="00A17D86"/>
    <w:rsid w:val="00A2007A"/>
    <w:rsid w:val="00A200DF"/>
    <w:rsid w:val="00A201CB"/>
    <w:rsid w:val="00A20510"/>
    <w:rsid w:val="00A205F3"/>
    <w:rsid w:val="00A20A9B"/>
    <w:rsid w:val="00A20C10"/>
    <w:rsid w:val="00A20D72"/>
    <w:rsid w:val="00A20E07"/>
    <w:rsid w:val="00A2104C"/>
    <w:rsid w:val="00A210F4"/>
    <w:rsid w:val="00A21186"/>
    <w:rsid w:val="00A21204"/>
    <w:rsid w:val="00A21326"/>
    <w:rsid w:val="00A2157E"/>
    <w:rsid w:val="00A215C4"/>
    <w:rsid w:val="00A21690"/>
    <w:rsid w:val="00A21A38"/>
    <w:rsid w:val="00A21A68"/>
    <w:rsid w:val="00A21C13"/>
    <w:rsid w:val="00A21C1F"/>
    <w:rsid w:val="00A21EC6"/>
    <w:rsid w:val="00A21F9F"/>
    <w:rsid w:val="00A22024"/>
    <w:rsid w:val="00A22154"/>
    <w:rsid w:val="00A22220"/>
    <w:rsid w:val="00A22236"/>
    <w:rsid w:val="00A2231B"/>
    <w:rsid w:val="00A22347"/>
    <w:rsid w:val="00A22474"/>
    <w:rsid w:val="00A22566"/>
    <w:rsid w:val="00A2271D"/>
    <w:rsid w:val="00A22739"/>
    <w:rsid w:val="00A22859"/>
    <w:rsid w:val="00A228AD"/>
    <w:rsid w:val="00A229EF"/>
    <w:rsid w:val="00A22C96"/>
    <w:rsid w:val="00A22CC9"/>
    <w:rsid w:val="00A22DCD"/>
    <w:rsid w:val="00A22E22"/>
    <w:rsid w:val="00A22F07"/>
    <w:rsid w:val="00A23101"/>
    <w:rsid w:val="00A2316C"/>
    <w:rsid w:val="00A234EF"/>
    <w:rsid w:val="00A235AA"/>
    <w:rsid w:val="00A235F5"/>
    <w:rsid w:val="00A236E2"/>
    <w:rsid w:val="00A2371D"/>
    <w:rsid w:val="00A23B67"/>
    <w:rsid w:val="00A23C99"/>
    <w:rsid w:val="00A24468"/>
    <w:rsid w:val="00A244CF"/>
    <w:rsid w:val="00A2495B"/>
    <w:rsid w:val="00A24B58"/>
    <w:rsid w:val="00A25005"/>
    <w:rsid w:val="00A25021"/>
    <w:rsid w:val="00A25071"/>
    <w:rsid w:val="00A251C2"/>
    <w:rsid w:val="00A251FB"/>
    <w:rsid w:val="00A25324"/>
    <w:rsid w:val="00A2538B"/>
    <w:rsid w:val="00A2544E"/>
    <w:rsid w:val="00A25A31"/>
    <w:rsid w:val="00A25A38"/>
    <w:rsid w:val="00A25C9A"/>
    <w:rsid w:val="00A25D24"/>
    <w:rsid w:val="00A25D2C"/>
    <w:rsid w:val="00A25FD5"/>
    <w:rsid w:val="00A26135"/>
    <w:rsid w:val="00A26452"/>
    <w:rsid w:val="00A26477"/>
    <w:rsid w:val="00A265E8"/>
    <w:rsid w:val="00A2666B"/>
    <w:rsid w:val="00A2680C"/>
    <w:rsid w:val="00A26874"/>
    <w:rsid w:val="00A268FA"/>
    <w:rsid w:val="00A269EA"/>
    <w:rsid w:val="00A26B2A"/>
    <w:rsid w:val="00A26C9C"/>
    <w:rsid w:val="00A26CF1"/>
    <w:rsid w:val="00A26D99"/>
    <w:rsid w:val="00A26DA4"/>
    <w:rsid w:val="00A26DC0"/>
    <w:rsid w:val="00A26E4B"/>
    <w:rsid w:val="00A272B4"/>
    <w:rsid w:val="00A27329"/>
    <w:rsid w:val="00A27354"/>
    <w:rsid w:val="00A273ED"/>
    <w:rsid w:val="00A2757C"/>
    <w:rsid w:val="00A27626"/>
    <w:rsid w:val="00A27658"/>
    <w:rsid w:val="00A277FB"/>
    <w:rsid w:val="00A279DB"/>
    <w:rsid w:val="00A27A9B"/>
    <w:rsid w:val="00A27C3C"/>
    <w:rsid w:val="00A27EF0"/>
    <w:rsid w:val="00A27F7B"/>
    <w:rsid w:val="00A27FBF"/>
    <w:rsid w:val="00A300EB"/>
    <w:rsid w:val="00A303DE"/>
    <w:rsid w:val="00A304E3"/>
    <w:rsid w:val="00A3067C"/>
    <w:rsid w:val="00A30748"/>
    <w:rsid w:val="00A309D9"/>
    <w:rsid w:val="00A309FC"/>
    <w:rsid w:val="00A30A4A"/>
    <w:rsid w:val="00A30BEA"/>
    <w:rsid w:val="00A30C0B"/>
    <w:rsid w:val="00A30CF1"/>
    <w:rsid w:val="00A30E56"/>
    <w:rsid w:val="00A30F6A"/>
    <w:rsid w:val="00A31074"/>
    <w:rsid w:val="00A31272"/>
    <w:rsid w:val="00A31442"/>
    <w:rsid w:val="00A31495"/>
    <w:rsid w:val="00A314FE"/>
    <w:rsid w:val="00A315E6"/>
    <w:rsid w:val="00A31764"/>
    <w:rsid w:val="00A31977"/>
    <w:rsid w:val="00A31A77"/>
    <w:rsid w:val="00A31BC4"/>
    <w:rsid w:val="00A31CA9"/>
    <w:rsid w:val="00A31D83"/>
    <w:rsid w:val="00A31E34"/>
    <w:rsid w:val="00A31F7E"/>
    <w:rsid w:val="00A3209D"/>
    <w:rsid w:val="00A32175"/>
    <w:rsid w:val="00A32340"/>
    <w:rsid w:val="00A32343"/>
    <w:rsid w:val="00A3247F"/>
    <w:rsid w:val="00A324BF"/>
    <w:rsid w:val="00A3254B"/>
    <w:rsid w:val="00A32563"/>
    <w:rsid w:val="00A32745"/>
    <w:rsid w:val="00A32751"/>
    <w:rsid w:val="00A32788"/>
    <w:rsid w:val="00A32C07"/>
    <w:rsid w:val="00A32D4E"/>
    <w:rsid w:val="00A33141"/>
    <w:rsid w:val="00A331ED"/>
    <w:rsid w:val="00A331F6"/>
    <w:rsid w:val="00A334D2"/>
    <w:rsid w:val="00A3359F"/>
    <w:rsid w:val="00A3367F"/>
    <w:rsid w:val="00A336AC"/>
    <w:rsid w:val="00A3392F"/>
    <w:rsid w:val="00A33968"/>
    <w:rsid w:val="00A3398C"/>
    <w:rsid w:val="00A33AF7"/>
    <w:rsid w:val="00A33B18"/>
    <w:rsid w:val="00A33B2F"/>
    <w:rsid w:val="00A33B93"/>
    <w:rsid w:val="00A33E97"/>
    <w:rsid w:val="00A33FF5"/>
    <w:rsid w:val="00A3400D"/>
    <w:rsid w:val="00A34589"/>
    <w:rsid w:val="00A345CC"/>
    <w:rsid w:val="00A348AA"/>
    <w:rsid w:val="00A349C0"/>
    <w:rsid w:val="00A34A4C"/>
    <w:rsid w:val="00A34C9A"/>
    <w:rsid w:val="00A34F1B"/>
    <w:rsid w:val="00A34FF4"/>
    <w:rsid w:val="00A350BA"/>
    <w:rsid w:val="00A3512E"/>
    <w:rsid w:val="00A356A7"/>
    <w:rsid w:val="00A3581E"/>
    <w:rsid w:val="00A35834"/>
    <w:rsid w:val="00A358A4"/>
    <w:rsid w:val="00A35CC7"/>
    <w:rsid w:val="00A35ECF"/>
    <w:rsid w:val="00A3609F"/>
    <w:rsid w:val="00A360E2"/>
    <w:rsid w:val="00A3614F"/>
    <w:rsid w:val="00A361D7"/>
    <w:rsid w:val="00A362D9"/>
    <w:rsid w:val="00A3631B"/>
    <w:rsid w:val="00A3638F"/>
    <w:rsid w:val="00A36668"/>
    <w:rsid w:val="00A3684E"/>
    <w:rsid w:val="00A36C6B"/>
    <w:rsid w:val="00A36E64"/>
    <w:rsid w:val="00A37401"/>
    <w:rsid w:val="00A374D2"/>
    <w:rsid w:val="00A37A81"/>
    <w:rsid w:val="00A37AA8"/>
    <w:rsid w:val="00A37AD3"/>
    <w:rsid w:val="00A37B6D"/>
    <w:rsid w:val="00A37BAA"/>
    <w:rsid w:val="00A37D89"/>
    <w:rsid w:val="00A4019B"/>
    <w:rsid w:val="00A401A7"/>
    <w:rsid w:val="00A4032E"/>
    <w:rsid w:val="00A40753"/>
    <w:rsid w:val="00A408AE"/>
    <w:rsid w:val="00A4092E"/>
    <w:rsid w:val="00A409AF"/>
    <w:rsid w:val="00A40B0F"/>
    <w:rsid w:val="00A40BC9"/>
    <w:rsid w:val="00A40C4B"/>
    <w:rsid w:val="00A40CEC"/>
    <w:rsid w:val="00A40CF8"/>
    <w:rsid w:val="00A40CFE"/>
    <w:rsid w:val="00A40D78"/>
    <w:rsid w:val="00A40E5B"/>
    <w:rsid w:val="00A41202"/>
    <w:rsid w:val="00A41224"/>
    <w:rsid w:val="00A413D0"/>
    <w:rsid w:val="00A4143F"/>
    <w:rsid w:val="00A41580"/>
    <w:rsid w:val="00A417A0"/>
    <w:rsid w:val="00A417E2"/>
    <w:rsid w:val="00A41935"/>
    <w:rsid w:val="00A41AD6"/>
    <w:rsid w:val="00A41AEF"/>
    <w:rsid w:val="00A41BB3"/>
    <w:rsid w:val="00A42095"/>
    <w:rsid w:val="00A42194"/>
    <w:rsid w:val="00A42353"/>
    <w:rsid w:val="00A42540"/>
    <w:rsid w:val="00A425C4"/>
    <w:rsid w:val="00A42AA4"/>
    <w:rsid w:val="00A42E50"/>
    <w:rsid w:val="00A42EEB"/>
    <w:rsid w:val="00A42FBE"/>
    <w:rsid w:val="00A431F5"/>
    <w:rsid w:val="00A43205"/>
    <w:rsid w:val="00A4339C"/>
    <w:rsid w:val="00A433B8"/>
    <w:rsid w:val="00A43454"/>
    <w:rsid w:val="00A435A7"/>
    <w:rsid w:val="00A435DB"/>
    <w:rsid w:val="00A435F5"/>
    <w:rsid w:val="00A435F9"/>
    <w:rsid w:val="00A43762"/>
    <w:rsid w:val="00A437BD"/>
    <w:rsid w:val="00A43AB3"/>
    <w:rsid w:val="00A43BE7"/>
    <w:rsid w:val="00A43F3F"/>
    <w:rsid w:val="00A43F80"/>
    <w:rsid w:val="00A44245"/>
    <w:rsid w:val="00A444B4"/>
    <w:rsid w:val="00A445DB"/>
    <w:rsid w:val="00A44673"/>
    <w:rsid w:val="00A446E6"/>
    <w:rsid w:val="00A44843"/>
    <w:rsid w:val="00A44920"/>
    <w:rsid w:val="00A44936"/>
    <w:rsid w:val="00A449E7"/>
    <w:rsid w:val="00A44AF3"/>
    <w:rsid w:val="00A44B02"/>
    <w:rsid w:val="00A44B07"/>
    <w:rsid w:val="00A44CA2"/>
    <w:rsid w:val="00A44D47"/>
    <w:rsid w:val="00A44D91"/>
    <w:rsid w:val="00A44D93"/>
    <w:rsid w:val="00A44DD5"/>
    <w:rsid w:val="00A44E66"/>
    <w:rsid w:val="00A44F3E"/>
    <w:rsid w:val="00A4512C"/>
    <w:rsid w:val="00A45148"/>
    <w:rsid w:val="00A453E9"/>
    <w:rsid w:val="00A45420"/>
    <w:rsid w:val="00A454F1"/>
    <w:rsid w:val="00A45A31"/>
    <w:rsid w:val="00A45AC1"/>
    <w:rsid w:val="00A45BD8"/>
    <w:rsid w:val="00A45EE2"/>
    <w:rsid w:val="00A45FEE"/>
    <w:rsid w:val="00A46003"/>
    <w:rsid w:val="00A4602E"/>
    <w:rsid w:val="00A461CE"/>
    <w:rsid w:val="00A462A6"/>
    <w:rsid w:val="00A462D9"/>
    <w:rsid w:val="00A464C2"/>
    <w:rsid w:val="00A465E2"/>
    <w:rsid w:val="00A46863"/>
    <w:rsid w:val="00A46A4F"/>
    <w:rsid w:val="00A46A63"/>
    <w:rsid w:val="00A46AB1"/>
    <w:rsid w:val="00A46EF3"/>
    <w:rsid w:val="00A46FA3"/>
    <w:rsid w:val="00A4725C"/>
    <w:rsid w:val="00A4756E"/>
    <w:rsid w:val="00A47646"/>
    <w:rsid w:val="00A47A33"/>
    <w:rsid w:val="00A47C64"/>
    <w:rsid w:val="00A47D03"/>
    <w:rsid w:val="00A47DFD"/>
    <w:rsid w:val="00A47FA2"/>
    <w:rsid w:val="00A50135"/>
    <w:rsid w:val="00A501D0"/>
    <w:rsid w:val="00A50217"/>
    <w:rsid w:val="00A50566"/>
    <w:rsid w:val="00A506BB"/>
    <w:rsid w:val="00A508CF"/>
    <w:rsid w:val="00A509CD"/>
    <w:rsid w:val="00A50A0E"/>
    <w:rsid w:val="00A50B68"/>
    <w:rsid w:val="00A50BF6"/>
    <w:rsid w:val="00A50D0F"/>
    <w:rsid w:val="00A50FC0"/>
    <w:rsid w:val="00A51157"/>
    <w:rsid w:val="00A5132A"/>
    <w:rsid w:val="00A51389"/>
    <w:rsid w:val="00A5158F"/>
    <w:rsid w:val="00A51695"/>
    <w:rsid w:val="00A51743"/>
    <w:rsid w:val="00A518BD"/>
    <w:rsid w:val="00A518D6"/>
    <w:rsid w:val="00A519C6"/>
    <w:rsid w:val="00A51A14"/>
    <w:rsid w:val="00A51A33"/>
    <w:rsid w:val="00A51A5F"/>
    <w:rsid w:val="00A51ADF"/>
    <w:rsid w:val="00A51D14"/>
    <w:rsid w:val="00A51E68"/>
    <w:rsid w:val="00A52409"/>
    <w:rsid w:val="00A5242C"/>
    <w:rsid w:val="00A52528"/>
    <w:rsid w:val="00A52766"/>
    <w:rsid w:val="00A52771"/>
    <w:rsid w:val="00A5286B"/>
    <w:rsid w:val="00A52AAF"/>
    <w:rsid w:val="00A52C69"/>
    <w:rsid w:val="00A52CBE"/>
    <w:rsid w:val="00A52F8D"/>
    <w:rsid w:val="00A52F8E"/>
    <w:rsid w:val="00A530F9"/>
    <w:rsid w:val="00A53152"/>
    <w:rsid w:val="00A531A7"/>
    <w:rsid w:val="00A531FF"/>
    <w:rsid w:val="00A532DA"/>
    <w:rsid w:val="00A532ED"/>
    <w:rsid w:val="00A53451"/>
    <w:rsid w:val="00A537F4"/>
    <w:rsid w:val="00A53A8D"/>
    <w:rsid w:val="00A53E4F"/>
    <w:rsid w:val="00A53EC8"/>
    <w:rsid w:val="00A53F28"/>
    <w:rsid w:val="00A53F71"/>
    <w:rsid w:val="00A541AD"/>
    <w:rsid w:val="00A5439C"/>
    <w:rsid w:val="00A544A4"/>
    <w:rsid w:val="00A54888"/>
    <w:rsid w:val="00A549E8"/>
    <w:rsid w:val="00A54B5F"/>
    <w:rsid w:val="00A54B7B"/>
    <w:rsid w:val="00A54B97"/>
    <w:rsid w:val="00A54BA3"/>
    <w:rsid w:val="00A54C50"/>
    <w:rsid w:val="00A54D6D"/>
    <w:rsid w:val="00A54D90"/>
    <w:rsid w:val="00A54DA7"/>
    <w:rsid w:val="00A54DE1"/>
    <w:rsid w:val="00A54E1B"/>
    <w:rsid w:val="00A54E5E"/>
    <w:rsid w:val="00A54FE8"/>
    <w:rsid w:val="00A5501F"/>
    <w:rsid w:val="00A55098"/>
    <w:rsid w:val="00A55214"/>
    <w:rsid w:val="00A5524F"/>
    <w:rsid w:val="00A55485"/>
    <w:rsid w:val="00A55591"/>
    <w:rsid w:val="00A555BD"/>
    <w:rsid w:val="00A555D3"/>
    <w:rsid w:val="00A558BD"/>
    <w:rsid w:val="00A55A81"/>
    <w:rsid w:val="00A55AF9"/>
    <w:rsid w:val="00A55C35"/>
    <w:rsid w:val="00A55D35"/>
    <w:rsid w:val="00A55D62"/>
    <w:rsid w:val="00A562EF"/>
    <w:rsid w:val="00A564CA"/>
    <w:rsid w:val="00A564D7"/>
    <w:rsid w:val="00A5651E"/>
    <w:rsid w:val="00A565BD"/>
    <w:rsid w:val="00A56738"/>
    <w:rsid w:val="00A567B1"/>
    <w:rsid w:val="00A567C8"/>
    <w:rsid w:val="00A5694C"/>
    <w:rsid w:val="00A56AC0"/>
    <w:rsid w:val="00A56C17"/>
    <w:rsid w:val="00A56C20"/>
    <w:rsid w:val="00A56C89"/>
    <w:rsid w:val="00A56CF7"/>
    <w:rsid w:val="00A56EC2"/>
    <w:rsid w:val="00A56EE4"/>
    <w:rsid w:val="00A57061"/>
    <w:rsid w:val="00A57303"/>
    <w:rsid w:val="00A57364"/>
    <w:rsid w:val="00A574C2"/>
    <w:rsid w:val="00A57673"/>
    <w:rsid w:val="00A576E2"/>
    <w:rsid w:val="00A577C1"/>
    <w:rsid w:val="00A578A2"/>
    <w:rsid w:val="00A5794A"/>
    <w:rsid w:val="00A57A05"/>
    <w:rsid w:val="00A57BB6"/>
    <w:rsid w:val="00A57C54"/>
    <w:rsid w:val="00A57DB3"/>
    <w:rsid w:val="00A57EFA"/>
    <w:rsid w:val="00A57F36"/>
    <w:rsid w:val="00A57F8E"/>
    <w:rsid w:val="00A6001C"/>
    <w:rsid w:val="00A60050"/>
    <w:rsid w:val="00A60083"/>
    <w:rsid w:val="00A6018D"/>
    <w:rsid w:val="00A602E5"/>
    <w:rsid w:val="00A60519"/>
    <w:rsid w:val="00A606C4"/>
    <w:rsid w:val="00A6075F"/>
    <w:rsid w:val="00A607BD"/>
    <w:rsid w:val="00A608E5"/>
    <w:rsid w:val="00A60D1D"/>
    <w:rsid w:val="00A60EDB"/>
    <w:rsid w:val="00A60F15"/>
    <w:rsid w:val="00A61108"/>
    <w:rsid w:val="00A6150B"/>
    <w:rsid w:val="00A61516"/>
    <w:rsid w:val="00A615FE"/>
    <w:rsid w:val="00A6179B"/>
    <w:rsid w:val="00A617E3"/>
    <w:rsid w:val="00A61AA6"/>
    <w:rsid w:val="00A61AD3"/>
    <w:rsid w:val="00A61C2D"/>
    <w:rsid w:val="00A61D25"/>
    <w:rsid w:val="00A61DBC"/>
    <w:rsid w:val="00A61E4F"/>
    <w:rsid w:val="00A61EA6"/>
    <w:rsid w:val="00A62151"/>
    <w:rsid w:val="00A62223"/>
    <w:rsid w:val="00A62618"/>
    <w:rsid w:val="00A62799"/>
    <w:rsid w:val="00A62828"/>
    <w:rsid w:val="00A62E94"/>
    <w:rsid w:val="00A62F34"/>
    <w:rsid w:val="00A631CE"/>
    <w:rsid w:val="00A633C3"/>
    <w:rsid w:val="00A63532"/>
    <w:rsid w:val="00A63601"/>
    <w:rsid w:val="00A63719"/>
    <w:rsid w:val="00A6380A"/>
    <w:rsid w:val="00A63A05"/>
    <w:rsid w:val="00A63B8C"/>
    <w:rsid w:val="00A63DC7"/>
    <w:rsid w:val="00A63F91"/>
    <w:rsid w:val="00A63FCE"/>
    <w:rsid w:val="00A63FFA"/>
    <w:rsid w:val="00A6412B"/>
    <w:rsid w:val="00A64145"/>
    <w:rsid w:val="00A64182"/>
    <w:rsid w:val="00A641C6"/>
    <w:rsid w:val="00A641E2"/>
    <w:rsid w:val="00A641FE"/>
    <w:rsid w:val="00A64662"/>
    <w:rsid w:val="00A6471E"/>
    <w:rsid w:val="00A6475E"/>
    <w:rsid w:val="00A64A6F"/>
    <w:rsid w:val="00A64AFD"/>
    <w:rsid w:val="00A64B36"/>
    <w:rsid w:val="00A64D97"/>
    <w:rsid w:val="00A64EF3"/>
    <w:rsid w:val="00A65280"/>
    <w:rsid w:val="00A65410"/>
    <w:rsid w:val="00A65600"/>
    <w:rsid w:val="00A656C2"/>
    <w:rsid w:val="00A65795"/>
    <w:rsid w:val="00A6590D"/>
    <w:rsid w:val="00A659EE"/>
    <w:rsid w:val="00A65B79"/>
    <w:rsid w:val="00A65BBC"/>
    <w:rsid w:val="00A65BD5"/>
    <w:rsid w:val="00A65CB3"/>
    <w:rsid w:val="00A65CC4"/>
    <w:rsid w:val="00A65CD8"/>
    <w:rsid w:val="00A65D6A"/>
    <w:rsid w:val="00A65D6C"/>
    <w:rsid w:val="00A65ED4"/>
    <w:rsid w:val="00A65FEE"/>
    <w:rsid w:val="00A66016"/>
    <w:rsid w:val="00A66173"/>
    <w:rsid w:val="00A6625A"/>
    <w:rsid w:val="00A66305"/>
    <w:rsid w:val="00A6645E"/>
    <w:rsid w:val="00A66591"/>
    <w:rsid w:val="00A667BD"/>
    <w:rsid w:val="00A668DF"/>
    <w:rsid w:val="00A668F1"/>
    <w:rsid w:val="00A66ADE"/>
    <w:rsid w:val="00A66B7C"/>
    <w:rsid w:val="00A66BAB"/>
    <w:rsid w:val="00A66EDF"/>
    <w:rsid w:val="00A671FC"/>
    <w:rsid w:val="00A67253"/>
    <w:rsid w:val="00A67338"/>
    <w:rsid w:val="00A674AF"/>
    <w:rsid w:val="00A67589"/>
    <w:rsid w:val="00A67616"/>
    <w:rsid w:val="00A6762F"/>
    <w:rsid w:val="00A67664"/>
    <w:rsid w:val="00A676DB"/>
    <w:rsid w:val="00A67776"/>
    <w:rsid w:val="00A677AC"/>
    <w:rsid w:val="00A678F7"/>
    <w:rsid w:val="00A67964"/>
    <w:rsid w:val="00A67A20"/>
    <w:rsid w:val="00A67A85"/>
    <w:rsid w:val="00A67B51"/>
    <w:rsid w:val="00A67B95"/>
    <w:rsid w:val="00A67CFF"/>
    <w:rsid w:val="00A67E7E"/>
    <w:rsid w:val="00A67EE4"/>
    <w:rsid w:val="00A67F04"/>
    <w:rsid w:val="00A700E2"/>
    <w:rsid w:val="00A701EF"/>
    <w:rsid w:val="00A702DB"/>
    <w:rsid w:val="00A7052E"/>
    <w:rsid w:val="00A7053B"/>
    <w:rsid w:val="00A707A9"/>
    <w:rsid w:val="00A709AE"/>
    <w:rsid w:val="00A70A00"/>
    <w:rsid w:val="00A70B1F"/>
    <w:rsid w:val="00A70C01"/>
    <w:rsid w:val="00A70CFE"/>
    <w:rsid w:val="00A70DE8"/>
    <w:rsid w:val="00A71241"/>
    <w:rsid w:val="00A713AD"/>
    <w:rsid w:val="00A716B4"/>
    <w:rsid w:val="00A716CE"/>
    <w:rsid w:val="00A71872"/>
    <w:rsid w:val="00A71A3A"/>
    <w:rsid w:val="00A71B3E"/>
    <w:rsid w:val="00A71BE2"/>
    <w:rsid w:val="00A71C70"/>
    <w:rsid w:val="00A71DDF"/>
    <w:rsid w:val="00A71EE2"/>
    <w:rsid w:val="00A71F44"/>
    <w:rsid w:val="00A71F79"/>
    <w:rsid w:val="00A71F88"/>
    <w:rsid w:val="00A7223E"/>
    <w:rsid w:val="00A7225B"/>
    <w:rsid w:val="00A72455"/>
    <w:rsid w:val="00A729BB"/>
    <w:rsid w:val="00A729C0"/>
    <w:rsid w:val="00A72A7E"/>
    <w:rsid w:val="00A72AB6"/>
    <w:rsid w:val="00A72B6D"/>
    <w:rsid w:val="00A72CA6"/>
    <w:rsid w:val="00A72D0C"/>
    <w:rsid w:val="00A72E33"/>
    <w:rsid w:val="00A72EFD"/>
    <w:rsid w:val="00A7302E"/>
    <w:rsid w:val="00A7304C"/>
    <w:rsid w:val="00A73310"/>
    <w:rsid w:val="00A733E7"/>
    <w:rsid w:val="00A7359E"/>
    <w:rsid w:val="00A73A06"/>
    <w:rsid w:val="00A73B6B"/>
    <w:rsid w:val="00A73C49"/>
    <w:rsid w:val="00A73CC8"/>
    <w:rsid w:val="00A73F8A"/>
    <w:rsid w:val="00A73FE4"/>
    <w:rsid w:val="00A7420D"/>
    <w:rsid w:val="00A74280"/>
    <w:rsid w:val="00A742A2"/>
    <w:rsid w:val="00A743FF"/>
    <w:rsid w:val="00A74674"/>
    <w:rsid w:val="00A746A7"/>
    <w:rsid w:val="00A74917"/>
    <w:rsid w:val="00A74990"/>
    <w:rsid w:val="00A74A48"/>
    <w:rsid w:val="00A74B1A"/>
    <w:rsid w:val="00A74B5D"/>
    <w:rsid w:val="00A74BC3"/>
    <w:rsid w:val="00A74BE8"/>
    <w:rsid w:val="00A751AA"/>
    <w:rsid w:val="00A7528B"/>
    <w:rsid w:val="00A75382"/>
    <w:rsid w:val="00A7538E"/>
    <w:rsid w:val="00A7548A"/>
    <w:rsid w:val="00A7598F"/>
    <w:rsid w:val="00A75CA1"/>
    <w:rsid w:val="00A75DA2"/>
    <w:rsid w:val="00A75E00"/>
    <w:rsid w:val="00A7609D"/>
    <w:rsid w:val="00A7610E"/>
    <w:rsid w:val="00A76248"/>
    <w:rsid w:val="00A76312"/>
    <w:rsid w:val="00A76351"/>
    <w:rsid w:val="00A76361"/>
    <w:rsid w:val="00A76449"/>
    <w:rsid w:val="00A76697"/>
    <w:rsid w:val="00A768AE"/>
    <w:rsid w:val="00A76927"/>
    <w:rsid w:val="00A7693E"/>
    <w:rsid w:val="00A769D4"/>
    <w:rsid w:val="00A76AA9"/>
    <w:rsid w:val="00A76AF4"/>
    <w:rsid w:val="00A76EB5"/>
    <w:rsid w:val="00A77298"/>
    <w:rsid w:val="00A7731C"/>
    <w:rsid w:val="00A774BA"/>
    <w:rsid w:val="00A776A7"/>
    <w:rsid w:val="00A77712"/>
    <w:rsid w:val="00A77985"/>
    <w:rsid w:val="00A77A29"/>
    <w:rsid w:val="00A77E0F"/>
    <w:rsid w:val="00A800ED"/>
    <w:rsid w:val="00A800F0"/>
    <w:rsid w:val="00A8037E"/>
    <w:rsid w:val="00A803D3"/>
    <w:rsid w:val="00A80448"/>
    <w:rsid w:val="00A80461"/>
    <w:rsid w:val="00A8083D"/>
    <w:rsid w:val="00A80880"/>
    <w:rsid w:val="00A808E1"/>
    <w:rsid w:val="00A80B75"/>
    <w:rsid w:val="00A80C82"/>
    <w:rsid w:val="00A80CC3"/>
    <w:rsid w:val="00A80DCF"/>
    <w:rsid w:val="00A80ED4"/>
    <w:rsid w:val="00A810D1"/>
    <w:rsid w:val="00A81255"/>
    <w:rsid w:val="00A814FF"/>
    <w:rsid w:val="00A81698"/>
    <w:rsid w:val="00A817D6"/>
    <w:rsid w:val="00A81912"/>
    <w:rsid w:val="00A81A59"/>
    <w:rsid w:val="00A81E20"/>
    <w:rsid w:val="00A81E6B"/>
    <w:rsid w:val="00A81F37"/>
    <w:rsid w:val="00A8222F"/>
    <w:rsid w:val="00A8257A"/>
    <w:rsid w:val="00A82A5F"/>
    <w:rsid w:val="00A82C69"/>
    <w:rsid w:val="00A82E98"/>
    <w:rsid w:val="00A82F11"/>
    <w:rsid w:val="00A8311F"/>
    <w:rsid w:val="00A831C2"/>
    <w:rsid w:val="00A83278"/>
    <w:rsid w:val="00A83296"/>
    <w:rsid w:val="00A8342A"/>
    <w:rsid w:val="00A835E6"/>
    <w:rsid w:val="00A8378A"/>
    <w:rsid w:val="00A837A8"/>
    <w:rsid w:val="00A83823"/>
    <w:rsid w:val="00A838E7"/>
    <w:rsid w:val="00A83915"/>
    <w:rsid w:val="00A839CD"/>
    <w:rsid w:val="00A83A30"/>
    <w:rsid w:val="00A83BD7"/>
    <w:rsid w:val="00A83BF9"/>
    <w:rsid w:val="00A83C75"/>
    <w:rsid w:val="00A83CA9"/>
    <w:rsid w:val="00A83D14"/>
    <w:rsid w:val="00A83D7C"/>
    <w:rsid w:val="00A83DF5"/>
    <w:rsid w:val="00A83E90"/>
    <w:rsid w:val="00A83F50"/>
    <w:rsid w:val="00A840FC"/>
    <w:rsid w:val="00A8411F"/>
    <w:rsid w:val="00A84178"/>
    <w:rsid w:val="00A841B6"/>
    <w:rsid w:val="00A842D9"/>
    <w:rsid w:val="00A8430A"/>
    <w:rsid w:val="00A84435"/>
    <w:rsid w:val="00A8461E"/>
    <w:rsid w:val="00A846E4"/>
    <w:rsid w:val="00A84A65"/>
    <w:rsid w:val="00A84AA1"/>
    <w:rsid w:val="00A84AE4"/>
    <w:rsid w:val="00A84B79"/>
    <w:rsid w:val="00A84C5C"/>
    <w:rsid w:val="00A84CF4"/>
    <w:rsid w:val="00A84E77"/>
    <w:rsid w:val="00A85003"/>
    <w:rsid w:val="00A8502B"/>
    <w:rsid w:val="00A8503F"/>
    <w:rsid w:val="00A8512B"/>
    <w:rsid w:val="00A8554B"/>
    <w:rsid w:val="00A856DE"/>
    <w:rsid w:val="00A85AA8"/>
    <w:rsid w:val="00A85B6F"/>
    <w:rsid w:val="00A85BC4"/>
    <w:rsid w:val="00A85D5D"/>
    <w:rsid w:val="00A85E03"/>
    <w:rsid w:val="00A8618B"/>
    <w:rsid w:val="00A861D6"/>
    <w:rsid w:val="00A863DD"/>
    <w:rsid w:val="00A864BB"/>
    <w:rsid w:val="00A868A3"/>
    <w:rsid w:val="00A86923"/>
    <w:rsid w:val="00A86958"/>
    <w:rsid w:val="00A86C5B"/>
    <w:rsid w:val="00A86C77"/>
    <w:rsid w:val="00A86C92"/>
    <w:rsid w:val="00A86DE6"/>
    <w:rsid w:val="00A86E29"/>
    <w:rsid w:val="00A86ED1"/>
    <w:rsid w:val="00A86F19"/>
    <w:rsid w:val="00A87138"/>
    <w:rsid w:val="00A8715E"/>
    <w:rsid w:val="00A8735C"/>
    <w:rsid w:val="00A8743D"/>
    <w:rsid w:val="00A8749B"/>
    <w:rsid w:val="00A875D2"/>
    <w:rsid w:val="00A87607"/>
    <w:rsid w:val="00A8762B"/>
    <w:rsid w:val="00A8774D"/>
    <w:rsid w:val="00A87832"/>
    <w:rsid w:val="00A87B98"/>
    <w:rsid w:val="00A87D72"/>
    <w:rsid w:val="00A87D81"/>
    <w:rsid w:val="00A87DEB"/>
    <w:rsid w:val="00A87FE1"/>
    <w:rsid w:val="00A90003"/>
    <w:rsid w:val="00A90135"/>
    <w:rsid w:val="00A90172"/>
    <w:rsid w:val="00A903F8"/>
    <w:rsid w:val="00A904D8"/>
    <w:rsid w:val="00A90525"/>
    <w:rsid w:val="00A9069A"/>
    <w:rsid w:val="00A906C4"/>
    <w:rsid w:val="00A90747"/>
    <w:rsid w:val="00A907E1"/>
    <w:rsid w:val="00A909A8"/>
    <w:rsid w:val="00A90AD0"/>
    <w:rsid w:val="00A90C5E"/>
    <w:rsid w:val="00A90CDC"/>
    <w:rsid w:val="00A90F86"/>
    <w:rsid w:val="00A913A3"/>
    <w:rsid w:val="00A91448"/>
    <w:rsid w:val="00A91602"/>
    <w:rsid w:val="00A91885"/>
    <w:rsid w:val="00A9193D"/>
    <w:rsid w:val="00A91A96"/>
    <w:rsid w:val="00A91B9F"/>
    <w:rsid w:val="00A91BF3"/>
    <w:rsid w:val="00A91CA5"/>
    <w:rsid w:val="00A91FB1"/>
    <w:rsid w:val="00A91FFE"/>
    <w:rsid w:val="00A92105"/>
    <w:rsid w:val="00A921FE"/>
    <w:rsid w:val="00A92220"/>
    <w:rsid w:val="00A9235E"/>
    <w:rsid w:val="00A9240A"/>
    <w:rsid w:val="00A92545"/>
    <w:rsid w:val="00A925C6"/>
    <w:rsid w:val="00A925D0"/>
    <w:rsid w:val="00A927C1"/>
    <w:rsid w:val="00A928D5"/>
    <w:rsid w:val="00A928F4"/>
    <w:rsid w:val="00A92906"/>
    <w:rsid w:val="00A9293D"/>
    <w:rsid w:val="00A92948"/>
    <w:rsid w:val="00A92A05"/>
    <w:rsid w:val="00A92B1C"/>
    <w:rsid w:val="00A92B6E"/>
    <w:rsid w:val="00A92CB1"/>
    <w:rsid w:val="00A92F2A"/>
    <w:rsid w:val="00A9304A"/>
    <w:rsid w:val="00A932A6"/>
    <w:rsid w:val="00A93318"/>
    <w:rsid w:val="00A9348F"/>
    <w:rsid w:val="00A93D93"/>
    <w:rsid w:val="00A93E2E"/>
    <w:rsid w:val="00A93FF1"/>
    <w:rsid w:val="00A9431D"/>
    <w:rsid w:val="00A94378"/>
    <w:rsid w:val="00A94677"/>
    <w:rsid w:val="00A94678"/>
    <w:rsid w:val="00A947FE"/>
    <w:rsid w:val="00A9482A"/>
    <w:rsid w:val="00A94866"/>
    <w:rsid w:val="00A94897"/>
    <w:rsid w:val="00A948C7"/>
    <w:rsid w:val="00A94A00"/>
    <w:rsid w:val="00A94BF9"/>
    <w:rsid w:val="00A94D22"/>
    <w:rsid w:val="00A94E67"/>
    <w:rsid w:val="00A950A6"/>
    <w:rsid w:val="00A950D7"/>
    <w:rsid w:val="00A952EB"/>
    <w:rsid w:val="00A953B0"/>
    <w:rsid w:val="00A953D7"/>
    <w:rsid w:val="00A954CA"/>
    <w:rsid w:val="00A95597"/>
    <w:rsid w:val="00A95605"/>
    <w:rsid w:val="00A957B3"/>
    <w:rsid w:val="00A95837"/>
    <w:rsid w:val="00A95A15"/>
    <w:rsid w:val="00A95EE1"/>
    <w:rsid w:val="00A960F1"/>
    <w:rsid w:val="00A96110"/>
    <w:rsid w:val="00A9612E"/>
    <w:rsid w:val="00A9621D"/>
    <w:rsid w:val="00A963A5"/>
    <w:rsid w:val="00A963EC"/>
    <w:rsid w:val="00A9653E"/>
    <w:rsid w:val="00A965B7"/>
    <w:rsid w:val="00A96615"/>
    <w:rsid w:val="00A96618"/>
    <w:rsid w:val="00A96D46"/>
    <w:rsid w:val="00A96DDA"/>
    <w:rsid w:val="00A96E56"/>
    <w:rsid w:val="00A96F61"/>
    <w:rsid w:val="00A971C2"/>
    <w:rsid w:val="00A972FE"/>
    <w:rsid w:val="00A973B9"/>
    <w:rsid w:val="00A97671"/>
    <w:rsid w:val="00A97719"/>
    <w:rsid w:val="00A9774B"/>
    <w:rsid w:val="00A9785D"/>
    <w:rsid w:val="00A97886"/>
    <w:rsid w:val="00A978BC"/>
    <w:rsid w:val="00A97AA3"/>
    <w:rsid w:val="00A97E17"/>
    <w:rsid w:val="00A97E24"/>
    <w:rsid w:val="00A97E28"/>
    <w:rsid w:val="00A97F91"/>
    <w:rsid w:val="00A97F98"/>
    <w:rsid w:val="00AA0039"/>
    <w:rsid w:val="00AA019B"/>
    <w:rsid w:val="00AA036B"/>
    <w:rsid w:val="00AA0409"/>
    <w:rsid w:val="00AA0494"/>
    <w:rsid w:val="00AA0586"/>
    <w:rsid w:val="00AA0732"/>
    <w:rsid w:val="00AA0A3E"/>
    <w:rsid w:val="00AA0AAA"/>
    <w:rsid w:val="00AA0D3E"/>
    <w:rsid w:val="00AA0DAD"/>
    <w:rsid w:val="00AA0F8B"/>
    <w:rsid w:val="00AA10A8"/>
    <w:rsid w:val="00AA1374"/>
    <w:rsid w:val="00AA15E3"/>
    <w:rsid w:val="00AA166D"/>
    <w:rsid w:val="00AA16CF"/>
    <w:rsid w:val="00AA171A"/>
    <w:rsid w:val="00AA1793"/>
    <w:rsid w:val="00AA18A3"/>
    <w:rsid w:val="00AA1A24"/>
    <w:rsid w:val="00AA1A72"/>
    <w:rsid w:val="00AA1BF5"/>
    <w:rsid w:val="00AA1C66"/>
    <w:rsid w:val="00AA1CDF"/>
    <w:rsid w:val="00AA1CEB"/>
    <w:rsid w:val="00AA1EA8"/>
    <w:rsid w:val="00AA1EFD"/>
    <w:rsid w:val="00AA21AB"/>
    <w:rsid w:val="00AA21B4"/>
    <w:rsid w:val="00AA22DC"/>
    <w:rsid w:val="00AA2649"/>
    <w:rsid w:val="00AA27A5"/>
    <w:rsid w:val="00AA28E0"/>
    <w:rsid w:val="00AA2946"/>
    <w:rsid w:val="00AA2A3D"/>
    <w:rsid w:val="00AA2B4F"/>
    <w:rsid w:val="00AA2C1C"/>
    <w:rsid w:val="00AA2D1D"/>
    <w:rsid w:val="00AA2DA3"/>
    <w:rsid w:val="00AA2E8A"/>
    <w:rsid w:val="00AA2EEB"/>
    <w:rsid w:val="00AA300B"/>
    <w:rsid w:val="00AA305E"/>
    <w:rsid w:val="00AA3466"/>
    <w:rsid w:val="00AA35F1"/>
    <w:rsid w:val="00AA3608"/>
    <w:rsid w:val="00AA368C"/>
    <w:rsid w:val="00AA3796"/>
    <w:rsid w:val="00AA38D3"/>
    <w:rsid w:val="00AA38E9"/>
    <w:rsid w:val="00AA3A62"/>
    <w:rsid w:val="00AA3A77"/>
    <w:rsid w:val="00AA3B6F"/>
    <w:rsid w:val="00AA3BF0"/>
    <w:rsid w:val="00AA3BFA"/>
    <w:rsid w:val="00AA41EF"/>
    <w:rsid w:val="00AA4213"/>
    <w:rsid w:val="00AA424A"/>
    <w:rsid w:val="00AA4486"/>
    <w:rsid w:val="00AA4690"/>
    <w:rsid w:val="00AA4714"/>
    <w:rsid w:val="00AA475F"/>
    <w:rsid w:val="00AA477F"/>
    <w:rsid w:val="00AA4BA3"/>
    <w:rsid w:val="00AA4D1C"/>
    <w:rsid w:val="00AA4E20"/>
    <w:rsid w:val="00AA4F0C"/>
    <w:rsid w:val="00AA4F19"/>
    <w:rsid w:val="00AA502B"/>
    <w:rsid w:val="00AA5092"/>
    <w:rsid w:val="00AA50CA"/>
    <w:rsid w:val="00AA52B6"/>
    <w:rsid w:val="00AA5374"/>
    <w:rsid w:val="00AA5607"/>
    <w:rsid w:val="00AA5659"/>
    <w:rsid w:val="00AA5872"/>
    <w:rsid w:val="00AA5A09"/>
    <w:rsid w:val="00AA5B49"/>
    <w:rsid w:val="00AA5BB9"/>
    <w:rsid w:val="00AA5BCF"/>
    <w:rsid w:val="00AA5D63"/>
    <w:rsid w:val="00AA5DD9"/>
    <w:rsid w:val="00AA5EA2"/>
    <w:rsid w:val="00AA5ED5"/>
    <w:rsid w:val="00AA5F1F"/>
    <w:rsid w:val="00AA5F7F"/>
    <w:rsid w:val="00AA6384"/>
    <w:rsid w:val="00AA63EF"/>
    <w:rsid w:val="00AA66A8"/>
    <w:rsid w:val="00AA66AB"/>
    <w:rsid w:val="00AA68ED"/>
    <w:rsid w:val="00AA69C6"/>
    <w:rsid w:val="00AA6A71"/>
    <w:rsid w:val="00AA6C68"/>
    <w:rsid w:val="00AA6FA1"/>
    <w:rsid w:val="00AA7129"/>
    <w:rsid w:val="00AA72CF"/>
    <w:rsid w:val="00AA7329"/>
    <w:rsid w:val="00AA7715"/>
    <w:rsid w:val="00AA78C4"/>
    <w:rsid w:val="00AA7DA1"/>
    <w:rsid w:val="00AB00AB"/>
    <w:rsid w:val="00AB02B9"/>
    <w:rsid w:val="00AB060A"/>
    <w:rsid w:val="00AB06A7"/>
    <w:rsid w:val="00AB0824"/>
    <w:rsid w:val="00AB0B40"/>
    <w:rsid w:val="00AB0C1F"/>
    <w:rsid w:val="00AB0D2C"/>
    <w:rsid w:val="00AB0D70"/>
    <w:rsid w:val="00AB0DAD"/>
    <w:rsid w:val="00AB0FCD"/>
    <w:rsid w:val="00AB110D"/>
    <w:rsid w:val="00AB112F"/>
    <w:rsid w:val="00AB122A"/>
    <w:rsid w:val="00AB1368"/>
    <w:rsid w:val="00AB139F"/>
    <w:rsid w:val="00AB161F"/>
    <w:rsid w:val="00AB1729"/>
    <w:rsid w:val="00AB176E"/>
    <w:rsid w:val="00AB1842"/>
    <w:rsid w:val="00AB1892"/>
    <w:rsid w:val="00AB189C"/>
    <w:rsid w:val="00AB18C8"/>
    <w:rsid w:val="00AB1A4F"/>
    <w:rsid w:val="00AB1CF7"/>
    <w:rsid w:val="00AB2074"/>
    <w:rsid w:val="00AB20CE"/>
    <w:rsid w:val="00AB2134"/>
    <w:rsid w:val="00AB2349"/>
    <w:rsid w:val="00AB2363"/>
    <w:rsid w:val="00AB23D5"/>
    <w:rsid w:val="00AB244B"/>
    <w:rsid w:val="00AB25C6"/>
    <w:rsid w:val="00AB267C"/>
    <w:rsid w:val="00AB2687"/>
    <w:rsid w:val="00AB2831"/>
    <w:rsid w:val="00AB290E"/>
    <w:rsid w:val="00AB294C"/>
    <w:rsid w:val="00AB29CA"/>
    <w:rsid w:val="00AB29D3"/>
    <w:rsid w:val="00AB2B75"/>
    <w:rsid w:val="00AB2F7D"/>
    <w:rsid w:val="00AB2FAA"/>
    <w:rsid w:val="00AB2FF2"/>
    <w:rsid w:val="00AB303E"/>
    <w:rsid w:val="00AB30F3"/>
    <w:rsid w:val="00AB3130"/>
    <w:rsid w:val="00AB3445"/>
    <w:rsid w:val="00AB3464"/>
    <w:rsid w:val="00AB3509"/>
    <w:rsid w:val="00AB3592"/>
    <w:rsid w:val="00AB35D3"/>
    <w:rsid w:val="00AB364E"/>
    <w:rsid w:val="00AB372C"/>
    <w:rsid w:val="00AB3789"/>
    <w:rsid w:val="00AB384E"/>
    <w:rsid w:val="00AB38C3"/>
    <w:rsid w:val="00AB3A31"/>
    <w:rsid w:val="00AB3D00"/>
    <w:rsid w:val="00AB3D56"/>
    <w:rsid w:val="00AB3E76"/>
    <w:rsid w:val="00AB428B"/>
    <w:rsid w:val="00AB42E7"/>
    <w:rsid w:val="00AB437F"/>
    <w:rsid w:val="00AB44B7"/>
    <w:rsid w:val="00AB45D1"/>
    <w:rsid w:val="00AB48D3"/>
    <w:rsid w:val="00AB49A2"/>
    <w:rsid w:val="00AB4A19"/>
    <w:rsid w:val="00AB4BFE"/>
    <w:rsid w:val="00AB4C13"/>
    <w:rsid w:val="00AB4DB9"/>
    <w:rsid w:val="00AB4DDA"/>
    <w:rsid w:val="00AB4E09"/>
    <w:rsid w:val="00AB4E79"/>
    <w:rsid w:val="00AB5015"/>
    <w:rsid w:val="00AB50BF"/>
    <w:rsid w:val="00AB53E2"/>
    <w:rsid w:val="00AB558C"/>
    <w:rsid w:val="00AB568C"/>
    <w:rsid w:val="00AB57A5"/>
    <w:rsid w:val="00AB5940"/>
    <w:rsid w:val="00AB5993"/>
    <w:rsid w:val="00AB5A48"/>
    <w:rsid w:val="00AB5C77"/>
    <w:rsid w:val="00AB5DEC"/>
    <w:rsid w:val="00AB5E0A"/>
    <w:rsid w:val="00AB5F36"/>
    <w:rsid w:val="00AB5F3D"/>
    <w:rsid w:val="00AB6255"/>
    <w:rsid w:val="00AB63ED"/>
    <w:rsid w:val="00AB649C"/>
    <w:rsid w:val="00AB65EA"/>
    <w:rsid w:val="00AB6843"/>
    <w:rsid w:val="00AB6988"/>
    <w:rsid w:val="00AB69B0"/>
    <w:rsid w:val="00AB6AD9"/>
    <w:rsid w:val="00AB6B4E"/>
    <w:rsid w:val="00AB6B59"/>
    <w:rsid w:val="00AB6C68"/>
    <w:rsid w:val="00AB6CA9"/>
    <w:rsid w:val="00AB6CAD"/>
    <w:rsid w:val="00AB7000"/>
    <w:rsid w:val="00AB7021"/>
    <w:rsid w:val="00AB73C5"/>
    <w:rsid w:val="00AB73FA"/>
    <w:rsid w:val="00AB7612"/>
    <w:rsid w:val="00AB7768"/>
    <w:rsid w:val="00AB77F6"/>
    <w:rsid w:val="00AB7991"/>
    <w:rsid w:val="00AB7A90"/>
    <w:rsid w:val="00AB7B77"/>
    <w:rsid w:val="00AB7FAA"/>
    <w:rsid w:val="00AC0009"/>
    <w:rsid w:val="00AC01CC"/>
    <w:rsid w:val="00AC0322"/>
    <w:rsid w:val="00AC036E"/>
    <w:rsid w:val="00AC04ED"/>
    <w:rsid w:val="00AC0568"/>
    <w:rsid w:val="00AC0690"/>
    <w:rsid w:val="00AC07B5"/>
    <w:rsid w:val="00AC08B0"/>
    <w:rsid w:val="00AC0AB3"/>
    <w:rsid w:val="00AC0D4B"/>
    <w:rsid w:val="00AC0F46"/>
    <w:rsid w:val="00AC0FA6"/>
    <w:rsid w:val="00AC1144"/>
    <w:rsid w:val="00AC1310"/>
    <w:rsid w:val="00AC1649"/>
    <w:rsid w:val="00AC1973"/>
    <w:rsid w:val="00AC1A72"/>
    <w:rsid w:val="00AC1AE7"/>
    <w:rsid w:val="00AC1B0B"/>
    <w:rsid w:val="00AC1B95"/>
    <w:rsid w:val="00AC1D2F"/>
    <w:rsid w:val="00AC1DF3"/>
    <w:rsid w:val="00AC1F09"/>
    <w:rsid w:val="00AC1FDE"/>
    <w:rsid w:val="00AC2072"/>
    <w:rsid w:val="00AC21A7"/>
    <w:rsid w:val="00AC2279"/>
    <w:rsid w:val="00AC265C"/>
    <w:rsid w:val="00AC2714"/>
    <w:rsid w:val="00AC2878"/>
    <w:rsid w:val="00AC2B98"/>
    <w:rsid w:val="00AC2BEA"/>
    <w:rsid w:val="00AC2BEB"/>
    <w:rsid w:val="00AC2D14"/>
    <w:rsid w:val="00AC2EC1"/>
    <w:rsid w:val="00AC2F23"/>
    <w:rsid w:val="00AC2F2C"/>
    <w:rsid w:val="00AC2F63"/>
    <w:rsid w:val="00AC3168"/>
    <w:rsid w:val="00AC3325"/>
    <w:rsid w:val="00AC3425"/>
    <w:rsid w:val="00AC34D4"/>
    <w:rsid w:val="00AC34DD"/>
    <w:rsid w:val="00AC3662"/>
    <w:rsid w:val="00AC36D7"/>
    <w:rsid w:val="00AC3777"/>
    <w:rsid w:val="00AC380C"/>
    <w:rsid w:val="00AC38BE"/>
    <w:rsid w:val="00AC3906"/>
    <w:rsid w:val="00AC3909"/>
    <w:rsid w:val="00AC3988"/>
    <w:rsid w:val="00AC3B99"/>
    <w:rsid w:val="00AC3BC3"/>
    <w:rsid w:val="00AC3E44"/>
    <w:rsid w:val="00AC3EA3"/>
    <w:rsid w:val="00AC3F57"/>
    <w:rsid w:val="00AC40AF"/>
    <w:rsid w:val="00AC40B1"/>
    <w:rsid w:val="00AC4175"/>
    <w:rsid w:val="00AC41AA"/>
    <w:rsid w:val="00AC41CF"/>
    <w:rsid w:val="00AC41FD"/>
    <w:rsid w:val="00AC421B"/>
    <w:rsid w:val="00AC4403"/>
    <w:rsid w:val="00AC44C5"/>
    <w:rsid w:val="00AC48F7"/>
    <w:rsid w:val="00AC4A1E"/>
    <w:rsid w:val="00AC4BA0"/>
    <w:rsid w:val="00AC4C24"/>
    <w:rsid w:val="00AC4C5D"/>
    <w:rsid w:val="00AC4CD7"/>
    <w:rsid w:val="00AC4D11"/>
    <w:rsid w:val="00AC4D8B"/>
    <w:rsid w:val="00AC4EEE"/>
    <w:rsid w:val="00AC4F5A"/>
    <w:rsid w:val="00AC5339"/>
    <w:rsid w:val="00AC5373"/>
    <w:rsid w:val="00AC5792"/>
    <w:rsid w:val="00AC597D"/>
    <w:rsid w:val="00AC5A30"/>
    <w:rsid w:val="00AC5A3A"/>
    <w:rsid w:val="00AC5A81"/>
    <w:rsid w:val="00AC5C53"/>
    <w:rsid w:val="00AC5D0B"/>
    <w:rsid w:val="00AC5E1A"/>
    <w:rsid w:val="00AC5EFD"/>
    <w:rsid w:val="00AC5F73"/>
    <w:rsid w:val="00AC5FCC"/>
    <w:rsid w:val="00AC601B"/>
    <w:rsid w:val="00AC6402"/>
    <w:rsid w:val="00AC6441"/>
    <w:rsid w:val="00AC6D6D"/>
    <w:rsid w:val="00AC6E84"/>
    <w:rsid w:val="00AC6F3B"/>
    <w:rsid w:val="00AC7197"/>
    <w:rsid w:val="00AC71D1"/>
    <w:rsid w:val="00AC7236"/>
    <w:rsid w:val="00AC72BB"/>
    <w:rsid w:val="00AC7346"/>
    <w:rsid w:val="00AC7552"/>
    <w:rsid w:val="00AC7619"/>
    <w:rsid w:val="00AC788C"/>
    <w:rsid w:val="00AC78B8"/>
    <w:rsid w:val="00AC7962"/>
    <w:rsid w:val="00AC7B93"/>
    <w:rsid w:val="00AC7D56"/>
    <w:rsid w:val="00AC7DDD"/>
    <w:rsid w:val="00AD00DD"/>
    <w:rsid w:val="00AD0144"/>
    <w:rsid w:val="00AD0180"/>
    <w:rsid w:val="00AD02BE"/>
    <w:rsid w:val="00AD03D4"/>
    <w:rsid w:val="00AD052F"/>
    <w:rsid w:val="00AD06A1"/>
    <w:rsid w:val="00AD07BB"/>
    <w:rsid w:val="00AD07F4"/>
    <w:rsid w:val="00AD080E"/>
    <w:rsid w:val="00AD084E"/>
    <w:rsid w:val="00AD0AF4"/>
    <w:rsid w:val="00AD0BA7"/>
    <w:rsid w:val="00AD0BE2"/>
    <w:rsid w:val="00AD0C28"/>
    <w:rsid w:val="00AD0E3B"/>
    <w:rsid w:val="00AD0E6D"/>
    <w:rsid w:val="00AD0EDA"/>
    <w:rsid w:val="00AD0FF4"/>
    <w:rsid w:val="00AD125E"/>
    <w:rsid w:val="00AD12E8"/>
    <w:rsid w:val="00AD1428"/>
    <w:rsid w:val="00AD16BB"/>
    <w:rsid w:val="00AD1709"/>
    <w:rsid w:val="00AD1B18"/>
    <w:rsid w:val="00AD1C4E"/>
    <w:rsid w:val="00AD1C5F"/>
    <w:rsid w:val="00AD1D03"/>
    <w:rsid w:val="00AD1D1E"/>
    <w:rsid w:val="00AD2056"/>
    <w:rsid w:val="00AD205B"/>
    <w:rsid w:val="00AD2096"/>
    <w:rsid w:val="00AD2198"/>
    <w:rsid w:val="00AD2347"/>
    <w:rsid w:val="00AD23B5"/>
    <w:rsid w:val="00AD243B"/>
    <w:rsid w:val="00AD2565"/>
    <w:rsid w:val="00AD25E7"/>
    <w:rsid w:val="00AD274E"/>
    <w:rsid w:val="00AD2762"/>
    <w:rsid w:val="00AD2AC5"/>
    <w:rsid w:val="00AD2B08"/>
    <w:rsid w:val="00AD2D43"/>
    <w:rsid w:val="00AD2F5A"/>
    <w:rsid w:val="00AD31A9"/>
    <w:rsid w:val="00AD31D7"/>
    <w:rsid w:val="00AD3311"/>
    <w:rsid w:val="00AD3317"/>
    <w:rsid w:val="00AD33AE"/>
    <w:rsid w:val="00AD3402"/>
    <w:rsid w:val="00AD3427"/>
    <w:rsid w:val="00AD34B8"/>
    <w:rsid w:val="00AD3590"/>
    <w:rsid w:val="00AD37D5"/>
    <w:rsid w:val="00AD3848"/>
    <w:rsid w:val="00AD38D4"/>
    <w:rsid w:val="00AD3AD8"/>
    <w:rsid w:val="00AD3B0D"/>
    <w:rsid w:val="00AD3CB3"/>
    <w:rsid w:val="00AD3DEC"/>
    <w:rsid w:val="00AD3F3D"/>
    <w:rsid w:val="00AD3FB7"/>
    <w:rsid w:val="00AD4084"/>
    <w:rsid w:val="00AD40BF"/>
    <w:rsid w:val="00AD41F7"/>
    <w:rsid w:val="00AD4204"/>
    <w:rsid w:val="00AD42DB"/>
    <w:rsid w:val="00AD4670"/>
    <w:rsid w:val="00AD48B7"/>
    <w:rsid w:val="00AD4915"/>
    <w:rsid w:val="00AD4AD5"/>
    <w:rsid w:val="00AD4C3A"/>
    <w:rsid w:val="00AD4DED"/>
    <w:rsid w:val="00AD4E17"/>
    <w:rsid w:val="00AD523B"/>
    <w:rsid w:val="00AD537B"/>
    <w:rsid w:val="00AD5542"/>
    <w:rsid w:val="00AD5631"/>
    <w:rsid w:val="00AD56E6"/>
    <w:rsid w:val="00AD5758"/>
    <w:rsid w:val="00AD5BF2"/>
    <w:rsid w:val="00AD5E4A"/>
    <w:rsid w:val="00AD5E53"/>
    <w:rsid w:val="00AD5ED3"/>
    <w:rsid w:val="00AD6103"/>
    <w:rsid w:val="00AD613E"/>
    <w:rsid w:val="00AD6247"/>
    <w:rsid w:val="00AD6340"/>
    <w:rsid w:val="00AD6386"/>
    <w:rsid w:val="00AD6491"/>
    <w:rsid w:val="00AD6546"/>
    <w:rsid w:val="00AD6640"/>
    <w:rsid w:val="00AD68B5"/>
    <w:rsid w:val="00AD6921"/>
    <w:rsid w:val="00AD6C0B"/>
    <w:rsid w:val="00AD6DFF"/>
    <w:rsid w:val="00AD6E4C"/>
    <w:rsid w:val="00AD6F6B"/>
    <w:rsid w:val="00AD6FF0"/>
    <w:rsid w:val="00AD70B4"/>
    <w:rsid w:val="00AD728D"/>
    <w:rsid w:val="00AD7415"/>
    <w:rsid w:val="00AD7446"/>
    <w:rsid w:val="00AD7579"/>
    <w:rsid w:val="00AD75D1"/>
    <w:rsid w:val="00AD7874"/>
    <w:rsid w:val="00AD78AD"/>
    <w:rsid w:val="00AD79C0"/>
    <w:rsid w:val="00AD79F7"/>
    <w:rsid w:val="00AD7C0D"/>
    <w:rsid w:val="00AD7C76"/>
    <w:rsid w:val="00AD7E42"/>
    <w:rsid w:val="00AD7E77"/>
    <w:rsid w:val="00AD7F39"/>
    <w:rsid w:val="00AD7F66"/>
    <w:rsid w:val="00AD7F95"/>
    <w:rsid w:val="00AE0406"/>
    <w:rsid w:val="00AE041E"/>
    <w:rsid w:val="00AE0481"/>
    <w:rsid w:val="00AE052E"/>
    <w:rsid w:val="00AE05F2"/>
    <w:rsid w:val="00AE0747"/>
    <w:rsid w:val="00AE07EB"/>
    <w:rsid w:val="00AE0E86"/>
    <w:rsid w:val="00AE0EAC"/>
    <w:rsid w:val="00AE0F65"/>
    <w:rsid w:val="00AE108A"/>
    <w:rsid w:val="00AE12E6"/>
    <w:rsid w:val="00AE12F0"/>
    <w:rsid w:val="00AE13BC"/>
    <w:rsid w:val="00AE13CF"/>
    <w:rsid w:val="00AE176A"/>
    <w:rsid w:val="00AE19A8"/>
    <w:rsid w:val="00AE1A19"/>
    <w:rsid w:val="00AE1B9F"/>
    <w:rsid w:val="00AE1CD7"/>
    <w:rsid w:val="00AE1D56"/>
    <w:rsid w:val="00AE2092"/>
    <w:rsid w:val="00AE221F"/>
    <w:rsid w:val="00AE249F"/>
    <w:rsid w:val="00AE24AC"/>
    <w:rsid w:val="00AE2621"/>
    <w:rsid w:val="00AE2687"/>
    <w:rsid w:val="00AE2699"/>
    <w:rsid w:val="00AE285E"/>
    <w:rsid w:val="00AE28B0"/>
    <w:rsid w:val="00AE299A"/>
    <w:rsid w:val="00AE2A23"/>
    <w:rsid w:val="00AE2B5C"/>
    <w:rsid w:val="00AE2F8E"/>
    <w:rsid w:val="00AE2FAA"/>
    <w:rsid w:val="00AE308D"/>
    <w:rsid w:val="00AE31DB"/>
    <w:rsid w:val="00AE3202"/>
    <w:rsid w:val="00AE3381"/>
    <w:rsid w:val="00AE351F"/>
    <w:rsid w:val="00AE36C3"/>
    <w:rsid w:val="00AE3785"/>
    <w:rsid w:val="00AE37AE"/>
    <w:rsid w:val="00AE39E3"/>
    <w:rsid w:val="00AE3AA5"/>
    <w:rsid w:val="00AE3B1F"/>
    <w:rsid w:val="00AE3C2B"/>
    <w:rsid w:val="00AE3CF5"/>
    <w:rsid w:val="00AE3D06"/>
    <w:rsid w:val="00AE3EA8"/>
    <w:rsid w:val="00AE3F19"/>
    <w:rsid w:val="00AE4101"/>
    <w:rsid w:val="00AE43A7"/>
    <w:rsid w:val="00AE44E1"/>
    <w:rsid w:val="00AE4549"/>
    <w:rsid w:val="00AE45BF"/>
    <w:rsid w:val="00AE47E9"/>
    <w:rsid w:val="00AE4AEF"/>
    <w:rsid w:val="00AE4C13"/>
    <w:rsid w:val="00AE4E7B"/>
    <w:rsid w:val="00AE4EFF"/>
    <w:rsid w:val="00AE50A5"/>
    <w:rsid w:val="00AE51D7"/>
    <w:rsid w:val="00AE5359"/>
    <w:rsid w:val="00AE5560"/>
    <w:rsid w:val="00AE5584"/>
    <w:rsid w:val="00AE567E"/>
    <w:rsid w:val="00AE5800"/>
    <w:rsid w:val="00AE5993"/>
    <w:rsid w:val="00AE5B66"/>
    <w:rsid w:val="00AE5F61"/>
    <w:rsid w:val="00AE5F9A"/>
    <w:rsid w:val="00AE6428"/>
    <w:rsid w:val="00AE64EC"/>
    <w:rsid w:val="00AE66DC"/>
    <w:rsid w:val="00AE67C8"/>
    <w:rsid w:val="00AE6D75"/>
    <w:rsid w:val="00AE6DBB"/>
    <w:rsid w:val="00AE6F38"/>
    <w:rsid w:val="00AE70BC"/>
    <w:rsid w:val="00AE718B"/>
    <w:rsid w:val="00AE72E9"/>
    <w:rsid w:val="00AE7456"/>
    <w:rsid w:val="00AE77C9"/>
    <w:rsid w:val="00AE7869"/>
    <w:rsid w:val="00AE79A3"/>
    <w:rsid w:val="00AE7ACA"/>
    <w:rsid w:val="00AE7BFE"/>
    <w:rsid w:val="00AE7C84"/>
    <w:rsid w:val="00AE7CB1"/>
    <w:rsid w:val="00AE7D0A"/>
    <w:rsid w:val="00AE7EF0"/>
    <w:rsid w:val="00AE7F2B"/>
    <w:rsid w:val="00AE7F3B"/>
    <w:rsid w:val="00AE7F96"/>
    <w:rsid w:val="00AF0174"/>
    <w:rsid w:val="00AF01DE"/>
    <w:rsid w:val="00AF033E"/>
    <w:rsid w:val="00AF03DE"/>
    <w:rsid w:val="00AF046E"/>
    <w:rsid w:val="00AF049C"/>
    <w:rsid w:val="00AF0501"/>
    <w:rsid w:val="00AF0750"/>
    <w:rsid w:val="00AF0755"/>
    <w:rsid w:val="00AF076A"/>
    <w:rsid w:val="00AF09A7"/>
    <w:rsid w:val="00AF0BAC"/>
    <w:rsid w:val="00AF0F99"/>
    <w:rsid w:val="00AF105C"/>
    <w:rsid w:val="00AF11CC"/>
    <w:rsid w:val="00AF12AE"/>
    <w:rsid w:val="00AF12D0"/>
    <w:rsid w:val="00AF14D2"/>
    <w:rsid w:val="00AF1580"/>
    <w:rsid w:val="00AF15F7"/>
    <w:rsid w:val="00AF15FF"/>
    <w:rsid w:val="00AF1847"/>
    <w:rsid w:val="00AF1CB4"/>
    <w:rsid w:val="00AF1CE2"/>
    <w:rsid w:val="00AF1E4C"/>
    <w:rsid w:val="00AF2146"/>
    <w:rsid w:val="00AF229E"/>
    <w:rsid w:val="00AF2450"/>
    <w:rsid w:val="00AF2552"/>
    <w:rsid w:val="00AF25FC"/>
    <w:rsid w:val="00AF2A83"/>
    <w:rsid w:val="00AF2CC9"/>
    <w:rsid w:val="00AF2D53"/>
    <w:rsid w:val="00AF2DE5"/>
    <w:rsid w:val="00AF2EDA"/>
    <w:rsid w:val="00AF2F38"/>
    <w:rsid w:val="00AF30C0"/>
    <w:rsid w:val="00AF30D1"/>
    <w:rsid w:val="00AF33D1"/>
    <w:rsid w:val="00AF33F7"/>
    <w:rsid w:val="00AF35D5"/>
    <w:rsid w:val="00AF395B"/>
    <w:rsid w:val="00AF3A42"/>
    <w:rsid w:val="00AF3ACE"/>
    <w:rsid w:val="00AF3CCF"/>
    <w:rsid w:val="00AF3E29"/>
    <w:rsid w:val="00AF3E30"/>
    <w:rsid w:val="00AF3F5F"/>
    <w:rsid w:val="00AF3FB9"/>
    <w:rsid w:val="00AF428D"/>
    <w:rsid w:val="00AF43C5"/>
    <w:rsid w:val="00AF43D8"/>
    <w:rsid w:val="00AF451B"/>
    <w:rsid w:val="00AF4682"/>
    <w:rsid w:val="00AF4725"/>
    <w:rsid w:val="00AF483B"/>
    <w:rsid w:val="00AF4852"/>
    <w:rsid w:val="00AF4A3F"/>
    <w:rsid w:val="00AF4AA6"/>
    <w:rsid w:val="00AF4C46"/>
    <w:rsid w:val="00AF4C5A"/>
    <w:rsid w:val="00AF4C7F"/>
    <w:rsid w:val="00AF4FC5"/>
    <w:rsid w:val="00AF50DB"/>
    <w:rsid w:val="00AF514D"/>
    <w:rsid w:val="00AF517F"/>
    <w:rsid w:val="00AF5257"/>
    <w:rsid w:val="00AF52A7"/>
    <w:rsid w:val="00AF52B0"/>
    <w:rsid w:val="00AF52F0"/>
    <w:rsid w:val="00AF54B1"/>
    <w:rsid w:val="00AF54D2"/>
    <w:rsid w:val="00AF5563"/>
    <w:rsid w:val="00AF5741"/>
    <w:rsid w:val="00AF5751"/>
    <w:rsid w:val="00AF5967"/>
    <w:rsid w:val="00AF5CDB"/>
    <w:rsid w:val="00AF5D18"/>
    <w:rsid w:val="00AF5DF0"/>
    <w:rsid w:val="00AF6541"/>
    <w:rsid w:val="00AF65F0"/>
    <w:rsid w:val="00AF6696"/>
    <w:rsid w:val="00AF68F7"/>
    <w:rsid w:val="00AF6A3A"/>
    <w:rsid w:val="00AF6AEA"/>
    <w:rsid w:val="00AF71ED"/>
    <w:rsid w:val="00AF7208"/>
    <w:rsid w:val="00AF74B5"/>
    <w:rsid w:val="00AF76A1"/>
    <w:rsid w:val="00AF7897"/>
    <w:rsid w:val="00AF78F6"/>
    <w:rsid w:val="00AF7B33"/>
    <w:rsid w:val="00AF7B8B"/>
    <w:rsid w:val="00AF7C21"/>
    <w:rsid w:val="00AF7D4F"/>
    <w:rsid w:val="00AF7FE2"/>
    <w:rsid w:val="00B0003A"/>
    <w:rsid w:val="00B00116"/>
    <w:rsid w:val="00B001D9"/>
    <w:rsid w:val="00B00222"/>
    <w:rsid w:val="00B00253"/>
    <w:rsid w:val="00B004CA"/>
    <w:rsid w:val="00B00706"/>
    <w:rsid w:val="00B0073C"/>
    <w:rsid w:val="00B0074D"/>
    <w:rsid w:val="00B0083B"/>
    <w:rsid w:val="00B00861"/>
    <w:rsid w:val="00B00893"/>
    <w:rsid w:val="00B00918"/>
    <w:rsid w:val="00B0093B"/>
    <w:rsid w:val="00B00A56"/>
    <w:rsid w:val="00B00B06"/>
    <w:rsid w:val="00B00CD0"/>
    <w:rsid w:val="00B00E61"/>
    <w:rsid w:val="00B00E77"/>
    <w:rsid w:val="00B00EBA"/>
    <w:rsid w:val="00B00F89"/>
    <w:rsid w:val="00B00FC4"/>
    <w:rsid w:val="00B01198"/>
    <w:rsid w:val="00B012E1"/>
    <w:rsid w:val="00B013E9"/>
    <w:rsid w:val="00B016CD"/>
    <w:rsid w:val="00B01A4B"/>
    <w:rsid w:val="00B01C89"/>
    <w:rsid w:val="00B01D7C"/>
    <w:rsid w:val="00B01DF8"/>
    <w:rsid w:val="00B01E25"/>
    <w:rsid w:val="00B02159"/>
    <w:rsid w:val="00B02225"/>
    <w:rsid w:val="00B022E7"/>
    <w:rsid w:val="00B0244C"/>
    <w:rsid w:val="00B024BD"/>
    <w:rsid w:val="00B02547"/>
    <w:rsid w:val="00B0255C"/>
    <w:rsid w:val="00B0261C"/>
    <w:rsid w:val="00B02628"/>
    <w:rsid w:val="00B0268C"/>
    <w:rsid w:val="00B0278C"/>
    <w:rsid w:val="00B0294A"/>
    <w:rsid w:val="00B02A05"/>
    <w:rsid w:val="00B02A5B"/>
    <w:rsid w:val="00B02A81"/>
    <w:rsid w:val="00B02AFF"/>
    <w:rsid w:val="00B02B6A"/>
    <w:rsid w:val="00B02C06"/>
    <w:rsid w:val="00B02DBB"/>
    <w:rsid w:val="00B02DD4"/>
    <w:rsid w:val="00B02F00"/>
    <w:rsid w:val="00B02F44"/>
    <w:rsid w:val="00B02FEB"/>
    <w:rsid w:val="00B03046"/>
    <w:rsid w:val="00B03305"/>
    <w:rsid w:val="00B03948"/>
    <w:rsid w:val="00B03A12"/>
    <w:rsid w:val="00B03A82"/>
    <w:rsid w:val="00B03B7D"/>
    <w:rsid w:val="00B03BAA"/>
    <w:rsid w:val="00B03C52"/>
    <w:rsid w:val="00B03E19"/>
    <w:rsid w:val="00B03E42"/>
    <w:rsid w:val="00B03F25"/>
    <w:rsid w:val="00B03F9F"/>
    <w:rsid w:val="00B0409F"/>
    <w:rsid w:val="00B040C3"/>
    <w:rsid w:val="00B0417C"/>
    <w:rsid w:val="00B0468A"/>
    <w:rsid w:val="00B046B8"/>
    <w:rsid w:val="00B04753"/>
    <w:rsid w:val="00B047FF"/>
    <w:rsid w:val="00B04851"/>
    <w:rsid w:val="00B049F2"/>
    <w:rsid w:val="00B04A31"/>
    <w:rsid w:val="00B04A3D"/>
    <w:rsid w:val="00B04C2D"/>
    <w:rsid w:val="00B04C40"/>
    <w:rsid w:val="00B04D09"/>
    <w:rsid w:val="00B04E19"/>
    <w:rsid w:val="00B04EAD"/>
    <w:rsid w:val="00B050E4"/>
    <w:rsid w:val="00B050E8"/>
    <w:rsid w:val="00B05486"/>
    <w:rsid w:val="00B05488"/>
    <w:rsid w:val="00B05635"/>
    <w:rsid w:val="00B0587B"/>
    <w:rsid w:val="00B05979"/>
    <w:rsid w:val="00B059D4"/>
    <w:rsid w:val="00B05A24"/>
    <w:rsid w:val="00B05A73"/>
    <w:rsid w:val="00B05D45"/>
    <w:rsid w:val="00B05F07"/>
    <w:rsid w:val="00B05F3A"/>
    <w:rsid w:val="00B06047"/>
    <w:rsid w:val="00B060B6"/>
    <w:rsid w:val="00B064C5"/>
    <w:rsid w:val="00B064F5"/>
    <w:rsid w:val="00B064FF"/>
    <w:rsid w:val="00B065CF"/>
    <w:rsid w:val="00B06857"/>
    <w:rsid w:val="00B0686B"/>
    <w:rsid w:val="00B068DC"/>
    <w:rsid w:val="00B068EA"/>
    <w:rsid w:val="00B06957"/>
    <w:rsid w:val="00B06CEC"/>
    <w:rsid w:val="00B06E54"/>
    <w:rsid w:val="00B07044"/>
    <w:rsid w:val="00B07096"/>
    <w:rsid w:val="00B0720C"/>
    <w:rsid w:val="00B0738A"/>
    <w:rsid w:val="00B07473"/>
    <w:rsid w:val="00B07499"/>
    <w:rsid w:val="00B0757D"/>
    <w:rsid w:val="00B075CD"/>
    <w:rsid w:val="00B07639"/>
    <w:rsid w:val="00B07870"/>
    <w:rsid w:val="00B07ACE"/>
    <w:rsid w:val="00B07AFC"/>
    <w:rsid w:val="00B07BDC"/>
    <w:rsid w:val="00B07EC9"/>
    <w:rsid w:val="00B1008B"/>
    <w:rsid w:val="00B10535"/>
    <w:rsid w:val="00B105CF"/>
    <w:rsid w:val="00B10735"/>
    <w:rsid w:val="00B10873"/>
    <w:rsid w:val="00B10A10"/>
    <w:rsid w:val="00B10B76"/>
    <w:rsid w:val="00B10D37"/>
    <w:rsid w:val="00B10EC5"/>
    <w:rsid w:val="00B111C5"/>
    <w:rsid w:val="00B11434"/>
    <w:rsid w:val="00B11644"/>
    <w:rsid w:val="00B11684"/>
    <w:rsid w:val="00B11908"/>
    <w:rsid w:val="00B119E0"/>
    <w:rsid w:val="00B11B57"/>
    <w:rsid w:val="00B11C1A"/>
    <w:rsid w:val="00B11C7A"/>
    <w:rsid w:val="00B11DFF"/>
    <w:rsid w:val="00B11F6F"/>
    <w:rsid w:val="00B11F79"/>
    <w:rsid w:val="00B12015"/>
    <w:rsid w:val="00B12139"/>
    <w:rsid w:val="00B12264"/>
    <w:rsid w:val="00B12265"/>
    <w:rsid w:val="00B12437"/>
    <w:rsid w:val="00B1259C"/>
    <w:rsid w:val="00B12697"/>
    <w:rsid w:val="00B126EF"/>
    <w:rsid w:val="00B1274A"/>
    <w:rsid w:val="00B1274D"/>
    <w:rsid w:val="00B127BD"/>
    <w:rsid w:val="00B128DD"/>
    <w:rsid w:val="00B12E2B"/>
    <w:rsid w:val="00B12F82"/>
    <w:rsid w:val="00B13017"/>
    <w:rsid w:val="00B13074"/>
    <w:rsid w:val="00B132C1"/>
    <w:rsid w:val="00B13302"/>
    <w:rsid w:val="00B133B7"/>
    <w:rsid w:val="00B133C3"/>
    <w:rsid w:val="00B13635"/>
    <w:rsid w:val="00B137E6"/>
    <w:rsid w:val="00B1385B"/>
    <w:rsid w:val="00B138BE"/>
    <w:rsid w:val="00B139F2"/>
    <w:rsid w:val="00B13DE1"/>
    <w:rsid w:val="00B13EFB"/>
    <w:rsid w:val="00B14086"/>
    <w:rsid w:val="00B14088"/>
    <w:rsid w:val="00B140C1"/>
    <w:rsid w:val="00B1418E"/>
    <w:rsid w:val="00B141AB"/>
    <w:rsid w:val="00B143D5"/>
    <w:rsid w:val="00B144C5"/>
    <w:rsid w:val="00B1459E"/>
    <w:rsid w:val="00B145D6"/>
    <w:rsid w:val="00B147C2"/>
    <w:rsid w:val="00B14957"/>
    <w:rsid w:val="00B1499C"/>
    <w:rsid w:val="00B149DE"/>
    <w:rsid w:val="00B14A66"/>
    <w:rsid w:val="00B14C8E"/>
    <w:rsid w:val="00B14DFE"/>
    <w:rsid w:val="00B14E1E"/>
    <w:rsid w:val="00B14E5B"/>
    <w:rsid w:val="00B151D5"/>
    <w:rsid w:val="00B151EB"/>
    <w:rsid w:val="00B15231"/>
    <w:rsid w:val="00B15415"/>
    <w:rsid w:val="00B15427"/>
    <w:rsid w:val="00B15428"/>
    <w:rsid w:val="00B15580"/>
    <w:rsid w:val="00B15A13"/>
    <w:rsid w:val="00B15A57"/>
    <w:rsid w:val="00B15A6C"/>
    <w:rsid w:val="00B15CDF"/>
    <w:rsid w:val="00B160A7"/>
    <w:rsid w:val="00B16185"/>
    <w:rsid w:val="00B16349"/>
    <w:rsid w:val="00B16365"/>
    <w:rsid w:val="00B164C8"/>
    <w:rsid w:val="00B164D5"/>
    <w:rsid w:val="00B164ED"/>
    <w:rsid w:val="00B16538"/>
    <w:rsid w:val="00B167BD"/>
    <w:rsid w:val="00B168B5"/>
    <w:rsid w:val="00B16A28"/>
    <w:rsid w:val="00B16BB7"/>
    <w:rsid w:val="00B16E04"/>
    <w:rsid w:val="00B16E13"/>
    <w:rsid w:val="00B16EA3"/>
    <w:rsid w:val="00B16EA4"/>
    <w:rsid w:val="00B1701C"/>
    <w:rsid w:val="00B17182"/>
    <w:rsid w:val="00B1721F"/>
    <w:rsid w:val="00B1738B"/>
    <w:rsid w:val="00B1738D"/>
    <w:rsid w:val="00B178C3"/>
    <w:rsid w:val="00B17BBB"/>
    <w:rsid w:val="00B17C88"/>
    <w:rsid w:val="00B17E5D"/>
    <w:rsid w:val="00B17F03"/>
    <w:rsid w:val="00B17FA8"/>
    <w:rsid w:val="00B17FDE"/>
    <w:rsid w:val="00B200F6"/>
    <w:rsid w:val="00B20271"/>
    <w:rsid w:val="00B2039F"/>
    <w:rsid w:val="00B204D6"/>
    <w:rsid w:val="00B20570"/>
    <w:rsid w:val="00B20623"/>
    <w:rsid w:val="00B206EF"/>
    <w:rsid w:val="00B20718"/>
    <w:rsid w:val="00B207EF"/>
    <w:rsid w:val="00B2098C"/>
    <w:rsid w:val="00B20A1A"/>
    <w:rsid w:val="00B20B79"/>
    <w:rsid w:val="00B20D9F"/>
    <w:rsid w:val="00B20EC4"/>
    <w:rsid w:val="00B2131B"/>
    <w:rsid w:val="00B2135D"/>
    <w:rsid w:val="00B21474"/>
    <w:rsid w:val="00B2179A"/>
    <w:rsid w:val="00B218C4"/>
    <w:rsid w:val="00B21950"/>
    <w:rsid w:val="00B21B83"/>
    <w:rsid w:val="00B21E66"/>
    <w:rsid w:val="00B21F0D"/>
    <w:rsid w:val="00B21F82"/>
    <w:rsid w:val="00B22175"/>
    <w:rsid w:val="00B2225A"/>
    <w:rsid w:val="00B22277"/>
    <w:rsid w:val="00B2229B"/>
    <w:rsid w:val="00B22764"/>
    <w:rsid w:val="00B2279B"/>
    <w:rsid w:val="00B22873"/>
    <w:rsid w:val="00B228AA"/>
    <w:rsid w:val="00B22B5F"/>
    <w:rsid w:val="00B22DE6"/>
    <w:rsid w:val="00B22EA4"/>
    <w:rsid w:val="00B22F42"/>
    <w:rsid w:val="00B2303E"/>
    <w:rsid w:val="00B231D4"/>
    <w:rsid w:val="00B234E1"/>
    <w:rsid w:val="00B236BC"/>
    <w:rsid w:val="00B23897"/>
    <w:rsid w:val="00B23965"/>
    <w:rsid w:val="00B2396F"/>
    <w:rsid w:val="00B23973"/>
    <w:rsid w:val="00B23A8C"/>
    <w:rsid w:val="00B23BAC"/>
    <w:rsid w:val="00B23DE5"/>
    <w:rsid w:val="00B2403C"/>
    <w:rsid w:val="00B24062"/>
    <w:rsid w:val="00B24227"/>
    <w:rsid w:val="00B24451"/>
    <w:rsid w:val="00B2459D"/>
    <w:rsid w:val="00B24636"/>
    <w:rsid w:val="00B24725"/>
    <w:rsid w:val="00B24980"/>
    <w:rsid w:val="00B24A1A"/>
    <w:rsid w:val="00B24A33"/>
    <w:rsid w:val="00B24C0F"/>
    <w:rsid w:val="00B24C5A"/>
    <w:rsid w:val="00B24CC6"/>
    <w:rsid w:val="00B24E05"/>
    <w:rsid w:val="00B24F09"/>
    <w:rsid w:val="00B252D8"/>
    <w:rsid w:val="00B254AA"/>
    <w:rsid w:val="00B257DC"/>
    <w:rsid w:val="00B258DD"/>
    <w:rsid w:val="00B259FD"/>
    <w:rsid w:val="00B26071"/>
    <w:rsid w:val="00B263E2"/>
    <w:rsid w:val="00B26688"/>
    <w:rsid w:val="00B267FD"/>
    <w:rsid w:val="00B26BD7"/>
    <w:rsid w:val="00B26C5A"/>
    <w:rsid w:val="00B26DEE"/>
    <w:rsid w:val="00B26F90"/>
    <w:rsid w:val="00B26FB6"/>
    <w:rsid w:val="00B26FBA"/>
    <w:rsid w:val="00B2710F"/>
    <w:rsid w:val="00B2727F"/>
    <w:rsid w:val="00B272A5"/>
    <w:rsid w:val="00B275CD"/>
    <w:rsid w:val="00B27616"/>
    <w:rsid w:val="00B277F4"/>
    <w:rsid w:val="00B2781E"/>
    <w:rsid w:val="00B27838"/>
    <w:rsid w:val="00B27893"/>
    <w:rsid w:val="00B27B87"/>
    <w:rsid w:val="00B27F60"/>
    <w:rsid w:val="00B27FA8"/>
    <w:rsid w:val="00B30033"/>
    <w:rsid w:val="00B301F8"/>
    <w:rsid w:val="00B302D8"/>
    <w:rsid w:val="00B3056A"/>
    <w:rsid w:val="00B30625"/>
    <w:rsid w:val="00B30656"/>
    <w:rsid w:val="00B3076A"/>
    <w:rsid w:val="00B3096D"/>
    <w:rsid w:val="00B30AF7"/>
    <w:rsid w:val="00B30AFB"/>
    <w:rsid w:val="00B30E02"/>
    <w:rsid w:val="00B30F52"/>
    <w:rsid w:val="00B31038"/>
    <w:rsid w:val="00B31074"/>
    <w:rsid w:val="00B31129"/>
    <w:rsid w:val="00B3116E"/>
    <w:rsid w:val="00B311D7"/>
    <w:rsid w:val="00B312C1"/>
    <w:rsid w:val="00B313C0"/>
    <w:rsid w:val="00B3174D"/>
    <w:rsid w:val="00B317A6"/>
    <w:rsid w:val="00B31A61"/>
    <w:rsid w:val="00B31AB3"/>
    <w:rsid w:val="00B31B3C"/>
    <w:rsid w:val="00B31CE7"/>
    <w:rsid w:val="00B31D79"/>
    <w:rsid w:val="00B31F49"/>
    <w:rsid w:val="00B32043"/>
    <w:rsid w:val="00B32297"/>
    <w:rsid w:val="00B322D6"/>
    <w:rsid w:val="00B325AA"/>
    <w:rsid w:val="00B32A21"/>
    <w:rsid w:val="00B32AFA"/>
    <w:rsid w:val="00B32C33"/>
    <w:rsid w:val="00B32C78"/>
    <w:rsid w:val="00B33004"/>
    <w:rsid w:val="00B3329D"/>
    <w:rsid w:val="00B3347F"/>
    <w:rsid w:val="00B334A3"/>
    <w:rsid w:val="00B33535"/>
    <w:rsid w:val="00B337AD"/>
    <w:rsid w:val="00B3387D"/>
    <w:rsid w:val="00B3392D"/>
    <w:rsid w:val="00B339B1"/>
    <w:rsid w:val="00B339DF"/>
    <w:rsid w:val="00B33A08"/>
    <w:rsid w:val="00B33FB6"/>
    <w:rsid w:val="00B343C3"/>
    <w:rsid w:val="00B34575"/>
    <w:rsid w:val="00B345E9"/>
    <w:rsid w:val="00B34773"/>
    <w:rsid w:val="00B34A0C"/>
    <w:rsid w:val="00B34C19"/>
    <w:rsid w:val="00B34C24"/>
    <w:rsid w:val="00B34C40"/>
    <w:rsid w:val="00B34D33"/>
    <w:rsid w:val="00B34DA0"/>
    <w:rsid w:val="00B34F20"/>
    <w:rsid w:val="00B35083"/>
    <w:rsid w:val="00B35364"/>
    <w:rsid w:val="00B353D7"/>
    <w:rsid w:val="00B35682"/>
    <w:rsid w:val="00B3574E"/>
    <w:rsid w:val="00B358F1"/>
    <w:rsid w:val="00B35B2D"/>
    <w:rsid w:val="00B35C68"/>
    <w:rsid w:val="00B35FA9"/>
    <w:rsid w:val="00B363F4"/>
    <w:rsid w:val="00B36432"/>
    <w:rsid w:val="00B36606"/>
    <w:rsid w:val="00B36626"/>
    <w:rsid w:val="00B3675A"/>
    <w:rsid w:val="00B367C0"/>
    <w:rsid w:val="00B36903"/>
    <w:rsid w:val="00B36918"/>
    <w:rsid w:val="00B36ED2"/>
    <w:rsid w:val="00B36F60"/>
    <w:rsid w:val="00B37079"/>
    <w:rsid w:val="00B37100"/>
    <w:rsid w:val="00B37135"/>
    <w:rsid w:val="00B373F4"/>
    <w:rsid w:val="00B37801"/>
    <w:rsid w:val="00B37898"/>
    <w:rsid w:val="00B37AB9"/>
    <w:rsid w:val="00B37ACD"/>
    <w:rsid w:val="00B37E55"/>
    <w:rsid w:val="00B37E74"/>
    <w:rsid w:val="00B40186"/>
    <w:rsid w:val="00B40302"/>
    <w:rsid w:val="00B40335"/>
    <w:rsid w:val="00B40339"/>
    <w:rsid w:val="00B40355"/>
    <w:rsid w:val="00B4040A"/>
    <w:rsid w:val="00B4043B"/>
    <w:rsid w:val="00B404DD"/>
    <w:rsid w:val="00B40958"/>
    <w:rsid w:val="00B40C4E"/>
    <w:rsid w:val="00B40FBA"/>
    <w:rsid w:val="00B410AE"/>
    <w:rsid w:val="00B410DF"/>
    <w:rsid w:val="00B4110D"/>
    <w:rsid w:val="00B41261"/>
    <w:rsid w:val="00B41615"/>
    <w:rsid w:val="00B41819"/>
    <w:rsid w:val="00B419F3"/>
    <w:rsid w:val="00B41A23"/>
    <w:rsid w:val="00B41B73"/>
    <w:rsid w:val="00B41E04"/>
    <w:rsid w:val="00B41F1A"/>
    <w:rsid w:val="00B4209F"/>
    <w:rsid w:val="00B42191"/>
    <w:rsid w:val="00B4227C"/>
    <w:rsid w:val="00B4230A"/>
    <w:rsid w:val="00B42457"/>
    <w:rsid w:val="00B424DB"/>
    <w:rsid w:val="00B425DA"/>
    <w:rsid w:val="00B4263C"/>
    <w:rsid w:val="00B4264B"/>
    <w:rsid w:val="00B4272B"/>
    <w:rsid w:val="00B427D8"/>
    <w:rsid w:val="00B42956"/>
    <w:rsid w:val="00B42A42"/>
    <w:rsid w:val="00B42C4B"/>
    <w:rsid w:val="00B42E46"/>
    <w:rsid w:val="00B42FF6"/>
    <w:rsid w:val="00B4303D"/>
    <w:rsid w:val="00B4311E"/>
    <w:rsid w:val="00B43173"/>
    <w:rsid w:val="00B431A9"/>
    <w:rsid w:val="00B43379"/>
    <w:rsid w:val="00B4358B"/>
    <w:rsid w:val="00B435A2"/>
    <w:rsid w:val="00B436C7"/>
    <w:rsid w:val="00B43807"/>
    <w:rsid w:val="00B439B0"/>
    <w:rsid w:val="00B43B31"/>
    <w:rsid w:val="00B43CA9"/>
    <w:rsid w:val="00B43D1C"/>
    <w:rsid w:val="00B43DAE"/>
    <w:rsid w:val="00B43E9E"/>
    <w:rsid w:val="00B44011"/>
    <w:rsid w:val="00B441F5"/>
    <w:rsid w:val="00B444F7"/>
    <w:rsid w:val="00B4467F"/>
    <w:rsid w:val="00B446D3"/>
    <w:rsid w:val="00B44733"/>
    <w:rsid w:val="00B44912"/>
    <w:rsid w:val="00B449A8"/>
    <w:rsid w:val="00B449FC"/>
    <w:rsid w:val="00B44AB5"/>
    <w:rsid w:val="00B44B6A"/>
    <w:rsid w:val="00B44E3A"/>
    <w:rsid w:val="00B44FF2"/>
    <w:rsid w:val="00B45064"/>
    <w:rsid w:val="00B45085"/>
    <w:rsid w:val="00B4517A"/>
    <w:rsid w:val="00B4550B"/>
    <w:rsid w:val="00B455B7"/>
    <w:rsid w:val="00B45618"/>
    <w:rsid w:val="00B45A9B"/>
    <w:rsid w:val="00B45AB9"/>
    <w:rsid w:val="00B45B13"/>
    <w:rsid w:val="00B45C38"/>
    <w:rsid w:val="00B45D35"/>
    <w:rsid w:val="00B45E77"/>
    <w:rsid w:val="00B45FF1"/>
    <w:rsid w:val="00B460BD"/>
    <w:rsid w:val="00B463C3"/>
    <w:rsid w:val="00B46871"/>
    <w:rsid w:val="00B468F6"/>
    <w:rsid w:val="00B46966"/>
    <w:rsid w:val="00B46B10"/>
    <w:rsid w:val="00B46B23"/>
    <w:rsid w:val="00B46B4E"/>
    <w:rsid w:val="00B46CE2"/>
    <w:rsid w:val="00B46ED8"/>
    <w:rsid w:val="00B470ED"/>
    <w:rsid w:val="00B47392"/>
    <w:rsid w:val="00B473E5"/>
    <w:rsid w:val="00B4744C"/>
    <w:rsid w:val="00B4793C"/>
    <w:rsid w:val="00B4794A"/>
    <w:rsid w:val="00B479E7"/>
    <w:rsid w:val="00B47A2A"/>
    <w:rsid w:val="00B47CE9"/>
    <w:rsid w:val="00B47D5E"/>
    <w:rsid w:val="00B47F0B"/>
    <w:rsid w:val="00B47F8C"/>
    <w:rsid w:val="00B47FDB"/>
    <w:rsid w:val="00B50005"/>
    <w:rsid w:val="00B501AB"/>
    <w:rsid w:val="00B501D0"/>
    <w:rsid w:val="00B503A1"/>
    <w:rsid w:val="00B503C4"/>
    <w:rsid w:val="00B50438"/>
    <w:rsid w:val="00B506AE"/>
    <w:rsid w:val="00B508B6"/>
    <w:rsid w:val="00B50C26"/>
    <w:rsid w:val="00B51101"/>
    <w:rsid w:val="00B512C8"/>
    <w:rsid w:val="00B513F1"/>
    <w:rsid w:val="00B51663"/>
    <w:rsid w:val="00B5169B"/>
    <w:rsid w:val="00B516BC"/>
    <w:rsid w:val="00B51815"/>
    <w:rsid w:val="00B51882"/>
    <w:rsid w:val="00B51A0A"/>
    <w:rsid w:val="00B51AC5"/>
    <w:rsid w:val="00B51D9F"/>
    <w:rsid w:val="00B51F5A"/>
    <w:rsid w:val="00B51F99"/>
    <w:rsid w:val="00B51FB8"/>
    <w:rsid w:val="00B51FC8"/>
    <w:rsid w:val="00B520A7"/>
    <w:rsid w:val="00B52231"/>
    <w:rsid w:val="00B52514"/>
    <w:rsid w:val="00B5255D"/>
    <w:rsid w:val="00B5256E"/>
    <w:rsid w:val="00B5275D"/>
    <w:rsid w:val="00B5296A"/>
    <w:rsid w:val="00B52AEB"/>
    <w:rsid w:val="00B52BE2"/>
    <w:rsid w:val="00B52CF4"/>
    <w:rsid w:val="00B52D99"/>
    <w:rsid w:val="00B52F8C"/>
    <w:rsid w:val="00B52F94"/>
    <w:rsid w:val="00B53038"/>
    <w:rsid w:val="00B53107"/>
    <w:rsid w:val="00B53176"/>
    <w:rsid w:val="00B53310"/>
    <w:rsid w:val="00B53374"/>
    <w:rsid w:val="00B5360E"/>
    <w:rsid w:val="00B53619"/>
    <w:rsid w:val="00B53808"/>
    <w:rsid w:val="00B53844"/>
    <w:rsid w:val="00B538BB"/>
    <w:rsid w:val="00B538D5"/>
    <w:rsid w:val="00B53938"/>
    <w:rsid w:val="00B53BC2"/>
    <w:rsid w:val="00B53BF8"/>
    <w:rsid w:val="00B53CFD"/>
    <w:rsid w:val="00B53E72"/>
    <w:rsid w:val="00B53FC8"/>
    <w:rsid w:val="00B54023"/>
    <w:rsid w:val="00B54176"/>
    <w:rsid w:val="00B542C8"/>
    <w:rsid w:val="00B545E6"/>
    <w:rsid w:val="00B54867"/>
    <w:rsid w:val="00B548AE"/>
    <w:rsid w:val="00B54AAB"/>
    <w:rsid w:val="00B54B1D"/>
    <w:rsid w:val="00B54BDF"/>
    <w:rsid w:val="00B54BE6"/>
    <w:rsid w:val="00B54CFE"/>
    <w:rsid w:val="00B5503B"/>
    <w:rsid w:val="00B550CD"/>
    <w:rsid w:val="00B5529A"/>
    <w:rsid w:val="00B552EB"/>
    <w:rsid w:val="00B553B9"/>
    <w:rsid w:val="00B555F1"/>
    <w:rsid w:val="00B55778"/>
    <w:rsid w:val="00B55A41"/>
    <w:rsid w:val="00B55C84"/>
    <w:rsid w:val="00B55DB3"/>
    <w:rsid w:val="00B55DD9"/>
    <w:rsid w:val="00B55E14"/>
    <w:rsid w:val="00B56013"/>
    <w:rsid w:val="00B5639E"/>
    <w:rsid w:val="00B563E6"/>
    <w:rsid w:val="00B56544"/>
    <w:rsid w:val="00B5668D"/>
    <w:rsid w:val="00B56808"/>
    <w:rsid w:val="00B5693A"/>
    <w:rsid w:val="00B56A24"/>
    <w:rsid w:val="00B56BCD"/>
    <w:rsid w:val="00B57031"/>
    <w:rsid w:val="00B570AA"/>
    <w:rsid w:val="00B571C3"/>
    <w:rsid w:val="00B57729"/>
    <w:rsid w:val="00B578B8"/>
    <w:rsid w:val="00B578F7"/>
    <w:rsid w:val="00B57951"/>
    <w:rsid w:val="00B57BB1"/>
    <w:rsid w:val="00B57DB9"/>
    <w:rsid w:val="00B60257"/>
    <w:rsid w:val="00B602DC"/>
    <w:rsid w:val="00B6033B"/>
    <w:rsid w:val="00B603E1"/>
    <w:rsid w:val="00B60598"/>
    <w:rsid w:val="00B6066C"/>
    <w:rsid w:val="00B60782"/>
    <w:rsid w:val="00B60B87"/>
    <w:rsid w:val="00B60DDE"/>
    <w:rsid w:val="00B60DFE"/>
    <w:rsid w:val="00B610E3"/>
    <w:rsid w:val="00B611C9"/>
    <w:rsid w:val="00B61344"/>
    <w:rsid w:val="00B613F6"/>
    <w:rsid w:val="00B6145F"/>
    <w:rsid w:val="00B61857"/>
    <w:rsid w:val="00B61AE1"/>
    <w:rsid w:val="00B61AFC"/>
    <w:rsid w:val="00B61DA8"/>
    <w:rsid w:val="00B61EC3"/>
    <w:rsid w:val="00B620B1"/>
    <w:rsid w:val="00B62654"/>
    <w:rsid w:val="00B626B8"/>
    <w:rsid w:val="00B62701"/>
    <w:rsid w:val="00B627B7"/>
    <w:rsid w:val="00B628C0"/>
    <w:rsid w:val="00B62958"/>
    <w:rsid w:val="00B62C51"/>
    <w:rsid w:val="00B62CB7"/>
    <w:rsid w:val="00B62F61"/>
    <w:rsid w:val="00B62FB9"/>
    <w:rsid w:val="00B63067"/>
    <w:rsid w:val="00B630C8"/>
    <w:rsid w:val="00B631A1"/>
    <w:rsid w:val="00B6328F"/>
    <w:rsid w:val="00B632AF"/>
    <w:rsid w:val="00B6334B"/>
    <w:rsid w:val="00B63814"/>
    <w:rsid w:val="00B63990"/>
    <w:rsid w:val="00B63AA4"/>
    <w:rsid w:val="00B63BF8"/>
    <w:rsid w:val="00B63D60"/>
    <w:rsid w:val="00B640EC"/>
    <w:rsid w:val="00B6424F"/>
    <w:rsid w:val="00B642A5"/>
    <w:rsid w:val="00B64459"/>
    <w:rsid w:val="00B64631"/>
    <w:rsid w:val="00B646FA"/>
    <w:rsid w:val="00B647AB"/>
    <w:rsid w:val="00B647C8"/>
    <w:rsid w:val="00B64840"/>
    <w:rsid w:val="00B64896"/>
    <w:rsid w:val="00B64AB7"/>
    <w:rsid w:val="00B64AE2"/>
    <w:rsid w:val="00B64B7C"/>
    <w:rsid w:val="00B64C00"/>
    <w:rsid w:val="00B65397"/>
    <w:rsid w:val="00B655CF"/>
    <w:rsid w:val="00B6568D"/>
    <w:rsid w:val="00B65715"/>
    <w:rsid w:val="00B657B3"/>
    <w:rsid w:val="00B65852"/>
    <w:rsid w:val="00B65968"/>
    <w:rsid w:val="00B65A10"/>
    <w:rsid w:val="00B65A54"/>
    <w:rsid w:val="00B65C73"/>
    <w:rsid w:val="00B65CF0"/>
    <w:rsid w:val="00B65D2C"/>
    <w:rsid w:val="00B65E6A"/>
    <w:rsid w:val="00B66106"/>
    <w:rsid w:val="00B661F7"/>
    <w:rsid w:val="00B66266"/>
    <w:rsid w:val="00B66284"/>
    <w:rsid w:val="00B662A1"/>
    <w:rsid w:val="00B66353"/>
    <w:rsid w:val="00B6662E"/>
    <w:rsid w:val="00B6675A"/>
    <w:rsid w:val="00B66AF0"/>
    <w:rsid w:val="00B66D77"/>
    <w:rsid w:val="00B66DE4"/>
    <w:rsid w:val="00B66EB0"/>
    <w:rsid w:val="00B67278"/>
    <w:rsid w:val="00B67374"/>
    <w:rsid w:val="00B673EC"/>
    <w:rsid w:val="00B675FB"/>
    <w:rsid w:val="00B6768D"/>
    <w:rsid w:val="00B67728"/>
    <w:rsid w:val="00B6790C"/>
    <w:rsid w:val="00B67C58"/>
    <w:rsid w:val="00B67CF7"/>
    <w:rsid w:val="00B67DDC"/>
    <w:rsid w:val="00B67E91"/>
    <w:rsid w:val="00B70080"/>
    <w:rsid w:val="00B70130"/>
    <w:rsid w:val="00B70365"/>
    <w:rsid w:val="00B70506"/>
    <w:rsid w:val="00B70572"/>
    <w:rsid w:val="00B70697"/>
    <w:rsid w:val="00B706D2"/>
    <w:rsid w:val="00B7088E"/>
    <w:rsid w:val="00B7095D"/>
    <w:rsid w:val="00B7096C"/>
    <w:rsid w:val="00B709C7"/>
    <w:rsid w:val="00B70A7A"/>
    <w:rsid w:val="00B70DBF"/>
    <w:rsid w:val="00B70F69"/>
    <w:rsid w:val="00B70FDA"/>
    <w:rsid w:val="00B7104A"/>
    <w:rsid w:val="00B7136C"/>
    <w:rsid w:val="00B71628"/>
    <w:rsid w:val="00B7164E"/>
    <w:rsid w:val="00B7169D"/>
    <w:rsid w:val="00B717A5"/>
    <w:rsid w:val="00B71863"/>
    <w:rsid w:val="00B71B41"/>
    <w:rsid w:val="00B71C78"/>
    <w:rsid w:val="00B71D27"/>
    <w:rsid w:val="00B720C8"/>
    <w:rsid w:val="00B72286"/>
    <w:rsid w:val="00B72308"/>
    <w:rsid w:val="00B72722"/>
    <w:rsid w:val="00B72816"/>
    <w:rsid w:val="00B72888"/>
    <w:rsid w:val="00B72A45"/>
    <w:rsid w:val="00B72C3E"/>
    <w:rsid w:val="00B72C8E"/>
    <w:rsid w:val="00B72D39"/>
    <w:rsid w:val="00B72E6C"/>
    <w:rsid w:val="00B72F81"/>
    <w:rsid w:val="00B7307A"/>
    <w:rsid w:val="00B7312C"/>
    <w:rsid w:val="00B732BA"/>
    <w:rsid w:val="00B73349"/>
    <w:rsid w:val="00B73393"/>
    <w:rsid w:val="00B73419"/>
    <w:rsid w:val="00B73762"/>
    <w:rsid w:val="00B738F1"/>
    <w:rsid w:val="00B73998"/>
    <w:rsid w:val="00B739F3"/>
    <w:rsid w:val="00B739F6"/>
    <w:rsid w:val="00B73BD7"/>
    <w:rsid w:val="00B73C6F"/>
    <w:rsid w:val="00B73DB6"/>
    <w:rsid w:val="00B73DCC"/>
    <w:rsid w:val="00B73F2C"/>
    <w:rsid w:val="00B7447B"/>
    <w:rsid w:val="00B74650"/>
    <w:rsid w:val="00B7468A"/>
    <w:rsid w:val="00B747F1"/>
    <w:rsid w:val="00B7484D"/>
    <w:rsid w:val="00B7488B"/>
    <w:rsid w:val="00B74893"/>
    <w:rsid w:val="00B748E0"/>
    <w:rsid w:val="00B74ABF"/>
    <w:rsid w:val="00B74B7F"/>
    <w:rsid w:val="00B74C8A"/>
    <w:rsid w:val="00B74CD4"/>
    <w:rsid w:val="00B74CEC"/>
    <w:rsid w:val="00B74D0E"/>
    <w:rsid w:val="00B74D14"/>
    <w:rsid w:val="00B74DAE"/>
    <w:rsid w:val="00B7523B"/>
    <w:rsid w:val="00B75301"/>
    <w:rsid w:val="00B757C8"/>
    <w:rsid w:val="00B75844"/>
    <w:rsid w:val="00B759A8"/>
    <w:rsid w:val="00B759DC"/>
    <w:rsid w:val="00B75B6F"/>
    <w:rsid w:val="00B75D8E"/>
    <w:rsid w:val="00B75EEB"/>
    <w:rsid w:val="00B760B9"/>
    <w:rsid w:val="00B760E4"/>
    <w:rsid w:val="00B76156"/>
    <w:rsid w:val="00B76407"/>
    <w:rsid w:val="00B765D3"/>
    <w:rsid w:val="00B7685C"/>
    <w:rsid w:val="00B76B6C"/>
    <w:rsid w:val="00B76B9E"/>
    <w:rsid w:val="00B76CF9"/>
    <w:rsid w:val="00B76E68"/>
    <w:rsid w:val="00B76ED9"/>
    <w:rsid w:val="00B7737D"/>
    <w:rsid w:val="00B77755"/>
    <w:rsid w:val="00B777DA"/>
    <w:rsid w:val="00B7780F"/>
    <w:rsid w:val="00B778CE"/>
    <w:rsid w:val="00B77930"/>
    <w:rsid w:val="00B77945"/>
    <w:rsid w:val="00B77BAE"/>
    <w:rsid w:val="00B77CEA"/>
    <w:rsid w:val="00B77D86"/>
    <w:rsid w:val="00B77DB1"/>
    <w:rsid w:val="00B77FB9"/>
    <w:rsid w:val="00B77FFC"/>
    <w:rsid w:val="00B80051"/>
    <w:rsid w:val="00B8006D"/>
    <w:rsid w:val="00B800D5"/>
    <w:rsid w:val="00B801BF"/>
    <w:rsid w:val="00B80222"/>
    <w:rsid w:val="00B80225"/>
    <w:rsid w:val="00B802FD"/>
    <w:rsid w:val="00B803E0"/>
    <w:rsid w:val="00B805D5"/>
    <w:rsid w:val="00B805F1"/>
    <w:rsid w:val="00B806B8"/>
    <w:rsid w:val="00B8078C"/>
    <w:rsid w:val="00B80951"/>
    <w:rsid w:val="00B809BA"/>
    <w:rsid w:val="00B809EC"/>
    <w:rsid w:val="00B80ADF"/>
    <w:rsid w:val="00B80E49"/>
    <w:rsid w:val="00B80EF3"/>
    <w:rsid w:val="00B80EF8"/>
    <w:rsid w:val="00B8100D"/>
    <w:rsid w:val="00B812A0"/>
    <w:rsid w:val="00B812DE"/>
    <w:rsid w:val="00B81441"/>
    <w:rsid w:val="00B8161D"/>
    <w:rsid w:val="00B81641"/>
    <w:rsid w:val="00B816A4"/>
    <w:rsid w:val="00B81866"/>
    <w:rsid w:val="00B8198D"/>
    <w:rsid w:val="00B819C6"/>
    <w:rsid w:val="00B81A22"/>
    <w:rsid w:val="00B81AE4"/>
    <w:rsid w:val="00B81C1E"/>
    <w:rsid w:val="00B81F1B"/>
    <w:rsid w:val="00B822EB"/>
    <w:rsid w:val="00B8254C"/>
    <w:rsid w:val="00B82562"/>
    <w:rsid w:val="00B825A2"/>
    <w:rsid w:val="00B826B1"/>
    <w:rsid w:val="00B8280B"/>
    <w:rsid w:val="00B82976"/>
    <w:rsid w:val="00B829B8"/>
    <w:rsid w:val="00B82A92"/>
    <w:rsid w:val="00B82ABC"/>
    <w:rsid w:val="00B82B4D"/>
    <w:rsid w:val="00B82D8D"/>
    <w:rsid w:val="00B82E8D"/>
    <w:rsid w:val="00B82F58"/>
    <w:rsid w:val="00B832D5"/>
    <w:rsid w:val="00B83377"/>
    <w:rsid w:val="00B835B4"/>
    <w:rsid w:val="00B836EC"/>
    <w:rsid w:val="00B83768"/>
    <w:rsid w:val="00B838BF"/>
    <w:rsid w:val="00B8394B"/>
    <w:rsid w:val="00B839E1"/>
    <w:rsid w:val="00B83A15"/>
    <w:rsid w:val="00B83A1A"/>
    <w:rsid w:val="00B83C41"/>
    <w:rsid w:val="00B83D9D"/>
    <w:rsid w:val="00B83D9E"/>
    <w:rsid w:val="00B83DC9"/>
    <w:rsid w:val="00B83DFF"/>
    <w:rsid w:val="00B83EF5"/>
    <w:rsid w:val="00B83FD4"/>
    <w:rsid w:val="00B84004"/>
    <w:rsid w:val="00B84054"/>
    <w:rsid w:val="00B841D7"/>
    <w:rsid w:val="00B84218"/>
    <w:rsid w:val="00B84503"/>
    <w:rsid w:val="00B845A1"/>
    <w:rsid w:val="00B845B6"/>
    <w:rsid w:val="00B846ED"/>
    <w:rsid w:val="00B84870"/>
    <w:rsid w:val="00B8490C"/>
    <w:rsid w:val="00B8496A"/>
    <w:rsid w:val="00B84C57"/>
    <w:rsid w:val="00B84C7E"/>
    <w:rsid w:val="00B84C92"/>
    <w:rsid w:val="00B84F81"/>
    <w:rsid w:val="00B85075"/>
    <w:rsid w:val="00B852F8"/>
    <w:rsid w:val="00B854A9"/>
    <w:rsid w:val="00B8558E"/>
    <w:rsid w:val="00B855B2"/>
    <w:rsid w:val="00B8567D"/>
    <w:rsid w:val="00B85828"/>
    <w:rsid w:val="00B85910"/>
    <w:rsid w:val="00B85ABC"/>
    <w:rsid w:val="00B85E11"/>
    <w:rsid w:val="00B86002"/>
    <w:rsid w:val="00B861AB"/>
    <w:rsid w:val="00B861DD"/>
    <w:rsid w:val="00B86330"/>
    <w:rsid w:val="00B86838"/>
    <w:rsid w:val="00B86A7D"/>
    <w:rsid w:val="00B86AF8"/>
    <w:rsid w:val="00B86C50"/>
    <w:rsid w:val="00B86C8B"/>
    <w:rsid w:val="00B86DC3"/>
    <w:rsid w:val="00B86E7C"/>
    <w:rsid w:val="00B86EEE"/>
    <w:rsid w:val="00B8700A"/>
    <w:rsid w:val="00B871DA"/>
    <w:rsid w:val="00B8725F"/>
    <w:rsid w:val="00B874A1"/>
    <w:rsid w:val="00B8751D"/>
    <w:rsid w:val="00B87B47"/>
    <w:rsid w:val="00B87B75"/>
    <w:rsid w:val="00B87E3F"/>
    <w:rsid w:val="00B87F57"/>
    <w:rsid w:val="00B87FD0"/>
    <w:rsid w:val="00B9006D"/>
    <w:rsid w:val="00B90089"/>
    <w:rsid w:val="00B9013C"/>
    <w:rsid w:val="00B90150"/>
    <w:rsid w:val="00B9020B"/>
    <w:rsid w:val="00B90242"/>
    <w:rsid w:val="00B90595"/>
    <w:rsid w:val="00B9065C"/>
    <w:rsid w:val="00B90830"/>
    <w:rsid w:val="00B908E1"/>
    <w:rsid w:val="00B90AAE"/>
    <w:rsid w:val="00B90AF1"/>
    <w:rsid w:val="00B90F82"/>
    <w:rsid w:val="00B90FE1"/>
    <w:rsid w:val="00B9102A"/>
    <w:rsid w:val="00B910BB"/>
    <w:rsid w:val="00B9123E"/>
    <w:rsid w:val="00B91281"/>
    <w:rsid w:val="00B91602"/>
    <w:rsid w:val="00B916D0"/>
    <w:rsid w:val="00B91735"/>
    <w:rsid w:val="00B9175B"/>
    <w:rsid w:val="00B91894"/>
    <w:rsid w:val="00B918C0"/>
    <w:rsid w:val="00B91A17"/>
    <w:rsid w:val="00B91CCC"/>
    <w:rsid w:val="00B91D00"/>
    <w:rsid w:val="00B91D77"/>
    <w:rsid w:val="00B91EDD"/>
    <w:rsid w:val="00B91FE7"/>
    <w:rsid w:val="00B921A5"/>
    <w:rsid w:val="00B921EA"/>
    <w:rsid w:val="00B92229"/>
    <w:rsid w:val="00B92230"/>
    <w:rsid w:val="00B922E3"/>
    <w:rsid w:val="00B92311"/>
    <w:rsid w:val="00B92652"/>
    <w:rsid w:val="00B92815"/>
    <w:rsid w:val="00B92943"/>
    <w:rsid w:val="00B92BA3"/>
    <w:rsid w:val="00B92BCE"/>
    <w:rsid w:val="00B92BEF"/>
    <w:rsid w:val="00B92C76"/>
    <w:rsid w:val="00B92D63"/>
    <w:rsid w:val="00B92DB6"/>
    <w:rsid w:val="00B931C7"/>
    <w:rsid w:val="00B933A0"/>
    <w:rsid w:val="00B93411"/>
    <w:rsid w:val="00B936DA"/>
    <w:rsid w:val="00B93783"/>
    <w:rsid w:val="00B9383A"/>
    <w:rsid w:val="00B93A16"/>
    <w:rsid w:val="00B93A98"/>
    <w:rsid w:val="00B93C62"/>
    <w:rsid w:val="00B93C79"/>
    <w:rsid w:val="00B93D54"/>
    <w:rsid w:val="00B93F0E"/>
    <w:rsid w:val="00B93FA7"/>
    <w:rsid w:val="00B94181"/>
    <w:rsid w:val="00B94197"/>
    <w:rsid w:val="00B9435D"/>
    <w:rsid w:val="00B9467E"/>
    <w:rsid w:val="00B94801"/>
    <w:rsid w:val="00B94972"/>
    <w:rsid w:val="00B94B1B"/>
    <w:rsid w:val="00B952F8"/>
    <w:rsid w:val="00B95464"/>
    <w:rsid w:val="00B95562"/>
    <w:rsid w:val="00B95566"/>
    <w:rsid w:val="00B95709"/>
    <w:rsid w:val="00B9579F"/>
    <w:rsid w:val="00B957EF"/>
    <w:rsid w:val="00B95865"/>
    <w:rsid w:val="00B95E2F"/>
    <w:rsid w:val="00B95E40"/>
    <w:rsid w:val="00B962DB"/>
    <w:rsid w:val="00B963FA"/>
    <w:rsid w:val="00B96462"/>
    <w:rsid w:val="00B964FC"/>
    <w:rsid w:val="00B966A0"/>
    <w:rsid w:val="00B96748"/>
    <w:rsid w:val="00B967A9"/>
    <w:rsid w:val="00B9686B"/>
    <w:rsid w:val="00B96A32"/>
    <w:rsid w:val="00B96C1B"/>
    <w:rsid w:val="00B96F27"/>
    <w:rsid w:val="00B972B8"/>
    <w:rsid w:val="00B97847"/>
    <w:rsid w:val="00B978B7"/>
    <w:rsid w:val="00B97A64"/>
    <w:rsid w:val="00B97BF3"/>
    <w:rsid w:val="00B97D12"/>
    <w:rsid w:val="00B97F74"/>
    <w:rsid w:val="00BA041C"/>
    <w:rsid w:val="00BA0609"/>
    <w:rsid w:val="00BA0690"/>
    <w:rsid w:val="00BA0796"/>
    <w:rsid w:val="00BA0926"/>
    <w:rsid w:val="00BA0BB8"/>
    <w:rsid w:val="00BA0D4B"/>
    <w:rsid w:val="00BA0F3B"/>
    <w:rsid w:val="00BA0F90"/>
    <w:rsid w:val="00BA0FB9"/>
    <w:rsid w:val="00BA1051"/>
    <w:rsid w:val="00BA1285"/>
    <w:rsid w:val="00BA12E0"/>
    <w:rsid w:val="00BA1335"/>
    <w:rsid w:val="00BA1562"/>
    <w:rsid w:val="00BA190C"/>
    <w:rsid w:val="00BA19C6"/>
    <w:rsid w:val="00BA1B48"/>
    <w:rsid w:val="00BA1BDC"/>
    <w:rsid w:val="00BA1BF1"/>
    <w:rsid w:val="00BA1D90"/>
    <w:rsid w:val="00BA1FEC"/>
    <w:rsid w:val="00BA21F1"/>
    <w:rsid w:val="00BA2475"/>
    <w:rsid w:val="00BA2476"/>
    <w:rsid w:val="00BA257B"/>
    <w:rsid w:val="00BA2749"/>
    <w:rsid w:val="00BA282D"/>
    <w:rsid w:val="00BA28B5"/>
    <w:rsid w:val="00BA29F8"/>
    <w:rsid w:val="00BA2E7D"/>
    <w:rsid w:val="00BA3143"/>
    <w:rsid w:val="00BA3173"/>
    <w:rsid w:val="00BA3484"/>
    <w:rsid w:val="00BA3649"/>
    <w:rsid w:val="00BA3891"/>
    <w:rsid w:val="00BA38C8"/>
    <w:rsid w:val="00BA38F3"/>
    <w:rsid w:val="00BA3912"/>
    <w:rsid w:val="00BA3948"/>
    <w:rsid w:val="00BA3A85"/>
    <w:rsid w:val="00BA3BD0"/>
    <w:rsid w:val="00BA3ED3"/>
    <w:rsid w:val="00BA3EF7"/>
    <w:rsid w:val="00BA3F47"/>
    <w:rsid w:val="00BA3FB3"/>
    <w:rsid w:val="00BA4084"/>
    <w:rsid w:val="00BA4161"/>
    <w:rsid w:val="00BA41BD"/>
    <w:rsid w:val="00BA42D4"/>
    <w:rsid w:val="00BA43F1"/>
    <w:rsid w:val="00BA44DE"/>
    <w:rsid w:val="00BA4523"/>
    <w:rsid w:val="00BA4524"/>
    <w:rsid w:val="00BA4811"/>
    <w:rsid w:val="00BA490F"/>
    <w:rsid w:val="00BA49FC"/>
    <w:rsid w:val="00BA4A4E"/>
    <w:rsid w:val="00BA4D31"/>
    <w:rsid w:val="00BA4DA5"/>
    <w:rsid w:val="00BA4DDE"/>
    <w:rsid w:val="00BA500D"/>
    <w:rsid w:val="00BA51CF"/>
    <w:rsid w:val="00BA54E6"/>
    <w:rsid w:val="00BA58FE"/>
    <w:rsid w:val="00BA5A33"/>
    <w:rsid w:val="00BA5B82"/>
    <w:rsid w:val="00BA5BA2"/>
    <w:rsid w:val="00BA5C95"/>
    <w:rsid w:val="00BA5D13"/>
    <w:rsid w:val="00BA5DD0"/>
    <w:rsid w:val="00BA5DD6"/>
    <w:rsid w:val="00BA600D"/>
    <w:rsid w:val="00BA60CF"/>
    <w:rsid w:val="00BA61E8"/>
    <w:rsid w:val="00BA61F3"/>
    <w:rsid w:val="00BA63DF"/>
    <w:rsid w:val="00BA6496"/>
    <w:rsid w:val="00BA64F3"/>
    <w:rsid w:val="00BA65E2"/>
    <w:rsid w:val="00BA6627"/>
    <w:rsid w:val="00BA665D"/>
    <w:rsid w:val="00BA6878"/>
    <w:rsid w:val="00BA6951"/>
    <w:rsid w:val="00BA6ACC"/>
    <w:rsid w:val="00BA6B38"/>
    <w:rsid w:val="00BA6B87"/>
    <w:rsid w:val="00BA6E1D"/>
    <w:rsid w:val="00BA6E78"/>
    <w:rsid w:val="00BA6F0F"/>
    <w:rsid w:val="00BA6F41"/>
    <w:rsid w:val="00BA6FD6"/>
    <w:rsid w:val="00BA7006"/>
    <w:rsid w:val="00BA7277"/>
    <w:rsid w:val="00BA734C"/>
    <w:rsid w:val="00BA73F4"/>
    <w:rsid w:val="00BA7492"/>
    <w:rsid w:val="00BA7537"/>
    <w:rsid w:val="00BA77E5"/>
    <w:rsid w:val="00BA781F"/>
    <w:rsid w:val="00BA7881"/>
    <w:rsid w:val="00BA7ADD"/>
    <w:rsid w:val="00BA7B42"/>
    <w:rsid w:val="00BA7C07"/>
    <w:rsid w:val="00BA7CD9"/>
    <w:rsid w:val="00BA7CFD"/>
    <w:rsid w:val="00BA7D58"/>
    <w:rsid w:val="00BB003B"/>
    <w:rsid w:val="00BB009F"/>
    <w:rsid w:val="00BB00BA"/>
    <w:rsid w:val="00BB02C2"/>
    <w:rsid w:val="00BB02D3"/>
    <w:rsid w:val="00BB0324"/>
    <w:rsid w:val="00BB0472"/>
    <w:rsid w:val="00BB0679"/>
    <w:rsid w:val="00BB076A"/>
    <w:rsid w:val="00BB08AA"/>
    <w:rsid w:val="00BB0912"/>
    <w:rsid w:val="00BB0AEB"/>
    <w:rsid w:val="00BB0B37"/>
    <w:rsid w:val="00BB0CCA"/>
    <w:rsid w:val="00BB0E17"/>
    <w:rsid w:val="00BB105C"/>
    <w:rsid w:val="00BB143E"/>
    <w:rsid w:val="00BB1683"/>
    <w:rsid w:val="00BB16A5"/>
    <w:rsid w:val="00BB18BD"/>
    <w:rsid w:val="00BB1AB2"/>
    <w:rsid w:val="00BB1B4B"/>
    <w:rsid w:val="00BB1B5A"/>
    <w:rsid w:val="00BB1B60"/>
    <w:rsid w:val="00BB1BF8"/>
    <w:rsid w:val="00BB1C85"/>
    <w:rsid w:val="00BB1DDE"/>
    <w:rsid w:val="00BB2475"/>
    <w:rsid w:val="00BB24F3"/>
    <w:rsid w:val="00BB26A7"/>
    <w:rsid w:val="00BB26C3"/>
    <w:rsid w:val="00BB27F8"/>
    <w:rsid w:val="00BB284D"/>
    <w:rsid w:val="00BB2A53"/>
    <w:rsid w:val="00BB2B96"/>
    <w:rsid w:val="00BB2CF1"/>
    <w:rsid w:val="00BB2E75"/>
    <w:rsid w:val="00BB30A9"/>
    <w:rsid w:val="00BB31BF"/>
    <w:rsid w:val="00BB341A"/>
    <w:rsid w:val="00BB35D5"/>
    <w:rsid w:val="00BB3616"/>
    <w:rsid w:val="00BB3688"/>
    <w:rsid w:val="00BB379B"/>
    <w:rsid w:val="00BB38DC"/>
    <w:rsid w:val="00BB38ED"/>
    <w:rsid w:val="00BB3909"/>
    <w:rsid w:val="00BB395A"/>
    <w:rsid w:val="00BB3963"/>
    <w:rsid w:val="00BB3B3D"/>
    <w:rsid w:val="00BB3C9B"/>
    <w:rsid w:val="00BB3D49"/>
    <w:rsid w:val="00BB3E28"/>
    <w:rsid w:val="00BB3EC5"/>
    <w:rsid w:val="00BB3ECE"/>
    <w:rsid w:val="00BB3FC5"/>
    <w:rsid w:val="00BB402A"/>
    <w:rsid w:val="00BB40BE"/>
    <w:rsid w:val="00BB4110"/>
    <w:rsid w:val="00BB4167"/>
    <w:rsid w:val="00BB428D"/>
    <w:rsid w:val="00BB44BB"/>
    <w:rsid w:val="00BB44D5"/>
    <w:rsid w:val="00BB4520"/>
    <w:rsid w:val="00BB4917"/>
    <w:rsid w:val="00BB49FD"/>
    <w:rsid w:val="00BB4A85"/>
    <w:rsid w:val="00BB4CD0"/>
    <w:rsid w:val="00BB4DC8"/>
    <w:rsid w:val="00BB505D"/>
    <w:rsid w:val="00BB526A"/>
    <w:rsid w:val="00BB542D"/>
    <w:rsid w:val="00BB55EB"/>
    <w:rsid w:val="00BB5A80"/>
    <w:rsid w:val="00BB5AE4"/>
    <w:rsid w:val="00BB5E38"/>
    <w:rsid w:val="00BB5E48"/>
    <w:rsid w:val="00BB5F45"/>
    <w:rsid w:val="00BB621A"/>
    <w:rsid w:val="00BB637E"/>
    <w:rsid w:val="00BB63B8"/>
    <w:rsid w:val="00BB668A"/>
    <w:rsid w:val="00BB68F4"/>
    <w:rsid w:val="00BB69A5"/>
    <w:rsid w:val="00BB69D7"/>
    <w:rsid w:val="00BB6B48"/>
    <w:rsid w:val="00BB6B4E"/>
    <w:rsid w:val="00BB6DB7"/>
    <w:rsid w:val="00BB6E72"/>
    <w:rsid w:val="00BB6EA4"/>
    <w:rsid w:val="00BB6EB4"/>
    <w:rsid w:val="00BB6EC5"/>
    <w:rsid w:val="00BB6FCA"/>
    <w:rsid w:val="00BB70B8"/>
    <w:rsid w:val="00BB7163"/>
    <w:rsid w:val="00BB71AE"/>
    <w:rsid w:val="00BB71EB"/>
    <w:rsid w:val="00BB7298"/>
    <w:rsid w:val="00BB72DC"/>
    <w:rsid w:val="00BB73A1"/>
    <w:rsid w:val="00BB7628"/>
    <w:rsid w:val="00BB7780"/>
    <w:rsid w:val="00BB785C"/>
    <w:rsid w:val="00BB79A2"/>
    <w:rsid w:val="00BB7A68"/>
    <w:rsid w:val="00BB7AC2"/>
    <w:rsid w:val="00BB7ACA"/>
    <w:rsid w:val="00BB7ACF"/>
    <w:rsid w:val="00BB7B23"/>
    <w:rsid w:val="00BB7C9F"/>
    <w:rsid w:val="00BB7D3C"/>
    <w:rsid w:val="00BB7DC3"/>
    <w:rsid w:val="00BB7F84"/>
    <w:rsid w:val="00BC0111"/>
    <w:rsid w:val="00BC0201"/>
    <w:rsid w:val="00BC051B"/>
    <w:rsid w:val="00BC06A5"/>
    <w:rsid w:val="00BC0B0E"/>
    <w:rsid w:val="00BC0B2F"/>
    <w:rsid w:val="00BC0C8F"/>
    <w:rsid w:val="00BC0D41"/>
    <w:rsid w:val="00BC0EBC"/>
    <w:rsid w:val="00BC0EC3"/>
    <w:rsid w:val="00BC0FBC"/>
    <w:rsid w:val="00BC1014"/>
    <w:rsid w:val="00BC10A5"/>
    <w:rsid w:val="00BC10DE"/>
    <w:rsid w:val="00BC10ED"/>
    <w:rsid w:val="00BC1113"/>
    <w:rsid w:val="00BC11C6"/>
    <w:rsid w:val="00BC1277"/>
    <w:rsid w:val="00BC16CB"/>
    <w:rsid w:val="00BC177A"/>
    <w:rsid w:val="00BC193A"/>
    <w:rsid w:val="00BC19FE"/>
    <w:rsid w:val="00BC1AF9"/>
    <w:rsid w:val="00BC1D65"/>
    <w:rsid w:val="00BC1F29"/>
    <w:rsid w:val="00BC20B3"/>
    <w:rsid w:val="00BC21D4"/>
    <w:rsid w:val="00BC2751"/>
    <w:rsid w:val="00BC2868"/>
    <w:rsid w:val="00BC28D1"/>
    <w:rsid w:val="00BC2B42"/>
    <w:rsid w:val="00BC2E48"/>
    <w:rsid w:val="00BC2EE1"/>
    <w:rsid w:val="00BC3371"/>
    <w:rsid w:val="00BC3554"/>
    <w:rsid w:val="00BC385C"/>
    <w:rsid w:val="00BC39E2"/>
    <w:rsid w:val="00BC3B24"/>
    <w:rsid w:val="00BC3BAC"/>
    <w:rsid w:val="00BC3C52"/>
    <w:rsid w:val="00BC3C61"/>
    <w:rsid w:val="00BC3D1E"/>
    <w:rsid w:val="00BC3D36"/>
    <w:rsid w:val="00BC3DDD"/>
    <w:rsid w:val="00BC3F80"/>
    <w:rsid w:val="00BC3FD4"/>
    <w:rsid w:val="00BC434A"/>
    <w:rsid w:val="00BC439E"/>
    <w:rsid w:val="00BC44D9"/>
    <w:rsid w:val="00BC47A7"/>
    <w:rsid w:val="00BC4A54"/>
    <w:rsid w:val="00BC4BB4"/>
    <w:rsid w:val="00BC4C10"/>
    <w:rsid w:val="00BC4C3F"/>
    <w:rsid w:val="00BC4D3A"/>
    <w:rsid w:val="00BC5171"/>
    <w:rsid w:val="00BC5238"/>
    <w:rsid w:val="00BC55A6"/>
    <w:rsid w:val="00BC5664"/>
    <w:rsid w:val="00BC5785"/>
    <w:rsid w:val="00BC5840"/>
    <w:rsid w:val="00BC592F"/>
    <w:rsid w:val="00BC5A6F"/>
    <w:rsid w:val="00BC5B20"/>
    <w:rsid w:val="00BC5D5E"/>
    <w:rsid w:val="00BC5ECC"/>
    <w:rsid w:val="00BC5EE6"/>
    <w:rsid w:val="00BC6098"/>
    <w:rsid w:val="00BC616A"/>
    <w:rsid w:val="00BC6203"/>
    <w:rsid w:val="00BC69E0"/>
    <w:rsid w:val="00BC6A0B"/>
    <w:rsid w:val="00BC6A21"/>
    <w:rsid w:val="00BC6D69"/>
    <w:rsid w:val="00BC6F82"/>
    <w:rsid w:val="00BC7056"/>
    <w:rsid w:val="00BC71DC"/>
    <w:rsid w:val="00BC7261"/>
    <w:rsid w:val="00BC727B"/>
    <w:rsid w:val="00BC72B0"/>
    <w:rsid w:val="00BC736D"/>
    <w:rsid w:val="00BC73C8"/>
    <w:rsid w:val="00BC748C"/>
    <w:rsid w:val="00BC7695"/>
    <w:rsid w:val="00BC77E0"/>
    <w:rsid w:val="00BC78F5"/>
    <w:rsid w:val="00BC7A04"/>
    <w:rsid w:val="00BC7BBA"/>
    <w:rsid w:val="00BC7BCD"/>
    <w:rsid w:val="00BC7D83"/>
    <w:rsid w:val="00BD016E"/>
    <w:rsid w:val="00BD01A7"/>
    <w:rsid w:val="00BD033A"/>
    <w:rsid w:val="00BD099F"/>
    <w:rsid w:val="00BD0A21"/>
    <w:rsid w:val="00BD0A93"/>
    <w:rsid w:val="00BD0B4C"/>
    <w:rsid w:val="00BD0C2A"/>
    <w:rsid w:val="00BD0C99"/>
    <w:rsid w:val="00BD0C9D"/>
    <w:rsid w:val="00BD0D85"/>
    <w:rsid w:val="00BD0DD4"/>
    <w:rsid w:val="00BD0F28"/>
    <w:rsid w:val="00BD0FBF"/>
    <w:rsid w:val="00BD1125"/>
    <w:rsid w:val="00BD1194"/>
    <w:rsid w:val="00BD1244"/>
    <w:rsid w:val="00BD12CE"/>
    <w:rsid w:val="00BD14FC"/>
    <w:rsid w:val="00BD1965"/>
    <w:rsid w:val="00BD196E"/>
    <w:rsid w:val="00BD1CF1"/>
    <w:rsid w:val="00BD200E"/>
    <w:rsid w:val="00BD201A"/>
    <w:rsid w:val="00BD22D5"/>
    <w:rsid w:val="00BD2512"/>
    <w:rsid w:val="00BD2593"/>
    <w:rsid w:val="00BD25D6"/>
    <w:rsid w:val="00BD26BE"/>
    <w:rsid w:val="00BD28E1"/>
    <w:rsid w:val="00BD2B99"/>
    <w:rsid w:val="00BD2BA8"/>
    <w:rsid w:val="00BD2C47"/>
    <w:rsid w:val="00BD2C95"/>
    <w:rsid w:val="00BD2FBF"/>
    <w:rsid w:val="00BD3156"/>
    <w:rsid w:val="00BD3241"/>
    <w:rsid w:val="00BD34BE"/>
    <w:rsid w:val="00BD3658"/>
    <w:rsid w:val="00BD36B9"/>
    <w:rsid w:val="00BD3900"/>
    <w:rsid w:val="00BD39E0"/>
    <w:rsid w:val="00BD3B0C"/>
    <w:rsid w:val="00BD418E"/>
    <w:rsid w:val="00BD444D"/>
    <w:rsid w:val="00BD4857"/>
    <w:rsid w:val="00BD490D"/>
    <w:rsid w:val="00BD4929"/>
    <w:rsid w:val="00BD4A0C"/>
    <w:rsid w:val="00BD4DCC"/>
    <w:rsid w:val="00BD508B"/>
    <w:rsid w:val="00BD50EF"/>
    <w:rsid w:val="00BD5152"/>
    <w:rsid w:val="00BD52AC"/>
    <w:rsid w:val="00BD533B"/>
    <w:rsid w:val="00BD5374"/>
    <w:rsid w:val="00BD54AD"/>
    <w:rsid w:val="00BD5596"/>
    <w:rsid w:val="00BD5761"/>
    <w:rsid w:val="00BD5795"/>
    <w:rsid w:val="00BD5948"/>
    <w:rsid w:val="00BD5C11"/>
    <w:rsid w:val="00BD5C6D"/>
    <w:rsid w:val="00BD6154"/>
    <w:rsid w:val="00BD61F2"/>
    <w:rsid w:val="00BD6201"/>
    <w:rsid w:val="00BD62C9"/>
    <w:rsid w:val="00BD62CE"/>
    <w:rsid w:val="00BD6550"/>
    <w:rsid w:val="00BD6859"/>
    <w:rsid w:val="00BD6921"/>
    <w:rsid w:val="00BD69E5"/>
    <w:rsid w:val="00BD69EB"/>
    <w:rsid w:val="00BD6AFB"/>
    <w:rsid w:val="00BD6BA0"/>
    <w:rsid w:val="00BD6BAD"/>
    <w:rsid w:val="00BD6BC6"/>
    <w:rsid w:val="00BD6E9F"/>
    <w:rsid w:val="00BD708C"/>
    <w:rsid w:val="00BD71A0"/>
    <w:rsid w:val="00BD7260"/>
    <w:rsid w:val="00BD72F0"/>
    <w:rsid w:val="00BD746D"/>
    <w:rsid w:val="00BD758F"/>
    <w:rsid w:val="00BD7732"/>
    <w:rsid w:val="00BD77EA"/>
    <w:rsid w:val="00BD7986"/>
    <w:rsid w:val="00BD7A99"/>
    <w:rsid w:val="00BD7D92"/>
    <w:rsid w:val="00BD7FBC"/>
    <w:rsid w:val="00BE0276"/>
    <w:rsid w:val="00BE0312"/>
    <w:rsid w:val="00BE0419"/>
    <w:rsid w:val="00BE055E"/>
    <w:rsid w:val="00BE0578"/>
    <w:rsid w:val="00BE05F0"/>
    <w:rsid w:val="00BE087C"/>
    <w:rsid w:val="00BE08A1"/>
    <w:rsid w:val="00BE0AA2"/>
    <w:rsid w:val="00BE0C4D"/>
    <w:rsid w:val="00BE0CEA"/>
    <w:rsid w:val="00BE0EB8"/>
    <w:rsid w:val="00BE112A"/>
    <w:rsid w:val="00BE11B1"/>
    <w:rsid w:val="00BE1347"/>
    <w:rsid w:val="00BE1413"/>
    <w:rsid w:val="00BE15C8"/>
    <w:rsid w:val="00BE18B2"/>
    <w:rsid w:val="00BE1D37"/>
    <w:rsid w:val="00BE1DA5"/>
    <w:rsid w:val="00BE1F8C"/>
    <w:rsid w:val="00BE202D"/>
    <w:rsid w:val="00BE2093"/>
    <w:rsid w:val="00BE212E"/>
    <w:rsid w:val="00BE2208"/>
    <w:rsid w:val="00BE2258"/>
    <w:rsid w:val="00BE229E"/>
    <w:rsid w:val="00BE22EA"/>
    <w:rsid w:val="00BE22F6"/>
    <w:rsid w:val="00BE2555"/>
    <w:rsid w:val="00BE25B1"/>
    <w:rsid w:val="00BE275A"/>
    <w:rsid w:val="00BE2768"/>
    <w:rsid w:val="00BE2807"/>
    <w:rsid w:val="00BE298F"/>
    <w:rsid w:val="00BE2AA4"/>
    <w:rsid w:val="00BE2EE5"/>
    <w:rsid w:val="00BE2F9B"/>
    <w:rsid w:val="00BE2FD1"/>
    <w:rsid w:val="00BE305A"/>
    <w:rsid w:val="00BE30EE"/>
    <w:rsid w:val="00BE34AB"/>
    <w:rsid w:val="00BE34C4"/>
    <w:rsid w:val="00BE34F4"/>
    <w:rsid w:val="00BE3655"/>
    <w:rsid w:val="00BE38AC"/>
    <w:rsid w:val="00BE3A09"/>
    <w:rsid w:val="00BE3B64"/>
    <w:rsid w:val="00BE3D7B"/>
    <w:rsid w:val="00BE3DC6"/>
    <w:rsid w:val="00BE3F73"/>
    <w:rsid w:val="00BE3FCD"/>
    <w:rsid w:val="00BE4208"/>
    <w:rsid w:val="00BE4265"/>
    <w:rsid w:val="00BE426A"/>
    <w:rsid w:val="00BE428B"/>
    <w:rsid w:val="00BE43E5"/>
    <w:rsid w:val="00BE43F9"/>
    <w:rsid w:val="00BE44E9"/>
    <w:rsid w:val="00BE451D"/>
    <w:rsid w:val="00BE4658"/>
    <w:rsid w:val="00BE47A6"/>
    <w:rsid w:val="00BE4810"/>
    <w:rsid w:val="00BE485F"/>
    <w:rsid w:val="00BE49A1"/>
    <w:rsid w:val="00BE4AC3"/>
    <w:rsid w:val="00BE4AFC"/>
    <w:rsid w:val="00BE4C08"/>
    <w:rsid w:val="00BE4C61"/>
    <w:rsid w:val="00BE4D02"/>
    <w:rsid w:val="00BE5014"/>
    <w:rsid w:val="00BE501F"/>
    <w:rsid w:val="00BE517B"/>
    <w:rsid w:val="00BE51A1"/>
    <w:rsid w:val="00BE51A2"/>
    <w:rsid w:val="00BE52C5"/>
    <w:rsid w:val="00BE58D5"/>
    <w:rsid w:val="00BE59D0"/>
    <w:rsid w:val="00BE5B70"/>
    <w:rsid w:val="00BE5C26"/>
    <w:rsid w:val="00BE5D4F"/>
    <w:rsid w:val="00BE5E11"/>
    <w:rsid w:val="00BE5E51"/>
    <w:rsid w:val="00BE5EA9"/>
    <w:rsid w:val="00BE644F"/>
    <w:rsid w:val="00BE67C9"/>
    <w:rsid w:val="00BE6833"/>
    <w:rsid w:val="00BE6ABE"/>
    <w:rsid w:val="00BE6C55"/>
    <w:rsid w:val="00BE6C58"/>
    <w:rsid w:val="00BE6E2F"/>
    <w:rsid w:val="00BE6F26"/>
    <w:rsid w:val="00BE6FA9"/>
    <w:rsid w:val="00BE6FEE"/>
    <w:rsid w:val="00BE7236"/>
    <w:rsid w:val="00BE7583"/>
    <w:rsid w:val="00BE75C7"/>
    <w:rsid w:val="00BE768A"/>
    <w:rsid w:val="00BE77A9"/>
    <w:rsid w:val="00BE7879"/>
    <w:rsid w:val="00BE7A0D"/>
    <w:rsid w:val="00BE7B75"/>
    <w:rsid w:val="00BE7BAE"/>
    <w:rsid w:val="00BE7F6B"/>
    <w:rsid w:val="00BF02F2"/>
    <w:rsid w:val="00BF06A1"/>
    <w:rsid w:val="00BF082F"/>
    <w:rsid w:val="00BF0BA4"/>
    <w:rsid w:val="00BF0DD6"/>
    <w:rsid w:val="00BF0EFF"/>
    <w:rsid w:val="00BF1009"/>
    <w:rsid w:val="00BF10BA"/>
    <w:rsid w:val="00BF10F4"/>
    <w:rsid w:val="00BF1497"/>
    <w:rsid w:val="00BF1A3C"/>
    <w:rsid w:val="00BF1ACE"/>
    <w:rsid w:val="00BF1D1E"/>
    <w:rsid w:val="00BF1D2C"/>
    <w:rsid w:val="00BF1D69"/>
    <w:rsid w:val="00BF1FA3"/>
    <w:rsid w:val="00BF2144"/>
    <w:rsid w:val="00BF24D8"/>
    <w:rsid w:val="00BF24DE"/>
    <w:rsid w:val="00BF2581"/>
    <w:rsid w:val="00BF260E"/>
    <w:rsid w:val="00BF2834"/>
    <w:rsid w:val="00BF2AB7"/>
    <w:rsid w:val="00BF2C6E"/>
    <w:rsid w:val="00BF2D08"/>
    <w:rsid w:val="00BF2F50"/>
    <w:rsid w:val="00BF3019"/>
    <w:rsid w:val="00BF339A"/>
    <w:rsid w:val="00BF34C1"/>
    <w:rsid w:val="00BF34FC"/>
    <w:rsid w:val="00BF35D4"/>
    <w:rsid w:val="00BF3926"/>
    <w:rsid w:val="00BF3A68"/>
    <w:rsid w:val="00BF3A6D"/>
    <w:rsid w:val="00BF3BB3"/>
    <w:rsid w:val="00BF3DF8"/>
    <w:rsid w:val="00BF3F82"/>
    <w:rsid w:val="00BF3F98"/>
    <w:rsid w:val="00BF435B"/>
    <w:rsid w:val="00BF43B0"/>
    <w:rsid w:val="00BF440E"/>
    <w:rsid w:val="00BF472D"/>
    <w:rsid w:val="00BF474E"/>
    <w:rsid w:val="00BF4AFD"/>
    <w:rsid w:val="00BF4BAF"/>
    <w:rsid w:val="00BF4D11"/>
    <w:rsid w:val="00BF4DD1"/>
    <w:rsid w:val="00BF4EEC"/>
    <w:rsid w:val="00BF4F78"/>
    <w:rsid w:val="00BF5360"/>
    <w:rsid w:val="00BF54DF"/>
    <w:rsid w:val="00BF55BB"/>
    <w:rsid w:val="00BF57CE"/>
    <w:rsid w:val="00BF5ABB"/>
    <w:rsid w:val="00BF5C57"/>
    <w:rsid w:val="00BF5DC2"/>
    <w:rsid w:val="00BF5E5F"/>
    <w:rsid w:val="00BF5F43"/>
    <w:rsid w:val="00BF5F8A"/>
    <w:rsid w:val="00BF6052"/>
    <w:rsid w:val="00BF608F"/>
    <w:rsid w:val="00BF60EB"/>
    <w:rsid w:val="00BF611E"/>
    <w:rsid w:val="00BF629F"/>
    <w:rsid w:val="00BF62ED"/>
    <w:rsid w:val="00BF62FB"/>
    <w:rsid w:val="00BF6304"/>
    <w:rsid w:val="00BF63A9"/>
    <w:rsid w:val="00BF667F"/>
    <w:rsid w:val="00BF68CF"/>
    <w:rsid w:val="00BF6933"/>
    <w:rsid w:val="00BF6AE9"/>
    <w:rsid w:val="00BF6C2A"/>
    <w:rsid w:val="00BF6FC8"/>
    <w:rsid w:val="00BF70D4"/>
    <w:rsid w:val="00BF70EB"/>
    <w:rsid w:val="00BF70F4"/>
    <w:rsid w:val="00BF7139"/>
    <w:rsid w:val="00BF716D"/>
    <w:rsid w:val="00BF72CE"/>
    <w:rsid w:val="00BF7313"/>
    <w:rsid w:val="00BF7354"/>
    <w:rsid w:val="00BF7459"/>
    <w:rsid w:val="00BF75D5"/>
    <w:rsid w:val="00BF7843"/>
    <w:rsid w:val="00BF7852"/>
    <w:rsid w:val="00BF795D"/>
    <w:rsid w:val="00BF7968"/>
    <w:rsid w:val="00BF7AFE"/>
    <w:rsid w:val="00BF7BA7"/>
    <w:rsid w:val="00BF7D51"/>
    <w:rsid w:val="00BF7D66"/>
    <w:rsid w:val="00BF7F9D"/>
    <w:rsid w:val="00BF7FB6"/>
    <w:rsid w:val="00C003E8"/>
    <w:rsid w:val="00C00532"/>
    <w:rsid w:val="00C006EB"/>
    <w:rsid w:val="00C0078D"/>
    <w:rsid w:val="00C00B96"/>
    <w:rsid w:val="00C00BFF"/>
    <w:rsid w:val="00C00CD7"/>
    <w:rsid w:val="00C00EB6"/>
    <w:rsid w:val="00C00F37"/>
    <w:rsid w:val="00C0128C"/>
    <w:rsid w:val="00C012FE"/>
    <w:rsid w:val="00C0139D"/>
    <w:rsid w:val="00C013D5"/>
    <w:rsid w:val="00C017CB"/>
    <w:rsid w:val="00C018E5"/>
    <w:rsid w:val="00C018FF"/>
    <w:rsid w:val="00C01A98"/>
    <w:rsid w:val="00C01AF4"/>
    <w:rsid w:val="00C01B4A"/>
    <w:rsid w:val="00C01CC9"/>
    <w:rsid w:val="00C01CFF"/>
    <w:rsid w:val="00C0207F"/>
    <w:rsid w:val="00C020CE"/>
    <w:rsid w:val="00C0233A"/>
    <w:rsid w:val="00C023CA"/>
    <w:rsid w:val="00C024D8"/>
    <w:rsid w:val="00C0268D"/>
    <w:rsid w:val="00C02708"/>
    <w:rsid w:val="00C02744"/>
    <w:rsid w:val="00C02946"/>
    <w:rsid w:val="00C029D2"/>
    <w:rsid w:val="00C02AC7"/>
    <w:rsid w:val="00C02B5B"/>
    <w:rsid w:val="00C02C8D"/>
    <w:rsid w:val="00C02DC0"/>
    <w:rsid w:val="00C02DCE"/>
    <w:rsid w:val="00C02DD2"/>
    <w:rsid w:val="00C02F2A"/>
    <w:rsid w:val="00C030F7"/>
    <w:rsid w:val="00C038AD"/>
    <w:rsid w:val="00C039CE"/>
    <w:rsid w:val="00C03E7F"/>
    <w:rsid w:val="00C03EE1"/>
    <w:rsid w:val="00C03F34"/>
    <w:rsid w:val="00C03FB4"/>
    <w:rsid w:val="00C0404D"/>
    <w:rsid w:val="00C04081"/>
    <w:rsid w:val="00C0414F"/>
    <w:rsid w:val="00C04187"/>
    <w:rsid w:val="00C041F3"/>
    <w:rsid w:val="00C0492A"/>
    <w:rsid w:val="00C04965"/>
    <w:rsid w:val="00C04D52"/>
    <w:rsid w:val="00C04F84"/>
    <w:rsid w:val="00C051E1"/>
    <w:rsid w:val="00C0521A"/>
    <w:rsid w:val="00C052AB"/>
    <w:rsid w:val="00C0545E"/>
    <w:rsid w:val="00C0547B"/>
    <w:rsid w:val="00C05539"/>
    <w:rsid w:val="00C05663"/>
    <w:rsid w:val="00C05840"/>
    <w:rsid w:val="00C058BA"/>
    <w:rsid w:val="00C0596E"/>
    <w:rsid w:val="00C05B2E"/>
    <w:rsid w:val="00C05DCB"/>
    <w:rsid w:val="00C05EF8"/>
    <w:rsid w:val="00C05F61"/>
    <w:rsid w:val="00C06077"/>
    <w:rsid w:val="00C06088"/>
    <w:rsid w:val="00C061F2"/>
    <w:rsid w:val="00C06699"/>
    <w:rsid w:val="00C06740"/>
    <w:rsid w:val="00C06859"/>
    <w:rsid w:val="00C06A05"/>
    <w:rsid w:val="00C06AC8"/>
    <w:rsid w:val="00C06AE4"/>
    <w:rsid w:val="00C06B55"/>
    <w:rsid w:val="00C06B97"/>
    <w:rsid w:val="00C06E0A"/>
    <w:rsid w:val="00C06F9D"/>
    <w:rsid w:val="00C07023"/>
    <w:rsid w:val="00C07039"/>
    <w:rsid w:val="00C0707E"/>
    <w:rsid w:val="00C0708C"/>
    <w:rsid w:val="00C0719D"/>
    <w:rsid w:val="00C07313"/>
    <w:rsid w:val="00C073D4"/>
    <w:rsid w:val="00C075F8"/>
    <w:rsid w:val="00C076A2"/>
    <w:rsid w:val="00C079EB"/>
    <w:rsid w:val="00C07AA3"/>
    <w:rsid w:val="00C07B8B"/>
    <w:rsid w:val="00C07DF7"/>
    <w:rsid w:val="00C07ED2"/>
    <w:rsid w:val="00C10029"/>
    <w:rsid w:val="00C1005F"/>
    <w:rsid w:val="00C1014E"/>
    <w:rsid w:val="00C10238"/>
    <w:rsid w:val="00C1053B"/>
    <w:rsid w:val="00C106BB"/>
    <w:rsid w:val="00C106E0"/>
    <w:rsid w:val="00C1082E"/>
    <w:rsid w:val="00C1087C"/>
    <w:rsid w:val="00C108DF"/>
    <w:rsid w:val="00C10A03"/>
    <w:rsid w:val="00C10BAE"/>
    <w:rsid w:val="00C10D36"/>
    <w:rsid w:val="00C10DA3"/>
    <w:rsid w:val="00C10FC3"/>
    <w:rsid w:val="00C110B8"/>
    <w:rsid w:val="00C11140"/>
    <w:rsid w:val="00C11211"/>
    <w:rsid w:val="00C11384"/>
    <w:rsid w:val="00C115C7"/>
    <w:rsid w:val="00C11887"/>
    <w:rsid w:val="00C11A40"/>
    <w:rsid w:val="00C11E29"/>
    <w:rsid w:val="00C11E61"/>
    <w:rsid w:val="00C12050"/>
    <w:rsid w:val="00C122AD"/>
    <w:rsid w:val="00C123A6"/>
    <w:rsid w:val="00C12596"/>
    <w:rsid w:val="00C12670"/>
    <w:rsid w:val="00C127CB"/>
    <w:rsid w:val="00C129B9"/>
    <w:rsid w:val="00C12AA1"/>
    <w:rsid w:val="00C12BA8"/>
    <w:rsid w:val="00C12F95"/>
    <w:rsid w:val="00C12FD9"/>
    <w:rsid w:val="00C130B0"/>
    <w:rsid w:val="00C1326E"/>
    <w:rsid w:val="00C13291"/>
    <w:rsid w:val="00C133AF"/>
    <w:rsid w:val="00C13420"/>
    <w:rsid w:val="00C1361C"/>
    <w:rsid w:val="00C137EF"/>
    <w:rsid w:val="00C139AC"/>
    <w:rsid w:val="00C13CCE"/>
    <w:rsid w:val="00C13E44"/>
    <w:rsid w:val="00C14250"/>
    <w:rsid w:val="00C144F3"/>
    <w:rsid w:val="00C14526"/>
    <w:rsid w:val="00C14692"/>
    <w:rsid w:val="00C148AE"/>
    <w:rsid w:val="00C148D8"/>
    <w:rsid w:val="00C14B7C"/>
    <w:rsid w:val="00C14C00"/>
    <w:rsid w:val="00C14D0F"/>
    <w:rsid w:val="00C14FB7"/>
    <w:rsid w:val="00C15476"/>
    <w:rsid w:val="00C1558A"/>
    <w:rsid w:val="00C155C7"/>
    <w:rsid w:val="00C155D8"/>
    <w:rsid w:val="00C156C9"/>
    <w:rsid w:val="00C157AA"/>
    <w:rsid w:val="00C15851"/>
    <w:rsid w:val="00C15962"/>
    <w:rsid w:val="00C15BDD"/>
    <w:rsid w:val="00C15C6C"/>
    <w:rsid w:val="00C15E78"/>
    <w:rsid w:val="00C15F55"/>
    <w:rsid w:val="00C16002"/>
    <w:rsid w:val="00C16206"/>
    <w:rsid w:val="00C162EE"/>
    <w:rsid w:val="00C16357"/>
    <w:rsid w:val="00C1654A"/>
    <w:rsid w:val="00C165BB"/>
    <w:rsid w:val="00C16604"/>
    <w:rsid w:val="00C169FE"/>
    <w:rsid w:val="00C16BD7"/>
    <w:rsid w:val="00C16C47"/>
    <w:rsid w:val="00C17137"/>
    <w:rsid w:val="00C171BA"/>
    <w:rsid w:val="00C171DB"/>
    <w:rsid w:val="00C1731C"/>
    <w:rsid w:val="00C17CBE"/>
    <w:rsid w:val="00C17CC1"/>
    <w:rsid w:val="00C17CC9"/>
    <w:rsid w:val="00C17CF0"/>
    <w:rsid w:val="00C17D48"/>
    <w:rsid w:val="00C17EC6"/>
    <w:rsid w:val="00C20407"/>
    <w:rsid w:val="00C204C9"/>
    <w:rsid w:val="00C205D2"/>
    <w:rsid w:val="00C20634"/>
    <w:rsid w:val="00C2083E"/>
    <w:rsid w:val="00C20A3D"/>
    <w:rsid w:val="00C20B91"/>
    <w:rsid w:val="00C20E97"/>
    <w:rsid w:val="00C20EF9"/>
    <w:rsid w:val="00C20F6B"/>
    <w:rsid w:val="00C2117B"/>
    <w:rsid w:val="00C2126A"/>
    <w:rsid w:val="00C21435"/>
    <w:rsid w:val="00C21508"/>
    <w:rsid w:val="00C218BE"/>
    <w:rsid w:val="00C218D4"/>
    <w:rsid w:val="00C21A3B"/>
    <w:rsid w:val="00C21CDD"/>
    <w:rsid w:val="00C21E2B"/>
    <w:rsid w:val="00C2203C"/>
    <w:rsid w:val="00C2230B"/>
    <w:rsid w:val="00C2240A"/>
    <w:rsid w:val="00C22576"/>
    <w:rsid w:val="00C225B7"/>
    <w:rsid w:val="00C226A2"/>
    <w:rsid w:val="00C22763"/>
    <w:rsid w:val="00C229CB"/>
    <w:rsid w:val="00C22ABA"/>
    <w:rsid w:val="00C22AF4"/>
    <w:rsid w:val="00C22D91"/>
    <w:rsid w:val="00C22D93"/>
    <w:rsid w:val="00C22ECD"/>
    <w:rsid w:val="00C230E2"/>
    <w:rsid w:val="00C231B1"/>
    <w:rsid w:val="00C23266"/>
    <w:rsid w:val="00C23365"/>
    <w:rsid w:val="00C23571"/>
    <w:rsid w:val="00C23C02"/>
    <w:rsid w:val="00C23E88"/>
    <w:rsid w:val="00C240EF"/>
    <w:rsid w:val="00C24133"/>
    <w:rsid w:val="00C24182"/>
    <w:rsid w:val="00C244D0"/>
    <w:rsid w:val="00C2451A"/>
    <w:rsid w:val="00C245A9"/>
    <w:rsid w:val="00C247AC"/>
    <w:rsid w:val="00C2483F"/>
    <w:rsid w:val="00C24862"/>
    <w:rsid w:val="00C2486E"/>
    <w:rsid w:val="00C248F3"/>
    <w:rsid w:val="00C24B82"/>
    <w:rsid w:val="00C24CC0"/>
    <w:rsid w:val="00C24CDE"/>
    <w:rsid w:val="00C24CEE"/>
    <w:rsid w:val="00C24EAC"/>
    <w:rsid w:val="00C2514F"/>
    <w:rsid w:val="00C25310"/>
    <w:rsid w:val="00C253A3"/>
    <w:rsid w:val="00C25537"/>
    <w:rsid w:val="00C25621"/>
    <w:rsid w:val="00C25682"/>
    <w:rsid w:val="00C256CD"/>
    <w:rsid w:val="00C257ED"/>
    <w:rsid w:val="00C25B3E"/>
    <w:rsid w:val="00C25BBE"/>
    <w:rsid w:val="00C25F4C"/>
    <w:rsid w:val="00C25FA1"/>
    <w:rsid w:val="00C26121"/>
    <w:rsid w:val="00C26280"/>
    <w:rsid w:val="00C26376"/>
    <w:rsid w:val="00C26444"/>
    <w:rsid w:val="00C2646A"/>
    <w:rsid w:val="00C2647C"/>
    <w:rsid w:val="00C2675D"/>
    <w:rsid w:val="00C26931"/>
    <w:rsid w:val="00C2699B"/>
    <w:rsid w:val="00C269DD"/>
    <w:rsid w:val="00C26C4E"/>
    <w:rsid w:val="00C272F0"/>
    <w:rsid w:val="00C273FA"/>
    <w:rsid w:val="00C27472"/>
    <w:rsid w:val="00C2762F"/>
    <w:rsid w:val="00C27665"/>
    <w:rsid w:val="00C2768A"/>
    <w:rsid w:val="00C27787"/>
    <w:rsid w:val="00C27947"/>
    <w:rsid w:val="00C27B38"/>
    <w:rsid w:val="00C27C84"/>
    <w:rsid w:val="00C27EBB"/>
    <w:rsid w:val="00C3037E"/>
    <w:rsid w:val="00C30468"/>
    <w:rsid w:val="00C30A1C"/>
    <w:rsid w:val="00C30ADD"/>
    <w:rsid w:val="00C30FC6"/>
    <w:rsid w:val="00C314B8"/>
    <w:rsid w:val="00C3171B"/>
    <w:rsid w:val="00C31933"/>
    <w:rsid w:val="00C31CB7"/>
    <w:rsid w:val="00C31CBB"/>
    <w:rsid w:val="00C31D45"/>
    <w:rsid w:val="00C31DC2"/>
    <w:rsid w:val="00C31E6F"/>
    <w:rsid w:val="00C31FD0"/>
    <w:rsid w:val="00C3202F"/>
    <w:rsid w:val="00C320A0"/>
    <w:rsid w:val="00C32247"/>
    <w:rsid w:val="00C324E5"/>
    <w:rsid w:val="00C32679"/>
    <w:rsid w:val="00C32798"/>
    <w:rsid w:val="00C32ACE"/>
    <w:rsid w:val="00C32B16"/>
    <w:rsid w:val="00C32BF9"/>
    <w:rsid w:val="00C32C0E"/>
    <w:rsid w:val="00C32C75"/>
    <w:rsid w:val="00C32D43"/>
    <w:rsid w:val="00C330C6"/>
    <w:rsid w:val="00C33133"/>
    <w:rsid w:val="00C3314B"/>
    <w:rsid w:val="00C3326F"/>
    <w:rsid w:val="00C332D2"/>
    <w:rsid w:val="00C3330E"/>
    <w:rsid w:val="00C334A0"/>
    <w:rsid w:val="00C3350D"/>
    <w:rsid w:val="00C3351E"/>
    <w:rsid w:val="00C3355D"/>
    <w:rsid w:val="00C336BE"/>
    <w:rsid w:val="00C336C8"/>
    <w:rsid w:val="00C336EA"/>
    <w:rsid w:val="00C338F5"/>
    <w:rsid w:val="00C33A26"/>
    <w:rsid w:val="00C33B1D"/>
    <w:rsid w:val="00C33DC3"/>
    <w:rsid w:val="00C33E0E"/>
    <w:rsid w:val="00C34236"/>
    <w:rsid w:val="00C34253"/>
    <w:rsid w:val="00C34256"/>
    <w:rsid w:val="00C342C0"/>
    <w:rsid w:val="00C34304"/>
    <w:rsid w:val="00C3452A"/>
    <w:rsid w:val="00C34585"/>
    <w:rsid w:val="00C346B5"/>
    <w:rsid w:val="00C346DF"/>
    <w:rsid w:val="00C3471D"/>
    <w:rsid w:val="00C348B0"/>
    <w:rsid w:val="00C348D8"/>
    <w:rsid w:val="00C34B36"/>
    <w:rsid w:val="00C34D50"/>
    <w:rsid w:val="00C34E70"/>
    <w:rsid w:val="00C34F90"/>
    <w:rsid w:val="00C34FC5"/>
    <w:rsid w:val="00C34FF9"/>
    <w:rsid w:val="00C35028"/>
    <w:rsid w:val="00C352C1"/>
    <w:rsid w:val="00C3567C"/>
    <w:rsid w:val="00C3569C"/>
    <w:rsid w:val="00C35863"/>
    <w:rsid w:val="00C35956"/>
    <w:rsid w:val="00C35977"/>
    <w:rsid w:val="00C35A0D"/>
    <w:rsid w:val="00C35BF6"/>
    <w:rsid w:val="00C35DD5"/>
    <w:rsid w:val="00C35DEA"/>
    <w:rsid w:val="00C35DFC"/>
    <w:rsid w:val="00C35E0B"/>
    <w:rsid w:val="00C35F06"/>
    <w:rsid w:val="00C360CD"/>
    <w:rsid w:val="00C36224"/>
    <w:rsid w:val="00C36305"/>
    <w:rsid w:val="00C363F1"/>
    <w:rsid w:val="00C36518"/>
    <w:rsid w:val="00C365F8"/>
    <w:rsid w:val="00C36AC7"/>
    <w:rsid w:val="00C36DDA"/>
    <w:rsid w:val="00C370EC"/>
    <w:rsid w:val="00C3714E"/>
    <w:rsid w:val="00C371F8"/>
    <w:rsid w:val="00C3720C"/>
    <w:rsid w:val="00C3721B"/>
    <w:rsid w:val="00C3725F"/>
    <w:rsid w:val="00C37381"/>
    <w:rsid w:val="00C37680"/>
    <w:rsid w:val="00C37887"/>
    <w:rsid w:val="00C37908"/>
    <w:rsid w:val="00C37C6E"/>
    <w:rsid w:val="00C37D25"/>
    <w:rsid w:val="00C37E70"/>
    <w:rsid w:val="00C37F4A"/>
    <w:rsid w:val="00C37F9A"/>
    <w:rsid w:val="00C40306"/>
    <w:rsid w:val="00C4060A"/>
    <w:rsid w:val="00C406B4"/>
    <w:rsid w:val="00C40704"/>
    <w:rsid w:val="00C4087D"/>
    <w:rsid w:val="00C40983"/>
    <w:rsid w:val="00C40C50"/>
    <w:rsid w:val="00C40C8E"/>
    <w:rsid w:val="00C40D60"/>
    <w:rsid w:val="00C40D7B"/>
    <w:rsid w:val="00C40E0F"/>
    <w:rsid w:val="00C40E6B"/>
    <w:rsid w:val="00C40E86"/>
    <w:rsid w:val="00C41303"/>
    <w:rsid w:val="00C41357"/>
    <w:rsid w:val="00C41472"/>
    <w:rsid w:val="00C4168E"/>
    <w:rsid w:val="00C417A6"/>
    <w:rsid w:val="00C41A9A"/>
    <w:rsid w:val="00C41EAE"/>
    <w:rsid w:val="00C423AF"/>
    <w:rsid w:val="00C42534"/>
    <w:rsid w:val="00C42535"/>
    <w:rsid w:val="00C42537"/>
    <w:rsid w:val="00C4256A"/>
    <w:rsid w:val="00C425B3"/>
    <w:rsid w:val="00C425C1"/>
    <w:rsid w:val="00C425E1"/>
    <w:rsid w:val="00C426F6"/>
    <w:rsid w:val="00C4281E"/>
    <w:rsid w:val="00C42961"/>
    <w:rsid w:val="00C42A20"/>
    <w:rsid w:val="00C42BFB"/>
    <w:rsid w:val="00C42D91"/>
    <w:rsid w:val="00C42F6C"/>
    <w:rsid w:val="00C42F85"/>
    <w:rsid w:val="00C430FA"/>
    <w:rsid w:val="00C431DA"/>
    <w:rsid w:val="00C4328A"/>
    <w:rsid w:val="00C432C3"/>
    <w:rsid w:val="00C43375"/>
    <w:rsid w:val="00C4344F"/>
    <w:rsid w:val="00C4366C"/>
    <w:rsid w:val="00C436CE"/>
    <w:rsid w:val="00C43AD9"/>
    <w:rsid w:val="00C43C1B"/>
    <w:rsid w:val="00C43C8E"/>
    <w:rsid w:val="00C43EFA"/>
    <w:rsid w:val="00C4415D"/>
    <w:rsid w:val="00C442EB"/>
    <w:rsid w:val="00C44363"/>
    <w:rsid w:val="00C44589"/>
    <w:rsid w:val="00C44771"/>
    <w:rsid w:val="00C447A3"/>
    <w:rsid w:val="00C4493F"/>
    <w:rsid w:val="00C44948"/>
    <w:rsid w:val="00C44A16"/>
    <w:rsid w:val="00C44A28"/>
    <w:rsid w:val="00C44CE5"/>
    <w:rsid w:val="00C44EBA"/>
    <w:rsid w:val="00C44F10"/>
    <w:rsid w:val="00C44FA2"/>
    <w:rsid w:val="00C45000"/>
    <w:rsid w:val="00C452A8"/>
    <w:rsid w:val="00C4543D"/>
    <w:rsid w:val="00C455B5"/>
    <w:rsid w:val="00C457A3"/>
    <w:rsid w:val="00C457CA"/>
    <w:rsid w:val="00C45B62"/>
    <w:rsid w:val="00C460DA"/>
    <w:rsid w:val="00C461EA"/>
    <w:rsid w:val="00C4620F"/>
    <w:rsid w:val="00C46228"/>
    <w:rsid w:val="00C46425"/>
    <w:rsid w:val="00C464FB"/>
    <w:rsid w:val="00C466A3"/>
    <w:rsid w:val="00C46AA2"/>
    <w:rsid w:val="00C46AF8"/>
    <w:rsid w:val="00C46B2D"/>
    <w:rsid w:val="00C46CEE"/>
    <w:rsid w:val="00C46E97"/>
    <w:rsid w:val="00C46F12"/>
    <w:rsid w:val="00C46FFA"/>
    <w:rsid w:val="00C471B2"/>
    <w:rsid w:val="00C471CC"/>
    <w:rsid w:val="00C471DF"/>
    <w:rsid w:val="00C472CF"/>
    <w:rsid w:val="00C475CE"/>
    <w:rsid w:val="00C47675"/>
    <w:rsid w:val="00C476F0"/>
    <w:rsid w:val="00C478EC"/>
    <w:rsid w:val="00C47922"/>
    <w:rsid w:val="00C479AA"/>
    <w:rsid w:val="00C47A11"/>
    <w:rsid w:val="00C47CFA"/>
    <w:rsid w:val="00C47EB8"/>
    <w:rsid w:val="00C47F13"/>
    <w:rsid w:val="00C47F9D"/>
    <w:rsid w:val="00C47FE1"/>
    <w:rsid w:val="00C50102"/>
    <w:rsid w:val="00C501FA"/>
    <w:rsid w:val="00C502B3"/>
    <w:rsid w:val="00C50319"/>
    <w:rsid w:val="00C5031C"/>
    <w:rsid w:val="00C5080B"/>
    <w:rsid w:val="00C50821"/>
    <w:rsid w:val="00C50B44"/>
    <w:rsid w:val="00C50B8E"/>
    <w:rsid w:val="00C50D23"/>
    <w:rsid w:val="00C50EAE"/>
    <w:rsid w:val="00C50EE8"/>
    <w:rsid w:val="00C51008"/>
    <w:rsid w:val="00C512A0"/>
    <w:rsid w:val="00C51573"/>
    <w:rsid w:val="00C515CD"/>
    <w:rsid w:val="00C51656"/>
    <w:rsid w:val="00C51837"/>
    <w:rsid w:val="00C518DF"/>
    <w:rsid w:val="00C51A17"/>
    <w:rsid w:val="00C51E15"/>
    <w:rsid w:val="00C5204D"/>
    <w:rsid w:val="00C52092"/>
    <w:rsid w:val="00C5214E"/>
    <w:rsid w:val="00C522FF"/>
    <w:rsid w:val="00C52493"/>
    <w:rsid w:val="00C52497"/>
    <w:rsid w:val="00C52521"/>
    <w:rsid w:val="00C526E7"/>
    <w:rsid w:val="00C529D6"/>
    <w:rsid w:val="00C52AB9"/>
    <w:rsid w:val="00C52EC0"/>
    <w:rsid w:val="00C52F38"/>
    <w:rsid w:val="00C53017"/>
    <w:rsid w:val="00C5305F"/>
    <w:rsid w:val="00C5310F"/>
    <w:rsid w:val="00C53282"/>
    <w:rsid w:val="00C532FA"/>
    <w:rsid w:val="00C532FF"/>
    <w:rsid w:val="00C534BB"/>
    <w:rsid w:val="00C53511"/>
    <w:rsid w:val="00C53759"/>
    <w:rsid w:val="00C5376B"/>
    <w:rsid w:val="00C5395B"/>
    <w:rsid w:val="00C539AA"/>
    <w:rsid w:val="00C53B7E"/>
    <w:rsid w:val="00C53D13"/>
    <w:rsid w:val="00C53FC0"/>
    <w:rsid w:val="00C54232"/>
    <w:rsid w:val="00C542F2"/>
    <w:rsid w:val="00C54720"/>
    <w:rsid w:val="00C54ACC"/>
    <w:rsid w:val="00C54C59"/>
    <w:rsid w:val="00C54DFE"/>
    <w:rsid w:val="00C54EF2"/>
    <w:rsid w:val="00C54F37"/>
    <w:rsid w:val="00C54F63"/>
    <w:rsid w:val="00C550FB"/>
    <w:rsid w:val="00C55491"/>
    <w:rsid w:val="00C556BB"/>
    <w:rsid w:val="00C556D5"/>
    <w:rsid w:val="00C55850"/>
    <w:rsid w:val="00C5599E"/>
    <w:rsid w:val="00C55AA8"/>
    <w:rsid w:val="00C55DE5"/>
    <w:rsid w:val="00C55EBA"/>
    <w:rsid w:val="00C55FA7"/>
    <w:rsid w:val="00C5611D"/>
    <w:rsid w:val="00C562BE"/>
    <w:rsid w:val="00C563D1"/>
    <w:rsid w:val="00C563D7"/>
    <w:rsid w:val="00C56422"/>
    <w:rsid w:val="00C56581"/>
    <w:rsid w:val="00C56705"/>
    <w:rsid w:val="00C567FF"/>
    <w:rsid w:val="00C568AE"/>
    <w:rsid w:val="00C56AF0"/>
    <w:rsid w:val="00C56B41"/>
    <w:rsid w:val="00C56C96"/>
    <w:rsid w:val="00C56F4A"/>
    <w:rsid w:val="00C56F7A"/>
    <w:rsid w:val="00C57068"/>
    <w:rsid w:val="00C5731A"/>
    <w:rsid w:val="00C573EB"/>
    <w:rsid w:val="00C576E0"/>
    <w:rsid w:val="00C576E3"/>
    <w:rsid w:val="00C57923"/>
    <w:rsid w:val="00C57A17"/>
    <w:rsid w:val="00C57ACE"/>
    <w:rsid w:val="00C57B3B"/>
    <w:rsid w:val="00C57B89"/>
    <w:rsid w:val="00C57E47"/>
    <w:rsid w:val="00C60012"/>
    <w:rsid w:val="00C60032"/>
    <w:rsid w:val="00C600EB"/>
    <w:rsid w:val="00C60177"/>
    <w:rsid w:val="00C6033B"/>
    <w:rsid w:val="00C60468"/>
    <w:rsid w:val="00C60D87"/>
    <w:rsid w:val="00C60F3D"/>
    <w:rsid w:val="00C6104E"/>
    <w:rsid w:val="00C611D8"/>
    <w:rsid w:val="00C61485"/>
    <w:rsid w:val="00C614B3"/>
    <w:rsid w:val="00C61543"/>
    <w:rsid w:val="00C6162E"/>
    <w:rsid w:val="00C61717"/>
    <w:rsid w:val="00C618B0"/>
    <w:rsid w:val="00C619E2"/>
    <w:rsid w:val="00C61A0C"/>
    <w:rsid w:val="00C61A12"/>
    <w:rsid w:val="00C61AE4"/>
    <w:rsid w:val="00C61DD2"/>
    <w:rsid w:val="00C61F4B"/>
    <w:rsid w:val="00C62043"/>
    <w:rsid w:val="00C620D3"/>
    <w:rsid w:val="00C62135"/>
    <w:rsid w:val="00C62215"/>
    <w:rsid w:val="00C622E2"/>
    <w:rsid w:val="00C628BC"/>
    <w:rsid w:val="00C62B4E"/>
    <w:rsid w:val="00C62B9E"/>
    <w:rsid w:val="00C62BE9"/>
    <w:rsid w:val="00C62C49"/>
    <w:rsid w:val="00C62CE5"/>
    <w:rsid w:val="00C62D9B"/>
    <w:rsid w:val="00C62E96"/>
    <w:rsid w:val="00C62F6C"/>
    <w:rsid w:val="00C6303A"/>
    <w:rsid w:val="00C630F9"/>
    <w:rsid w:val="00C63242"/>
    <w:rsid w:val="00C632E0"/>
    <w:rsid w:val="00C63648"/>
    <w:rsid w:val="00C637BC"/>
    <w:rsid w:val="00C6383D"/>
    <w:rsid w:val="00C638B4"/>
    <w:rsid w:val="00C6397D"/>
    <w:rsid w:val="00C63998"/>
    <w:rsid w:val="00C63A08"/>
    <w:rsid w:val="00C63A7C"/>
    <w:rsid w:val="00C63B78"/>
    <w:rsid w:val="00C63D0F"/>
    <w:rsid w:val="00C63E5D"/>
    <w:rsid w:val="00C63E6E"/>
    <w:rsid w:val="00C63FD6"/>
    <w:rsid w:val="00C64070"/>
    <w:rsid w:val="00C642B7"/>
    <w:rsid w:val="00C644E2"/>
    <w:rsid w:val="00C647C7"/>
    <w:rsid w:val="00C647E9"/>
    <w:rsid w:val="00C64963"/>
    <w:rsid w:val="00C649D6"/>
    <w:rsid w:val="00C64A94"/>
    <w:rsid w:val="00C64D60"/>
    <w:rsid w:val="00C64DF0"/>
    <w:rsid w:val="00C64E2A"/>
    <w:rsid w:val="00C64EBC"/>
    <w:rsid w:val="00C65130"/>
    <w:rsid w:val="00C65139"/>
    <w:rsid w:val="00C6542B"/>
    <w:rsid w:val="00C655CD"/>
    <w:rsid w:val="00C65654"/>
    <w:rsid w:val="00C656EA"/>
    <w:rsid w:val="00C6572F"/>
    <w:rsid w:val="00C6575E"/>
    <w:rsid w:val="00C65C0E"/>
    <w:rsid w:val="00C65DD5"/>
    <w:rsid w:val="00C65E59"/>
    <w:rsid w:val="00C65F45"/>
    <w:rsid w:val="00C6657D"/>
    <w:rsid w:val="00C665F1"/>
    <w:rsid w:val="00C66AD4"/>
    <w:rsid w:val="00C66B8C"/>
    <w:rsid w:val="00C66BAC"/>
    <w:rsid w:val="00C66BBD"/>
    <w:rsid w:val="00C6706B"/>
    <w:rsid w:val="00C67317"/>
    <w:rsid w:val="00C673F1"/>
    <w:rsid w:val="00C67434"/>
    <w:rsid w:val="00C6750C"/>
    <w:rsid w:val="00C67606"/>
    <w:rsid w:val="00C67698"/>
    <w:rsid w:val="00C6773C"/>
    <w:rsid w:val="00C6779D"/>
    <w:rsid w:val="00C679B2"/>
    <w:rsid w:val="00C67C02"/>
    <w:rsid w:val="00C67D56"/>
    <w:rsid w:val="00C67DCC"/>
    <w:rsid w:val="00C67EA5"/>
    <w:rsid w:val="00C7013C"/>
    <w:rsid w:val="00C70255"/>
    <w:rsid w:val="00C703DD"/>
    <w:rsid w:val="00C7065D"/>
    <w:rsid w:val="00C70903"/>
    <w:rsid w:val="00C70B77"/>
    <w:rsid w:val="00C70D53"/>
    <w:rsid w:val="00C70F3B"/>
    <w:rsid w:val="00C71229"/>
    <w:rsid w:val="00C712C3"/>
    <w:rsid w:val="00C714E1"/>
    <w:rsid w:val="00C71552"/>
    <w:rsid w:val="00C715C8"/>
    <w:rsid w:val="00C71735"/>
    <w:rsid w:val="00C7177D"/>
    <w:rsid w:val="00C71A77"/>
    <w:rsid w:val="00C71BBC"/>
    <w:rsid w:val="00C71BC8"/>
    <w:rsid w:val="00C71F46"/>
    <w:rsid w:val="00C71FBF"/>
    <w:rsid w:val="00C7212A"/>
    <w:rsid w:val="00C725CF"/>
    <w:rsid w:val="00C72714"/>
    <w:rsid w:val="00C7288C"/>
    <w:rsid w:val="00C72B10"/>
    <w:rsid w:val="00C72CE7"/>
    <w:rsid w:val="00C72D05"/>
    <w:rsid w:val="00C72D45"/>
    <w:rsid w:val="00C72F61"/>
    <w:rsid w:val="00C730FA"/>
    <w:rsid w:val="00C73322"/>
    <w:rsid w:val="00C7355D"/>
    <w:rsid w:val="00C73594"/>
    <w:rsid w:val="00C73666"/>
    <w:rsid w:val="00C73678"/>
    <w:rsid w:val="00C7387D"/>
    <w:rsid w:val="00C738F5"/>
    <w:rsid w:val="00C73D66"/>
    <w:rsid w:val="00C73F05"/>
    <w:rsid w:val="00C740BE"/>
    <w:rsid w:val="00C7410A"/>
    <w:rsid w:val="00C74131"/>
    <w:rsid w:val="00C741CC"/>
    <w:rsid w:val="00C7448A"/>
    <w:rsid w:val="00C7449D"/>
    <w:rsid w:val="00C74592"/>
    <w:rsid w:val="00C74646"/>
    <w:rsid w:val="00C7496B"/>
    <w:rsid w:val="00C7497E"/>
    <w:rsid w:val="00C74AA6"/>
    <w:rsid w:val="00C74D0B"/>
    <w:rsid w:val="00C74DBE"/>
    <w:rsid w:val="00C74DFF"/>
    <w:rsid w:val="00C74E14"/>
    <w:rsid w:val="00C74E5A"/>
    <w:rsid w:val="00C74F83"/>
    <w:rsid w:val="00C74FED"/>
    <w:rsid w:val="00C74FF3"/>
    <w:rsid w:val="00C75083"/>
    <w:rsid w:val="00C7583C"/>
    <w:rsid w:val="00C7587A"/>
    <w:rsid w:val="00C75A8D"/>
    <w:rsid w:val="00C75BB0"/>
    <w:rsid w:val="00C75E2E"/>
    <w:rsid w:val="00C7612D"/>
    <w:rsid w:val="00C762A0"/>
    <w:rsid w:val="00C76536"/>
    <w:rsid w:val="00C76898"/>
    <w:rsid w:val="00C7694B"/>
    <w:rsid w:val="00C76C3B"/>
    <w:rsid w:val="00C76C9C"/>
    <w:rsid w:val="00C76D85"/>
    <w:rsid w:val="00C76D95"/>
    <w:rsid w:val="00C76E67"/>
    <w:rsid w:val="00C77071"/>
    <w:rsid w:val="00C7716D"/>
    <w:rsid w:val="00C7718D"/>
    <w:rsid w:val="00C771B4"/>
    <w:rsid w:val="00C77291"/>
    <w:rsid w:val="00C77942"/>
    <w:rsid w:val="00C77AD1"/>
    <w:rsid w:val="00C77C46"/>
    <w:rsid w:val="00C77D46"/>
    <w:rsid w:val="00C77EE2"/>
    <w:rsid w:val="00C77F9C"/>
    <w:rsid w:val="00C80012"/>
    <w:rsid w:val="00C800DB"/>
    <w:rsid w:val="00C801A7"/>
    <w:rsid w:val="00C802AC"/>
    <w:rsid w:val="00C80303"/>
    <w:rsid w:val="00C803BB"/>
    <w:rsid w:val="00C806C8"/>
    <w:rsid w:val="00C80720"/>
    <w:rsid w:val="00C8080B"/>
    <w:rsid w:val="00C80855"/>
    <w:rsid w:val="00C808A5"/>
    <w:rsid w:val="00C809FB"/>
    <w:rsid w:val="00C80D31"/>
    <w:rsid w:val="00C80E03"/>
    <w:rsid w:val="00C80E15"/>
    <w:rsid w:val="00C80EF4"/>
    <w:rsid w:val="00C80F25"/>
    <w:rsid w:val="00C80FD0"/>
    <w:rsid w:val="00C81250"/>
    <w:rsid w:val="00C81279"/>
    <w:rsid w:val="00C813E6"/>
    <w:rsid w:val="00C81695"/>
    <w:rsid w:val="00C81699"/>
    <w:rsid w:val="00C817F3"/>
    <w:rsid w:val="00C81857"/>
    <w:rsid w:val="00C818DA"/>
    <w:rsid w:val="00C81C94"/>
    <w:rsid w:val="00C81D11"/>
    <w:rsid w:val="00C81E50"/>
    <w:rsid w:val="00C81EC7"/>
    <w:rsid w:val="00C82072"/>
    <w:rsid w:val="00C823C7"/>
    <w:rsid w:val="00C823DC"/>
    <w:rsid w:val="00C82416"/>
    <w:rsid w:val="00C8284F"/>
    <w:rsid w:val="00C82967"/>
    <w:rsid w:val="00C82A23"/>
    <w:rsid w:val="00C82BD1"/>
    <w:rsid w:val="00C82C33"/>
    <w:rsid w:val="00C82C61"/>
    <w:rsid w:val="00C82C8F"/>
    <w:rsid w:val="00C82DA8"/>
    <w:rsid w:val="00C83093"/>
    <w:rsid w:val="00C83096"/>
    <w:rsid w:val="00C830F0"/>
    <w:rsid w:val="00C839E3"/>
    <w:rsid w:val="00C84064"/>
    <w:rsid w:val="00C84310"/>
    <w:rsid w:val="00C84321"/>
    <w:rsid w:val="00C84527"/>
    <w:rsid w:val="00C84576"/>
    <w:rsid w:val="00C847F4"/>
    <w:rsid w:val="00C848A7"/>
    <w:rsid w:val="00C84AF1"/>
    <w:rsid w:val="00C84BD2"/>
    <w:rsid w:val="00C84FE7"/>
    <w:rsid w:val="00C8503F"/>
    <w:rsid w:val="00C85060"/>
    <w:rsid w:val="00C85260"/>
    <w:rsid w:val="00C85269"/>
    <w:rsid w:val="00C85317"/>
    <w:rsid w:val="00C85356"/>
    <w:rsid w:val="00C854D9"/>
    <w:rsid w:val="00C8550A"/>
    <w:rsid w:val="00C85663"/>
    <w:rsid w:val="00C85683"/>
    <w:rsid w:val="00C85719"/>
    <w:rsid w:val="00C8594E"/>
    <w:rsid w:val="00C85B06"/>
    <w:rsid w:val="00C85D10"/>
    <w:rsid w:val="00C85D49"/>
    <w:rsid w:val="00C85FC6"/>
    <w:rsid w:val="00C86063"/>
    <w:rsid w:val="00C86081"/>
    <w:rsid w:val="00C862A1"/>
    <w:rsid w:val="00C862BB"/>
    <w:rsid w:val="00C86346"/>
    <w:rsid w:val="00C86356"/>
    <w:rsid w:val="00C8646D"/>
    <w:rsid w:val="00C86528"/>
    <w:rsid w:val="00C86533"/>
    <w:rsid w:val="00C8665F"/>
    <w:rsid w:val="00C866EF"/>
    <w:rsid w:val="00C86709"/>
    <w:rsid w:val="00C86962"/>
    <w:rsid w:val="00C86F76"/>
    <w:rsid w:val="00C870F9"/>
    <w:rsid w:val="00C8728F"/>
    <w:rsid w:val="00C87307"/>
    <w:rsid w:val="00C87719"/>
    <w:rsid w:val="00C87A24"/>
    <w:rsid w:val="00C87AAA"/>
    <w:rsid w:val="00C87C81"/>
    <w:rsid w:val="00C87D94"/>
    <w:rsid w:val="00C87E09"/>
    <w:rsid w:val="00C87EE0"/>
    <w:rsid w:val="00C90114"/>
    <w:rsid w:val="00C9021D"/>
    <w:rsid w:val="00C9023D"/>
    <w:rsid w:val="00C9023E"/>
    <w:rsid w:val="00C9033A"/>
    <w:rsid w:val="00C906F5"/>
    <w:rsid w:val="00C9081C"/>
    <w:rsid w:val="00C9094E"/>
    <w:rsid w:val="00C90964"/>
    <w:rsid w:val="00C90B8B"/>
    <w:rsid w:val="00C90C56"/>
    <w:rsid w:val="00C90C8F"/>
    <w:rsid w:val="00C90CC0"/>
    <w:rsid w:val="00C90CF5"/>
    <w:rsid w:val="00C90EB2"/>
    <w:rsid w:val="00C90EC7"/>
    <w:rsid w:val="00C90F8B"/>
    <w:rsid w:val="00C91081"/>
    <w:rsid w:val="00C912B1"/>
    <w:rsid w:val="00C912B3"/>
    <w:rsid w:val="00C9135A"/>
    <w:rsid w:val="00C91428"/>
    <w:rsid w:val="00C917D3"/>
    <w:rsid w:val="00C91832"/>
    <w:rsid w:val="00C91892"/>
    <w:rsid w:val="00C91947"/>
    <w:rsid w:val="00C91B16"/>
    <w:rsid w:val="00C91C6A"/>
    <w:rsid w:val="00C91D0F"/>
    <w:rsid w:val="00C91D7C"/>
    <w:rsid w:val="00C91DFA"/>
    <w:rsid w:val="00C91FA4"/>
    <w:rsid w:val="00C9209D"/>
    <w:rsid w:val="00C92204"/>
    <w:rsid w:val="00C9239C"/>
    <w:rsid w:val="00C92449"/>
    <w:rsid w:val="00C92924"/>
    <w:rsid w:val="00C929B7"/>
    <w:rsid w:val="00C929EE"/>
    <w:rsid w:val="00C92BA7"/>
    <w:rsid w:val="00C92BC4"/>
    <w:rsid w:val="00C92C45"/>
    <w:rsid w:val="00C92E2E"/>
    <w:rsid w:val="00C930D2"/>
    <w:rsid w:val="00C9330C"/>
    <w:rsid w:val="00C933FC"/>
    <w:rsid w:val="00C9369A"/>
    <w:rsid w:val="00C9373A"/>
    <w:rsid w:val="00C93765"/>
    <w:rsid w:val="00C93967"/>
    <w:rsid w:val="00C939C2"/>
    <w:rsid w:val="00C94137"/>
    <w:rsid w:val="00C942A8"/>
    <w:rsid w:val="00C94332"/>
    <w:rsid w:val="00C94642"/>
    <w:rsid w:val="00C94B12"/>
    <w:rsid w:val="00C94C5D"/>
    <w:rsid w:val="00C94EAE"/>
    <w:rsid w:val="00C94ECE"/>
    <w:rsid w:val="00C94F10"/>
    <w:rsid w:val="00C94FC6"/>
    <w:rsid w:val="00C9534A"/>
    <w:rsid w:val="00C954F3"/>
    <w:rsid w:val="00C956DD"/>
    <w:rsid w:val="00C95828"/>
    <w:rsid w:val="00C95840"/>
    <w:rsid w:val="00C9585A"/>
    <w:rsid w:val="00C9586C"/>
    <w:rsid w:val="00C958CA"/>
    <w:rsid w:val="00C95930"/>
    <w:rsid w:val="00C95A94"/>
    <w:rsid w:val="00C95BAB"/>
    <w:rsid w:val="00C95D32"/>
    <w:rsid w:val="00C95E3D"/>
    <w:rsid w:val="00C95E4C"/>
    <w:rsid w:val="00C95ED2"/>
    <w:rsid w:val="00C95F4E"/>
    <w:rsid w:val="00C95F87"/>
    <w:rsid w:val="00C95F88"/>
    <w:rsid w:val="00C95FBA"/>
    <w:rsid w:val="00C961F7"/>
    <w:rsid w:val="00C962D5"/>
    <w:rsid w:val="00C9641C"/>
    <w:rsid w:val="00C964D4"/>
    <w:rsid w:val="00C96BB1"/>
    <w:rsid w:val="00C96DCA"/>
    <w:rsid w:val="00C97157"/>
    <w:rsid w:val="00C9729E"/>
    <w:rsid w:val="00C97323"/>
    <w:rsid w:val="00C973A3"/>
    <w:rsid w:val="00C9775A"/>
    <w:rsid w:val="00C977B1"/>
    <w:rsid w:val="00C977DE"/>
    <w:rsid w:val="00C97968"/>
    <w:rsid w:val="00C979AA"/>
    <w:rsid w:val="00C97AC3"/>
    <w:rsid w:val="00C97BF9"/>
    <w:rsid w:val="00C97D8C"/>
    <w:rsid w:val="00C97D90"/>
    <w:rsid w:val="00C97E4C"/>
    <w:rsid w:val="00C97F1F"/>
    <w:rsid w:val="00C97FFB"/>
    <w:rsid w:val="00C99AC1"/>
    <w:rsid w:val="00CA0047"/>
    <w:rsid w:val="00CA0226"/>
    <w:rsid w:val="00CA0376"/>
    <w:rsid w:val="00CA0428"/>
    <w:rsid w:val="00CA04D1"/>
    <w:rsid w:val="00CA04FA"/>
    <w:rsid w:val="00CA04FF"/>
    <w:rsid w:val="00CA052C"/>
    <w:rsid w:val="00CA0601"/>
    <w:rsid w:val="00CA061F"/>
    <w:rsid w:val="00CA06A3"/>
    <w:rsid w:val="00CA06A4"/>
    <w:rsid w:val="00CA08F8"/>
    <w:rsid w:val="00CA0925"/>
    <w:rsid w:val="00CA0C6D"/>
    <w:rsid w:val="00CA0C76"/>
    <w:rsid w:val="00CA0DCD"/>
    <w:rsid w:val="00CA0E88"/>
    <w:rsid w:val="00CA0FC0"/>
    <w:rsid w:val="00CA1048"/>
    <w:rsid w:val="00CA11AF"/>
    <w:rsid w:val="00CA11BE"/>
    <w:rsid w:val="00CA1245"/>
    <w:rsid w:val="00CA13F2"/>
    <w:rsid w:val="00CA1420"/>
    <w:rsid w:val="00CA1596"/>
    <w:rsid w:val="00CA1628"/>
    <w:rsid w:val="00CA195B"/>
    <w:rsid w:val="00CA1991"/>
    <w:rsid w:val="00CA1B51"/>
    <w:rsid w:val="00CA1B93"/>
    <w:rsid w:val="00CA1BE0"/>
    <w:rsid w:val="00CA1E0E"/>
    <w:rsid w:val="00CA1F9C"/>
    <w:rsid w:val="00CA1FAE"/>
    <w:rsid w:val="00CA2071"/>
    <w:rsid w:val="00CA2208"/>
    <w:rsid w:val="00CA2309"/>
    <w:rsid w:val="00CA2348"/>
    <w:rsid w:val="00CA2390"/>
    <w:rsid w:val="00CA2701"/>
    <w:rsid w:val="00CA27AB"/>
    <w:rsid w:val="00CA2935"/>
    <w:rsid w:val="00CA2956"/>
    <w:rsid w:val="00CA29B8"/>
    <w:rsid w:val="00CA2B21"/>
    <w:rsid w:val="00CA2B84"/>
    <w:rsid w:val="00CA2D41"/>
    <w:rsid w:val="00CA2E86"/>
    <w:rsid w:val="00CA2F4A"/>
    <w:rsid w:val="00CA2FAF"/>
    <w:rsid w:val="00CA2FB7"/>
    <w:rsid w:val="00CA2FDF"/>
    <w:rsid w:val="00CA300E"/>
    <w:rsid w:val="00CA3094"/>
    <w:rsid w:val="00CA335E"/>
    <w:rsid w:val="00CA33C4"/>
    <w:rsid w:val="00CA3571"/>
    <w:rsid w:val="00CA361F"/>
    <w:rsid w:val="00CA369F"/>
    <w:rsid w:val="00CA3816"/>
    <w:rsid w:val="00CA389F"/>
    <w:rsid w:val="00CA38AB"/>
    <w:rsid w:val="00CA390F"/>
    <w:rsid w:val="00CA3950"/>
    <w:rsid w:val="00CA3A50"/>
    <w:rsid w:val="00CA3A9B"/>
    <w:rsid w:val="00CA3AA0"/>
    <w:rsid w:val="00CA3AF3"/>
    <w:rsid w:val="00CA3B6D"/>
    <w:rsid w:val="00CA3C13"/>
    <w:rsid w:val="00CA3CBD"/>
    <w:rsid w:val="00CA3D3F"/>
    <w:rsid w:val="00CA3DCA"/>
    <w:rsid w:val="00CA3E48"/>
    <w:rsid w:val="00CA3E67"/>
    <w:rsid w:val="00CA418C"/>
    <w:rsid w:val="00CA46AA"/>
    <w:rsid w:val="00CA475E"/>
    <w:rsid w:val="00CA4BA1"/>
    <w:rsid w:val="00CA4C03"/>
    <w:rsid w:val="00CA4EC8"/>
    <w:rsid w:val="00CA4ECF"/>
    <w:rsid w:val="00CA4F61"/>
    <w:rsid w:val="00CA5120"/>
    <w:rsid w:val="00CA525E"/>
    <w:rsid w:val="00CA54EF"/>
    <w:rsid w:val="00CA5588"/>
    <w:rsid w:val="00CA55C1"/>
    <w:rsid w:val="00CA5643"/>
    <w:rsid w:val="00CA569B"/>
    <w:rsid w:val="00CA5734"/>
    <w:rsid w:val="00CA5B82"/>
    <w:rsid w:val="00CA5CD6"/>
    <w:rsid w:val="00CA5CEF"/>
    <w:rsid w:val="00CA5DF4"/>
    <w:rsid w:val="00CA60F0"/>
    <w:rsid w:val="00CA6160"/>
    <w:rsid w:val="00CA62AD"/>
    <w:rsid w:val="00CA634F"/>
    <w:rsid w:val="00CA660E"/>
    <w:rsid w:val="00CA666C"/>
    <w:rsid w:val="00CA66AE"/>
    <w:rsid w:val="00CA6882"/>
    <w:rsid w:val="00CA6BA6"/>
    <w:rsid w:val="00CA6C7A"/>
    <w:rsid w:val="00CA6CC8"/>
    <w:rsid w:val="00CA6D0C"/>
    <w:rsid w:val="00CA6E6F"/>
    <w:rsid w:val="00CA70B1"/>
    <w:rsid w:val="00CA7297"/>
    <w:rsid w:val="00CA73E7"/>
    <w:rsid w:val="00CA7B88"/>
    <w:rsid w:val="00CA7BE3"/>
    <w:rsid w:val="00CA7E02"/>
    <w:rsid w:val="00CA7E52"/>
    <w:rsid w:val="00CA7EB5"/>
    <w:rsid w:val="00CA7F6F"/>
    <w:rsid w:val="00CB0474"/>
    <w:rsid w:val="00CB0C6E"/>
    <w:rsid w:val="00CB0E3E"/>
    <w:rsid w:val="00CB0F60"/>
    <w:rsid w:val="00CB0F8D"/>
    <w:rsid w:val="00CB0FFE"/>
    <w:rsid w:val="00CB11ED"/>
    <w:rsid w:val="00CB1253"/>
    <w:rsid w:val="00CB1363"/>
    <w:rsid w:val="00CB15C7"/>
    <w:rsid w:val="00CB15DA"/>
    <w:rsid w:val="00CB169D"/>
    <w:rsid w:val="00CB18C7"/>
    <w:rsid w:val="00CB1CD9"/>
    <w:rsid w:val="00CB1EE7"/>
    <w:rsid w:val="00CB1F4F"/>
    <w:rsid w:val="00CB1F79"/>
    <w:rsid w:val="00CB20EC"/>
    <w:rsid w:val="00CB2296"/>
    <w:rsid w:val="00CB2565"/>
    <w:rsid w:val="00CB25A0"/>
    <w:rsid w:val="00CB273C"/>
    <w:rsid w:val="00CB2770"/>
    <w:rsid w:val="00CB278A"/>
    <w:rsid w:val="00CB2814"/>
    <w:rsid w:val="00CB2A80"/>
    <w:rsid w:val="00CB2B7C"/>
    <w:rsid w:val="00CB2C6C"/>
    <w:rsid w:val="00CB2F58"/>
    <w:rsid w:val="00CB32A2"/>
    <w:rsid w:val="00CB32BD"/>
    <w:rsid w:val="00CB3411"/>
    <w:rsid w:val="00CB342C"/>
    <w:rsid w:val="00CB342E"/>
    <w:rsid w:val="00CB37A5"/>
    <w:rsid w:val="00CB37F9"/>
    <w:rsid w:val="00CB3B31"/>
    <w:rsid w:val="00CB3BE2"/>
    <w:rsid w:val="00CB3BFC"/>
    <w:rsid w:val="00CB3C02"/>
    <w:rsid w:val="00CB3DAD"/>
    <w:rsid w:val="00CB3EBC"/>
    <w:rsid w:val="00CB42B9"/>
    <w:rsid w:val="00CB4360"/>
    <w:rsid w:val="00CB45B1"/>
    <w:rsid w:val="00CB4674"/>
    <w:rsid w:val="00CB4747"/>
    <w:rsid w:val="00CB4783"/>
    <w:rsid w:val="00CB4808"/>
    <w:rsid w:val="00CB4947"/>
    <w:rsid w:val="00CB4A78"/>
    <w:rsid w:val="00CB4AC8"/>
    <w:rsid w:val="00CB4BE8"/>
    <w:rsid w:val="00CB4C3C"/>
    <w:rsid w:val="00CB4DB3"/>
    <w:rsid w:val="00CB50FF"/>
    <w:rsid w:val="00CB51B4"/>
    <w:rsid w:val="00CB5542"/>
    <w:rsid w:val="00CB5792"/>
    <w:rsid w:val="00CB5B88"/>
    <w:rsid w:val="00CB5BE5"/>
    <w:rsid w:val="00CB5C21"/>
    <w:rsid w:val="00CB5FC9"/>
    <w:rsid w:val="00CB60F4"/>
    <w:rsid w:val="00CB61B0"/>
    <w:rsid w:val="00CB6274"/>
    <w:rsid w:val="00CB63D1"/>
    <w:rsid w:val="00CB6401"/>
    <w:rsid w:val="00CB667A"/>
    <w:rsid w:val="00CB66C5"/>
    <w:rsid w:val="00CB66E0"/>
    <w:rsid w:val="00CB6810"/>
    <w:rsid w:val="00CB6988"/>
    <w:rsid w:val="00CB6A35"/>
    <w:rsid w:val="00CB6C00"/>
    <w:rsid w:val="00CB6C9E"/>
    <w:rsid w:val="00CB6DB5"/>
    <w:rsid w:val="00CB6DE4"/>
    <w:rsid w:val="00CB6E2D"/>
    <w:rsid w:val="00CB7045"/>
    <w:rsid w:val="00CB7057"/>
    <w:rsid w:val="00CB71F0"/>
    <w:rsid w:val="00CB730B"/>
    <w:rsid w:val="00CB73DD"/>
    <w:rsid w:val="00CB7589"/>
    <w:rsid w:val="00CB77F5"/>
    <w:rsid w:val="00CB787E"/>
    <w:rsid w:val="00CB78A0"/>
    <w:rsid w:val="00CB78CD"/>
    <w:rsid w:val="00CB7977"/>
    <w:rsid w:val="00CB7A36"/>
    <w:rsid w:val="00CB7C47"/>
    <w:rsid w:val="00CB7DB8"/>
    <w:rsid w:val="00CB7F01"/>
    <w:rsid w:val="00CC014D"/>
    <w:rsid w:val="00CC01A9"/>
    <w:rsid w:val="00CC0239"/>
    <w:rsid w:val="00CC026E"/>
    <w:rsid w:val="00CC0397"/>
    <w:rsid w:val="00CC0533"/>
    <w:rsid w:val="00CC07AC"/>
    <w:rsid w:val="00CC08CD"/>
    <w:rsid w:val="00CC0A4B"/>
    <w:rsid w:val="00CC0B5A"/>
    <w:rsid w:val="00CC0BD9"/>
    <w:rsid w:val="00CC0D94"/>
    <w:rsid w:val="00CC1003"/>
    <w:rsid w:val="00CC1205"/>
    <w:rsid w:val="00CC1550"/>
    <w:rsid w:val="00CC15BA"/>
    <w:rsid w:val="00CC1763"/>
    <w:rsid w:val="00CC1A79"/>
    <w:rsid w:val="00CC1B6B"/>
    <w:rsid w:val="00CC1D35"/>
    <w:rsid w:val="00CC1D58"/>
    <w:rsid w:val="00CC1FA1"/>
    <w:rsid w:val="00CC2260"/>
    <w:rsid w:val="00CC23A7"/>
    <w:rsid w:val="00CC242F"/>
    <w:rsid w:val="00CC2577"/>
    <w:rsid w:val="00CC25CF"/>
    <w:rsid w:val="00CC2637"/>
    <w:rsid w:val="00CC267F"/>
    <w:rsid w:val="00CC2694"/>
    <w:rsid w:val="00CC2CC0"/>
    <w:rsid w:val="00CC2CC4"/>
    <w:rsid w:val="00CC2CE0"/>
    <w:rsid w:val="00CC2E6B"/>
    <w:rsid w:val="00CC32AF"/>
    <w:rsid w:val="00CC32ED"/>
    <w:rsid w:val="00CC336D"/>
    <w:rsid w:val="00CC357D"/>
    <w:rsid w:val="00CC366F"/>
    <w:rsid w:val="00CC3962"/>
    <w:rsid w:val="00CC396E"/>
    <w:rsid w:val="00CC39D1"/>
    <w:rsid w:val="00CC3AA1"/>
    <w:rsid w:val="00CC3B8E"/>
    <w:rsid w:val="00CC3C04"/>
    <w:rsid w:val="00CC3CA9"/>
    <w:rsid w:val="00CC3D73"/>
    <w:rsid w:val="00CC3E79"/>
    <w:rsid w:val="00CC3EF5"/>
    <w:rsid w:val="00CC40B3"/>
    <w:rsid w:val="00CC4269"/>
    <w:rsid w:val="00CC45F4"/>
    <w:rsid w:val="00CC481B"/>
    <w:rsid w:val="00CC4979"/>
    <w:rsid w:val="00CC4AF6"/>
    <w:rsid w:val="00CC4C77"/>
    <w:rsid w:val="00CC53C3"/>
    <w:rsid w:val="00CC55C4"/>
    <w:rsid w:val="00CC581A"/>
    <w:rsid w:val="00CC5910"/>
    <w:rsid w:val="00CC601A"/>
    <w:rsid w:val="00CC6036"/>
    <w:rsid w:val="00CC61A8"/>
    <w:rsid w:val="00CC633B"/>
    <w:rsid w:val="00CC6411"/>
    <w:rsid w:val="00CC6492"/>
    <w:rsid w:val="00CC65A6"/>
    <w:rsid w:val="00CC6872"/>
    <w:rsid w:val="00CC6A10"/>
    <w:rsid w:val="00CC6BEE"/>
    <w:rsid w:val="00CC6C33"/>
    <w:rsid w:val="00CC6C48"/>
    <w:rsid w:val="00CC6C67"/>
    <w:rsid w:val="00CC6D19"/>
    <w:rsid w:val="00CC7268"/>
    <w:rsid w:val="00CC74DA"/>
    <w:rsid w:val="00CC7590"/>
    <w:rsid w:val="00CC75CE"/>
    <w:rsid w:val="00CC77EF"/>
    <w:rsid w:val="00CC7848"/>
    <w:rsid w:val="00CC7900"/>
    <w:rsid w:val="00CC7ACD"/>
    <w:rsid w:val="00CC7C3B"/>
    <w:rsid w:val="00CC7ECC"/>
    <w:rsid w:val="00CD0081"/>
    <w:rsid w:val="00CD00F7"/>
    <w:rsid w:val="00CD01C8"/>
    <w:rsid w:val="00CD0311"/>
    <w:rsid w:val="00CD03DC"/>
    <w:rsid w:val="00CD07DD"/>
    <w:rsid w:val="00CD0955"/>
    <w:rsid w:val="00CD0B8F"/>
    <w:rsid w:val="00CD0BE5"/>
    <w:rsid w:val="00CD0C6B"/>
    <w:rsid w:val="00CD0D53"/>
    <w:rsid w:val="00CD0D79"/>
    <w:rsid w:val="00CD0EE5"/>
    <w:rsid w:val="00CD0F86"/>
    <w:rsid w:val="00CD1280"/>
    <w:rsid w:val="00CD12E2"/>
    <w:rsid w:val="00CD1534"/>
    <w:rsid w:val="00CD1876"/>
    <w:rsid w:val="00CD19F4"/>
    <w:rsid w:val="00CD1A90"/>
    <w:rsid w:val="00CD1ACD"/>
    <w:rsid w:val="00CD1B03"/>
    <w:rsid w:val="00CD1BD5"/>
    <w:rsid w:val="00CD2093"/>
    <w:rsid w:val="00CD20E2"/>
    <w:rsid w:val="00CD216F"/>
    <w:rsid w:val="00CD232C"/>
    <w:rsid w:val="00CD24ED"/>
    <w:rsid w:val="00CD258B"/>
    <w:rsid w:val="00CD25F8"/>
    <w:rsid w:val="00CD26CB"/>
    <w:rsid w:val="00CD272E"/>
    <w:rsid w:val="00CD27B7"/>
    <w:rsid w:val="00CD28F7"/>
    <w:rsid w:val="00CD2954"/>
    <w:rsid w:val="00CD29D7"/>
    <w:rsid w:val="00CD2A2A"/>
    <w:rsid w:val="00CD2A3A"/>
    <w:rsid w:val="00CD2AA5"/>
    <w:rsid w:val="00CD2BB4"/>
    <w:rsid w:val="00CD2D90"/>
    <w:rsid w:val="00CD2F52"/>
    <w:rsid w:val="00CD2F7C"/>
    <w:rsid w:val="00CD2FD5"/>
    <w:rsid w:val="00CD314B"/>
    <w:rsid w:val="00CD316A"/>
    <w:rsid w:val="00CD331E"/>
    <w:rsid w:val="00CD335D"/>
    <w:rsid w:val="00CD33A3"/>
    <w:rsid w:val="00CD34E5"/>
    <w:rsid w:val="00CD34EA"/>
    <w:rsid w:val="00CD384C"/>
    <w:rsid w:val="00CD39E4"/>
    <w:rsid w:val="00CD3A0D"/>
    <w:rsid w:val="00CD3A79"/>
    <w:rsid w:val="00CD3AAA"/>
    <w:rsid w:val="00CD3ABC"/>
    <w:rsid w:val="00CD402D"/>
    <w:rsid w:val="00CD41BA"/>
    <w:rsid w:val="00CD43E1"/>
    <w:rsid w:val="00CD4536"/>
    <w:rsid w:val="00CD45E4"/>
    <w:rsid w:val="00CD474F"/>
    <w:rsid w:val="00CD47A4"/>
    <w:rsid w:val="00CD488D"/>
    <w:rsid w:val="00CD4924"/>
    <w:rsid w:val="00CD4932"/>
    <w:rsid w:val="00CD49C1"/>
    <w:rsid w:val="00CD4B75"/>
    <w:rsid w:val="00CD4DDB"/>
    <w:rsid w:val="00CD50DE"/>
    <w:rsid w:val="00CD513C"/>
    <w:rsid w:val="00CD52D3"/>
    <w:rsid w:val="00CD53B2"/>
    <w:rsid w:val="00CD579D"/>
    <w:rsid w:val="00CD57C6"/>
    <w:rsid w:val="00CD580B"/>
    <w:rsid w:val="00CD5830"/>
    <w:rsid w:val="00CD5854"/>
    <w:rsid w:val="00CD5930"/>
    <w:rsid w:val="00CD5A20"/>
    <w:rsid w:val="00CD5AEE"/>
    <w:rsid w:val="00CD5C5C"/>
    <w:rsid w:val="00CD5CFE"/>
    <w:rsid w:val="00CD5E39"/>
    <w:rsid w:val="00CD6006"/>
    <w:rsid w:val="00CD6028"/>
    <w:rsid w:val="00CD610C"/>
    <w:rsid w:val="00CD61B0"/>
    <w:rsid w:val="00CD649C"/>
    <w:rsid w:val="00CD6522"/>
    <w:rsid w:val="00CD6929"/>
    <w:rsid w:val="00CD6A10"/>
    <w:rsid w:val="00CD6CA2"/>
    <w:rsid w:val="00CD6D0F"/>
    <w:rsid w:val="00CD6D62"/>
    <w:rsid w:val="00CD6D73"/>
    <w:rsid w:val="00CD6D77"/>
    <w:rsid w:val="00CD6DE5"/>
    <w:rsid w:val="00CD6F3F"/>
    <w:rsid w:val="00CD6FF5"/>
    <w:rsid w:val="00CD71E5"/>
    <w:rsid w:val="00CD7218"/>
    <w:rsid w:val="00CD72BD"/>
    <w:rsid w:val="00CD7398"/>
    <w:rsid w:val="00CD78CC"/>
    <w:rsid w:val="00CD7923"/>
    <w:rsid w:val="00CD797B"/>
    <w:rsid w:val="00CD7B3A"/>
    <w:rsid w:val="00CD7B71"/>
    <w:rsid w:val="00CD7BE3"/>
    <w:rsid w:val="00CD7BE7"/>
    <w:rsid w:val="00CD7E80"/>
    <w:rsid w:val="00CE0241"/>
    <w:rsid w:val="00CE04CD"/>
    <w:rsid w:val="00CE06D2"/>
    <w:rsid w:val="00CE0713"/>
    <w:rsid w:val="00CE0878"/>
    <w:rsid w:val="00CE08D2"/>
    <w:rsid w:val="00CE0950"/>
    <w:rsid w:val="00CE0A3E"/>
    <w:rsid w:val="00CE0AD8"/>
    <w:rsid w:val="00CE0B04"/>
    <w:rsid w:val="00CE0B7C"/>
    <w:rsid w:val="00CE0C44"/>
    <w:rsid w:val="00CE0CDC"/>
    <w:rsid w:val="00CE0CE7"/>
    <w:rsid w:val="00CE0CFC"/>
    <w:rsid w:val="00CE0FDC"/>
    <w:rsid w:val="00CE100F"/>
    <w:rsid w:val="00CE11E1"/>
    <w:rsid w:val="00CE1302"/>
    <w:rsid w:val="00CE14F3"/>
    <w:rsid w:val="00CE16DC"/>
    <w:rsid w:val="00CE18C2"/>
    <w:rsid w:val="00CE18D7"/>
    <w:rsid w:val="00CE19E3"/>
    <w:rsid w:val="00CE1A25"/>
    <w:rsid w:val="00CE1AB7"/>
    <w:rsid w:val="00CE1B91"/>
    <w:rsid w:val="00CE1C18"/>
    <w:rsid w:val="00CE1CDE"/>
    <w:rsid w:val="00CE1F61"/>
    <w:rsid w:val="00CE2035"/>
    <w:rsid w:val="00CE203F"/>
    <w:rsid w:val="00CE20FE"/>
    <w:rsid w:val="00CE214A"/>
    <w:rsid w:val="00CE226F"/>
    <w:rsid w:val="00CE22C2"/>
    <w:rsid w:val="00CE230F"/>
    <w:rsid w:val="00CE2449"/>
    <w:rsid w:val="00CE2725"/>
    <w:rsid w:val="00CE272E"/>
    <w:rsid w:val="00CE27E3"/>
    <w:rsid w:val="00CE29C5"/>
    <w:rsid w:val="00CE2D2D"/>
    <w:rsid w:val="00CE30EA"/>
    <w:rsid w:val="00CE33FD"/>
    <w:rsid w:val="00CE34E2"/>
    <w:rsid w:val="00CE35C5"/>
    <w:rsid w:val="00CE35E8"/>
    <w:rsid w:val="00CE385F"/>
    <w:rsid w:val="00CE3A12"/>
    <w:rsid w:val="00CE3A84"/>
    <w:rsid w:val="00CE3A9D"/>
    <w:rsid w:val="00CE3C00"/>
    <w:rsid w:val="00CE3D25"/>
    <w:rsid w:val="00CE3E06"/>
    <w:rsid w:val="00CE3E0B"/>
    <w:rsid w:val="00CE3F0E"/>
    <w:rsid w:val="00CE3F40"/>
    <w:rsid w:val="00CE4236"/>
    <w:rsid w:val="00CE425A"/>
    <w:rsid w:val="00CE4595"/>
    <w:rsid w:val="00CE45D8"/>
    <w:rsid w:val="00CE4702"/>
    <w:rsid w:val="00CE4807"/>
    <w:rsid w:val="00CE484C"/>
    <w:rsid w:val="00CE4969"/>
    <w:rsid w:val="00CE4CB0"/>
    <w:rsid w:val="00CE4E66"/>
    <w:rsid w:val="00CE4ED7"/>
    <w:rsid w:val="00CE4ED8"/>
    <w:rsid w:val="00CE4F26"/>
    <w:rsid w:val="00CE502C"/>
    <w:rsid w:val="00CE5103"/>
    <w:rsid w:val="00CE522E"/>
    <w:rsid w:val="00CE5389"/>
    <w:rsid w:val="00CE549E"/>
    <w:rsid w:val="00CE54B9"/>
    <w:rsid w:val="00CE55C8"/>
    <w:rsid w:val="00CE57AB"/>
    <w:rsid w:val="00CE58FD"/>
    <w:rsid w:val="00CE5C0C"/>
    <w:rsid w:val="00CE5C24"/>
    <w:rsid w:val="00CE5E51"/>
    <w:rsid w:val="00CE5F27"/>
    <w:rsid w:val="00CE604B"/>
    <w:rsid w:val="00CE6149"/>
    <w:rsid w:val="00CE617E"/>
    <w:rsid w:val="00CE64AE"/>
    <w:rsid w:val="00CE65AB"/>
    <w:rsid w:val="00CE6672"/>
    <w:rsid w:val="00CE6917"/>
    <w:rsid w:val="00CE6B63"/>
    <w:rsid w:val="00CE6B78"/>
    <w:rsid w:val="00CE6B90"/>
    <w:rsid w:val="00CE6BCE"/>
    <w:rsid w:val="00CE6DCA"/>
    <w:rsid w:val="00CE6DDD"/>
    <w:rsid w:val="00CE6FF8"/>
    <w:rsid w:val="00CE70B6"/>
    <w:rsid w:val="00CE7142"/>
    <w:rsid w:val="00CE71EB"/>
    <w:rsid w:val="00CE7238"/>
    <w:rsid w:val="00CE723D"/>
    <w:rsid w:val="00CE7377"/>
    <w:rsid w:val="00CE749A"/>
    <w:rsid w:val="00CE7532"/>
    <w:rsid w:val="00CE779F"/>
    <w:rsid w:val="00CE7985"/>
    <w:rsid w:val="00CE799E"/>
    <w:rsid w:val="00CE7C72"/>
    <w:rsid w:val="00CE7C7E"/>
    <w:rsid w:val="00CE7CC2"/>
    <w:rsid w:val="00CE7DBE"/>
    <w:rsid w:val="00CE7DF8"/>
    <w:rsid w:val="00CE7E70"/>
    <w:rsid w:val="00CF0086"/>
    <w:rsid w:val="00CF0495"/>
    <w:rsid w:val="00CF08E2"/>
    <w:rsid w:val="00CF0997"/>
    <w:rsid w:val="00CF09FA"/>
    <w:rsid w:val="00CF0A94"/>
    <w:rsid w:val="00CF0B2F"/>
    <w:rsid w:val="00CF0B6A"/>
    <w:rsid w:val="00CF0D3F"/>
    <w:rsid w:val="00CF0D4F"/>
    <w:rsid w:val="00CF100B"/>
    <w:rsid w:val="00CF1213"/>
    <w:rsid w:val="00CF1327"/>
    <w:rsid w:val="00CF13C0"/>
    <w:rsid w:val="00CF146C"/>
    <w:rsid w:val="00CF14B6"/>
    <w:rsid w:val="00CF14FA"/>
    <w:rsid w:val="00CF15A5"/>
    <w:rsid w:val="00CF1650"/>
    <w:rsid w:val="00CF17A4"/>
    <w:rsid w:val="00CF1945"/>
    <w:rsid w:val="00CF1AFA"/>
    <w:rsid w:val="00CF1B29"/>
    <w:rsid w:val="00CF1BBC"/>
    <w:rsid w:val="00CF1BDC"/>
    <w:rsid w:val="00CF1CD7"/>
    <w:rsid w:val="00CF1F79"/>
    <w:rsid w:val="00CF1FCC"/>
    <w:rsid w:val="00CF203D"/>
    <w:rsid w:val="00CF209A"/>
    <w:rsid w:val="00CF22A0"/>
    <w:rsid w:val="00CF22E1"/>
    <w:rsid w:val="00CF23E8"/>
    <w:rsid w:val="00CF256D"/>
    <w:rsid w:val="00CF2623"/>
    <w:rsid w:val="00CF2856"/>
    <w:rsid w:val="00CF2A5F"/>
    <w:rsid w:val="00CF2B6E"/>
    <w:rsid w:val="00CF2C65"/>
    <w:rsid w:val="00CF2D7B"/>
    <w:rsid w:val="00CF30ED"/>
    <w:rsid w:val="00CF312C"/>
    <w:rsid w:val="00CF319B"/>
    <w:rsid w:val="00CF3311"/>
    <w:rsid w:val="00CF3366"/>
    <w:rsid w:val="00CF35A0"/>
    <w:rsid w:val="00CF367D"/>
    <w:rsid w:val="00CF3819"/>
    <w:rsid w:val="00CF3C11"/>
    <w:rsid w:val="00CF3C53"/>
    <w:rsid w:val="00CF3EE4"/>
    <w:rsid w:val="00CF3EFF"/>
    <w:rsid w:val="00CF4281"/>
    <w:rsid w:val="00CF428D"/>
    <w:rsid w:val="00CF42AE"/>
    <w:rsid w:val="00CF43CC"/>
    <w:rsid w:val="00CF452A"/>
    <w:rsid w:val="00CF456A"/>
    <w:rsid w:val="00CF46CC"/>
    <w:rsid w:val="00CF4753"/>
    <w:rsid w:val="00CF4977"/>
    <w:rsid w:val="00CF49B4"/>
    <w:rsid w:val="00CF5087"/>
    <w:rsid w:val="00CF5117"/>
    <w:rsid w:val="00CF513A"/>
    <w:rsid w:val="00CF5279"/>
    <w:rsid w:val="00CF544C"/>
    <w:rsid w:val="00CF5572"/>
    <w:rsid w:val="00CF5744"/>
    <w:rsid w:val="00CF5814"/>
    <w:rsid w:val="00CF5AC0"/>
    <w:rsid w:val="00CF5B5C"/>
    <w:rsid w:val="00CF5C8D"/>
    <w:rsid w:val="00CF5C9E"/>
    <w:rsid w:val="00CF5CB7"/>
    <w:rsid w:val="00CF5DC1"/>
    <w:rsid w:val="00CF5EA1"/>
    <w:rsid w:val="00CF5F86"/>
    <w:rsid w:val="00CF5F90"/>
    <w:rsid w:val="00CF64A0"/>
    <w:rsid w:val="00CF65B1"/>
    <w:rsid w:val="00CF6618"/>
    <w:rsid w:val="00CF6628"/>
    <w:rsid w:val="00CF667E"/>
    <w:rsid w:val="00CF6910"/>
    <w:rsid w:val="00CF6A11"/>
    <w:rsid w:val="00CF6F48"/>
    <w:rsid w:val="00CF71E8"/>
    <w:rsid w:val="00CF727D"/>
    <w:rsid w:val="00CF7343"/>
    <w:rsid w:val="00CF73A7"/>
    <w:rsid w:val="00CF741F"/>
    <w:rsid w:val="00CF7647"/>
    <w:rsid w:val="00CF784A"/>
    <w:rsid w:val="00CF7A7A"/>
    <w:rsid w:val="00CF7AE5"/>
    <w:rsid w:val="00CF7B8C"/>
    <w:rsid w:val="00CF7BA8"/>
    <w:rsid w:val="00CF7CC9"/>
    <w:rsid w:val="00CF7D26"/>
    <w:rsid w:val="00CF7D30"/>
    <w:rsid w:val="00CF7ED7"/>
    <w:rsid w:val="00CF7EE4"/>
    <w:rsid w:val="00CF7F39"/>
    <w:rsid w:val="00CF7F80"/>
    <w:rsid w:val="00CF7F8F"/>
    <w:rsid w:val="00D0002F"/>
    <w:rsid w:val="00D002B6"/>
    <w:rsid w:val="00D005DE"/>
    <w:rsid w:val="00D00743"/>
    <w:rsid w:val="00D00781"/>
    <w:rsid w:val="00D007F1"/>
    <w:rsid w:val="00D008AB"/>
    <w:rsid w:val="00D00911"/>
    <w:rsid w:val="00D00A77"/>
    <w:rsid w:val="00D00C29"/>
    <w:rsid w:val="00D00EC3"/>
    <w:rsid w:val="00D00FDF"/>
    <w:rsid w:val="00D011C2"/>
    <w:rsid w:val="00D012AA"/>
    <w:rsid w:val="00D012B6"/>
    <w:rsid w:val="00D014BF"/>
    <w:rsid w:val="00D016E0"/>
    <w:rsid w:val="00D01702"/>
    <w:rsid w:val="00D0173C"/>
    <w:rsid w:val="00D018C7"/>
    <w:rsid w:val="00D01B12"/>
    <w:rsid w:val="00D01D0B"/>
    <w:rsid w:val="00D01EC7"/>
    <w:rsid w:val="00D020D0"/>
    <w:rsid w:val="00D020F0"/>
    <w:rsid w:val="00D0211E"/>
    <w:rsid w:val="00D022E3"/>
    <w:rsid w:val="00D02315"/>
    <w:rsid w:val="00D02508"/>
    <w:rsid w:val="00D025AB"/>
    <w:rsid w:val="00D02642"/>
    <w:rsid w:val="00D0282E"/>
    <w:rsid w:val="00D0293B"/>
    <w:rsid w:val="00D02AD9"/>
    <w:rsid w:val="00D02B62"/>
    <w:rsid w:val="00D02BA0"/>
    <w:rsid w:val="00D02C8B"/>
    <w:rsid w:val="00D02ED1"/>
    <w:rsid w:val="00D03040"/>
    <w:rsid w:val="00D030EB"/>
    <w:rsid w:val="00D03153"/>
    <w:rsid w:val="00D031F0"/>
    <w:rsid w:val="00D032BB"/>
    <w:rsid w:val="00D03391"/>
    <w:rsid w:val="00D03416"/>
    <w:rsid w:val="00D038F2"/>
    <w:rsid w:val="00D039E3"/>
    <w:rsid w:val="00D03AF2"/>
    <w:rsid w:val="00D03C64"/>
    <w:rsid w:val="00D04047"/>
    <w:rsid w:val="00D0432C"/>
    <w:rsid w:val="00D04489"/>
    <w:rsid w:val="00D0462B"/>
    <w:rsid w:val="00D046DB"/>
    <w:rsid w:val="00D04B7A"/>
    <w:rsid w:val="00D04E34"/>
    <w:rsid w:val="00D04E72"/>
    <w:rsid w:val="00D04F79"/>
    <w:rsid w:val="00D05024"/>
    <w:rsid w:val="00D050F3"/>
    <w:rsid w:val="00D052C1"/>
    <w:rsid w:val="00D053D0"/>
    <w:rsid w:val="00D0546A"/>
    <w:rsid w:val="00D05515"/>
    <w:rsid w:val="00D056F2"/>
    <w:rsid w:val="00D0582F"/>
    <w:rsid w:val="00D05D79"/>
    <w:rsid w:val="00D0615B"/>
    <w:rsid w:val="00D06436"/>
    <w:rsid w:val="00D06488"/>
    <w:rsid w:val="00D06521"/>
    <w:rsid w:val="00D066BB"/>
    <w:rsid w:val="00D06713"/>
    <w:rsid w:val="00D06793"/>
    <w:rsid w:val="00D0680A"/>
    <w:rsid w:val="00D06888"/>
    <w:rsid w:val="00D069B6"/>
    <w:rsid w:val="00D06A07"/>
    <w:rsid w:val="00D06A87"/>
    <w:rsid w:val="00D06AF3"/>
    <w:rsid w:val="00D06CF0"/>
    <w:rsid w:val="00D06F7C"/>
    <w:rsid w:val="00D06FF5"/>
    <w:rsid w:val="00D07163"/>
    <w:rsid w:val="00D0720E"/>
    <w:rsid w:val="00D07245"/>
    <w:rsid w:val="00D0734B"/>
    <w:rsid w:val="00D07450"/>
    <w:rsid w:val="00D07487"/>
    <w:rsid w:val="00D076FB"/>
    <w:rsid w:val="00D07733"/>
    <w:rsid w:val="00D077AA"/>
    <w:rsid w:val="00D07945"/>
    <w:rsid w:val="00D07BE7"/>
    <w:rsid w:val="00D07CB4"/>
    <w:rsid w:val="00D07F7B"/>
    <w:rsid w:val="00D102EF"/>
    <w:rsid w:val="00D10327"/>
    <w:rsid w:val="00D10379"/>
    <w:rsid w:val="00D103B8"/>
    <w:rsid w:val="00D10404"/>
    <w:rsid w:val="00D1051C"/>
    <w:rsid w:val="00D105D1"/>
    <w:rsid w:val="00D10628"/>
    <w:rsid w:val="00D10711"/>
    <w:rsid w:val="00D107EA"/>
    <w:rsid w:val="00D1087D"/>
    <w:rsid w:val="00D1095C"/>
    <w:rsid w:val="00D10BCB"/>
    <w:rsid w:val="00D10D0B"/>
    <w:rsid w:val="00D10DB4"/>
    <w:rsid w:val="00D10EDE"/>
    <w:rsid w:val="00D1109B"/>
    <w:rsid w:val="00D1127D"/>
    <w:rsid w:val="00D11372"/>
    <w:rsid w:val="00D11388"/>
    <w:rsid w:val="00D1147D"/>
    <w:rsid w:val="00D115A7"/>
    <w:rsid w:val="00D11723"/>
    <w:rsid w:val="00D11A09"/>
    <w:rsid w:val="00D11CD8"/>
    <w:rsid w:val="00D11F10"/>
    <w:rsid w:val="00D12003"/>
    <w:rsid w:val="00D12141"/>
    <w:rsid w:val="00D1229D"/>
    <w:rsid w:val="00D12457"/>
    <w:rsid w:val="00D125A2"/>
    <w:rsid w:val="00D127AB"/>
    <w:rsid w:val="00D12971"/>
    <w:rsid w:val="00D12CFC"/>
    <w:rsid w:val="00D12E0D"/>
    <w:rsid w:val="00D12EF0"/>
    <w:rsid w:val="00D135D6"/>
    <w:rsid w:val="00D136D6"/>
    <w:rsid w:val="00D13847"/>
    <w:rsid w:val="00D138F7"/>
    <w:rsid w:val="00D1392D"/>
    <w:rsid w:val="00D13962"/>
    <w:rsid w:val="00D139CA"/>
    <w:rsid w:val="00D13A19"/>
    <w:rsid w:val="00D13B36"/>
    <w:rsid w:val="00D13B3B"/>
    <w:rsid w:val="00D13C0F"/>
    <w:rsid w:val="00D13DD4"/>
    <w:rsid w:val="00D14409"/>
    <w:rsid w:val="00D144E6"/>
    <w:rsid w:val="00D1461A"/>
    <w:rsid w:val="00D148EA"/>
    <w:rsid w:val="00D148FB"/>
    <w:rsid w:val="00D1498E"/>
    <w:rsid w:val="00D14BCC"/>
    <w:rsid w:val="00D14C33"/>
    <w:rsid w:val="00D14C61"/>
    <w:rsid w:val="00D14D4C"/>
    <w:rsid w:val="00D14E53"/>
    <w:rsid w:val="00D14F10"/>
    <w:rsid w:val="00D15245"/>
    <w:rsid w:val="00D154EA"/>
    <w:rsid w:val="00D1572E"/>
    <w:rsid w:val="00D15783"/>
    <w:rsid w:val="00D157CA"/>
    <w:rsid w:val="00D158EB"/>
    <w:rsid w:val="00D159A0"/>
    <w:rsid w:val="00D15A43"/>
    <w:rsid w:val="00D15B34"/>
    <w:rsid w:val="00D15B41"/>
    <w:rsid w:val="00D15D5C"/>
    <w:rsid w:val="00D15F14"/>
    <w:rsid w:val="00D16026"/>
    <w:rsid w:val="00D16057"/>
    <w:rsid w:val="00D161EA"/>
    <w:rsid w:val="00D16205"/>
    <w:rsid w:val="00D16219"/>
    <w:rsid w:val="00D1624C"/>
    <w:rsid w:val="00D16251"/>
    <w:rsid w:val="00D162E1"/>
    <w:rsid w:val="00D162E9"/>
    <w:rsid w:val="00D1633C"/>
    <w:rsid w:val="00D16573"/>
    <w:rsid w:val="00D167BB"/>
    <w:rsid w:val="00D16ACB"/>
    <w:rsid w:val="00D16B28"/>
    <w:rsid w:val="00D16B7E"/>
    <w:rsid w:val="00D16FA3"/>
    <w:rsid w:val="00D170D4"/>
    <w:rsid w:val="00D17285"/>
    <w:rsid w:val="00D174FF"/>
    <w:rsid w:val="00D17553"/>
    <w:rsid w:val="00D17574"/>
    <w:rsid w:val="00D175EA"/>
    <w:rsid w:val="00D177DA"/>
    <w:rsid w:val="00D177E2"/>
    <w:rsid w:val="00D17AEB"/>
    <w:rsid w:val="00D17CB3"/>
    <w:rsid w:val="00D17DCF"/>
    <w:rsid w:val="00D17F48"/>
    <w:rsid w:val="00D1E861"/>
    <w:rsid w:val="00D20155"/>
    <w:rsid w:val="00D20759"/>
    <w:rsid w:val="00D2094C"/>
    <w:rsid w:val="00D20960"/>
    <w:rsid w:val="00D20A0C"/>
    <w:rsid w:val="00D20AB8"/>
    <w:rsid w:val="00D20B2F"/>
    <w:rsid w:val="00D20B86"/>
    <w:rsid w:val="00D20D31"/>
    <w:rsid w:val="00D20D41"/>
    <w:rsid w:val="00D21022"/>
    <w:rsid w:val="00D21282"/>
    <w:rsid w:val="00D215A5"/>
    <w:rsid w:val="00D21739"/>
    <w:rsid w:val="00D21B05"/>
    <w:rsid w:val="00D21FB2"/>
    <w:rsid w:val="00D222BB"/>
    <w:rsid w:val="00D22530"/>
    <w:rsid w:val="00D225B9"/>
    <w:rsid w:val="00D225FE"/>
    <w:rsid w:val="00D22886"/>
    <w:rsid w:val="00D22AAE"/>
    <w:rsid w:val="00D22B8F"/>
    <w:rsid w:val="00D22BE3"/>
    <w:rsid w:val="00D22D59"/>
    <w:rsid w:val="00D22DAC"/>
    <w:rsid w:val="00D22DFE"/>
    <w:rsid w:val="00D22E3F"/>
    <w:rsid w:val="00D22EBF"/>
    <w:rsid w:val="00D22F00"/>
    <w:rsid w:val="00D23325"/>
    <w:rsid w:val="00D2349A"/>
    <w:rsid w:val="00D23724"/>
    <w:rsid w:val="00D23A59"/>
    <w:rsid w:val="00D23AEB"/>
    <w:rsid w:val="00D23B6F"/>
    <w:rsid w:val="00D23BC6"/>
    <w:rsid w:val="00D23CA5"/>
    <w:rsid w:val="00D23D04"/>
    <w:rsid w:val="00D23FBF"/>
    <w:rsid w:val="00D2410B"/>
    <w:rsid w:val="00D24214"/>
    <w:rsid w:val="00D2425F"/>
    <w:rsid w:val="00D243BF"/>
    <w:rsid w:val="00D245BD"/>
    <w:rsid w:val="00D24657"/>
    <w:rsid w:val="00D24735"/>
    <w:rsid w:val="00D24A27"/>
    <w:rsid w:val="00D24D56"/>
    <w:rsid w:val="00D25039"/>
    <w:rsid w:val="00D250F4"/>
    <w:rsid w:val="00D25160"/>
    <w:rsid w:val="00D252C3"/>
    <w:rsid w:val="00D25436"/>
    <w:rsid w:val="00D2546D"/>
    <w:rsid w:val="00D25591"/>
    <w:rsid w:val="00D255C1"/>
    <w:rsid w:val="00D255D0"/>
    <w:rsid w:val="00D256DC"/>
    <w:rsid w:val="00D25DDC"/>
    <w:rsid w:val="00D25FE1"/>
    <w:rsid w:val="00D25FE4"/>
    <w:rsid w:val="00D260B5"/>
    <w:rsid w:val="00D264AF"/>
    <w:rsid w:val="00D2676E"/>
    <w:rsid w:val="00D26772"/>
    <w:rsid w:val="00D2680A"/>
    <w:rsid w:val="00D26A8B"/>
    <w:rsid w:val="00D2736E"/>
    <w:rsid w:val="00D27441"/>
    <w:rsid w:val="00D274E9"/>
    <w:rsid w:val="00D2776E"/>
    <w:rsid w:val="00D27AB3"/>
    <w:rsid w:val="00D27B1E"/>
    <w:rsid w:val="00D27F53"/>
    <w:rsid w:val="00D27FF0"/>
    <w:rsid w:val="00D30020"/>
    <w:rsid w:val="00D30051"/>
    <w:rsid w:val="00D3005F"/>
    <w:rsid w:val="00D301D6"/>
    <w:rsid w:val="00D30418"/>
    <w:rsid w:val="00D30621"/>
    <w:rsid w:val="00D30686"/>
    <w:rsid w:val="00D3073D"/>
    <w:rsid w:val="00D3078C"/>
    <w:rsid w:val="00D3098B"/>
    <w:rsid w:val="00D309AD"/>
    <w:rsid w:val="00D30A06"/>
    <w:rsid w:val="00D30BBD"/>
    <w:rsid w:val="00D30C29"/>
    <w:rsid w:val="00D30CE8"/>
    <w:rsid w:val="00D30D6E"/>
    <w:rsid w:val="00D30D96"/>
    <w:rsid w:val="00D30DEC"/>
    <w:rsid w:val="00D30DFD"/>
    <w:rsid w:val="00D30ED2"/>
    <w:rsid w:val="00D30FD7"/>
    <w:rsid w:val="00D30FDF"/>
    <w:rsid w:val="00D3103B"/>
    <w:rsid w:val="00D31047"/>
    <w:rsid w:val="00D310D0"/>
    <w:rsid w:val="00D3125E"/>
    <w:rsid w:val="00D317CC"/>
    <w:rsid w:val="00D318FF"/>
    <w:rsid w:val="00D31941"/>
    <w:rsid w:val="00D319C1"/>
    <w:rsid w:val="00D31D00"/>
    <w:rsid w:val="00D31DB9"/>
    <w:rsid w:val="00D31E62"/>
    <w:rsid w:val="00D31FF3"/>
    <w:rsid w:val="00D32051"/>
    <w:rsid w:val="00D32428"/>
    <w:rsid w:val="00D325DA"/>
    <w:rsid w:val="00D32679"/>
    <w:rsid w:val="00D329A7"/>
    <w:rsid w:val="00D329D5"/>
    <w:rsid w:val="00D32A11"/>
    <w:rsid w:val="00D33028"/>
    <w:rsid w:val="00D33038"/>
    <w:rsid w:val="00D33063"/>
    <w:rsid w:val="00D330F7"/>
    <w:rsid w:val="00D33115"/>
    <w:rsid w:val="00D33297"/>
    <w:rsid w:val="00D332E6"/>
    <w:rsid w:val="00D33631"/>
    <w:rsid w:val="00D337E1"/>
    <w:rsid w:val="00D338FC"/>
    <w:rsid w:val="00D33920"/>
    <w:rsid w:val="00D3393C"/>
    <w:rsid w:val="00D33A9C"/>
    <w:rsid w:val="00D33B3A"/>
    <w:rsid w:val="00D33E17"/>
    <w:rsid w:val="00D3415F"/>
    <w:rsid w:val="00D3437A"/>
    <w:rsid w:val="00D34743"/>
    <w:rsid w:val="00D34924"/>
    <w:rsid w:val="00D34B31"/>
    <w:rsid w:val="00D34BA7"/>
    <w:rsid w:val="00D34BFA"/>
    <w:rsid w:val="00D34CF0"/>
    <w:rsid w:val="00D34DDA"/>
    <w:rsid w:val="00D34E3E"/>
    <w:rsid w:val="00D34F03"/>
    <w:rsid w:val="00D34F1D"/>
    <w:rsid w:val="00D35041"/>
    <w:rsid w:val="00D350DE"/>
    <w:rsid w:val="00D35148"/>
    <w:rsid w:val="00D35217"/>
    <w:rsid w:val="00D354C6"/>
    <w:rsid w:val="00D35504"/>
    <w:rsid w:val="00D35745"/>
    <w:rsid w:val="00D3585C"/>
    <w:rsid w:val="00D3596A"/>
    <w:rsid w:val="00D35ADE"/>
    <w:rsid w:val="00D35DD0"/>
    <w:rsid w:val="00D35DFC"/>
    <w:rsid w:val="00D35F01"/>
    <w:rsid w:val="00D36208"/>
    <w:rsid w:val="00D363CB"/>
    <w:rsid w:val="00D364E9"/>
    <w:rsid w:val="00D3689B"/>
    <w:rsid w:val="00D36BB0"/>
    <w:rsid w:val="00D36C4C"/>
    <w:rsid w:val="00D36D17"/>
    <w:rsid w:val="00D36D78"/>
    <w:rsid w:val="00D36E86"/>
    <w:rsid w:val="00D36F72"/>
    <w:rsid w:val="00D370A6"/>
    <w:rsid w:val="00D371C7"/>
    <w:rsid w:val="00D373D8"/>
    <w:rsid w:val="00D374C6"/>
    <w:rsid w:val="00D37538"/>
    <w:rsid w:val="00D37813"/>
    <w:rsid w:val="00D3781C"/>
    <w:rsid w:val="00D3785A"/>
    <w:rsid w:val="00D37B70"/>
    <w:rsid w:val="00D37BDB"/>
    <w:rsid w:val="00D37CEF"/>
    <w:rsid w:val="00D37D62"/>
    <w:rsid w:val="00D37D6D"/>
    <w:rsid w:val="00D37E3A"/>
    <w:rsid w:val="00D37EAE"/>
    <w:rsid w:val="00D40126"/>
    <w:rsid w:val="00D4014A"/>
    <w:rsid w:val="00D401F6"/>
    <w:rsid w:val="00D402A8"/>
    <w:rsid w:val="00D40309"/>
    <w:rsid w:val="00D40365"/>
    <w:rsid w:val="00D40392"/>
    <w:rsid w:val="00D40506"/>
    <w:rsid w:val="00D40651"/>
    <w:rsid w:val="00D40A46"/>
    <w:rsid w:val="00D40ADF"/>
    <w:rsid w:val="00D40C2A"/>
    <w:rsid w:val="00D40E46"/>
    <w:rsid w:val="00D40E49"/>
    <w:rsid w:val="00D40F52"/>
    <w:rsid w:val="00D4103B"/>
    <w:rsid w:val="00D41128"/>
    <w:rsid w:val="00D411D6"/>
    <w:rsid w:val="00D412CD"/>
    <w:rsid w:val="00D4169C"/>
    <w:rsid w:val="00D417FD"/>
    <w:rsid w:val="00D418D3"/>
    <w:rsid w:val="00D41A9A"/>
    <w:rsid w:val="00D41C3A"/>
    <w:rsid w:val="00D41D41"/>
    <w:rsid w:val="00D41EF8"/>
    <w:rsid w:val="00D4206D"/>
    <w:rsid w:val="00D42174"/>
    <w:rsid w:val="00D42230"/>
    <w:rsid w:val="00D422FE"/>
    <w:rsid w:val="00D423CC"/>
    <w:rsid w:val="00D424D9"/>
    <w:rsid w:val="00D42712"/>
    <w:rsid w:val="00D429DC"/>
    <w:rsid w:val="00D42A50"/>
    <w:rsid w:val="00D42AED"/>
    <w:rsid w:val="00D42C0B"/>
    <w:rsid w:val="00D42C63"/>
    <w:rsid w:val="00D42CAC"/>
    <w:rsid w:val="00D42D18"/>
    <w:rsid w:val="00D42E5A"/>
    <w:rsid w:val="00D43220"/>
    <w:rsid w:val="00D4331C"/>
    <w:rsid w:val="00D4333E"/>
    <w:rsid w:val="00D4364F"/>
    <w:rsid w:val="00D437BE"/>
    <w:rsid w:val="00D43BD5"/>
    <w:rsid w:val="00D43D38"/>
    <w:rsid w:val="00D43D4C"/>
    <w:rsid w:val="00D43F1C"/>
    <w:rsid w:val="00D43FC4"/>
    <w:rsid w:val="00D4437A"/>
    <w:rsid w:val="00D44430"/>
    <w:rsid w:val="00D4459B"/>
    <w:rsid w:val="00D4459C"/>
    <w:rsid w:val="00D44649"/>
    <w:rsid w:val="00D44806"/>
    <w:rsid w:val="00D4496E"/>
    <w:rsid w:val="00D44A1D"/>
    <w:rsid w:val="00D44AD5"/>
    <w:rsid w:val="00D44F40"/>
    <w:rsid w:val="00D45185"/>
    <w:rsid w:val="00D452BB"/>
    <w:rsid w:val="00D452BE"/>
    <w:rsid w:val="00D45339"/>
    <w:rsid w:val="00D45517"/>
    <w:rsid w:val="00D4566F"/>
    <w:rsid w:val="00D457CB"/>
    <w:rsid w:val="00D45A67"/>
    <w:rsid w:val="00D45BEF"/>
    <w:rsid w:val="00D45C33"/>
    <w:rsid w:val="00D45D2F"/>
    <w:rsid w:val="00D45D58"/>
    <w:rsid w:val="00D45F3B"/>
    <w:rsid w:val="00D460EC"/>
    <w:rsid w:val="00D4611A"/>
    <w:rsid w:val="00D46174"/>
    <w:rsid w:val="00D46213"/>
    <w:rsid w:val="00D46324"/>
    <w:rsid w:val="00D465E6"/>
    <w:rsid w:val="00D466C6"/>
    <w:rsid w:val="00D467DF"/>
    <w:rsid w:val="00D46C12"/>
    <w:rsid w:val="00D46CF2"/>
    <w:rsid w:val="00D46D3E"/>
    <w:rsid w:val="00D46E4C"/>
    <w:rsid w:val="00D46F7A"/>
    <w:rsid w:val="00D47011"/>
    <w:rsid w:val="00D4702E"/>
    <w:rsid w:val="00D470A8"/>
    <w:rsid w:val="00D471A5"/>
    <w:rsid w:val="00D47233"/>
    <w:rsid w:val="00D472DD"/>
    <w:rsid w:val="00D472F4"/>
    <w:rsid w:val="00D4747B"/>
    <w:rsid w:val="00D47A38"/>
    <w:rsid w:val="00D47B10"/>
    <w:rsid w:val="00D47BB7"/>
    <w:rsid w:val="00D47C9F"/>
    <w:rsid w:val="00D47DAB"/>
    <w:rsid w:val="00D47E5D"/>
    <w:rsid w:val="00D5000B"/>
    <w:rsid w:val="00D50172"/>
    <w:rsid w:val="00D50252"/>
    <w:rsid w:val="00D50275"/>
    <w:rsid w:val="00D502B5"/>
    <w:rsid w:val="00D502CC"/>
    <w:rsid w:val="00D504BC"/>
    <w:rsid w:val="00D506CE"/>
    <w:rsid w:val="00D508FE"/>
    <w:rsid w:val="00D50BAF"/>
    <w:rsid w:val="00D50DA1"/>
    <w:rsid w:val="00D50EE7"/>
    <w:rsid w:val="00D50F81"/>
    <w:rsid w:val="00D510D5"/>
    <w:rsid w:val="00D51298"/>
    <w:rsid w:val="00D5139F"/>
    <w:rsid w:val="00D51442"/>
    <w:rsid w:val="00D517BA"/>
    <w:rsid w:val="00D51956"/>
    <w:rsid w:val="00D51C2A"/>
    <w:rsid w:val="00D51CA5"/>
    <w:rsid w:val="00D51FCB"/>
    <w:rsid w:val="00D52015"/>
    <w:rsid w:val="00D5205F"/>
    <w:rsid w:val="00D5214F"/>
    <w:rsid w:val="00D521C7"/>
    <w:rsid w:val="00D522A8"/>
    <w:rsid w:val="00D52337"/>
    <w:rsid w:val="00D52346"/>
    <w:rsid w:val="00D523E0"/>
    <w:rsid w:val="00D523E2"/>
    <w:rsid w:val="00D5242D"/>
    <w:rsid w:val="00D524C5"/>
    <w:rsid w:val="00D524E2"/>
    <w:rsid w:val="00D52819"/>
    <w:rsid w:val="00D52890"/>
    <w:rsid w:val="00D529A4"/>
    <w:rsid w:val="00D52A15"/>
    <w:rsid w:val="00D52A2D"/>
    <w:rsid w:val="00D52B13"/>
    <w:rsid w:val="00D52C94"/>
    <w:rsid w:val="00D52DA9"/>
    <w:rsid w:val="00D52DB4"/>
    <w:rsid w:val="00D52DD2"/>
    <w:rsid w:val="00D53039"/>
    <w:rsid w:val="00D530AD"/>
    <w:rsid w:val="00D53112"/>
    <w:rsid w:val="00D53165"/>
    <w:rsid w:val="00D532A1"/>
    <w:rsid w:val="00D53589"/>
    <w:rsid w:val="00D535EC"/>
    <w:rsid w:val="00D53637"/>
    <w:rsid w:val="00D538F5"/>
    <w:rsid w:val="00D53C58"/>
    <w:rsid w:val="00D53F87"/>
    <w:rsid w:val="00D54074"/>
    <w:rsid w:val="00D5425F"/>
    <w:rsid w:val="00D54461"/>
    <w:rsid w:val="00D54492"/>
    <w:rsid w:val="00D54533"/>
    <w:rsid w:val="00D54650"/>
    <w:rsid w:val="00D5488A"/>
    <w:rsid w:val="00D54F16"/>
    <w:rsid w:val="00D54FE7"/>
    <w:rsid w:val="00D5540D"/>
    <w:rsid w:val="00D554DE"/>
    <w:rsid w:val="00D55510"/>
    <w:rsid w:val="00D556FC"/>
    <w:rsid w:val="00D55885"/>
    <w:rsid w:val="00D55B6F"/>
    <w:rsid w:val="00D55B76"/>
    <w:rsid w:val="00D55B89"/>
    <w:rsid w:val="00D55C5A"/>
    <w:rsid w:val="00D55C7D"/>
    <w:rsid w:val="00D55CE3"/>
    <w:rsid w:val="00D55CF1"/>
    <w:rsid w:val="00D55E4D"/>
    <w:rsid w:val="00D56170"/>
    <w:rsid w:val="00D561A8"/>
    <w:rsid w:val="00D56442"/>
    <w:rsid w:val="00D56480"/>
    <w:rsid w:val="00D564EE"/>
    <w:rsid w:val="00D56543"/>
    <w:rsid w:val="00D565D9"/>
    <w:rsid w:val="00D567A3"/>
    <w:rsid w:val="00D567CA"/>
    <w:rsid w:val="00D568CA"/>
    <w:rsid w:val="00D56942"/>
    <w:rsid w:val="00D56AD5"/>
    <w:rsid w:val="00D56FF0"/>
    <w:rsid w:val="00D57039"/>
    <w:rsid w:val="00D571CA"/>
    <w:rsid w:val="00D572E5"/>
    <w:rsid w:val="00D5736E"/>
    <w:rsid w:val="00D57383"/>
    <w:rsid w:val="00D573A4"/>
    <w:rsid w:val="00D573BD"/>
    <w:rsid w:val="00D57684"/>
    <w:rsid w:val="00D57701"/>
    <w:rsid w:val="00D57847"/>
    <w:rsid w:val="00D57885"/>
    <w:rsid w:val="00D578C2"/>
    <w:rsid w:val="00D578DC"/>
    <w:rsid w:val="00D57AA3"/>
    <w:rsid w:val="00D57AC4"/>
    <w:rsid w:val="00D57C28"/>
    <w:rsid w:val="00D57C44"/>
    <w:rsid w:val="00D57CEC"/>
    <w:rsid w:val="00D57E3A"/>
    <w:rsid w:val="00D57ED0"/>
    <w:rsid w:val="00D57F20"/>
    <w:rsid w:val="00D57FE5"/>
    <w:rsid w:val="00D6005D"/>
    <w:rsid w:val="00D600BE"/>
    <w:rsid w:val="00D601BE"/>
    <w:rsid w:val="00D601FF"/>
    <w:rsid w:val="00D605E5"/>
    <w:rsid w:val="00D6069A"/>
    <w:rsid w:val="00D60734"/>
    <w:rsid w:val="00D60737"/>
    <w:rsid w:val="00D608C2"/>
    <w:rsid w:val="00D609E1"/>
    <w:rsid w:val="00D60C94"/>
    <w:rsid w:val="00D60FD8"/>
    <w:rsid w:val="00D6100A"/>
    <w:rsid w:val="00D610E8"/>
    <w:rsid w:val="00D6132F"/>
    <w:rsid w:val="00D6169E"/>
    <w:rsid w:val="00D616A7"/>
    <w:rsid w:val="00D6179A"/>
    <w:rsid w:val="00D61918"/>
    <w:rsid w:val="00D61930"/>
    <w:rsid w:val="00D6196E"/>
    <w:rsid w:val="00D61DC0"/>
    <w:rsid w:val="00D62747"/>
    <w:rsid w:val="00D627C7"/>
    <w:rsid w:val="00D62951"/>
    <w:rsid w:val="00D62B0E"/>
    <w:rsid w:val="00D62BE6"/>
    <w:rsid w:val="00D62C2B"/>
    <w:rsid w:val="00D62D22"/>
    <w:rsid w:val="00D62D67"/>
    <w:rsid w:val="00D62F47"/>
    <w:rsid w:val="00D63147"/>
    <w:rsid w:val="00D631B6"/>
    <w:rsid w:val="00D632AA"/>
    <w:rsid w:val="00D63343"/>
    <w:rsid w:val="00D63442"/>
    <w:rsid w:val="00D6376D"/>
    <w:rsid w:val="00D6395C"/>
    <w:rsid w:val="00D63992"/>
    <w:rsid w:val="00D63C06"/>
    <w:rsid w:val="00D63E20"/>
    <w:rsid w:val="00D63ED8"/>
    <w:rsid w:val="00D63F8E"/>
    <w:rsid w:val="00D6427A"/>
    <w:rsid w:val="00D6444B"/>
    <w:rsid w:val="00D64479"/>
    <w:rsid w:val="00D648C2"/>
    <w:rsid w:val="00D649CB"/>
    <w:rsid w:val="00D64A31"/>
    <w:rsid w:val="00D64A68"/>
    <w:rsid w:val="00D64AF6"/>
    <w:rsid w:val="00D64C8E"/>
    <w:rsid w:val="00D64CDA"/>
    <w:rsid w:val="00D64E4E"/>
    <w:rsid w:val="00D64E57"/>
    <w:rsid w:val="00D64EB0"/>
    <w:rsid w:val="00D65156"/>
    <w:rsid w:val="00D656C6"/>
    <w:rsid w:val="00D65749"/>
    <w:rsid w:val="00D6582C"/>
    <w:rsid w:val="00D65AE0"/>
    <w:rsid w:val="00D65C03"/>
    <w:rsid w:val="00D65C0B"/>
    <w:rsid w:val="00D65CE3"/>
    <w:rsid w:val="00D65DD4"/>
    <w:rsid w:val="00D65F39"/>
    <w:rsid w:val="00D66035"/>
    <w:rsid w:val="00D66212"/>
    <w:rsid w:val="00D662F3"/>
    <w:rsid w:val="00D664DE"/>
    <w:rsid w:val="00D6678C"/>
    <w:rsid w:val="00D667BE"/>
    <w:rsid w:val="00D669E0"/>
    <w:rsid w:val="00D66AE7"/>
    <w:rsid w:val="00D66B28"/>
    <w:rsid w:val="00D66CEB"/>
    <w:rsid w:val="00D66E45"/>
    <w:rsid w:val="00D66E71"/>
    <w:rsid w:val="00D670A5"/>
    <w:rsid w:val="00D67419"/>
    <w:rsid w:val="00D67671"/>
    <w:rsid w:val="00D677FB"/>
    <w:rsid w:val="00D67924"/>
    <w:rsid w:val="00D67ABC"/>
    <w:rsid w:val="00D67D46"/>
    <w:rsid w:val="00D67DC7"/>
    <w:rsid w:val="00D67E01"/>
    <w:rsid w:val="00D67ED2"/>
    <w:rsid w:val="00D67ED8"/>
    <w:rsid w:val="00D70070"/>
    <w:rsid w:val="00D7010A"/>
    <w:rsid w:val="00D701B4"/>
    <w:rsid w:val="00D705A8"/>
    <w:rsid w:val="00D705DB"/>
    <w:rsid w:val="00D70672"/>
    <w:rsid w:val="00D706C8"/>
    <w:rsid w:val="00D70826"/>
    <w:rsid w:val="00D70AA4"/>
    <w:rsid w:val="00D70D98"/>
    <w:rsid w:val="00D70ECB"/>
    <w:rsid w:val="00D7141C"/>
    <w:rsid w:val="00D716A7"/>
    <w:rsid w:val="00D717B7"/>
    <w:rsid w:val="00D71904"/>
    <w:rsid w:val="00D71F35"/>
    <w:rsid w:val="00D7239E"/>
    <w:rsid w:val="00D723BE"/>
    <w:rsid w:val="00D7269F"/>
    <w:rsid w:val="00D729B5"/>
    <w:rsid w:val="00D729B6"/>
    <w:rsid w:val="00D72ABD"/>
    <w:rsid w:val="00D72BA5"/>
    <w:rsid w:val="00D72BC8"/>
    <w:rsid w:val="00D72D1B"/>
    <w:rsid w:val="00D73141"/>
    <w:rsid w:val="00D73142"/>
    <w:rsid w:val="00D73383"/>
    <w:rsid w:val="00D73546"/>
    <w:rsid w:val="00D7374A"/>
    <w:rsid w:val="00D737B4"/>
    <w:rsid w:val="00D73868"/>
    <w:rsid w:val="00D73A3F"/>
    <w:rsid w:val="00D73A6A"/>
    <w:rsid w:val="00D73BD2"/>
    <w:rsid w:val="00D73C28"/>
    <w:rsid w:val="00D73D0B"/>
    <w:rsid w:val="00D73D90"/>
    <w:rsid w:val="00D73E0E"/>
    <w:rsid w:val="00D73EB8"/>
    <w:rsid w:val="00D73F9F"/>
    <w:rsid w:val="00D74055"/>
    <w:rsid w:val="00D7419A"/>
    <w:rsid w:val="00D74401"/>
    <w:rsid w:val="00D74506"/>
    <w:rsid w:val="00D74578"/>
    <w:rsid w:val="00D7471A"/>
    <w:rsid w:val="00D748DD"/>
    <w:rsid w:val="00D749B6"/>
    <w:rsid w:val="00D749C2"/>
    <w:rsid w:val="00D749F6"/>
    <w:rsid w:val="00D74B5A"/>
    <w:rsid w:val="00D74C33"/>
    <w:rsid w:val="00D7536F"/>
    <w:rsid w:val="00D7541E"/>
    <w:rsid w:val="00D755A9"/>
    <w:rsid w:val="00D755BA"/>
    <w:rsid w:val="00D75755"/>
    <w:rsid w:val="00D75B5E"/>
    <w:rsid w:val="00D75BE6"/>
    <w:rsid w:val="00D75BFE"/>
    <w:rsid w:val="00D75CAF"/>
    <w:rsid w:val="00D75F5D"/>
    <w:rsid w:val="00D7649D"/>
    <w:rsid w:val="00D76569"/>
    <w:rsid w:val="00D7656C"/>
    <w:rsid w:val="00D7659B"/>
    <w:rsid w:val="00D7674A"/>
    <w:rsid w:val="00D7692B"/>
    <w:rsid w:val="00D76A71"/>
    <w:rsid w:val="00D76B4A"/>
    <w:rsid w:val="00D76DB5"/>
    <w:rsid w:val="00D76EC7"/>
    <w:rsid w:val="00D77038"/>
    <w:rsid w:val="00D770D4"/>
    <w:rsid w:val="00D7727C"/>
    <w:rsid w:val="00D774B3"/>
    <w:rsid w:val="00D77599"/>
    <w:rsid w:val="00D77615"/>
    <w:rsid w:val="00D77621"/>
    <w:rsid w:val="00D778A7"/>
    <w:rsid w:val="00D77B05"/>
    <w:rsid w:val="00D77B0F"/>
    <w:rsid w:val="00D77C0C"/>
    <w:rsid w:val="00D77CCC"/>
    <w:rsid w:val="00D77D8B"/>
    <w:rsid w:val="00D77FB1"/>
    <w:rsid w:val="00D80203"/>
    <w:rsid w:val="00D803B0"/>
    <w:rsid w:val="00D8045A"/>
    <w:rsid w:val="00D80518"/>
    <w:rsid w:val="00D8076F"/>
    <w:rsid w:val="00D807EF"/>
    <w:rsid w:val="00D807FC"/>
    <w:rsid w:val="00D809AF"/>
    <w:rsid w:val="00D80CA9"/>
    <w:rsid w:val="00D80D87"/>
    <w:rsid w:val="00D80DF5"/>
    <w:rsid w:val="00D80E57"/>
    <w:rsid w:val="00D8108B"/>
    <w:rsid w:val="00D810E2"/>
    <w:rsid w:val="00D81726"/>
    <w:rsid w:val="00D81829"/>
    <w:rsid w:val="00D8190C"/>
    <w:rsid w:val="00D81987"/>
    <w:rsid w:val="00D819D8"/>
    <w:rsid w:val="00D81A77"/>
    <w:rsid w:val="00D81B32"/>
    <w:rsid w:val="00D81F35"/>
    <w:rsid w:val="00D8201F"/>
    <w:rsid w:val="00D821D7"/>
    <w:rsid w:val="00D823F1"/>
    <w:rsid w:val="00D82856"/>
    <w:rsid w:val="00D82884"/>
    <w:rsid w:val="00D82A36"/>
    <w:rsid w:val="00D82A9D"/>
    <w:rsid w:val="00D82AFA"/>
    <w:rsid w:val="00D83071"/>
    <w:rsid w:val="00D830A4"/>
    <w:rsid w:val="00D830E5"/>
    <w:rsid w:val="00D83140"/>
    <w:rsid w:val="00D831D5"/>
    <w:rsid w:val="00D832A7"/>
    <w:rsid w:val="00D83367"/>
    <w:rsid w:val="00D8348A"/>
    <w:rsid w:val="00D83500"/>
    <w:rsid w:val="00D83880"/>
    <w:rsid w:val="00D8398B"/>
    <w:rsid w:val="00D839D8"/>
    <w:rsid w:val="00D839F8"/>
    <w:rsid w:val="00D83B4F"/>
    <w:rsid w:val="00D83BD9"/>
    <w:rsid w:val="00D83C63"/>
    <w:rsid w:val="00D83E32"/>
    <w:rsid w:val="00D84208"/>
    <w:rsid w:val="00D843F3"/>
    <w:rsid w:val="00D844AF"/>
    <w:rsid w:val="00D845D3"/>
    <w:rsid w:val="00D845E7"/>
    <w:rsid w:val="00D846DA"/>
    <w:rsid w:val="00D84726"/>
    <w:rsid w:val="00D84811"/>
    <w:rsid w:val="00D8489B"/>
    <w:rsid w:val="00D84A40"/>
    <w:rsid w:val="00D84A80"/>
    <w:rsid w:val="00D84ECB"/>
    <w:rsid w:val="00D85217"/>
    <w:rsid w:val="00D8531F"/>
    <w:rsid w:val="00D85548"/>
    <w:rsid w:val="00D85624"/>
    <w:rsid w:val="00D856FB"/>
    <w:rsid w:val="00D85738"/>
    <w:rsid w:val="00D857CF"/>
    <w:rsid w:val="00D8590D"/>
    <w:rsid w:val="00D859A0"/>
    <w:rsid w:val="00D85A3C"/>
    <w:rsid w:val="00D85C3B"/>
    <w:rsid w:val="00D85CC2"/>
    <w:rsid w:val="00D85DDB"/>
    <w:rsid w:val="00D85FF9"/>
    <w:rsid w:val="00D86306"/>
    <w:rsid w:val="00D86335"/>
    <w:rsid w:val="00D86610"/>
    <w:rsid w:val="00D86A6C"/>
    <w:rsid w:val="00D86AEF"/>
    <w:rsid w:val="00D86E0B"/>
    <w:rsid w:val="00D86EA4"/>
    <w:rsid w:val="00D86EC9"/>
    <w:rsid w:val="00D86FEE"/>
    <w:rsid w:val="00D873D6"/>
    <w:rsid w:val="00D874BA"/>
    <w:rsid w:val="00D87582"/>
    <w:rsid w:val="00D875C9"/>
    <w:rsid w:val="00D87664"/>
    <w:rsid w:val="00D87BCD"/>
    <w:rsid w:val="00D87CE4"/>
    <w:rsid w:val="00D87D26"/>
    <w:rsid w:val="00D87D4C"/>
    <w:rsid w:val="00D87D59"/>
    <w:rsid w:val="00D87F39"/>
    <w:rsid w:val="00D87F52"/>
    <w:rsid w:val="00D87FE2"/>
    <w:rsid w:val="00D900CE"/>
    <w:rsid w:val="00D90169"/>
    <w:rsid w:val="00D9017A"/>
    <w:rsid w:val="00D9045B"/>
    <w:rsid w:val="00D90489"/>
    <w:rsid w:val="00D90556"/>
    <w:rsid w:val="00D9057C"/>
    <w:rsid w:val="00D906F9"/>
    <w:rsid w:val="00D9089B"/>
    <w:rsid w:val="00D908C7"/>
    <w:rsid w:val="00D90B84"/>
    <w:rsid w:val="00D90E3B"/>
    <w:rsid w:val="00D90EA9"/>
    <w:rsid w:val="00D90F6F"/>
    <w:rsid w:val="00D91094"/>
    <w:rsid w:val="00D912D9"/>
    <w:rsid w:val="00D91306"/>
    <w:rsid w:val="00D9135A"/>
    <w:rsid w:val="00D91416"/>
    <w:rsid w:val="00D914E5"/>
    <w:rsid w:val="00D91590"/>
    <w:rsid w:val="00D91646"/>
    <w:rsid w:val="00D9183C"/>
    <w:rsid w:val="00D91C8C"/>
    <w:rsid w:val="00D91D37"/>
    <w:rsid w:val="00D91E9F"/>
    <w:rsid w:val="00D92001"/>
    <w:rsid w:val="00D9205F"/>
    <w:rsid w:val="00D9228C"/>
    <w:rsid w:val="00D922D8"/>
    <w:rsid w:val="00D92360"/>
    <w:rsid w:val="00D92472"/>
    <w:rsid w:val="00D92827"/>
    <w:rsid w:val="00D92B4D"/>
    <w:rsid w:val="00D92BBD"/>
    <w:rsid w:val="00D92C66"/>
    <w:rsid w:val="00D92D6F"/>
    <w:rsid w:val="00D92DC8"/>
    <w:rsid w:val="00D92FF0"/>
    <w:rsid w:val="00D9319A"/>
    <w:rsid w:val="00D93233"/>
    <w:rsid w:val="00D93368"/>
    <w:rsid w:val="00D93441"/>
    <w:rsid w:val="00D93456"/>
    <w:rsid w:val="00D9357E"/>
    <w:rsid w:val="00D9358C"/>
    <w:rsid w:val="00D93599"/>
    <w:rsid w:val="00D9372F"/>
    <w:rsid w:val="00D93B1D"/>
    <w:rsid w:val="00D93E14"/>
    <w:rsid w:val="00D93F00"/>
    <w:rsid w:val="00D9405A"/>
    <w:rsid w:val="00D9414A"/>
    <w:rsid w:val="00D941D1"/>
    <w:rsid w:val="00D941E8"/>
    <w:rsid w:val="00D94266"/>
    <w:rsid w:val="00D94562"/>
    <w:rsid w:val="00D945A9"/>
    <w:rsid w:val="00D94867"/>
    <w:rsid w:val="00D948AD"/>
    <w:rsid w:val="00D94A57"/>
    <w:rsid w:val="00D94EB2"/>
    <w:rsid w:val="00D95284"/>
    <w:rsid w:val="00D953D4"/>
    <w:rsid w:val="00D95409"/>
    <w:rsid w:val="00D955A9"/>
    <w:rsid w:val="00D9562C"/>
    <w:rsid w:val="00D95827"/>
    <w:rsid w:val="00D958B5"/>
    <w:rsid w:val="00D958FF"/>
    <w:rsid w:val="00D959D8"/>
    <w:rsid w:val="00D959ED"/>
    <w:rsid w:val="00D95B3C"/>
    <w:rsid w:val="00D95D13"/>
    <w:rsid w:val="00D95EE9"/>
    <w:rsid w:val="00D96008"/>
    <w:rsid w:val="00D9618A"/>
    <w:rsid w:val="00D96214"/>
    <w:rsid w:val="00D967CB"/>
    <w:rsid w:val="00D967FF"/>
    <w:rsid w:val="00D96B36"/>
    <w:rsid w:val="00D96C9D"/>
    <w:rsid w:val="00D96CFD"/>
    <w:rsid w:val="00D96D42"/>
    <w:rsid w:val="00D96DA9"/>
    <w:rsid w:val="00D96F61"/>
    <w:rsid w:val="00D97010"/>
    <w:rsid w:val="00D9705F"/>
    <w:rsid w:val="00D97061"/>
    <w:rsid w:val="00D970C3"/>
    <w:rsid w:val="00D97120"/>
    <w:rsid w:val="00D97222"/>
    <w:rsid w:val="00D97374"/>
    <w:rsid w:val="00D97389"/>
    <w:rsid w:val="00D9747C"/>
    <w:rsid w:val="00D976DD"/>
    <w:rsid w:val="00D97790"/>
    <w:rsid w:val="00D9779C"/>
    <w:rsid w:val="00D97888"/>
    <w:rsid w:val="00D978CC"/>
    <w:rsid w:val="00D97935"/>
    <w:rsid w:val="00D97C40"/>
    <w:rsid w:val="00D97D16"/>
    <w:rsid w:val="00D97F39"/>
    <w:rsid w:val="00D97FDD"/>
    <w:rsid w:val="00DA013B"/>
    <w:rsid w:val="00DA017F"/>
    <w:rsid w:val="00DA02A5"/>
    <w:rsid w:val="00DA02BC"/>
    <w:rsid w:val="00DA0477"/>
    <w:rsid w:val="00DA0530"/>
    <w:rsid w:val="00DA079D"/>
    <w:rsid w:val="00DA07B9"/>
    <w:rsid w:val="00DA0804"/>
    <w:rsid w:val="00DA0934"/>
    <w:rsid w:val="00DA0B2A"/>
    <w:rsid w:val="00DA0C70"/>
    <w:rsid w:val="00DA0C79"/>
    <w:rsid w:val="00DA0C9C"/>
    <w:rsid w:val="00DA1464"/>
    <w:rsid w:val="00DA14BE"/>
    <w:rsid w:val="00DA14C6"/>
    <w:rsid w:val="00DA15EE"/>
    <w:rsid w:val="00DA19DD"/>
    <w:rsid w:val="00DA1A3F"/>
    <w:rsid w:val="00DA1DE8"/>
    <w:rsid w:val="00DA1F51"/>
    <w:rsid w:val="00DA1F67"/>
    <w:rsid w:val="00DA20C6"/>
    <w:rsid w:val="00DA2421"/>
    <w:rsid w:val="00DA2428"/>
    <w:rsid w:val="00DA24E3"/>
    <w:rsid w:val="00DA26EB"/>
    <w:rsid w:val="00DA29CB"/>
    <w:rsid w:val="00DA2CD7"/>
    <w:rsid w:val="00DA3146"/>
    <w:rsid w:val="00DA3559"/>
    <w:rsid w:val="00DA3560"/>
    <w:rsid w:val="00DA366E"/>
    <w:rsid w:val="00DA372A"/>
    <w:rsid w:val="00DA377B"/>
    <w:rsid w:val="00DA38AC"/>
    <w:rsid w:val="00DA38EB"/>
    <w:rsid w:val="00DA3ACB"/>
    <w:rsid w:val="00DA3C47"/>
    <w:rsid w:val="00DA4223"/>
    <w:rsid w:val="00DA431E"/>
    <w:rsid w:val="00DA4460"/>
    <w:rsid w:val="00DA4537"/>
    <w:rsid w:val="00DA4538"/>
    <w:rsid w:val="00DA4547"/>
    <w:rsid w:val="00DA4692"/>
    <w:rsid w:val="00DA4780"/>
    <w:rsid w:val="00DA47F3"/>
    <w:rsid w:val="00DA48FD"/>
    <w:rsid w:val="00DA4A08"/>
    <w:rsid w:val="00DA4D5D"/>
    <w:rsid w:val="00DA4DAE"/>
    <w:rsid w:val="00DA4EBC"/>
    <w:rsid w:val="00DA4F06"/>
    <w:rsid w:val="00DA533F"/>
    <w:rsid w:val="00DA547A"/>
    <w:rsid w:val="00DA555B"/>
    <w:rsid w:val="00DA574A"/>
    <w:rsid w:val="00DA5831"/>
    <w:rsid w:val="00DA587D"/>
    <w:rsid w:val="00DA5980"/>
    <w:rsid w:val="00DA5B8B"/>
    <w:rsid w:val="00DA5C72"/>
    <w:rsid w:val="00DA5CB7"/>
    <w:rsid w:val="00DA5DB7"/>
    <w:rsid w:val="00DA5DE9"/>
    <w:rsid w:val="00DA5F94"/>
    <w:rsid w:val="00DA608D"/>
    <w:rsid w:val="00DA6212"/>
    <w:rsid w:val="00DA6242"/>
    <w:rsid w:val="00DA6258"/>
    <w:rsid w:val="00DA634D"/>
    <w:rsid w:val="00DA63A4"/>
    <w:rsid w:val="00DA6452"/>
    <w:rsid w:val="00DA645A"/>
    <w:rsid w:val="00DA64BA"/>
    <w:rsid w:val="00DA65E6"/>
    <w:rsid w:val="00DA6837"/>
    <w:rsid w:val="00DA68C8"/>
    <w:rsid w:val="00DA696F"/>
    <w:rsid w:val="00DA6996"/>
    <w:rsid w:val="00DA6B82"/>
    <w:rsid w:val="00DA6F2B"/>
    <w:rsid w:val="00DA716E"/>
    <w:rsid w:val="00DA723D"/>
    <w:rsid w:val="00DA72C0"/>
    <w:rsid w:val="00DA732E"/>
    <w:rsid w:val="00DA75DD"/>
    <w:rsid w:val="00DA76B1"/>
    <w:rsid w:val="00DA76C8"/>
    <w:rsid w:val="00DA76F5"/>
    <w:rsid w:val="00DA77AD"/>
    <w:rsid w:val="00DA77F7"/>
    <w:rsid w:val="00DA78A5"/>
    <w:rsid w:val="00DA7910"/>
    <w:rsid w:val="00DA79D4"/>
    <w:rsid w:val="00DA7ABE"/>
    <w:rsid w:val="00DA7B5C"/>
    <w:rsid w:val="00DA7C3C"/>
    <w:rsid w:val="00DA7CFF"/>
    <w:rsid w:val="00DA7DF2"/>
    <w:rsid w:val="00DA7EA5"/>
    <w:rsid w:val="00DA7F90"/>
    <w:rsid w:val="00DA7F99"/>
    <w:rsid w:val="00DB0091"/>
    <w:rsid w:val="00DB0146"/>
    <w:rsid w:val="00DB01DE"/>
    <w:rsid w:val="00DB0220"/>
    <w:rsid w:val="00DB0251"/>
    <w:rsid w:val="00DB067F"/>
    <w:rsid w:val="00DB06CA"/>
    <w:rsid w:val="00DB06F2"/>
    <w:rsid w:val="00DB06FF"/>
    <w:rsid w:val="00DB093A"/>
    <w:rsid w:val="00DB0A92"/>
    <w:rsid w:val="00DB0AB1"/>
    <w:rsid w:val="00DB0B04"/>
    <w:rsid w:val="00DB0D03"/>
    <w:rsid w:val="00DB0D38"/>
    <w:rsid w:val="00DB0F6B"/>
    <w:rsid w:val="00DB0FAC"/>
    <w:rsid w:val="00DB10DC"/>
    <w:rsid w:val="00DB12F0"/>
    <w:rsid w:val="00DB1388"/>
    <w:rsid w:val="00DB141B"/>
    <w:rsid w:val="00DB1553"/>
    <w:rsid w:val="00DB165F"/>
    <w:rsid w:val="00DB16DE"/>
    <w:rsid w:val="00DB1CB1"/>
    <w:rsid w:val="00DB1DC4"/>
    <w:rsid w:val="00DB1DF5"/>
    <w:rsid w:val="00DB1E38"/>
    <w:rsid w:val="00DB2164"/>
    <w:rsid w:val="00DB2342"/>
    <w:rsid w:val="00DB239D"/>
    <w:rsid w:val="00DB25BA"/>
    <w:rsid w:val="00DB26A3"/>
    <w:rsid w:val="00DB2AA1"/>
    <w:rsid w:val="00DB2B06"/>
    <w:rsid w:val="00DB2D44"/>
    <w:rsid w:val="00DB3091"/>
    <w:rsid w:val="00DB309A"/>
    <w:rsid w:val="00DB3482"/>
    <w:rsid w:val="00DB3496"/>
    <w:rsid w:val="00DB34D6"/>
    <w:rsid w:val="00DB34E0"/>
    <w:rsid w:val="00DB380F"/>
    <w:rsid w:val="00DB392D"/>
    <w:rsid w:val="00DB39EC"/>
    <w:rsid w:val="00DB3A61"/>
    <w:rsid w:val="00DB3DD2"/>
    <w:rsid w:val="00DB40E3"/>
    <w:rsid w:val="00DB42CB"/>
    <w:rsid w:val="00DB45FC"/>
    <w:rsid w:val="00DB46C4"/>
    <w:rsid w:val="00DB48FD"/>
    <w:rsid w:val="00DB4B3C"/>
    <w:rsid w:val="00DB4B93"/>
    <w:rsid w:val="00DB4C0E"/>
    <w:rsid w:val="00DB4DC1"/>
    <w:rsid w:val="00DB4DF4"/>
    <w:rsid w:val="00DB5152"/>
    <w:rsid w:val="00DB52FA"/>
    <w:rsid w:val="00DB53DA"/>
    <w:rsid w:val="00DB56F5"/>
    <w:rsid w:val="00DB56FD"/>
    <w:rsid w:val="00DB5947"/>
    <w:rsid w:val="00DB5F78"/>
    <w:rsid w:val="00DB6108"/>
    <w:rsid w:val="00DB617C"/>
    <w:rsid w:val="00DB66F2"/>
    <w:rsid w:val="00DB688B"/>
    <w:rsid w:val="00DB6BC0"/>
    <w:rsid w:val="00DB6CF9"/>
    <w:rsid w:val="00DB6DA4"/>
    <w:rsid w:val="00DB6E3E"/>
    <w:rsid w:val="00DB7499"/>
    <w:rsid w:val="00DB752D"/>
    <w:rsid w:val="00DB75D2"/>
    <w:rsid w:val="00DB7702"/>
    <w:rsid w:val="00DB78E8"/>
    <w:rsid w:val="00DB7B9E"/>
    <w:rsid w:val="00DB7C2B"/>
    <w:rsid w:val="00DB7EEC"/>
    <w:rsid w:val="00DB7FCD"/>
    <w:rsid w:val="00DC012E"/>
    <w:rsid w:val="00DC022A"/>
    <w:rsid w:val="00DC0346"/>
    <w:rsid w:val="00DC03D1"/>
    <w:rsid w:val="00DC047E"/>
    <w:rsid w:val="00DC0713"/>
    <w:rsid w:val="00DC07C2"/>
    <w:rsid w:val="00DC0913"/>
    <w:rsid w:val="00DC0982"/>
    <w:rsid w:val="00DC0ABF"/>
    <w:rsid w:val="00DC0AC5"/>
    <w:rsid w:val="00DC0B29"/>
    <w:rsid w:val="00DC0B64"/>
    <w:rsid w:val="00DC0C06"/>
    <w:rsid w:val="00DC0DF8"/>
    <w:rsid w:val="00DC0E56"/>
    <w:rsid w:val="00DC0ED6"/>
    <w:rsid w:val="00DC0FBD"/>
    <w:rsid w:val="00DC150E"/>
    <w:rsid w:val="00DC1550"/>
    <w:rsid w:val="00DC1581"/>
    <w:rsid w:val="00DC1642"/>
    <w:rsid w:val="00DC174F"/>
    <w:rsid w:val="00DC1BD7"/>
    <w:rsid w:val="00DC1C54"/>
    <w:rsid w:val="00DC1EFF"/>
    <w:rsid w:val="00DC220B"/>
    <w:rsid w:val="00DC2286"/>
    <w:rsid w:val="00DC2382"/>
    <w:rsid w:val="00DC23D6"/>
    <w:rsid w:val="00DC24B8"/>
    <w:rsid w:val="00DC24C1"/>
    <w:rsid w:val="00DC24C5"/>
    <w:rsid w:val="00DC25C9"/>
    <w:rsid w:val="00DC27CE"/>
    <w:rsid w:val="00DC28BE"/>
    <w:rsid w:val="00DC2937"/>
    <w:rsid w:val="00DC2AA0"/>
    <w:rsid w:val="00DC2BA3"/>
    <w:rsid w:val="00DC2C20"/>
    <w:rsid w:val="00DC2E44"/>
    <w:rsid w:val="00DC2FAD"/>
    <w:rsid w:val="00DC2FD3"/>
    <w:rsid w:val="00DC30B9"/>
    <w:rsid w:val="00DC30E5"/>
    <w:rsid w:val="00DC3161"/>
    <w:rsid w:val="00DC31D7"/>
    <w:rsid w:val="00DC3231"/>
    <w:rsid w:val="00DC326E"/>
    <w:rsid w:val="00DC338A"/>
    <w:rsid w:val="00DC3592"/>
    <w:rsid w:val="00DC35A5"/>
    <w:rsid w:val="00DC35FF"/>
    <w:rsid w:val="00DC36DC"/>
    <w:rsid w:val="00DC36E3"/>
    <w:rsid w:val="00DC36F3"/>
    <w:rsid w:val="00DC378E"/>
    <w:rsid w:val="00DC38FB"/>
    <w:rsid w:val="00DC3930"/>
    <w:rsid w:val="00DC3B41"/>
    <w:rsid w:val="00DC3B65"/>
    <w:rsid w:val="00DC3C38"/>
    <w:rsid w:val="00DC3CCF"/>
    <w:rsid w:val="00DC3D70"/>
    <w:rsid w:val="00DC3D76"/>
    <w:rsid w:val="00DC3D93"/>
    <w:rsid w:val="00DC41E2"/>
    <w:rsid w:val="00DC4392"/>
    <w:rsid w:val="00DC43FB"/>
    <w:rsid w:val="00DC4480"/>
    <w:rsid w:val="00DC4563"/>
    <w:rsid w:val="00DC457E"/>
    <w:rsid w:val="00DC4A74"/>
    <w:rsid w:val="00DC4DBE"/>
    <w:rsid w:val="00DC4F05"/>
    <w:rsid w:val="00DC4FB4"/>
    <w:rsid w:val="00DC5334"/>
    <w:rsid w:val="00DC557F"/>
    <w:rsid w:val="00DC56EA"/>
    <w:rsid w:val="00DC587B"/>
    <w:rsid w:val="00DC61D0"/>
    <w:rsid w:val="00DC61F9"/>
    <w:rsid w:val="00DC6303"/>
    <w:rsid w:val="00DC632E"/>
    <w:rsid w:val="00DC6636"/>
    <w:rsid w:val="00DC6640"/>
    <w:rsid w:val="00DC6A29"/>
    <w:rsid w:val="00DC6AF9"/>
    <w:rsid w:val="00DC6B29"/>
    <w:rsid w:val="00DC6B41"/>
    <w:rsid w:val="00DC6E2B"/>
    <w:rsid w:val="00DC704B"/>
    <w:rsid w:val="00DC73C5"/>
    <w:rsid w:val="00DC77DF"/>
    <w:rsid w:val="00DC7A24"/>
    <w:rsid w:val="00DC7AE5"/>
    <w:rsid w:val="00DC7CF7"/>
    <w:rsid w:val="00DC7E87"/>
    <w:rsid w:val="00DC7F7D"/>
    <w:rsid w:val="00DD008B"/>
    <w:rsid w:val="00DD008F"/>
    <w:rsid w:val="00DD0136"/>
    <w:rsid w:val="00DD01E9"/>
    <w:rsid w:val="00DD02D6"/>
    <w:rsid w:val="00DD03D9"/>
    <w:rsid w:val="00DD03E0"/>
    <w:rsid w:val="00DD06C6"/>
    <w:rsid w:val="00DD072F"/>
    <w:rsid w:val="00DD0794"/>
    <w:rsid w:val="00DD0A0F"/>
    <w:rsid w:val="00DD0AD9"/>
    <w:rsid w:val="00DD0BE8"/>
    <w:rsid w:val="00DD0C4B"/>
    <w:rsid w:val="00DD0DE0"/>
    <w:rsid w:val="00DD0F43"/>
    <w:rsid w:val="00DD0FF9"/>
    <w:rsid w:val="00DD105A"/>
    <w:rsid w:val="00DD1183"/>
    <w:rsid w:val="00DD119E"/>
    <w:rsid w:val="00DD1308"/>
    <w:rsid w:val="00DD1533"/>
    <w:rsid w:val="00DD1583"/>
    <w:rsid w:val="00DD16E1"/>
    <w:rsid w:val="00DD1763"/>
    <w:rsid w:val="00DD1B15"/>
    <w:rsid w:val="00DD1B9F"/>
    <w:rsid w:val="00DD1E1C"/>
    <w:rsid w:val="00DD1E7A"/>
    <w:rsid w:val="00DD2025"/>
    <w:rsid w:val="00DD2378"/>
    <w:rsid w:val="00DD2522"/>
    <w:rsid w:val="00DD2527"/>
    <w:rsid w:val="00DD2643"/>
    <w:rsid w:val="00DD2848"/>
    <w:rsid w:val="00DD2CAD"/>
    <w:rsid w:val="00DD2FDA"/>
    <w:rsid w:val="00DD3025"/>
    <w:rsid w:val="00DD333E"/>
    <w:rsid w:val="00DD3469"/>
    <w:rsid w:val="00DD35EA"/>
    <w:rsid w:val="00DD3710"/>
    <w:rsid w:val="00DD3832"/>
    <w:rsid w:val="00DD386B"/>
    <w:rsid w:val="00DD3914"/>
    <w:rsid w:val="00DD394A"/>
    <w:rsid w:val="00DD3B84"/>
    <w:rsid w:val="00DD3C60"/>
    <w:rsid w:val="00DD3CEA"/>
    <w:rsid w:val="00DD3D28"/>
    <w:rsid w:val="00DD3E56"/>
    <w:rsid w:val="00DD4066"/>
    <w:rsid w:val="00DD41AC"/>
    <w:rsid w:val="00DD48BB"/>
    <w:rsid w:val="00DD4998"/>
    <w:rsid w:val="00DD4AD4"/>
    <w:rsid w:val="00DD4D84"/>
    <w:rsid w:val="00DD4DB4"/>
    <w:rsid w:val="00DD4F0F"/>
    <w:rsid w:val="00DD50BC"/>
    <w:rsid w:val="00DD515F"/>
    <w:rsid w:val="00DD5187"/>
    <w:rsid w:val="00DD51CE"/>
    <w:rsid w:val="00DD5732"/>
    <w:rsid w:val="00DD59E4"/>
    <w:rsid w:val="00DD5A61"/>
    <w:rsid w:val="00DD5AEE"/>
    <w:rsid w:val="00DD5B65"/>
    <w:rsid w:val="00DD5BC6"/>
    <w:rsid w:val="00DD5CF0"/>
    <w:rsid w:val="00DD5E95"/>
    <w:rsid w:val="00DD5F1E"/>
    <w:rsid w:val="00DD652D"/>
    <w:rsid w:val="00DD66C3"/>
    <w:rsid w:val="00DD67BD"/>
    <w:rsid w:val="00DD687B"/>
    <w:rsid w:val="00DD6C64"/>
    <w:rsid w:val="00DD7216"/>
    <w:rsid w:val="00DD72D4"/>
    <w:rsid w:val="00DD75C0"/>
    <w:rsid w:val="00DD77E6"/>
    <w:rsid w:val="00DD7A66"/>
    <w:rsid w:val="00DD7B7B"/>
    <w:rsid w:val="00DD7BBE"/>
    <w:rsid w:val="00DD7D89"/>
    <w:rsid w:val="00DD7F40"/>
    <w:rsid w:val="00DE000D"/>
    <w:rsid w:val="00DE0075"/>
    <w:rsid w:val="00DE00CC"/>
    <w:rsid w:val="00DE028E"/>
    <w:rsid w:val="00DE02D0"/>
    <w:rsid w:val="00DE030A"/>
    <w:rsid w:val="00DE0317"/>
    <w:rsid w:val="00DE0514"/>
    <w:rsid w:val="00DE05D1"/>
    <w:rsid w:val="00DE05D8"/>
    <w:rsid w:val="00DE07F6"/>
    <w:rsid w:val="00DE0801"/>
    <w:rsid w:val="00DE091A"/>
    <w:rsid w:val="00DE092F"/>
    <w:rsid w:val="00DE0C60"/>
    <w:rsid w:val="00DE0F17"/>
    <w:rsid w:val="00DE0FEE"/>
    <w:rsid w:val="00DE1243"/>
    <w:rsid w:val="00DE12F6"/>
    <w:rsid w:val="00DE13A5"/>
    <w:rsid w:val="00DE1535"/>
    <w:rsid w:val="00DE15FA"/>
    <w:rsid w:val="00DE2007"/>
    <w:rsid w:val="00DE20F8"/>
    <w:rsid w:val="00DE2198"/>
    <w:rsid w:val="00DE220C"/>
    <w:rsid w:val="00DE225E"/>
    <w:rsid w:val="00DE22E9"/>
    <w:rsid w:val="00DE24A7"/>
    <w:rsid w:val="00DE24C9"/>
    <w:rsid w:val="00DE269B"/>
    <w:rsid w:val="00DE285C"/>
    <w:rsid w:val="00DE29F3"/>
    <w:rsid w:val="00DE2A11"/>
    <w:rsid w:val="00DE2CD6"/>
    <w:rsid w:val="00DE2DDF"/>
    <w:rsid w:val="00DE2E87"/>
    <w:rsid w:val="00DE2FE3"/>
    <w:rsid w:val="00DE32B9"/>
    <w:rsid w:val="00DE3755"/>
    <w:rsid w:val="00DE3865"/>
    <w:rsid w:val="00DE3902"/>
    <w:rsid w:val="00DE3A3E"/>
    <w:rsid w:val="00DE3BFB"/>
    <w:rsid w:val="00DE3C38"/>
    <w:rsid w:val="00DE3CC7"/>
    <w:rsid w:val="00DE4043"/>
    <w:rsid w:val="00DE4123"/>
    <w:rsid w:val="00DE41BD"/>
    <w:rsid w:val="00DE436E"/>
    <w:rsid w:val="00DE4642"/>
    <w:rsid w:val="00DE46CC"/>
    <w:rsid w:val="00DE4ABF"/>
    <w:rsid w:val="00DE50B9"/>
    <w:rsid w:val="00DE5458"/>
    <w:rsid w:val="00DE54FF"/>
    <w:rsid w:val="00DE552F"/>
    <w:rsid w:val="00DE5536"/>
    <w:rsid w:val="00DE57AA"/>
    <w:rsid w:val="00DE5833"/>
    <w:rsid w:val="00DE5838"/>
    <w:rsid w:val="00DE590C"/>
    <w:rsid w:val="00DE5A02"/>
    <w:rsid w:val="00DE5A85"/>
    <w:rsid w:val="00DE5CCD"/>
    <w:rsid w:val="00DE5D4E"/>
    <w:rsid w:val="00DE63F1"/>
    <w:rsid w:val="00DE64EC"/>
    <w:rsid w:val="00DE662D"/>
    <w:rsid w:val="00DE66AC"/>
    <w:rsid w:val="00DE6997"/>
    <w:rsid w:val="00DE699F"/>
    <w:rsid w:val="00DE6C56"/>
    <w:rsid w:val="00DE6D55"/>
    <w:rsid w:val="00DE6D9D"/>
    <w:rsid w:val="00DE70DA"/>
    <w:rsid w:val="00DE715E"/>
    <w:rsid w:val="00DE71A0"/>
    <w:rsid w:val="00DE73F3"/>
    <w:rsid w:val="00DE74F2"/>
    <w:rsid w:val="00DE75CF"/>
    <w:rsid w:val="00DE7621"/>
    <w:rsid w:val="00DE76C4"/>
    <w:rsid w:val="00DE7794"/>
    <w:rsid w:val="00DE786E"/>
    <w:rsid w:val="00DE7B5F"/>
    <w:rsid w:val="00DE7D8D"/>
    <w:rsid w:val="00DE7DC5"/>
    <w:rsid w:val="00DF0097"/>
    <w:rsid w:val="00DF041F"/>
    <w:rsid w:val="00DF0515"/>
    <w:rsid w:val="00DF060C"/>
    <w:rsid w:val="00DF079A"/>
    <w:rsid w:val="00DF089E"/>
    <w:rsid w:val="00DF09F1"/>
    <w:rsid w:val="00DF0B32"/>
    <w:rsid w:val="00DF0CD0"/>
    <w:rsid w:val="00DF10A7"/>
    <w:rsid w:val="00DF10F0"/>
    <w:rsid w:val="00DF1103"/>
    <w:rsid w:val="00DF1107"/>
    <w:rsid w:val="00DF1126"/>
    <w:rsid w:val="00DF1265"/>
    <w:rsid w:val="00DF13C2"/>
    <w:rsid w:val="00DF14E8"/>
    <w:rsid w:val="00DF1A59"/>
    <w:rsid w:val="00DF1F38"/>
    <w:rsid w:val="00DF2067"/>
    <w:rsid w:val="00DF20D7"/>
    <w:rsid w:val="00DF256A"/>
    <w:rsid w:val="00DF2599"/>
    <w:rsid w:val="00DF25A4"/>
    <w:rsid w:val="00DF26A5"/>
    <w:rsid w:val="00DF27AD"/>
    <w:rsid w:val="00DF2808"/>
    <w:rsid w:val="00DF28C0"/>
    <w:rsid w:val="00DF2960"/>
    <w:rsid w:val="00DF2BE0"/>
    <w:rsid w:val="00DF2C41"/>
    <w:rsid w:val="00DF2CCA"/>
    <w:rsid w:val="00DF2E7A"/>
    <w:rsid w:val="00DF30BB"/>
    <w:rsid w:val="00DF3273"/>
    <w:rsid w:val="00DF3388"/>
    <w:rsid w:val="00DF33A2"/>
    <w:rsid w:val="00DF34C6"/>
    <w:rsid w:val="00DF357A"/>
    <w:rsid w:val="00DF36B2"/>
    <w:rsid w:val="00DF385A"/>
    <w:rsid w:val="00DF396D"/>
    <w:rsid w:val="00DF39F3"/>
    <w:rsid w:val="00DF3C3D"/>
    <w:rsid w:val="00DF3C6F"/>
    <w:rsid w:val="00DF3D53"/>
    <w:rsid w:val="00DF3DB6"/>
    <w:rsid w:val="00DF3F90"/>
    <w:rsid w:val="00DF43A7"/>
    <w:rsid w:val="00DF43D5"/>
    <w:rsid w:val="00DF4786"/>
    <w:rsid w:val="00DF489E"/>
    <w:rsid w:val="00DF4A60"/>
    <w:rsid w:val="00DF4E42"/>
    <w:rsid w:val="00DF4EE8"/>
    <w:rsid w:val="00DF4FFC"/>
    <w:rsid w:val="00DF50FE"/>
    <w:rsid w:val="00DF55E9"/>
    <w:rsid w:val="00DF58B3"/>
    <w:rsid w:val="00DF58FD"/>
    <w:rsid w:val="00DF59BE"/>
    <w:rsid w:val="00DF5A18"/>
    <w:rsid w:val="00DF5A35"/>
    <w:rsid w:val="00DF5BFA"/>
    <w:rsid w:val="00DF5C31"/>
    <w:rsid w:val="00DF5D4B"/>
    <w:rsid w:val="00DF5FB0"/>
    <w:rsid w:val="00DF5FCA"/>
    <w:rsid w:val="00DF5FDA"/>
    <w:rsid w:val="00DF6114"/>
    <w:rsid w:val="00DF6323"/>
    <w:rsid w:val="00DF6590"/>
    <w:rsid w:val="00DF65DE"/>
    <w:rsid w:val="00DF6640"/>
    <w:rsid w:val="00DF678D"/>
    <w:rsid w:val="00DF6860"/>
    <w:rsid w:val="00DF68F9"/>
    <w:rsid w:val="00DF6913"/>
    <w:rsid w:val="00DF6957"/>
    <w:rsid w:val="00DF69B1"/>
    <w:rsid w:val="00DF6B87"/>
    <w:rsid w:val="00DF6C9D"/>
    <w:rsid w:val="00DF6DB0"/>
    <w:rsid w:val="00DF6DFF"/>
    <w:rsid w:val="00DF6EF0"/>
    <w:rsid w:val="00DF6F73"/>
    <w:rsid w:val="00DF7040"/>
    <w:rsid w:val="00DF7069"/>
    <w:rsid w:val="00DF7196"/>
    <w:rsid w:val="00DF74B7"/>
    <w:rsid w:val="00DF74BC"/>
    <w:rsid w:val="00DF74DC"/>
    <w:rsid w:val="00DF77D7"/>
    <w:rsid w:val="00DF7BD7"/>
    <w:rsid w:val="00DF7E52"/>
    <w:rsid w:val="00DF7E9C"/>
    <w:rsid w:val="00DF7F06"/>
    <w:rsid w:val="00DF7FA8"/>
    <w:rsid w:val="00E00079"/>
    <w:rsid w:val="00E00118"/>
    <w:rsid w:val="00E0017E"/>
    <w:rsid w:val="00E001F2"/>
    <w:rsid w:val="00E00464"/>
    <w:rsid w:val="00E0056F"/>
    <w:rsid w:val="00E00813"/>
    <w:rsid w:val="00E00C05"/>
    <w:rsid w:val="00E00C08"/>
    <w:rsid w:val="00E00C8E"/>
    <w:rsid w:val="00E00CC7"/>
    <w:rsid w:val="00E00F41"/>
    <w:rsid w:val="00E00F64"/>
    <w:rsid w:val="00E01197"/>
    <w:rsid w:val="00E011D3"/>
    <w:rsid w:val="00E012AD"/>
    <w:rsid w:val="00E014AF"/>
    <w:rsid w:val="00E0154F"/>
    <w:rsid w:val="00E01659"/>
    <w:rsid w:val="00E0187B"/>
    <w:rsid w:val="00E01977"/>
    <w:rsid w:val="00E01A39"/>
    <w:rsid w:val="00E01B2E"/>
    <w:rsid w:val="00E01BA3"/>
    <w:rsid w:val="00E01D9D"/>
    <w:rsid w:val="00E01DAD"/>
    <w:rsid w:val="00E01E11"/>
    <w:rsid w:val="00E01E30"/>
    <w:rsid w:val="00E01E53"/>
    <w:rsid w:val="00E01F19"/>
    <w:rsid w:val="00E01F84"/>
    <w:rsid w:val="00E02518"/>
    <w:rsid w:val="00E02544"/>
    <w:rsid w:val="00E025BD"/>
    <w:rsid w:val="00E0275A"/>
    <w:rsid w:val="00E02910"/>
    <w:rsid w:val="00E029A9"/>
    <w:rsid w:val="00E02BE5"/>
    <w:rsid w:val="00E02DD1"/>
    <w:rsid w:val="00E02E33"/>
    <w:rsid w:val="00E02F17"/>
    <w:rsid w:val="00E02F6C"/>
    <w:rsid w:val="00E0301C"/>
    <w:rsid w:val="00E032B7"/>
    <w:rsid w:val="00E03322"/>
    <w:rsid w:val="00E0354B"/>
    <w:rsid w:val="00E03607"/>
    <w:rsid w:val="00E03C38"/>
    <w:rsid w:val="00E03D4C"/>
    <w:rsid w:val="00E03F2B"/>
    <w:rsid w:val="00E04025"/>
    <w:rsid w:val="00E04471"/>
    <w:rsid w:val="00E04520"/>
    <w:rsid w:val="00E045CF"/>
    <w:rsid w:val="00E045E1"/>
    <w:rsid w:val="00E0473F"/>
    <w:rsid w:val="00E04828"/>
    <w:rsid w:val="00E04931"/>
    <w:rsid w:val="00E049AD"/>
    <w:rsid w:val="00E04BC4"/>
    <w:rsid w:val="00E04D56"/>
    <w:rsid w:val="00E04FE7"/>
    <w:rsid w:val="00E0500D"/>
    <w:rsid w:val="00E051EC"/>
    <w:rsid w:val="00E05485"/>
    <w:rsid w:val="00E054E9"/>
    <w:rsid w:val="00E05801"/>
    <w:rsid w:val="00E059CD"/>
    <w:rsid w:val="00E05A34"/>
    <w:rsid w:val="00E05BD1"/>
    <w:rsid w:val="00E05D6B"/>
    <w:rsid w:val="00E05E14"/>
    <w:rsid w:val="00E060A3"/>
    <w:rsid w:val="00E06212"/>
    <w:rsid w:val="00E06321"/>
    <w:rsid w:val="00E06361"/>
    <w:rsid w:val="00E0646B"/>
    <w:rsid w:val="00E064A9"/>
    <w:rsid w:val="00E0654E"/>
    <w:rsid w:val="00E066A2"/>
    <w:rsid w:val="00E06DED"/>
    <w:rsid w:val="00E06E59"/>
    <w:rsid w:val="00E072B6"/>
    <w:rsid w:val="00E0730D"/>
    <w:rsid w:val="00E074F6"/>
    <w:rsid w:val="00E07676"/>
    <w:rsid w:val="00E079F1"/>
    <w:rsid w:val="00E07A2C"/>
    <w:rsid w:val="00E07A4B"/>
    <w:rsid w:val="00E07B77"/>
    <w:rsid w:val="00E07D02"/>
    <w:rsid w:val="00E07FDC"/>
    <w:rsid w:val="00E100FF"/>
    <w:rsid w:val="00E102DD"/>
    <w:rsid w:val="00E102FF"/>
    <w:rsid w:val="00E105AF"/>
    <w:rsid w:val="00E105CA"/>
    <w:rsid w:val="00E105F4"/>
    <w:rsid w:val="00E106CB"/>
    <w:rsid w:val="00E1085C"/>
    <w:rsid w:val="00E108D7"/>
    <w:rsid w:val="00E10A4B"/>
    <w:rsid w:val="00E10BA7"/>
    <w:rsid w:val="00E10BAD"/>
    <w:rsid w:val="00E10BF5"/>
    <w:rsid w:val="00E10D53"/>
    <w:rsid w:val="00E10E65"/>
    <w:rsid w:val="00E1103D"/>
    <w:rsid w:val="00E110B7"/>
    <w:rsid w:val="00E110F9"/>
    <w:rsid w:val="00E1143A"/>
    <w:rsid w:val="00E11443"/>
    <w:rsid w:val="00E11458"/>
    <w:rsid w:val="00E11788"/>
    <w:rsid w:val="00E11A73"/>
    <w:rsid w:val="00E11D26"/>
    <w:rsid w:val="00E11F86"/>
    <w:rsid w:val="00E11F9F"/>
    <w:rsid w:val="00E12012"/>
    <w:rsid w:val="00E12081"/>
    <w:rsid w:val="00E1215D"/>
    <w:rsid w:val="00E12176"/>
    <w:rsid w:val="00E121CF"/>
    <w:rsid w:val="00E123A6"/>
    <w:rsid w:val="00E1249A"/>
    <w:rsid w:val="00E124A4"/>
    <w:rsid w:val="00E1259E"/>
    <w:rsid w:val="00E12A4D"/>
    <w:rsid w:val="00E12AF8"/>
    <w:rsid w:val="00E12BCD"/>
    <w:rsid w:val="00E12C36"/>
    <w:rsid w:val="00E12D21"/>
    <w:rsid w:val="00E12DF0"/>
    <w:rsid w:val="00E13280"/>
    <w:rsid w:val="00E13311"/>
    <w:rsid w:val="00E13599"/>
    <w:rsid w:val="00E137B4"/>
    <w:rsid w:val="00E13880"/>
    <w:rsid w:val="00E139DC"/>
    <w:rsid w:val="00E13C00"/>
    <w:rsid w:val="00E13E44"/>
    <w:rsid w:val="00E140CE"/>
    <w:rsid w:val="00E14318"/>
    <w:rsid w:val="00E14685"/>
    <w:rsid w:val="00E149E8"/>
    <w:rsid w:val="00E14A7F"/>
    <w:rsid w:val="00E14AD9"/>
    <w:rsid w:val="00E14DB2"/>
    <w:rsid w:val="00E14DE0"/>
    <w:rsid w:val="00E14E08"/>
    <w:rsid w:val="00E14F30"/>
    <w:rsid w:val="00E14FAF"/>
    <w:rsid w:val="00E14FB6"/>
    <w:rsid w:val="00E1512F"/>
    <w:rsid w:val="00E15140"/>
    <w:rsid w:val="00E152E3"/>
    <w:rsid w:val="00E1539A"/>
    <w:rsid w:val="00E15403"/>
    <w:rsid w:val="00E1570D"/>
    <w:rsid w:val="00E15E21"/>
    <w:rsid w:val="00E15E8B"/>
    <w:rsid w:val="00E15E8E"/>
    <w:rsid w:val="00E15EA3"/>
    <w:rsid w:val="00E16113"/>
    <w:rsid w:val="00E16554"/>
    <w:rsid w:val="00E165F9"/>
    <w:rsid w:val="00E16A1F"/>
    <w:rsid w:val="00E16A96"/>
    <w:rsid w:val="00E16B25"/>
    <w:rsid w:val="00E16BAC"/>
    <w:rsid w:val="00E16CF0"/>
    <w:rsid w:val="00E16F50"/>
    <w:rsid w:val="00E17135"/>
    <w:rsid w:val="00E172F9"/>
    <w:rsid w:val="00E17323"/>
    <w:rsid w:val="00E17423"/>
    <w:rsid w:val="00E174CE"/>
    <w:rsid w:val="00E175E7"/>
    <w:rsid w:val="00E179A6"/>
    <w:rsid w:val="00E17A4B"/>
    <w:rsid w:val="00E17A4F"/>
    <w:rsid w:val="00E17B16"/>
    <w:rsid w:val="00E17C54"/>
    <w:rsid w:val="00E17DB4"/>
    <w:rsid w:val="00E17DC0"/>
    <w:rsid w:val="00E17E66"/>
    <w:rsid w:val="00E2001E"/>
    <w:rsid w:val="00E2006B"/>
    <w:rsid w:val="00E20225"/>
    <w:rsid w:val="00E2023C"/>
    <w:rsid w:val="00E202F2"/>
    <w:rsid w:val="00E20368"/>
    <w:rsid w:val="00E204A3"/>
    <w:rsid w:val="00E204E0"/>
    <w:rsid w:val="00E20629"/>
    <w:rsid w:val="00E2065F"/>
    <w:rsid w:val="00E209E0"/>
    <w:rsid w:val="00E20A5C"/>
    <w:rsid w:val="00E20B50"/>
    <w:rsid w:val="00E20D2F"/>
    <w:rsid w:val="00E20D8F"/>
    <w:rsid w:val="00E20E02"/>
    <w:rsid w:val="00E20F9B"/>
    <w:rsid w:val="00E2120A"/>
    <w:rsid w:val="00E21405"/>
    <w:rsid w:val="00E21429"/>
    <w:rsid w:val="00E21668"/>
    <w:rsid w:val="00E21781"/>
    <w:rsid w:val="00E21960"/>
    <w:rsid w:val="00E21A03"/>
    <w:rsid w:val="00E21A64"/>
    <w:rsid w:val="00E21B4F"/>
    <w:rsid w:val="00E21D1F"/>
    <w:rsid w:val="00E21D63"/>
    <w:rsid w:val="00E21FBF"/>
    <w:rsid w:val="00E22174"/>
    <w:rsid w:val="00E222BB"/>
    <w:rsid w:val="00E22569"/>
    <w:rsid w:val="00E2273E"/>
    <w:rsid w:val="00E2283F"/>
    <w:rsid w:val="00E22B70"/>
    <w:rsid w:val="00E22D6B"/>
    <w:rsid w:val="00E22DC7"/>
    <w:rsid w:val="00E22E1D"/>
    <w:rsid w:val="00E22E71"/>
    <w:rsid w:val="00E2315F"/>
    <w:rsid w:val="00E2359D"/>
    <w:rsid w:val="00E236A9"/>
    <w:rsid w:val="00E23722"/>
    <w:rsid w:val="00E23BAF"/>
    <w:rsid w:val="00E23D03"/>
    <w:rsid w:val="00E23DBC"/>
    <w:rsid w:val="00E23F1C"/>
    <w:rsid w:val="00E24151"/>
    <w:rsid w:val="00E2429A"/>
    <w:rsid w:val="00E24485"/>
    <w:rsid w:val="00E2448E"/>
    <w:rsid w:val="00E2450C"/>
    <w:rsid w:val="00E247DB"/>
    <w:rsid w:val="00E24815"/>
    <w:rsid w:val="00E24E53"/>
    <w:rsid w:val="00E25006"/>
    <w:rsid w:val="00E25175"/>
    <w:rsid w:val="00E25177"/>
    <w:rsid w:val="00E2523E"/>
    <w:rsid w:val="00E2537F"/>
    <w:rsid w:val="00E25746"/>
    <w:rsid w:val="00E25874"/>
    <w:rsid w:val="00E258F0"/>
    <w:rsid w:val="00E25B0B"/>
    <w:rsid w:val="00E25DA1"/>
    <w:rsid w:val="00E25E8A"/>
    <w:rsid w:val="00E25F24"/>
    <w:rsid w:val="00E26113"/>
    <w:rsid w:val="00E26178"/>
    <w:rsid w:val="00E2618A"/>
    <w:rsid w:val="00E261C8"/>
    <w:rsid w:val="00E263CE"/>
    <w:rsid w:val="00E26590"/>
    <w:rsid w:val="00E2661F"/>
    <w:rsid w:val="00E26699"/>
    <w:rsid w:val="00E266EE"/>
    <w:rsid w:val="00E2670E"/>
    <w:rsid w:val="00E267E8"/>
    <w:rsid w:val="00E2697F"/>
    <w:rsid w:val="00E26A70"/>
    <w:rsid w:val="00E26AA0"/>
    <w:rsid w:val="00E26AE7"/>
    <w:rsid w:val="00E26B42"/>
    <w:rsid w:val="00E270B0"/>
    <w:rsid w:val="00E27198"/>
    <w:rsid w:val="00E27458"/>
    <w:rsid w:val="00E275F6"/>
    <w:rsid w:val="00E2784A"/>
    <w:rsid w:val="00E2794B"/>
    <w:rsid w:val="00E27966"/>
    <w:rsid w:val="00E27B91"/>
    <w:rsid w:val="00E27B98"/>
    <w:rsid w:val="00E30068"/>
    <w:rsid w:val="00E30123"/>
    <w:rsid w:val="00E30236"/>
    <w:rsid w:val="00E3037F"/>
    <w:rsid w:val="00E3047E"/>
    <w:rsid w:val="00E30656"/>
    <w:rsid w:val="00E30695"/>
    <w:rsid w:val="00E309E3"/>
    <w:rsid w:val="00E30B89"/>
    <w:rsid w:val="00E30DF1"/>
    <w:rsid w:val="00E30E4A"/>
    <w:rsid w:val="00E30EA7"/>
    <w:rsid w:val="00E30FCA"/>
    <w:rsid w:val="00E312CD"/>
    <w:rsid w:val="00E3136E"/>
    <w:rsid w:val="00E314F0"/>
    <w:rsid w:val="00E3152C"/>
    <w:rsid w:val="00E315E6"/>
    <w:rsid w:val="00E3164A"/>
    <w:rsid w:val="00E31664"/>
    <w:rsid w:val="00E316BF"/>
    <w:rsid w:val="00E3185F"/>
    <w:rsid w:val="00E31A9C"/>
    <w:rsid w:val="00E31B6C"/>
    <w:rsid w:val="00E31CA0"/>
    <w:rsid w:val="00E31DDB"/>
    <w:rsid w:val="00E31E50"/>
    <w:rsid w:val="00E3227D"/>
    <w:rsid w:val="00E324DD"/>
    <w:rsid w:val="00E3267B"/>
    <w:rsid w:val="00E32840"/>
    <w:rsid w:val="00E329D8"/>
    <w:rsid w:val="00E32B6C"/>
    <w:rsid w:val="00E32C6F"/>
    <w:rsid w:val="00E32DC7"/>
    <w:rsid w:val="00E32F00"/>
    <w:rsid w:val="00E33102"/>
    <w:rsid w:val="00E331C1"/>
    <w:rsid w:val="00E334BE"/>
    <w:rsid w:val="00E3362D"/>
    <w:rsid w:val="00E33631"/>
    <w:rsid w:val="00E33740"/>
    <w:rsid w:val="00E337CC"/>
    <w:rsid w:val="00E338C6"/>
    <w:rsid w:val="00E3395E"/>
    <w:rsid w:val="00E33A65"/>
    <w:rsid w:val="00E33B89"/>
    <w:rsid w:val="00E33FB2"/>
    <w:rsid w:val="00E341BA"/>
    <w:rsid w:val="00E341D7"/>
    <w:rsid w:val="00E343D4"/>
    <w:rsid w:val="00E34463"/>
    <w:rsid w:val="00E344DE"/>
    <w:rsid w:val="00E34557"/>
    <w:rsid w:val="00E34580"/>
    <w:rsid w:val="00E345AF"/>
    <w:rsid w:val="00E345D3"/>
    <w:rsid w:val="00E347E9"/>
    <w:rsid w:val="00E3485C"/>
    <w:rsid w:val="00E34A7B"/>
    <w:rsid w:val="00E34B0D"/>
    <w:rsid w:val="00E34C4C"/>
    <w:rsid w:val="00E34D63"/>
    <w:rsid w:val="00E35309"/>
    <w:rsid w:val="00E35316"/>
    <w:rsid w:val="00E3549D"/>
    <w:rsid w:val="00E354B6"/>
    <w:rsid w:val="00E35651"/>
    <w:rsid w:val="00E356C5"/>
    <w:rsid w:val="00E357DF"/>
    <w:rsid w:val="00E359BE"/>
    <w:rsid w:val="00E35C51"/>
    <w:rsid w:val="00E35C52"/>
    <w:rsid w:val="00E35D42"/>
    <w:rsid w:val="00E35ED4"/>
    <w:rsid w:val="00E35FF0"/>
    <w:rsid w:val="00E36007"/>
    <w:rsid w:val="00E362C2"/>
    <w:rsid w:val="00E362CE"/>
    <w:rsid w:val="00E366C0"/>
    <w:rsid w:val="00E368F2"/>
    <w:rsid w:val="00E36A41"/>
    <w:rsid w:val="00E36A9A"/>
    <w:rsid w:val="00E36AAB"/>
    <w:rsid w:val="00E36C81"/>
    <w:rsid w:val="00E37006"/>
    <w:rsid w:val="00E37071"/>
    <w:rsid w:val="00E3726A"/>
    <w:rsid w:val="00E373A7"/>
    <w:rsid w:val="00E373F2"/>
    <w:rsid w:val="00E373FD"/>
    <w:rsid w:val="00E37407"/>
    <w:rsid w:val="00E379F8"/>
    <w:rsid w:val="00E37B5F"/>
    <w:rsid w:val="00E37BA1"/>
    <w:rsid w:val="00E37BAA"/>
    <w:rsid w:val="00E37E72"/>
    <w:rsid w:val="00E37EB3"/>
    <w:rsid w:val="00E37FD8"/>
    <w:rsid w:val="00E4023E"/>
    <w:rsid w:val="00E4049B"/>
    <w:rsid w:val="00E4057B"/>
    <w:rsid w:val="00E40617"/>
    <w:rsid w:val="00E40890"/>
    <w:rsid w:val="00E408AF"/>
    <w:rsid w:val="00E408C4"/>
    <w:rsid w:val="00E409B0"/>
    <w:rsid w:val="00E40A1E"/>
    <w:rsid w:val="00E40A43"/>
    <w:rsid w:val="00E40A65"/>
    <w:rsid w:val="00E40D73"/>
    <w:rsid w:val="00E40D9E"/>
    <w:rsid w:val="00E40FA2"/>
    <w:rsid w:val="00E410B3"/>
    <w:rsid w:val="00E410FB"/>
    <w:rsid w:val="00E41108"/>
    <w:rsid w:val="00E41164"/>
    <w:rsid w:val="00E412D9"/>
    <w:rsid w:val="00E4136F"/>
    <w:rsid w:val="00E41477"/>
    <w:rsid w:val="00E41517"/>
    <w:rsid w:val="00E4174D"/>
    <w:rsid w:val="00E41823"/>
    <w:rsid w:val="00E41904"/>
    <w:rsid w:val="00E4190C"/>
    <w:rsid w:val="00E419F7"/>
    <w:rsid w:val="00E41A96"/>
    <w:rsid w:val="00E41AD2"/>
    <w:rsid w:val="00E41CA2"/>
    <w:rsid w:val="00E41D79"/>
    <w:rsid w:val="00E41D7E"/>
    <w:rsid w:val="00E41DE5"/>
    <w:rsid w:val="00E41E97"/>
    <w:rsid w:val="00E41FB6"/>
    <w:rsid w:val="00E42094"/>
    <w:rsid w:val="00E42146"/>
    <w:rsid w:val="00E421CE"/>
    <w:rsid w:val="00E421F7"/>
    <w:rsid w:val="00E42407"/>
    <w:rsid w:val="00E42473"/>
    <w:rsid w:val="00E42487"/>
    <w:rsid w:val="00E42748"/>
    <w:rsid w:val="00E42884"/>
    <w:rsid w:val="00E428AF"/>
    <w:rsid w:val="00E428FB"/>
    <w:rsid w:val="00E42D44"/>
    <w:rsid w:val="00E42DAD"/>
    <w:rsid w:val="00E430F0"/>
    <w:rsid w:val="00E43206"/>
    <w:rsid w:val="00E43301"/>
    <w:rsid w:val="00E435DB"/>
    <w:rsid w:val="00E43618"/>
    <w:rsid w:val="00E43627"/>
    <w:rsid w:val="00E436E5"/>
    <w:rsid w:val="00E4376D"/>
    <w:rsid w:val="00E43810"/>
    <w:rsid w:val="00E4381D"/>
    <w:rsid w:val="00E4395F"/>
    <w:rsid w:val="00E4397C"/>
    <w:rsid w:val="00E43A05"/>
    <w:rsid w:val="00E43D5B"/>
    <w:rsid w:val="00E43FEB"/>
    <w:rsid w:val="00E4405B"/>
    <w:rsid w:val="00E4431C"/>
    <w:rsid w:val="00E44357"/>
    <w:rsid w:val="00E443FF"/>
    <w:rsid w:val="00E44564"/>
    <w:rsid w:val="00E445DC"/>
    <w:rsid w:val="00E44751"/>
    <w:rsid w:val="00E44820"/>
    <w:rsid w:val="00E4491B"/>
    <w:rsid w:val="00E44A24"/>
    <w:rsid w:val="00E44A2A"/>
    <w:rsid w:val="00E44AD2"/>
    <w:rsid w:val="00E44BAF"/>
    <w:rsid w:val="00E44C26"/>
    <w:rsid w:val="00E44C74"/>
    <w:rsid w:val="00E44FDF"/>
    <w:rsid w:val="00E45100"/>
    <w:rsid w:val="00E4519A"/>
    <w:rsid w:val="00E4538C"/>
    <w:rsid w:val="00E453AE"/>
    <w:rsid w:val="00E454A3"/>
    <w:rsid w:val="00E4573D"/>
    <w:rsid w:val="00E457D9"/>
    <w:rsid w:val="00E4581A"/>
    <w:rsid w:val="00E45912"/>
    <w:rsid w:val="00E4599F"/>
    <w:rsid w:val="00E45B86"/>
    <w:rsid w:val="00E45C48"/>
    <w:rsid w:val="00E45E2E"/>
    <w:rsid w:val="00E45E43"/>
    <w:rsid w:val="00E45E80"/>
    <w:rsid w:val="00E462A1"/>
    <w:rsid w:val="00E46419"/>
    <w:rsid w:val="00E464E1"/>
    <w:rsid w:val="00E4658C"/>
    <w:rsid w:val="00E4659A"/>
    <w:rsid w:val="00E468D1"/>
    <w:rsid w:val="00E469D9"/>
    <w:rsid w:val="00E46AE2"/>
    <w:rsid w:val="00E46B2E"/>
    <w:rsid w:val="00E46B6E"/>
    <w:rsid w:val="00E46E5E"/>
    <w:rsid w:val="00E46FAA"/>
    <w:rsid w:val="00E47158"/>
    <w:rsid w:val="00E474B5"/>
    <w:rsid w:val="00E475D3"/>
    <w:rsid w:val="00E478E1"/>
    <w:rsid w:val="00E47952"/>
    <w:rsid w:val="00E47A2E"/>
    <w:rsid w:val="00E47AD8"/>
    <w:rsid w:val="00E47C31"/>
    <w:rsid w:val="00E47CAC"/>
    <w:rsid w:val="00E47DD6"/>
    <w:rsid w:val="00E47E3A"/>
    <w:rsid w:val="00E47FE1"/>
    <w:rsid w:val="00E5014A"/>
    <w:rsid w:val="00E5017A"/>
    <w:rsid w:val="00E503A7"/>
    <w:rsid w:val="00E503B3"/>
    <w:rsid w:val="00E507C5"/>
    <w:rsid w:val="00E50A33"/>
    <w:rsid w:val="00E50BF5"/>
    <w:rsid w:val="00E50C23"/>
    <w:rsid w:val="00E50CC6"/>
    <w:rsid w:val="00E50FA8"/>
    <w:rsid w:val="00E51137"/>
    <w:rsid w:val="00E51537"/>
    <w:rsid w:val="00E516FC"/>
    <w:rsid w:val="00E51847"/>
    <w:rsid w:val="00E51924"/>
    <w:rsid w:val="00E51A74"/>
    <w:rsid w:val="00E51B2E"/>
    <w:rsid w:val="00E51B71"/>
    <w:rsid w:val="00E51E6F"/>
    <w:rsid w:val="00E51E99"/>
    <w:rsid w:val="00E52398"/>
    <w:rsid w:val="00E52603"/>
    <w:rsid w:val="00E526DA"/>
    <w:rsid w:val="00E526DF"/>
    <w:rsid w:val="00E52988"/>
    <w:rsid w:val="00E52AF9"/>
    <w:rsid w:val="00E52B60"/>
    <w:rsid w:val="00E52B79"/>
    <w:rsid w:val="00E52B80"/>
    <w:rsid w:val="00E52BB7"/>
    <w:rsid w:val="00E52C1E"/>
    <w:rsid w:val="00E52C3A"/>
    <w:rsid w:val="00E52D7A"/>
    <w:rsid w:val="00E52DE7"/>
    <w:rsid w:val="00E52E4F"/>
    <w:rsid w:val="00E52F6E"/>
    <w:rsid w:val="00E53017"/>
    <w:rsid w:val="00E53033"/>
    <w:rsid w:val="00E530A7"/>
    <w:rsid w:val="00E533CC"/>
    <w:rsid w:val="00E5340E"/>
    <w:rsid w:val="00E53497"/>
    <w:rsid w:val="00E534C7"/>
    <w:rsid w:val="00E537A2"/>
    <w:rsid w:val="00E53CB9"/>
    <w:rsid w:val="00E53D28"/>
    <w:rsid w:val="00E53D2B"/>
    <w:rsid w:val="00E53D4A"/>
    <w:rsid w:val="00E53D66"/>
    <w:rsid w:val="00E53D69"/>
    <w:rsid w:val="00E53F36"/>
    <w:rsid w:val="00E53F8C"/>
    <w:rsid w:val="00E53FB1"/>
    <w:rsid w:val="00E5413A"/>
    <w:rsid w:val="00E54204"/>
    <w:rsid w:val="00E5420E"/>
    <w:rsid w:val="00E542ED"/>
    <w:rsid w:val="00E54366"/>
    <w:rsid w:val="00E543ED"/>
    <w:rsid w:val="00E54540"/>
    <w:rsid w:val="00E5464E"/>
    <w:rsid w:val="00E54669"/>
    <w:rsid w:val="00E548B9"/>
    <w:rsid w:val="00E548D0"/>
    <w:rsid w:val="00E549C1"/>
    <w:rsid w:val="00E54A00"/>
    <w:rsid w:val="00E54AA9"/>
    <w:rsid w:val="00E54AC9"/>
    <w:rsid w:val="00E54C38"/>
    <w:rsid w:val="00E550AE"/>
    <w:rsid w:val="00E552B1"/>
    <w:rsid w:val="00E55459"/>
    <w:rsid w:val="00E554FC"/>
    <w:rsid w:val="00E554FE"/>
    <w:rsid w:val="00E558ED"/>
    <w:rsid w:val="00E5590C"/>
    <w:rsid w:val="00E55928"/>
    <w:rsid w:val="00E55AE0"/>
    <w:rsid w:val="00E55F05"/>
    <w:rsid w:val="00E55FB5"/>
    <w:rsid w:val="00E561EC"/>
    <w:rsid w:val="00E56214"/>
    <w:rsid w:val="00E563F7"/>
    <w:rsid w:val="00E566BD"/>
    <w:rsid w:val="00E56805"/>
    <w:rsid w:val="00E568C0"/>
    <w:rsid w:val="00E569D7"/>
    <w:rsid w:val="00E56A16"/>
    <w:rsid w:val="00E56C1E"/>
    <w:rsid w:val="00E56E12"/>
    <w:rsid w:val="00E56FE5"/>
    <w:rsid w:val="00E571D6"/>
    <w:rsid w:val="00E5720F"/>
    <w:rsid w:val="00E5757B"/>
    <w:rsid w:val="00E5763C"/>
    <w:rsid w:val="00E57855"/>
    <w:rsid w:val="00E5797C"/>
    <w:rsid w:val="00E57A1B"/>
    <w:rsid w:val="00E57E02"/>
    <w:rsid w:val="00E57F6B"/>
    <w:rsid w:val="00E601E4"/>
    <w:rsid w:val="00E60329"/>
    <w:rsid w:val="00E604A6"/>
    <w:rsid w:val="00E6054B"/>
    <w:rsid w:val="00E605E3"/>
    <w:rsid w:val="00E60DF7"/>
    <w:rsid w:val="00E60E0F"/>
    <w:rsid w:val="00E60E7C"/>
    <w:rsid w:val="00E6103D"/>
    <w:rsid w:val="00E61215"/>
    <w:rsid w:val="00E61339"/>
    <w:rsid w:val="00E6133F"/>
    <w:rsid w:val="00E613EE"/>
    <w:rsid w:val="00E61551"/>
    <w:rsid w:val="00E619EE"/>
    <w:rsid w:val="00E61CF2"/>
    <w:rsid w:val="00E61DE3"/>
    <w:rsid w:val="00E61E55"/>
    <w:rsid w:val="00E61EB8"/>
    <w:rsid w:val="00E61F18"/>
    <w:rsid w:val="00E61F7C"/>
    <w:rsid w:val="00E620FD"/>
    <w:rsid w:val="00E6219E"/>
    <w:rsid w:val="00E625CF"/>
    <w:rsid w:val="00E6269B"/>
    <w:rsid w:val="00E6289F"/>
    <w:rsid w:val="00E62DD0"/>
    <w:rsid w:val="00E6309D"/>
    <w:rsid w:val="00E633E3"/>
    <w:rsid w:val="00E63428"/>
    <w:rsid w:val="00E63453"/>
    <w:rsid w:val="00E63582"/>
    <w:rsid w:val="00E63796"/>
    <w:rsid w:val="00E637A6"/>
    <w:rsid w:val="00E638A1"/>
    <w:rsid w:val="00E6397F"/>
    <w:rsid w:val="00E63A45"/>
    <w:rsid w:val="00E63A54"/>
    <w:rsid w:val="00E63BF9"/>
    <w:rsid w:val="00E63CFB"/>
    <w:rsid w:val="00E63E66"/>
    <w:rsid w:val="00E6408C"/>
    <w:rsid w:val="00E641D8"/>
    <w:rsid w:val="00E642B5"/>
    <w:rsid w:val="00E643EC"/>
    <w:rsid w:val="00E64465"/>
    <w:rsid w:val="00E64499"/>
    <w:rsid w:val="00E644FC"/>
    <w:rsid w:val="00E64534"/>
    <w:rsid w:val="00E64566"/>
    <w:rsid w:val="00E64773"/>
    <w:rsid w:val="00E64881"/>
    <w:rsid w:val="00E64995"/>
    <w:rsid w:val="00E64B1C"/>
    <w:rsid w:val="00E64B6D"/>
    <w:rsid w:val="00E64CA9"/>
    <w:rsid w:val="00E64D64"/>
    <w:rsid w:val="00E64F73"/>
    <w:rsid w:val="00E650E1"/>
    <w:rsid w:val="00E658A9"/>
    <w:rsid w:val="00E659EC"/>
    <w:rsid w:val="00E65D92"/>
    <w:rsid w:val="00E65DEA"/>
    <w:rsid w:val="00E65EA0"/>
    <w:rsid w:val="00E661E8"/>
    <w:rsid w:val="00E66242"/>
    <w:rsid w:val="00E6625F"/>
    <w:rsid w:val="00E6626C"/>
    <w:rsid w:val="00E663A7"/>
    <w:rsid w:val="00E66462"/>
    <w:rsid w:val="00E664B6"/>
    <w:rsid w:val="00E665E3"/>
    <w:rsid w:val="00E66600"/>
    <w:rsid w:val="00E66924"/>
    <w:rsid w:val="00E66B87"/>
    <w:rsid w:val="00E66DD0"/>
    <w:rsid w:val="00E66EAA"/>
    <w:rsid w:val="00E66FEA"/>
    <w:rsid w:val="00E67085"/>
    <w:rsid w:val="00E674E8"/>
    <w:rsid w:val="00E67751"/>
    <w:rsid w:val="00E67781"/>
    <w:rsid w:val="00E67AAC"/>
    <w:rsid w:val="00E67C5B"/>
    <w:rsid w:val="00E67C8A"/>
    <w:rsid w:val="00E67CD2"/>
    <w:rsid w:val="00E67CED"/>
    <w:rsid w:val="00E67F08"/>
    <w:rsid w:val="00E70002"/>
    <w:rsid w:val="00E7007E"/>
    <w:rsid w:val="00E7008D"/>
    <w:rsid w:val="00E70090"/>
    <w:rsid w:val="00E706A5"/>
    <w:rsid w:val="00E707B4"/>
    <w:rsid w:val="00E709C1"/>
    <w:rsid w:val="00E70A23"/>
    <w:rsid w:val="00E70ADE"/>
    <w:rsid w:val="00E70B19"/>
    <w:rsid w:val="00E70B79"/>
    <w:rsid w:val="00E70B7C"/>
    <w:rsid w:val="00E70CD7"/>
    <w:rsid w:val="00E70E82"/>
    <w:rsid w:val="00E70F3F"/>
    <w:rsid w:val="00E71143"/>
    <w:rsid w:val="00E711D9"/>
    <w:rsid w:val="00E7125B"/>
    <w:rsid w:val="00E71315"/>
    <w:rsid w:val="00E715B2"/>
    <w:rsid w:val="00E715BF"/>
    <w:rsid w:val="00E71707"/>
    <w:rsid w:val="00E71A45"/>
    <w:rsid w:val="00E71A60"/>
    <w:rsid w:val="00E71CCC"/>
    <w:rsid w:val="00E71DA0"/>
    <w:rsid w:val="00E71EB2"/>
    <w:rsid w:val="00E71FB7"/>
    <w:rsid w:val="00E72241"/>
    <w:rsid w:val="00E72279"/>
    <w:rsid w:val="00E723DD"/>
    <w:rsid w:val="00E7249F"/>
    <w:rsid w:val="00E724A8"/>
    <w:rsid w:val="00E725B2"/>
    <w:rsid w:val="00E72694"/>
    <w:rsid w:val="00E726A0"/>
    <w:rsid w:val="00E7270F"/>
    <w:rsid w:val="00E72872"/>
    <w:rsid w:val="00E728D8"/>
    <w:rsid w:val="00E72992"/>
    <w:rsid w:val="00E729BF"/>
    <w:rsid w:val="00E72B43"/>
    <w:rsid w:val="00E72D44"/>
    <w:rsid w:val="00E72E98"/>
    <w:rsid w:val="00E72EA2"/>
    <w:rsid w:val="00E73040"/>
    <w:rsid w:val="00E73169"/>
    <w:rsid w:val="00E731BB"/>
    <w:rsid w:val="00E731D9"/>
    <w:rsid w:val="00E73288"/>
    <w:rsid w:val="00E736FB"/>
    <w:rsid w:val="00E73A4B"/>
    <w:rsid w:val="00E73CAE"/>
    <w:rsid w:val="00E73DCD"/>
    <w:rsid w:val="00E73E76"/>
    <w:rsid w:val="00E73ED1"/>
    <w:rsid w:val="00E73F02"/>
    <w:rsid w:val="00E73FC9"/>
    <w:rsid w:val="00E7402F"/>
    <w:rsid w:val="00E7415F"/>
    <w:rsid w:val="00E74500"/>
    <w:rsid w:val="00E74556"/>
    <w:rsid w:val="00E7460C"/>
    <w:rsid w:val="00E7482B"/>
    <w:rsid w:val="00E74941"/>
    <w:rsid w:val="00E74A2B"/>
    <w:rsid w:val="00E74A6E"/>
    <w:rsid w:val="00E74B30"/>
    <w:rsid w:val="00E74C37"/>
    <w:rsid w:val="00E74D13"/>
    <w:rsid w:val="00E74FAC"/>
    <w:rsid w:val="00E75286"/>
    <w:rsid w:val="00E75303"/>
    <w:rsid w:val="00E754BF"/>
    <w:rsid w:val="00E757ED"/>
    <w:rsid w:val="00E75A12"/>
    <w:rsid w:val="00E75CF9"/>
    <w:rsid w:val="00E76018"/>
    <w:rsid w:val="00E7604C"/>
    <w:rsid w:val="00E763CC"/>
    <w:rsid w:val="00E764CC"/>
    <w:rsid w:val="00E76558"/>
    <w:rsid w:val="00E765A5"/>
    <w:rsid w:val="00E766C7"/>
    <w:rsid w:val="00E766DD"/>
    <w:rsid w:val="00E768E1"/>
    <w:rsid w:val="00E76B55"/>
    <w:rsid w:val="00E76CE1"/>
    <w:rsid w:val="00E77099"/>
    <w:rsid w:val="00E771BF"/>
    <w:rsid w:val="00E77465"/>
    <w:rsid w:val="00E77776"/>
    <w:rsid w:val="00E777AF"/>
    <w:rsid w:val="00E778D2"/>
    <w:rsid w:val="00E77A63"/>
    <w:rsid w:val="00E77A7C"/>
    <w:rsid w:val="00E77B37"/>
    <w:rsid w:val="00E77B39"/>
    <w:rsid w:val="00E77B43"/>
    <w:rsid w:val="00E77BDE"/>
    <w:rsid w:val="00E77CFC"/>
    <w:rsid w:val="00E77D6D"/>
    <w:rsid w:val="00E77DF2"/>
    <w:rsid w:val="00E77FB1"/>
    <w:rsid w:val="00E8012F"/>
    <w:rsid w:val="00E80269"/>
    <w:rsid w:val="00E803F4"/>
    <w:rsid w:val="00E8046B"/>
    <w:rsid w:val="00E80593"/>
    <w:rsid w:val="00E805B7"/>
    <w:rsid w:val="00E805C7"/>
    <w:rsid w:val="00E8064C"/>
    <w:rsid w:val="00E8070E"/>
    <w:rsid w:val="00E8087A"/>
    <w:rsid w:val="00E80AD5"/>
    <w:rsid w:val="00E80B92"/>
    <w:rsid w:val="00E80BBC"/>
    <w:rsid w:val="00E80BBE"/>
    <w:rsid w:val="00E81069"/>
    <w:rsid w:val="00E813AF"/>
    <w:rsid w:val="00E813C6"/>
    <w:rsid w:val="00E8146B"/>
    <w:rsid w:val="00E81477"/>
    <w:rsid w:val="00E815AD"/>
    <w:rsid w:val="00E8168D"/>
    <w:rsid w:val="00E81A2B"/>
    <w:rsid w:val="00E81A92"/>
    <w:rsid w:val="00E81A93"/>
    <w:rsid w:val="00E81B06"/>
    <w:rsid w:val="00E81BA9"/>
    <w:rsid w:val="00E81FDD"/>
    <w:rsid w:val="00E82139"/>
    <w:rsid w:val="00E8224B"/>
    <w:rsid w:val="00E8229B"/>
    <w:rsid w:val="00E82347"/>
    <w:rsid w:val="00E823A5"/>
    <w:rsid w:val="00E823D3"/>
    <w:rsid w:val="00E82567"/>
    <w:rsid w:val="00E825D6"/>
    <w:rsid w:val="00E82B66"/>
    <w:rsid w:val="00E82BEE"/>
    <w:rsid w:val="00E82C9C"/>
    <w:rsid w:val="00E82CA1"/>
    <w:rsid w:val="00E83027"/>
    <w:rsid w:val="00E83507"/>
    <w:rsid w:val="00E835AC"/>
    <w:rsid w:val="00E835EA"/>
    <w:rsid w:val="00E83661"/>
    <w:rsid w:val="00E837E8"/>
    <w:rsid w:val="00E83A3E"/>
    <w:rsid w:val="00E83C32"/>
    <w:rsid w:val="00E83C89"/>
    <w:rsid w:val="00E83CCB"/>
    <w:rsid w:val="00E83DAB"/>
    <w:rsid w:val="00E83DBF"/>
    <w:rsid w:val="00E83F3D"/>
    <w:rsid w:val="00E844A8"/>
    <w:rsid w:val="00E844B4"/>
    <w:rsid w:val="00E84893"/>
    <w:rsid w:val="00E84ABF"/>
    <w:rsid w:val="00E84C44"/>
    <w:rsid w:val="00E84C7C"/>
    <w:rsid w:val="00E84D69"/>
    <w:rsid w:val="00E84F22"/>
    <w:rsid w:val="00E84FC9"/>
    <w:rsid w:val="00E85300"/>
    <w:rsid w:val="00E85301"/>
    <w:rsid w:val="00E854F8"/>
    <w:rsid w:val="00E858F3"/>
    <w:rsid w:val="00E85910"/>
    <w:rsid w:val="00E859F7"/>
    <w:rsid w:val="00E85A7E"/>
    <w:rsid w:val="00E85CF8"/>
    <w:rsid w:val="00E85E81"/>
    <w:rsid w:val="00E85F43"/>
    <w:rsid w:val="00E863D8"/>
    <w:rsid w:val="00E86553"/>
    <w:rsid w:val="00E8686E"/>
    <w:rsid w:val="00E86924"/>
    <w:rsid w:val="00E869A9"/>
    <w:rsid w:val="00E869B6"/>
    <w:rsid w:val="00E86AAE"/>
    <w:rsid w:val="00E86C29"/>
    <w:rsid w:val="00E86E3B"/>
    <w:rsid w:val="00E86E77"/>
    <w:rsid w:val="00E871BE"/>
    <w:rsid w:val="00E871EB"/>
    <w:rsid w:val="00E87445"/>
    <w:rsid w:val="00E8744A"/>
    <w:rsid w:val="00E874C7"/>
    <w:rsid w:val="00E87583"/>
    <w:rsid w:val="00E875F6"/>
    <w:rsid w:val="00E877FB"/>
    <w:rsid w:val="00E87841"/>
    <w:rsid w:val="00E87945"/>
    <w:rsid w:val="00E87A04"/>
    <w:rsid w:val="00E87D05"/>
    <w:rsid w:val="00E87DAF"/>
    <w:rsid w:val="00E87DDE"/>
    <w:rsid w:val="00E87E0B"/>
    <w:rsid w:val="00E87FB1"/>
    <w:rsid w:val="00E9002A"/>
    <w:rsid w:val="00E90193"/>
    <w:rsid w:val="00E90293"/>
    <w:rsid w:val="00E904B7"/>
    <w:rsid w:val="00E907B5"/>
    <w:rsid w:val="00E907B6"/>
    <w:rsid w:val="00E90933"/>
    <w:rsid w:val="00E90964"/>
    <w:rsid w:val="00E90ACD"/>
    <w:rsid w:val="00E90C32"/>
    <w:rsid w:val="00E90E8A"/>
    <w:rsid w:val="00E90FE8"/>
    <w:rsid w:val="00E91062"/>
    <w:rsid w:val="00E910DC"/>
    <w:rsid w:val="00E912F0"/>
    <w:rsid w:val="00E914AA"/>
    <w:rsid w:val="00E9157F"/>
    <w:rsid w:val="00E915A0"/>
    <w:rsid w:val="00E918E9"/>
    <w:rsid w:val="00E9195B"/>
    <w:rsid w:val="00E91A65"/>
    <w:rsid w:val="00E91B37"/>
    <w:rsid w:val="00E91D39"/>
    <w:rsid w:val="00E91DF0"/>
    <w:rsid w:val="00E91E4E"/>
    <w:rsid w:val="00E91EC6"/>
    <w:rsid w:val="00E91FEF"/>
    <w:rsid w:val="00E92048"/>
    <w:rsid w:val="00E921A8"/>
    <w:rsid w:val="00E921D5"/>
    <w:rsid w:val="00E926A4"/>
    <w:rsid w:val="00E9275A"/>
    <w:rsid w:val="00E92865"/>
    <w:rsid w:val="00E92B80"/>
    <w:rsid w:val="00E92C56"/>
    <w:rsid w:val="00E92C88"/>
    <w:rsid w:val="00E92D9D"/>
    <w:rsid w:val="00E92E13"/>
    <w:rsid w:val="00E92F41"/>
    <w:rsid w:val="00E9314F"/>
    <w:rsid w:val="00E931F6"/>
    <w:rsid w:val="00E93242"/>
    <w:rsid w:val="00E93282"/>
    <w:rsid w:val="00E93586"/>
    <w:rsid w:val="00E9376A"/>
    <w:rsid w:val="00E93AA9"/>
    <w:rsid w:val="00E93B22"/>
    <w:rsid w:val="00E93C5A"/>
    <w:rsid w:val="00E93CD2"/>
    <w:rsid w:val="00E93E30"/>
    <w:rsid w:val="00E94179"/>
    <w:rsid w:val="00E943AD"/>
    <w:rsid w:val="00E9444B"/>
    <w:rsid w:val="00E944FA"/>
    <w:rsid w:val="00E9456D"/>
    <w:rsid w:val="00E946E8"/>
    <w:rsid w:val="00E948B4"/>
    <w:rsid w:val="00E94989"/>
    <w:rsid w:val="00E94A4E"/>
    <w:rsid w:val="00E94A8B"/>
    <w:rsid w:val="00E94ACB"/>
    <w:rsid w:val="00E94C9A"/>
    <w:rsid w:val="00E94D44"/>
    <w:rsid w:val="00E94DC2"/>
    <w:rsid w:val="00E94DE0"/>
    <w:rsid w:val="00E95029"/>
    <w:rsid w:val="00E950C0"/>
    <w:rsid w:val="00E950F5"/>
    <w:rsid w:val="00E95210"/>
    <w:rsid w:val="00E954BA"/>
    <w:rsid w:val="00E9568E"/>
    <w:rsid w:val="00E95993"/>
    <w:rsid w:val="00E959B7"/>
    <w:rsid w:val="00E95C54"/>
    <w:rsid w:val="00E95EAB"/>
    <w:rsid w:val="00E95F49"/>
    <w:rsid w:val="00E95F63"/>
    <w:rsid w:val="00E95FF6"/>
    <w:rsid w:val="00E9611F"/>
    <w:rsid w:val="00E96124"/>
    <w:rsid w:val="00E9612A"/>
    <w:rsid w:val="00E9614C"/>
    <w:rsid w:val="00E96170"/>
    <w:rsid w:val="00E96202"/>
    <w:rsid w:val="00E96696"/>
    <w:rsid w:val="00E966F9"/>
    <w:rsid w:val="00E9673F"/>
    <w:rsid w:val="00E968CA"/>
    <w:rsid w:val="00E968D6"/>
    <w:rsid w:val="00E96A75"/>
    <w:rsid w:val="00E96B60"/>
    <w:rsid w:val="00E96C22"/>
    <w:rsid w:val="00E96D02"/>
    <w:rsid w:val="00E9725A"/>
    <w:rsid w:val="00E97450"/>
    <w:rsid w:val="00E97502"/>
    <w:rsid w:val="00E976E2"/>
    <w:rsid w:val="00E9780E"/>
    <w:rsid w:val="00E9788B"/>
    <w:rsid w:val="00E97975"/>
    <w:rsid w:val="00E97988"/>
    <w:rsid w:val="00E97B62"/>
    <w:rsid w:val="00E97B8A"/>
    <w:rsid w:val="00E97C95"/>
    <w:rsid w:val="00E97D36"/>
    <w:rsid w:val="00E97D90"/>
    <w:rsid w:val="00E97E1B"/>
    <w:rsid w:val="00E97EDE"/>
    <w:rsid w:val="00EA0074"/>
    <w:rsid w:val="00EA0088"/>
    <w:rsid w:val="00EA0196"/>
    <w:rsid w:val="00EA03EE"/>
    <w:rsid w:val="00EA0483"/>
    <w:rsid w:val="00EA048F"/>
    <w:rsid w:val="00EA04A8"/>
    <w:rsid w:val="00EA057A"/>
    <w:rsid w:val="00EA06D9"/>
    <w:rsid w:val="00EA06EE"/>
    <w:rsid w:val="00EA0898"/>
    <w:rsid w:val="00EA0930"/>
    <w:rsid w:val="00EA0B8E"/>
    <w:rsid w:val="00EA0C5A"/>
    <w:rsid w:val="00EA0E66"/>
    <w:rsid w:val="00EA10CB"/>
    <w:rsid w:val="00EA166F"/>
    <w:rsid w:val="00EA1674"/>
    <w:rsid w:val="00EA1A64"/>
    <w:rsid w:val="00EA1B8B"/>
    <w:rsid w:val="00EA1E8A"/>
    <w:rsid w:val="00EA1F2B"/>
    <w:rsid w:val="00EA1FE5"/>
    <w:rsid w:val="00EA2227"/>
    <w:rsid w:val="00EA25A9"/>
    <w:rsid w:val="00EA2675"/>
    <w:rsid w:val="00EA2727"/>
    <w:rsid w:val="00EA27CA"/>
    <w:rsid w:val="00EA2B55"/>
    <w:rsid w:val="00EA2C08"/>
    <w:rsid w:val="00EA2D60"/>
    <w:rsid w:val="00EA2D79"/>
    <w:rsid w:val="00EA2E4A"/>
    <w:rsid w:val="00EA2E95"/>
    <w:rsid w:val="00EA30E3"/>
    <w:rsid w:val="00EA3251"/>
    <w:rsid w:val="00EA3944"/>
    <w:rsid w:val="00EA3968"/>
    <w:rsid w:val="00EA3981"/>
    <w:rsid w:val="00EA39EE"/>
    <w:rsid w:val="00EA3B08"/>
    <w:rsid w:val="00EA3BE1"/>
    <w:rsid w:val="00EA3DA6"/>
    <w:rsid w:val="00EA3FCA"/>
    <w:rsid w:val="00EA40F8"/>
    <w:rsid w:val="00EA4222"/>
    <w:rsid w:val="00EA4233"/>
    <w:rsid w:val="00EA427B"/>
    <w:rsid w:val="00EA43A3"/>
    <w:rsid w:val="00EA440A"/>
    <w:rsid w:val="00EA459A"/>
    <w:rsid w:val="00EA468D"/>
    <w:rsid w:val="00EA4A22"/>
    <w:rsid w:val="00EA4BF9"/>
    <w:rsid w:val="00EA4C0B"/>
    <w:rsid w:val="00EA4C71"/>
    <w:rsid w:val="00EA5058"/>
    <w:rsid w:val="00EA5125"/>
    <w:rsid w:val="00EA5133"/>
    <w:rsid w:val="00EA54F4"/>
    <w:rsid w:val="00EA5B5B"/>
    <w:rsid w:val="00EA5B9E"/>
    <w:rsid w:val="00EA5BC4"/>
    <w:rsid w:val="00EA5C25"/>
    <w:rsid w:val="00EA625E"/>
    <w:rsid w:val="00EA62C2"/>
    <w:rsid w:val="00EA6358"/>
    <w:rsid w:val="00EA6454"/>
    <w:rsid w:val="00EA654C"/>
    <w:rsid w:val="00EA68E3"/>
    <w:rsid w:val="00EA6B76"/>
    <w:rsid w:val="00EA6DCD"/>
    <w:rsid w:val="00EA6E5D"/>
    <w:rsid w:val="00EA6FB1"/>
    <w:rsid w:val="00EA71D3"/>
    <w:rsid w:val="00EA731E"/>
    <w:rsid w:val="00EA7737"/>
    <w:rsid w:val="00EA7921"/>
    <w:rsid w:val="00EA7B4A"/>
    <w:rsid w:val="00EA7B8C"/>
    <w:rsid w:val="00EA7D74"/>
    <w:rsid w:val="00EA7DAA"/>
    <w:rsid w:val="00EB03B0"/>
    <w:rsid w:val="00EB03B6"/>
    <w:rsid w:val="00EB059C"/>
    <w:rsid w:val="00EB0AA1"/>
    <w:rsid w:val="00EB0B62"/>
    <w:rsid w:val="00EB0CEE"/>
    <w:rsid w:val="00EB0F21"/>
    <w:rsid w:val="00EB1092"/>
    <w:rsid w:val="00EB1160"/>
    <w:rsid w:val="00EB1302"/>
    <w:rsid w:val="00EB1360"/>
    <w:rsid w:val="00EB137C"/>
    <w:rsid w:val="00EB161B"/>
    <w:rsid w:val="00EB189B"/>
    <w:rsid w:val="00EB18F2"/>
    <w:rsid w:val="00EB198A"/>
    <w:rsid w:val="00EB1ADA"/>
    <w:rsid w:val="00EB1AEE"/>
    <w:rsid w:val="00EB1BC4"/>
    <w:rsid w:val="00EB1DD3"/>
    <w:rsid w:val="00EB1E14"/>
    <w:rsid w:val="00EB1E18"/>
    <w:rsid w:val="00EB1E3B"/>
    <w:rsid w:val="00EB1E52"/>
    <w:rsid w:val="00EB2017"/>
    <w:rsid w:val="00EB2093"/>
    <w:rsid w:val="00EB20D1"/>
    <w:rsid w:val="00EB22FF"/>
    <w:rsid w:val="00EB25BB"/>
    <w:rsid w:val="00EB25DC"/>
    <w:rsid w:val="00EB285F"/>
    <w:rsid w:val="00EB29B6"/>
    <w:rsid w:val="00EB29E8"/>
    <w:rsid w:val="00EB2A4C"/>
    <w:rsid w:val="00EB2B5F"/>
    <w:rsid w:val="00EB2F96"/>
    <w:rsid w:val="00EB2FC6"/>
    <w:rsid w:val="00EB30D1"/>
    <w:rsid w:val="00EB346A"/>
    <w:rsid w:val="00EB347B"/>
    <w:rsid w:val="00EB35BF"/>
    <w:rsid w:val="00EB3781"/>
    <w:rsid w:val="00EB37AC"/>
    <w:rsid w:val="00EB37AE"/>
    <w:rsid w:val="00EB38C1"/>
    <w:rsid w:val="00EB3D98"/>
    <w:rsid w:val="00EB41A5"/>
    <w:rsid w:val="00EB427B"/>
    <w:rsid w:val="00EB43EA"/>
    <w:rsid w:val="00EB464A"/>
    <w:rsid w:val="00EB4811"/>
    <w:rsid w:val="00EB48CC"/>
    <w:rsid w:val="00EB48FE"/>
    <w:rsid w:val="00EB4988"/>
    <w:rsid w:val="00EB4BB4"/>
    <w:rsid w:val="00EB4D13"/>
    <w:rsid w:val="00EB4D92"/>
    <w:rsid w:val="00EB4FD9"/>
    <w:rsid w:val="00EB4FDB"/>
    <w:rsid w:val="00EB4FF8"/>
    <w:rsid w:val="00EB503E"/>
    <w:rsid w:val="00EB5238"/>
    <w:rsid w:val="00EB528D"/>
    <w:rsid w:val="00EB55FD"/>
    <w:rsid w:val="00EB5728"/>
    <w:rsid w:val="00EB59DB"/>
    <w:rsid w:val="00EB5A33"/>
    <w:rsid w:val="00EB5A48"/>
    <w:rsid w:val="00EB5AC3"/>
    <w:rsid w:val="00EB5BE5"/>
    <w:rsid w:val="00EB61EA"/>
    <w:rsid w:val="00EB62CB"/>
    <w:rsid w:val="00EB62E9"/>
    <w:rsid w:val="00EB63C7"/>
    <w:rsid w:val="00EB659D"/>
    <w:rsid w:val="00EB66BA"/>
    <w:rsid w:val="00EB6758"/>
    <w:rsid w:val="00EB67FD"/>
    <w:rsid w:val="00EB68B1"/>
    <w:rsid w:val="00EB69B9"/>
    <w:rsid w:val="00EB6DA2"/>
    <w:rsid w:val="00EB6F07"/>
    <w:rsid w:val="00EB6F73"/>
    <w:rsid w:val="00EB6FC2"/>
    <w:rsid w:val="00EB6FD4"/>
    <w:rsid w:val="00EB7386"/>
    <w:rsid w:val="00EB74F2"/>
    <w:rsid w:val="00EB7571"/>
    <w:rsid w:val="00EB7690"/>
    <w:rsid w:val="00EB77DA"/>
    <w:rsid w:val="00EB78D0"/>
    <w:rsid w:val="00EB7A10"/>
    <w:rsid w:val="00EB7D82"/>
    <w:rsid w:val="00EB7FFC"/>
    <w:rsid w:val="00EC00BF"/>
    <w:rsid w:val="00EC014F"/>
    <w:rsid w:val="00EC0288"/>
    <w:rsid w:val="00EC030D"/>
    <w:rsid w:val="00EC04BA"/>
    <w:rsid w:val="00EC074F"/>
    <w:rsid w:val="00EC084F"/>
    <w:rsid w:val="00EC0889"/>
    <w:rsid w:val="00EC0BBE"/>
    <w:rsid w:val="00EC0BD2"/>
    <w:rsid w:val="00EC0CA8"/>
    <w:rsid w:val="00EC0F00"/>
    <w:rsid w:val="00EC0F07"/>
    <w:rsid w:val="00EC101E"/>
    <w:rsid w:val="00EC104F"/>
    <w:rsid w:val="00EC105D"/>
    <w:rsid w:val="00EC11F5"/>
    <w:rsid w:val="00EC1231"/>
    <w:rsid w:val="00EC125E"/>
    <w:rsid w:val="00EC13F0"/>
    <w:rsid w:val="00EC14EA"/>
    <w:rsid w:val="00EC182D"/>
    <w:rsid w:val="00EC18E0"/>
    <w:rsid w:val="00EC1AB1"/>
    <w:rsid w:val="00EC1B7F"/>
    <w:rsid w:val="00EC1ED8"/>
    <w:rsid w:val="00EC2216"/>
    <w:rsid w:val="00EC2424"/>
    <w:rsid w:val="00EC2598"/>
    <w:rsid w:val="00EC2776"/>
    <w:rsid w:val="00EC28A3"/>
    <w:rsid w:val="00EC2976"/>
    <w:rsid w:val="00EC2A3D"/>
    <w:rsid w:val="00EC2AB0"/>
    <w:rsid w:val="00EC2E5A"/>
    <w:rsid w:val="00EC2F00"/>
    <w:rsid w:val="00EC3077"/>
    <w:rsid w:val="00EC3149"/>
    <w:rsid w:val="00EC32DB"/>
    <w:rsid w:val="00EC3652"/>
    <w:rsid w:val="00EC3E95"/>
    <w:rsid w:val="00EC4071"/>
    <w:rsid w:val="00EC40B5"/>
    <w:rsid w:val="00EC45E9"/>
    <w:rsid w:val="00EC45EE"/>
    <w:rsid w:val="00EC476C"/>
    <w:rsid w:val="00EC4BFB"/>
    <w:rsid w:val="00EC4C0F"/>
    <w:rsid w:val="00EC517B"/>
    <w:rsid w:val="00EC521B"/>
    <w:rsid w:val="00EC5907"/>
    <w:rsid w:val="00EC597F"/>
    <w:rsid w:val="00EC5AB8"/>
    <w:rsid w:val="00EC5BCC"/>
    <w:rsid w:val="00EC5C12"/>
    <w:rsid w:val="00EC5EB6"/>
    <w:rsid w:val="00EC6361"/>
    <w:rsid w:val="00EC63BE"/>
    <w:rsid w:val="00EC63CC"/>
    <w:rsid w:val="00EC690C"/>
    <w:rsid w:val="00EC6ED9"/>
    <w:rsid w:val="00EC71C4"/>
    <w:rsid w:val="00EC725B"/>
    <w:rsid w:val="00EC7433"/>
    <w:rsid w:val="00EC758C"/>
    <w:rsid w:val="00EC7A13"/>
    <w:rsid w:val="00EC7BA4"/>
    <w:rsid w:val="00EC7BE8"/>
    <w:rsid w:val="00EC7C45"/>
    <w:rsid w:val="00EC7D01"/>
    <w:rsid w:val="00ECF79A"/>
    <w:rsid w:val="00ED0029"/>
    <w:rsid w:val="00ED00FD"/>
    <w:rsid w:val="00ED0101"/>
    <w:rsid w:val="00ED0108"/>
    <w:rsid w:val="00ED01B0"/>
    <w:rsid w:val="00ED0376"/>
    <w:rsid w:val="00ED06A3"/>
    <w:rsid w:val="00ED0761"/>
    <w:rsid w:val="00ED091B"/>
    <w:rsid w:val="00ED0A96"/>
    <w:rsid w:val="00ED0BD3"/>
    <w:rsid w:val="00ED0C98"/>
    <w:rsid w:val="00ED0CCD"/>
    <w:rsid w:val="00ED0F08"/>
    <w:rsid w:val="00ED0F48"/>
    <w:rsid w:val="00ED0FEF"/>
    <w:rsid w:val="00ED12CA"/>
    <w:rsid w:val="00ED1349"/>
    <w:rsid w:val="00ED1387"/>
    <w:rsid w:val="00ED1514"/>
    <w:rsid w:val="00ED155B"/>
    <w:rsid w:val="00ED177D"/>
    <w:rsid w:val="00ED1D21"/>
    <w:rsid w:val="00ED1D6E"/>
    <w:rsid w:val="00ED1FC9"/>
    <w:rsid w:val="00ED20E4"/>
    <w:rsid w:val="00ED2572"/>
    <w:rsid w:val="00ED2765"/>
    <w:rsid w:val="00ED288E"/>
    <w:rsid w:val="00ED294A"/>
    <w:rsid w:val="00ED29F7"/>
    <w:rsid w:val="00ED2D6D"/>
    <w:rsid w:val="00ED30BD"/>
    <w:rsid w:val="00ED34E6"/>
    <w:rsid w:val="00ED3548"/>
    <w:rsid w:val="00ED3648"/>
    <w:rsid w:val="00ED37DE"/>
    <w:rsid w:val="00ED399C"/>
    <w:rsid w:val="00ED39C3"/>
    <w:rsid w:val="00ED3BD8"/>
    <w:rsid w:val="00ED3EDF"/>
    <w:rsid w:val="00ED3EF8"/>
    <w:rsid w:val="00ED3FDC"/>
    <w:rsid w:val="00ED401C"/>
    <w:rsid w:val="00ED404B"/>
    <w:rsid w:val="00ED47BA"/>
    <w:rsid w:val="00ED4988"/>
    <w:rsid w:val="00ED4C4C"/>
    <w:rsid w:val="00ED4CF4"/>
    <w:rsid w:val="00ED4D23"/>
    <w:rsid w:val="00ED4D4D"/>
    <w:rsid w:val="00ED4E4C"/>
    <w:rsid w:val="00ED4EA5"/>
    <w:rsid w:val="00ED4F06"/>
    <w:rsid w:val="00ED4FB3"/>
    <w:rsid w:val="00ED5064"/>
    <w:rsid w:val="00ED53BB"/>
    <w:rsid w:val="00ED550B"/>
    <w:rsid w:val="00ED565D"/>
    <w:rsid w:val="00ED5720"/>
    <w:rsid w:val="00ED5728"/>
    <w:rsid w:val="00ED574A"/>
    <w:rsid w:val="00ED5782"/>
    <w:rsid w:val="00ED578A"/>
    <w:rsid w:val="00ED57F1"/>
    <w:rsid w:val="00ED57F7"/>
    <w:rsid w:val="00ED5888"/>
    <w:rsid w:val="00ED5C57"/>
    <w:rsid w:val="00ED5D83"/>
    <w:rsid w:val="00ED5DB5"/>
    <w:rsid w:val="00ED5EA9"/>
    <w:rsid w:val="00ED6057"/>
    <w:rsid w:val="00ED6133"/>
    <w:rsid w:val="00ED6410"/>
    <w:rsid w:val="00ED64A4"/>
    <w:rsid w:val="00ED6643"/>
    <w:rsid w:val="00ED6963"/>
    <w:rsid w:val="00ED6B94"/>
    <w:rsid w:val="00ED6BE8"/>
    <w:rsid w:val="00ED6C18"/>
    <w:rsid w:val="00ED6C19"/>
    <w:rsid w:val="00ED6C6C"/>
    <w:rsid w:val="00ED6CF8"/>
    <w:rsid w:val="00ED6D7D"/>
    <w:rsid w:val="00ED6E75"/>
    <w:rsid w:val="00ED708D"/>
    <w:rsid w:val="00ED724B"/>
    <w:rsid w:val="00ED72B5"/>
    <w:rsid w:val="00ED7410"/>
    <w:rsid w:val="00ED74A8"/>
    <w:rsid w:val="00ED74C9"/>
    <w:rsid w:val="00ED753A"/>
    <w:rsid w:val="00ED78E0"/>
    <w:rsid w:val="00ED7B63"/>
    <w:rsid w:val="00ED7C0A"/>
    <w:rsid w:val="00ED7D8E"/>
    <w:rsid w:val="00ED7FAA"/>
    <w:rsid w:val="00EE01F6"/>
    <w:rsid w:val="00EE02F7"/>
    <w:rsid w:val="00EE03DC"/>
    <w:rsid w:val="00EE03F2"/>
    <w:rsid w:val="00EE041E"/>
    <w:rsid w:val="00EE0596"/>
    <w:rsid w:val="00EE0697"/>
    <w:rsid w:val="00EE074D"/>
    <w:rsid w:val="00EE082E"/>
    <w:rsid w:val="00EE0941"/>
    <w:rsid w:val="00EE0A51"/>
    <w:rsid w:val="00EE0AC0"/>
    <w:rsid w:val="00EE0BB5"/>
    <w:rsid w:val="00EE0BCB"/>
    <w:rsid w:val="00EE0C9E"/>
    <w:rsid w:val="00EE0D1A"/>
    <w:rsid w:val="00EE0D3B"/>
    <w:rsid w:val="00EE0DE2"/>
    <w:rsid w:val="00EE0F13"/>
    <w:rsid w:val="00EE0F16"/>
    <w:rsid w:val="00EE0FFF"/>
    <w:rsid w:val="00EE1126"/>
    <w:rsid w:val="00EE123A"/>
    <w:rsid w:val="00EE12E7"/>
    <w:rsid w:val="00EE13DA"/>
    <w:rsid w:val="00EE1425"/>
    <w:rsid w:val="00EE14B9"/>
    <w:rsid w:val="00EE154A"/>
    <w:rsid w:val="00EE16C8"/>
    <w:rsid w:val="00EE1706"/>
    <w:rsid w:val="00EE17FD"/>
    <w:rsid w:val="00EE18F1"/>
    <w:rsid w:val="00EE1ABE"/>
    <w:rsid w:val="00EE1B16"/>
    <w:rsid w:val="00EE1C68"/>
    <w:rsid w:val="00EE1D46"/>
    <w:rsid w:val="00EE1DEC"/>
    <w:rsid w:val="00EE1E33"/>
    <w:rsid w:val="00EE2118"/>
    <w:rsid w:val="00EE232B"/>
    <w:rsid w:val="00EE2557"/>
    <w:rsid w:val="00EE262B"/>
    <w:rsid w:val="00EE26C4"/>
    <w:rsid w:val="00EE2992"/>
    <w:rsid w:val="00EE2B26"/>
    <w:rsid w:val="00EE2BBF"/>
    <w:rsid w:val="00EE2E8C"/>
    <w:rsid w:val="00EE343A"/>
    <w:rsid w:val="00EE348E"/>
    <w:rsid w:val="00EE34F8"/>
    <w:rsid w:val="00EE3784"/>
    <w:rsid w:val="00EE37FC"/>
    <w:rsid w:val="00EE38AB"/>
    <w:rsid w:val="00EE3908"/>
    <w:rsid w:val="00EE3960"/>
    <w:rsid w:val="00EE3AAC"/>
    <w:rsid w:val="00EE3BC2"/>
    <w:rsid w:val="00EE3D0E"/>
    <w:rsid w:val="00EE3F08"/>
    <w:rsid w:val="00EE3F79"/>
    <w:rsid w:val="00EE416C"/>
    <w:rsid w:val="00EE427E"/>
    <w:rsid w:val="00EE4560"/>
    <w:rsid w:val="00EE46A2"/>
    <w:rsid w:val="00EE4748"/>
    <w:rsid w:val="00EE4749"/>
    <w:rsid w:val="00EE475B"/>
    <w:rsid w:val="00EE4ADF"/>
    <w:rsid w:val="00EE4B29"/>
    <w:rsid w:val="00EE4D55"/>
    <w:rsid w:val="00EE4DAD"/>
    <w:rsid w:val="00EE4DB2"/>
    <w:rsid w:val="00EE4E67"/>
    <w:rsid w:val="00EE4EAF"/>
    <w:rsid w:val="00EE506F"/>
    <w:rsid w:val="00EE51A2"/>
    <w:rsid w:val="00EE5240"/>
    <w:rsid w:val="00EE5247"/>
    <w:rsid w:val="00EE5272"/>
    <w:rsid w:val="00EE540B"/>
    <w:rsid w:val="00EE566A"/>
    <w:rsid w:val="00EE56DA"/>
    <w:rsid w:val="00EE56E9"/>
    <w:rsid w:val="00EE578E"/>
    <w:rsid w:val="00EE5906"/>
    <w:rsid w:val="00EE591E"/>
    <w:rsid w:val="00EE5939"/>
    <w:rsid w:val="00EE598F"/>
    <w:rsid w:val="00EE5AB0"/>
    <w:rsid w:val="00EE5BC0"/>
    <w:rsid w:val="00EE5C4F"/>
    <w:rsid w:val="00EE5CAA"/>
    <w:rsid w:val="00EE5CFC"/>
    <w:rsid w:val="00EE606D"/>
    <w:rsid w:val="00EE6177"/>
    <w:rsid w:val="00EE6300"/>
    <w:rsid w:val="00EE6469"/>
    <w:rsid w:val="00EE64DE"/>
    <w:rsid w:val="00EE6689"/>
    <w:rsid w:val="00EE672C"/>
    <w:rsid w:val="00EE6796"/>
    <w:rsid w:val="00EE6A84"/>
    <w:rsid w:val="00EE6CF4"/>
    <w:rsid w:val="00EE6EE1"/>
    <w:rsid w:val="00EE754B"/>
    <w:rsid w:val="00EE7721"/>
    <w:rsid w:val="00EE786D"/>
    <w:rsid w:val="00EE7936"/>
    <w:rsid w:val="00EE7CE1"/>
    <w:rsid w:val="00EE7DBF"/>
    <w:rsid w:val="00EE7F7A"/>
    <w:rsid w:val="00EE7FAB"/>
    <w:rsid w:val="00EF0030"/>
    <w:rsid w:val="00EF0127"/>
    <w:rsid w:val="00EF01ED"/>
    <w:rsid w:val="00EF0306"/>
    <w:rsid w:val="00EF038C"/>
    <w:rsid w:val="00EF06AE"/>
    <w:rsid w:val="00EF06CF"/>
    <w:rsid w:val="00EF06DE"/>
    <w:rsid w:val="00EF07A6"/>
    <w:rsid w:val="00EF0913"/>
    <w:rsid w:val="00EF0B3A"/>
    <w:rsid w:val="00EF0B89"/>
    <w:rsid w:val="00EF0BC0"/>
    <w:rsid w:val="00EF0DE2"/>
    <w:rsid w:val="00EF0DFD"/>
    <w:rsid w:val="00EF123F"/>
    <w:rsid w:val="00EF1353"/>
    <w:rsid w:val="00EF13D6"/>
    <w:rsid w:val="00EF13E0"/>
    <w:rsid w:val="00EF1622"/>
    <w:rsid w:val="00EF16AB"/>
    <w:rsid w:val="00EF16BF"/>
    <w:rsid w:val="00EF16EF"/>
    <w:rsid w:val="00EF176F"/>
    <w:rsid w:val="00EF18F9"/>
    <w:rsid w:val="00EF19E6"/>
    <w:rsid w:val="00EF1A8C"/>
    <w:rsid w:val="00EF1B18"/>
    <w:rsid w:val="00EF1C64"/>
    <w:rsid w:val="00EF1CDE"/>
    <w:rsid w:val="00EF1D7F"/>
    <w:rsid w:val="00EF1DC4"/>
    <w:rsid w:val="00EF1F4F"/>
    <w:rsid w:val="00EF25BA"/>
    <w:rsid w:val="00EF2672"/>
    <w:rsid w:val="00EF26B9"/>
    <w:rsid w:val="00EF2728"/>
    <w:rsid w:val="00EF28E5"/>
    <w:rsid w:val="00EF2AD5"/>
    <w:rsid w:val="00EF2CFE"/>
    <w:rsid w:val="00EF2D0B"/>
    <w:rsid w:val="00EF32D0"/>
    <w:rsid w:val="00EF334F"/>
    <w:rsid w:val="00EF3407"/>
    <w:rsid w:val="00EF36D5"/>
    <w:rsid w:val="00EF37E4"/>
    <w:rsid w:val="00EF3A1A"/>
    <w:rsid w:val="00EF3DAB"/>
    <w:rsid w:val="00EF3E37"/>
    <w:rsid w:val="00EF3EB5"/>
    <w:rsid w:val="00EF3ED3"/>
    <w:rsid w:val="00EF3F31"/>
    <w:rsid w:val="00EF40C9"/>
    <w:rsid w:val="00EF42EC"/>
    <w:rsid w:val="00EF4571"/>
    <w:rsid w:val="00EF458C"/>
    <w:rsid w:val="00EF45D8"/>
    <w:rsid w:val="00EF461A"/>
    <w:rsid w:val="00EF47B4"/>
    <w:rsid w:val="00EF47D8"/>
    <w:rsid w:val="00EF4967"/>
    <w:rsid w:val="00EF4B38"/>
    <w:rsid w:val="00EF4BE5"/>
    <w:rsid w:val="00EF4C9D"/>
    <w:rsid w:val="00EF4D23"/>
    <w:rsid w:val="00EF4E74"/>
    <w:rsid w:val="00EF51D7"/>
    <w:rsid w:val="00EF54DD"/>
    <w:rsid w:val="00EF54F6"/>
    <w:rsid w:val="00EF5510"/>
    <w:rsid w:val="00EF56FD"/>
    <w:rsid w:val="00EF579A"/>
    <w:rsid w:val="00EF57C5"/>
    <w:rsid w:val="00EF5AD5"/>
    <w:rsid w:val="00EF5AF8"/>
    <w:rsid w:val="00EF5BEB"/>
    <w:rsid w:val="00EF6132"/>
    <w:rsid w:val="00EF6155"/>
    <w:rsid w:val="00EF64C8"/>
    <w:rsid w:val="00EF65A3"/>
    <w:rsid w:val="00EF66FF"/>
    <w:rsid w:val="00EF6851"/>
    <w:rsid w:val="00EF6A3C"/>
    <w:rsid w:val="00EF6B22"/>
    <w:rsid w:val="00EF6B3D"/>
    <w:rsid w:val="00EF6BCF"/>
    <w:rsid w:val="00EF6D37"/>
    <w:rsid w:val="00EF6D3C"/>
    <w:rsid w:val="00EF6D9A"/>
    <w:rsid w:val="00EF7120"/>
    <w:rsid w:val="00EF72A0"/>
    <w:rsid w:val="00EF72F3"/>
    <w:rsid w:val="00EF768C"/>
    <w:rsid w:val="00EF7AA2"/>
    <w:rsid w:val="00EF7B91"/>
    <w:rsid w:val="00EF7BAD"/>
    <w:rsid w:val="00EF7CA7"/>
    <w:rsid w:val="00EF7CAF"/>
    <w:rsid w:val="00F001DB"/>
    <w:rsid w:val="00F004C5"/>
    <w:rsid w:val="00F00576"/>
    <w:rsid w:val="00F005A6"/>
    <w:rsid w:val="00F006C2"/>
    <w:rsid w:val="00F006EA"/>
    <w:rsid w:val="00F00734"/>
    <w:rsid w:val="00F007BB"/>
    <w:rsid w:val="00F007E7"/>
    <w:rsid w:val="00F00837"/>
    <w:rsid w:val="00F009AC"/>
    <w:rsid w:val="00F00A19"/>
    <w:rsid w:val="00F00B0F"/>
    <w:rsid w:val="00F00B68"/>
    <w:rsid w:val="00F00C2C"/>
    <w:rsid w:val="00F00F3C"/>
    <w:rsid w:val="00F01050"/>
    <w:rsid w:val="00F010B5"/>
    <w:rsid w:val="00F011A6"/>
    <w:rsid w:val="00F01287"/>
    <w:rsid w:val="00F0134E"/>
    <w:rsid w:val="00F015A3"/>
    <w:rsid w:val="00F01690"/>
    <w:rsid w:val="00F016F8"/>
    <w:rsid w:val="00F016F9"/>
    <w:rsid w:val="00F01817"/>
    <w:rsid w:val="00F01848"/>
    <w:rsid w:val="00F01B85"/>
    <w:rsid w:val="00F01E0A"/>
    <w:rsid w:val="00F01E74"/>
    <w:rsid w:val="00F01FEF"/>
    <w:rsid w:val="00F0203F"/>
    <w:rsid w:val="00F0233A"/>
    <w:rsid w:val="00F0239B"/>
    <w:rsid w:val="00F0278B"/>
    <w:rsid w:val="00F02A15"/>
    <w:rsid w:val="00F02E27"/>
    <w:rsid w:val="00F02F82"/>
    <w:rsid w:val="00F03080"/>
    <w:rsid w:val="00F030E3"/>
    <w:rsid w:val="00F03157"/>
    <w:rsid w:val="00F03386"/>
    <w:rsid w:val="00F035AF"/>
    <w:rsid w:val="00F035DD"/>
    <w:rsid w:val="00F0382E"/>
    <w:rsid w:val="00F0384A"/>
    <w:rsid w:val="00F03886"/>
    <w:rsid w:val="00F0394C"/>
    <w:rsid w:val="00F03C4D"/>
    <w:rsid w:val="00F03F6F"/>
    <w:rsid w:val="00F0410C"/>
    <w:rsid w:val="00F04135"/>
    <w:rsid w:val="00F0423B"/>
    <w:rsid w:val="00F042AC"/>
    <w:rsid w:val="00F042B7"/>
    <w:rsid w:val="00F04706"/>
    <w:rsid w:val="00F047B1"/>
    <w:rsid w:val="00F0488E"/>
    <w:rsid w:val="00F04B33"/>
    <w:rsid w:val="00F04F64"/>
    <w:rsid w:val="00F0505B"/>
    <w:rsid w:val="00F050C6"/>
    <w:rsid w:val="00F0560D"/>
    <w:rsid w:val="00F056AB"/>
    <w:rsid w:val="00F057FE"/>
    <w:rsid w:val="00F058AE"/>
    <w:rsid w:val="00F05AD0"/>
    <w:rsid w:val="00F05DF6"/>
    <w:rsid w:val="00F05FF9"/>
    <w:rsid w:val="00F0605F"/>
    <w:rsid w:val="00F061CF"/>
    <w:rsid w:val="00F0622E"/>
    <w:rsid w:val="00F06412"/>
    <w:rsid w:val="00F06464"/>
    <w:rsid w:val="00F0665D"/>
    <w:rsid w:val="00F06673"/>
    <w:rsid w:val="00F0699B"/>
    <w:rsid w:val="00F0699E"/>
    <w:rsid w:val="00F06A1E"/>
    <w:rsid w:val="00F06AB3"/>
    <w:rsid w:val="00F06B72"/>
    <w:rsid w:val="00F06C62"/>
    <w:rsid w:val="00F06EB0"/>
    <w:rsid w:val="00F06F7A"/>
    <w:rsid w:val="00F07018"/>
    <w:rsid w:val="00F071F7"/>
    <w:rsid w:val="00F076BF"/>
    <w:rsid w:val="00F07872"/>
    <w:rsid w:val="00F07891"/>
    <w:rsid w:val="00F07A26"/>
    <w:rsid w:val="00F07CD9"/>
    <w:rsid w:val="00F10251"/>
    <w:rsid w:val="00F1028C"/>
    <w:rsid w:val="00F1038A"/>
    <w:rsid w:val="00F10673"/>
    <w:rsid w:val="00F10895"/>
    <w:rsid w:val="00F1092F"/>
    <w:rsid w:val="00F10B45"/>
    <w:rsid w:val="00F10BB1"/>
    <w:rsid w:val="00F10DA2"/>
    <w:rsid w:val="00F11110"/>
    <w:rsid w:val="00F111FC"/>
    <w:rsid w:val="00F113C4"/>
    <w:rsid w:val="00F113DF"/>
    <w:rsid w:val="00F1152D"/>
    <w:rsid w:val="00F11975"/>
    <w:rsid w:val="00F11A2B"/>
    <w:rsid w:val="00F11A73"/>
    <w:rsid w:val="00F11AEF"/>
    <w:rsid w:val="00F11BDF"/>
    <w:rsid w:val="00F11CE0"/>
    <w:rsid w:val="00F11E70"/>
    <w:rsid w:val="00F120B3"/>
    <w:rsid w:val="00F12273"/>
    <w:rsid w:val="00F122A6"/>
    <w:rsid w:val="00F12350"/>
    <w:rsid w:val="00F123C6"/>
    <w:rsid w:val="00F125C7"/>
    <w:rsid w:val="00F12622"/>
    <w:rsid w:val="00F126A5"/>
    <w:rsid w:val="00F126F2"/>
    <w:rsid w:val="00F12754"/>
    <w:rsid w:val="00F127F4"/>
    <w:rsid w:val="00F129C9"/>
    <w:rsid w:val="00F12B39"/>
    <w:rsid w:val="00F12C3D"/>
    <w:rsid w:val="00F12CAB"/>
    <w:rsid w:val="00F12D04"/>
    <w:rsid w:val="00F12E36"/>
    <w:rsid w:val="00F12FD1"/>
    <w:rsid w:val="00F13135"/>
    <w:rsid w:val="00F13309"/>
    <w:rsid w:val="00F13361"/>
    <w:rsid w:val="00F134D2"/>
    <w:rsid w:val="00F13648"/>
    <w:rsid w:val="00F13936"/>
    <w:rsid w:val="00F13B2A"/>
    <w:rsid w:val="00F13B64"/>
    <w:rsid w:val="00F13BD3"/>
    <w:rsid w:val="00F13D31"/>
    <w:rsid w:val="00F13E19"/>
    <w:rsid w:val="00F13FB1"/>
    <w:rsid w:val="00F13FDF"/>
    <w:rsid w:val="00F13FF2"/>
    <w:rsid w:val="00F1401D"/>
    <w:rsid w:val="00F14176"/>
    <w:rsid w:val="00F141AC"/>
    <w:rsid w:val="00F142E4"/>
    <w:rsid w:val="00F1430C"/>
    <w:rsid w:val="00F143A4"/>
    <w:rsid w:val="00F14438"/>
    <w:rsid w:val="00F14726"/>
    <w:rsid w:val="00F147C6"/>
    <w:rsid w:val="00F14902"/>
    <w:rsid w:val="00F149D8"/>
    <w:rsid w:val="00F14A63"/>
    <w:rsid w:val="00F14C04"/>
    <w:rsid w:val="00F14CAF"/>
    <w:rsid w:val="00F14CBC"/>
    <w:rsid w:val="00F1506C"/>
    <w:rsid w:val="00F150BA"/>
    <w:rsid w:val="00F15195"/>
    <w:rsid w:val="00F15261"/>
    <w:rsid w:val="00F15280"/>
    <w:rsid w:val="00F152C7"/>
    <w:rsid w:val="00F15409"/>
    <w:rsid w:val="00F15432"/>
    <w:rsid w:val="00F158CB"/>
    <w:rsid w:val="00F15B1F"/>
    <w:rsid w:val="00F15C1F"/>
    <w:rsid w:val="00F15C94"/>
    <w:rsid w:val="00F15CBC"/>
    <w:rsid w:val="00F15D2E"/>
    <w:rsid w:val="00F15D36"/>
    <w:rsid w:val="00F15EB8"/>
    <w:rsid w:val="00F15F21"/>
    <w:rsid w:val="00F15FDB"/>
    <w:rsid w:val="00F16070"/>
    <w:rsid w:val="00F16119"/>
    <w:rsid w:val="00F1626F"/>
    <w:rsid w:val="00F16396"/>
    <w:rsid w:val="00F16414"/>
    <w:rsid w:val="00F16463"/>
    <w:rsid w:val="00F165DB"/>
    <w:rsid w:val="00F16624"/>
    <w:rsid w:val="00F1666C"/>
    <w:rsid w:val="00F16A8C"/>
    <w:rsid w:val="00F16B2F"/>
    <w:rsid w:val="00F16BFF"/>
    <w:rsid w:val="00F16C8C"/>
    <w:rsid w:val="00F17201"/>
    <w:rsid w:val="00F17336"/>
    <w:rsid w:val="00F1765B"/>
    <w:rsid w:val="00F177C6"/>
    <w:rsid w:val="00F17958"/>
    <w:rsid w:val="00F179B5"/>
    <w:rsid w:val="00F17D3F"/>
    <w:rsid w:val="00F17F74"/>
    <w:rsid w:val="00F20024"/>
    <w:rsid w:val="00F2013C"/>
    <w:rsid w:val="00F20310"/>
    <w:rsid w:val="00F20384"/>
    <w:rsid w:val="00F20464"/>
    <w:rsid w:val="00F2046E"/>
    <w:rsid w:val="00F20665"/>
    <w:rsid w:val="00F206A3"/>
    <w:rsid w:val="00F206B4"/>
    <w:rsid w:val="00F20704"/>
    <w:rsid w:val="00F20980"/>
    <w:rsid w:val="00F209D1"/>
    <w:rsid w:val="00F20A02"/>
    <w:rsid w:val="00F20A8A"/>
    <w:rsid w:val="00F20AFE"/>
    <w:rsid w:val="00F20BD1"/>
    <w:rsid w:val="00F20C79"/>
    <w:rsid w:val="00F20CD7"/>
    <w:rsid w:val="00F20DA9"/>
    <w:rsid w:val="00F20E74"/>
    <w:rsid w:val="00F20FE6"/>
    <w:rsid w:val="00F2143E"/>
    <w:rsid w:val="00F2156D"/>
    <w:rsid w:val="00F21739"/>
    <w:rsid w:val="00F217AA"/>
    <w:rsid w:val="00F21D46"/>
    <w:rsid w:val="00F220E1"/>
    <w:rsid w:val="00F2252A"/>
    <w:rsid w:val="00F2256F"/>
    <w:rsid w:val="00F225B0"/>
    <w:rsid w:val="00F226C5"/>
    <w:rsid w:val="00F22ABB"/>
    <w:rsid w:val="00F22ADD"/>
    <w:rsid w:val="00F22D4F"/>
    <w:rsid w:val="00F22D61"/>
    <w:rsid w:val="00F22E5D"/>
    <w:rsid w:val="00F22F79"/>
    <w:rsid w:val="00F233DE"/>
    <w:rsid w:val="00F23458"/>
    <w:rsid w:val="00F23474"/>
    <w:rsid w:val="00F23486"/>
    <w:rsid w:val="00F23524"/>
    <w:rsid w:val="00F23828"/>
    <w:rsid w:val="00F239B3"/>
    <w:rsid w:val="00F23A7E"/>
    <w:rsid w:val="00F23AA4"/>
    <w:rsid w:val="00F23BBF"/>
    <w:rsid w:val="00F23BE3"/>
    <w:rsid w:val="00F23E91"/>
    <w:rsid w:val="00F23F2D"/>
    <w:rsid w:val="00F2406E"/>
    <w:rsid w:val="00F241F5"/>
    <w:rsid w:val="00F24305"/>
    <w:rsid w:val="00F2438E"/>
    <w:rsid w:val="00F24393"/>
    <w:rsid w:val="00F243AB"/>
    <w:rsid w:val="00F245C3"/>
    <w:rsid w:val="00F2468E"/>
    <w:rsid w:val="00F24AAF"/>
    <w:rsid w:val="00F24AE7"/>
    <w:rsid w:val="00F24B38"/>
    <w:rsid w:val="00F24B5B"/>
    <w:rsid w:val="00F24D5D"/>
    <w:rsid w:val="00F24D6E"/>
    <w:rsid w:val="00F24E08"/>
    <w:rsid w:val="00F24E79"/>
    <w:rsid w:val="00F250EE"/>
    <w:rsid w:val="00F2512C"/>
    <w:rsid w:val="00F2533C"/>
    <w:rsid w:val="00F255D0"/>
    <w:rsid w:val="00F258CA"/>
    <w:rsid w:val="00F25BA5"/>
    <w:rsid w:val="00F25C14"/>
    <w:rsid w:val="00F25E3F"/>
    <w:rsid w:val="00F25FE4"/>
    <w:rsid w:val="00F260B4"/>
    <w:rsid w:val="00F26197"/>
    <w:rsid w:val="00F261CC"/>
    <w:rsid w:val="00F26220"/>
    <w:rsid w:val="00F263A1"/>
    <w:rsid w:val="00F263C3"/>
    <w:rsid w:val="00F263F4"/>
    <w:rsid w:val="00F26557"/>
    <w:rsid w:val="00F26558"/>
    <w:rsid w:val="00F265D0"/>
    <w:rsid w:val="00F266C9"/>
    <w:rsid w:val="00F26741"/>
    <w:rsid w:val="00F26910"/>
    <w:rsid w:val="00F26983"/>
    <w:rsid w:val="00F26A60"/>
    <w:rsid w:val="00F26ACA"/>
    <w:rsid w:val="00F26B45"/>
    <w:rsid w:val="00F26C61"/>
    <w:rsid w:val="00F274B0"/>
    <w:rsid w:val="00F274EC"/>
    <w:rsid w:val="00F27757"/>
    <w:rsid w:val="00F27775"/>
    <w:rsid w:val="00F279A7"/>
    <w:rsid w:val="00F27A4A"/>
    <w:rsid w:val="00F27B22"/>
    <w:rsid w:val="00F27C2E"/>
    <w:rsid w:val="00F27DEC"/>
    <w:rsid w:val="00F27E0A"/>
    <w:rsid w:val="00F27E31"/>
    <w:rsid w:val="00F30221"/>
    <w:rsid w:val="00F30575"/>
    <w:rsid w:val="00F3061A"/>
    <w:rsid w:val="00F30828"/>
    <w:rsid w:val="00F308FD"/>
    <w:rsid w:val="00F30BFF"/>
    <w:rsid w:val="00F30CAB"/>
    <w:rsid w:val="00F30D95"/>
    <w:rsid w:val="00F30EAB"/>
    <w:rsid w:val="00F30F62"/>
    <w:rsid w:val="00F30FE9"/>
    <w:rsid w:val="00F310CC"/>
    <w:rsid w:val="00F3150C"/>
    <w:rsid w:val="00F3151A"/>
    <w:rsid w:val="00F316B7"/>
    <w:rsid w:val="00F31844"/>
    <w:rsid w:val="00F31952"/>
    <w:rsid w:val="00F31A0E"/>
    <w:rsid w:val="00F31B02"/>
    <w:rsid w:val="00F31B1D"/>
    <w:rsid w:val="00F31F4D"/>
    <w:rsid w:val="00F32307"/>
    <w:rsid w:val="00F3236A"/>
    <w:rsid w:val="00F32663"/>
    <w:rsid w:val="00F329D3"/>
    <w:rsid w:val="00F32A38"/>
    <w:rsid w:val="00F32AA6"/>
    <w:rsid w:val="00F32C66"/>
    <w:rsid w:val="00F32D5D"/>
    <w:rsid w:val="00F32E82"/>
    <w:rsid w:val="00F32EDE"/>
    <w:rsid w:val="00F32FDD"/>
    <w:rsid w:val="00F3301F"/>
    <w:rsid w:val="00F3324A"/>
    <w:rsid w:val="00F333CC"/>
    <w:rsid w:val="00F33401"/>
    <w:rsid w:val="00F335E3"/>
    <w:rsid w:val="00F33663"/>
    <w:rsid w:val="00F3368F"/>
    <w:rsid w:val="00F3384F"/>
    <w:rsid w:val="00F33B2B"/>
    <w:rsid w:val="00F33BC9"/>
    <w:rsid w:val="00F33C10"/>
    <w:rsid w:val="00F33DFC"/>
    <w:rsid w:val="00F33EC1"/>
    <w:rsid w:val="00F33F03"/>
    <w:rsid w:val="00F3406C"/>
    <w:rsid w:val="00F3437F"/>
    <w:rsid w:val="00F34670"/>
    <w:rsid w:val="00F34760"/>
    <w:rsid w:val="00F347B7"/>
    <w:rsid w:val="00F34AEC"/>
    <w:rsid w:val="00F34D3F"/>
    <w:rsid w:val="00F34EB6"/>
    <w:rsid w:val="00F34F4E"/>
    <w:rsid w:val="00F35310"/>
    <w:rsid w:val="00F35734"/>
    <w:rsid w:val="00F35758"/>
    <w:rsid w:val="00F35B63"/>
    <w:rsid w:val="00F35C76"/>
    <w:rsid w:val="00F35E0C"/>
    <w:rsid w:val="00F35F19"/>
    <w:rsid w:val="00F35FDF"/>
    <w:rsid w:val="00F36082"/>
    <w:rsid w:val="00F3613C"/>
    <w:rsid w:val="00F367CA"/>
    <w:rsid w:val="00F36801"/>
    <w:rsid w:val="00F369C0"/>
    <w:rsid w:val="00F36A4C"/>
    <w:rsid w:val="00F36BAA"/>
    <w:rsid w:val="00F36BB0"/>
    <w:rsid w:val="00F36DD6"/>
    <w:rsid w:val="00F370F0"/>
    <w:rsid w:val="00F37101"/>
    <w:rsid w:val="00F37347"/>
    <w:rsid w:val="00F3743F"/>
    <w:rsid w:val="00F375BA"/>
    <w:rsid w:val="00F376C2"/>
    <w:rsid w:val="00F377A5"/>
    <w:rsid w:val="00F378B4"/>
    <w:rsid w:val="00F37958"/>
    <w:rsid w:val="00F37C10"/>
    <w:rsid w:val="00F37E3C"/>
    <w:rsid w:val="00F37FD5"/>
    <w:rsid w:val="00F40022"/>
    <w:rsid w:val="00F40174"/>
    <w:rsid w:val="00F40339"/>
    <w:rsid w:val="00F4037A"/>
    <w:rsid w:val="00F40408"/>
    <w:rsid w:val="00F406B1"/>
    <w:rsid w:val="00F40723"/>
    <w:rsid w:val="00F409B2"/>
    <w:rsid w:val="00F40AB9"/>
    <w:rsid w:val="00F40ACE"/>
    <w:rsid w:val="00F40E4F"/>
    <w:rsid w:val="00F40F70"/>
    <w:rsid w:val="00F410AB"/>
    <w:rsid w:val="00F410B1"/>
    <w:rsid w:val="00F410C8"/>
    <w:rsid w:val="00F41356"/>
    <w:rsid w:val="00F413FF"/>
    <w:rsid w:val="00F41479"/>
    <w:rsid w:val="00F414CF"/>
    <w:rsid w:val="00F41520"/>
    <w:rsid w:val="00F41894"/>
    <w:rsid w:val="00F4189F"/>
    <w:rsid w:val="00F418C3"/>
    <w:rsid w:val="00F4195A"/>
    <w:rsid w:val="00F419DF"/>
    <w:rsid w:val="00F41C76"/>
    <w:rsid w:val="00F41CBF"/>
    <w:rsid w:val="00F41CDE"/>
    <w:rsid w:val="00F41DA5"/>
    <w:rsid w:val="00F41DFD"/>
    <w:rsid w:val="00F41E17"/>
    <w:rsid w:val="00F41F13"/>
    <w:rsid w:val="00F4215C"/>
    <w:rsid w:val="00F421A5"/>
    <w:rsid w:val="00F42374"/>
    <w:rsid w:val="00F424B9"/>
    <w:rsid w:val="00F424D7"/>
    <w:rsid w:val="00F42744"/>
    <w:rsid w:val="00F42752"/>
    <w:rsid w:val="00F427EC"/>
    <w:rsid w:val="00F42897"/>
    <w:rsid w:val="00F429BC"/>
    <w:rsid w:val="00F42A92"/>
    <w:rsid w:val="00F42A9D"/>
    <w:rsid w:val="00F42AD9"/>
    <w:rsid w:val="00F42CA9"/>
    <w:rsid w:val="00F42CF3"/>
    <w:rsid w:val="00F42DE0"/>
    <w:rsid w:val="00F42E40"/>
    <w:rsid w:val="00F42E4F"/>
    <w:rsid w:val="00F42FDC"/>
    <w:rsid w:val="00F42FFE"/>
    <w:rsid w:val="00F43018"/>
    <w:rsid w:val="00F43172"/>
    <w:rsid w:val="00F4326F"/>
    <w:rsid w:val="00F432F3"/>
    <w:rsid w:val="00F4333F"/>
    <w:rsid w:val="00F433C2"/>
    <w:rsid w:val="00F4357A"/>
    <w:rsid w:val="00F4361F"/>
    <w:rsid w:val="00F436E7"/>
    <w:rsid w:val="00F43751"/>
    <w:rsid w:val="00F437ED"/>
    <w:rsid w:val="00F43839"/>
    <w:rsid w:val="00F438CA"/>
    <w:rsid w:val="00F4395F"/>
    <w:rsid w:val="00F439F2"/>
    <w:rsid w:val="00F43AE3"/>
    <w:rsid w:val="00F43B13"/>
    <w:rsid w:val="00F43C26"/>
    <w:rsid w:val="00F43D14"/>
    <w:rsid w:val="00F441CB"/>
    <w:rsid w:val="00F4430A"/>
    <w:rsid w:val="00F44320"/>
    <w:rsid w:val="00F4436E"/>
    <w:rsid w:val="00F44503"/>
    <w:rsid w:val="00F44B56"/>
    <w:rsid w:val="00F44C30"/>
    <w:rsid w:val="00F44DB8"/>
    <w:rsid w:val="00F4510D"/>
    <w:rsid w:val="00F45144"/>
    <w:rsid w:val="00F452EE"/>
    <w:rsid w:val="00F452F5"/>
    <w:rsid w:val="00F453CC"/>
    <w:rsid w:val="00F4552B"/>
    <w:rsid w:val="00F457AA"/>
    <w:rsid w:val="00F45984"/>
    <w:rsid w:val="00F45C67"/>
    <w:rsid w:val="00F45CAF"/>
    <w:rsid w:val="00F45CF8"/>
    <w:rsid w:val="00F45E23"/>
    <w:rsid w:val="00F45FD0"/>
    <w:rsid w:val="00F45FFC"/>
    <w:rsid w:val="00F46082"/>
    <w:rsid w:val="00F46096"/>
    <w:rsid w:val="00F46289"/>
    <w:rsid w:val="00F4642F"/>
    <w:rsid w:val="00F46430"/>
    <w:rsid w:val="00F46452"/>
    <w:rsid w:val="00F464E5"/>
    <w:rsid w:val="00F4653E"/>
    <w:rsid w:val="00F46684"/>
    <w:rsid w:val="00F4688D"/>
    <w:rsid w:val="00F46AC8"/>
    <w:rsid w:val="00F46C9F"/>
    <w:rsid w:val="00F46D99"/>
    <w:rsid w:val="00F46D9D"/>
    <w:rsid w:val="00F46E47"/>
    <w:rsid w:val="00F47200"/>
    <w:rsid w:val="00F4732B"/>
    <w:rsid w:val="00F4746D"/>
    <w:rsid w:val="00F475B7"/>
    <w:rsid w:val="00F475BF"/>
    <w:rsid w:val="00F479B2"/>
    <w:rsid w:val="00F479D9"/>
    <w:rsid w:val="00F47B3D"/>
    <w:rsid w:val="00F5001A"/>
    <w:rsid w:val="00F50049"/>
    <w:rsid w:val="00F500FC"/>
    <w:rsid w:val="00F50118"/>
    <w:rsid w:val="00F5014F"/>
    <w:rsid w:val="00F503B5"/>
    <w:rsid w:val="00F504A8"/>
    <w:rsid w:val="00F50526"/>
    <w:rsid w:val="00F50714"/>
    <w:rsid w:val="00F50739"/>
    <w:rsid w:val="00F50776"/>
    <w:rsid w:val="00F508E6"/>
    <w:rsid w:val="00F50B4B"/>
    <w:rsid w:val="00F50B5C"/>
    <w:rsid w:val="00F50C7C"/>
    <w:rsid w:val="00F51051"/>
    <w:rsid w:val="00F510EE"/>
    <w:rsid w:val="00F511D7"/>
    <w:rsid w:val="00F514CE"/>
    <w:rsid w:val="00F51B35"/>
    <w:rsid w:val="00F51B9A"/>
    <w:rsid w:val="00F51C24"/>
    <w:rsid w:val="00F51C96"/>
    <w:rsid w:val="00F51E5A"/>
    <w:rsid w:val="00F52222"/>
    <w:rsid w:val="00F52382"/>
    <w:rsid w:val="00F525DA"/>
    <w:rsid w:val="00F525E9"/>
    <w:rsid w:val="00F52A2F"/>
    <w:rsid w:val="00F52A91"/>
    <w:rsid w:val="00F52A99"/>
    <w:rsid w:val="00F52CD2"/>
    <w:rsid w:val="00F52CDE"/>
    <w:rsid w:val="00F52D0E"/>
    <w:rsid w:val="00F52DCC"/>
    <w:rsid w:val="00F5326B"/>
    <w:rsid w:val="00F53310"/>
    <w:rsid w:val="00F5332F"/>
    <w:rsid w:val="00F53360"/>
    <w:rsid w:val="00F537A6"/>
    <w:rsid w:val="00F537FD"/>
    <w:rsid w:val="00F538C2"/>
    <w:rsid w:val="00F5395B"/>
    <w:rsid w:val="00F53A53"/>
    <w:rsid w:val="00F53AC1"/>
    <w:rsid w:val="00F53BA8"/>
    <w:rsid w:val="00F53C7F"/>
    <w:rsid w:val="00F53D3E"/>
    <w:rsid w:val="00F53E9E"/>
    <w:rsid w:val="00F5405E"/>
    <w:rsid w:val="00F54109"/>
    <w:rsid w:val="00F54125"/>
    <w:rsid w:val="00F541FB"/>
    <w:rsid w:val="00F54393"/>
    <w:rsid w:val="00F5481D"/>
    <w:rsid w:val="00F54843"/>
    <w:rsid w:val="00F54864"/>
    <w:rsid w:val="00F549B1"/>
    <w:rsid w:val="00F549D7"/>
    <w:rsid w:val="00F54A00"/>
    <w:rsid w:val="00F54D81"/>
    <w:rsid w:val="00F54F08"/>
    <w:rsid w:val="00F55003"/>
    <w:rsid w:val="00F5507E"/>
    <w:rsid w:val="00F55186"/>
    <w:rsid w:val="00F553A3"/>
    <w:rsid w:val="00F553BF"/>
    <w:rsid w:val="00F55995"/>
    <w:rsid w:val="00F55C91"/>
    <w:rsid w:val="00F55FEA"/>
    <w:rsid w:val="00F56202"/>
    <w:rsid w:val="00F5628C"/>
    <w:rsid w:val="00F562A9"/>
    <w:rsid w:val="00F5640C"/>
    <w:rsid w:val="00F565D9"/>
    <w:rsid w:val="00F568E1"/>
    <w:rsid w:val="00F56A26"/>
    <w:rsid w:val="00F56E9B"/>
    <w:rsid w:val="00F57023"/>
    <w:rsid w:val="00F57092"/>
    <w:rsid w:val="00F571FE"/>
    <w:rsid w:val="00F5725F"/>
    <w:rsid w:val="00F572D0"/>
    <w:rsid w:val="00F573CC"/>
    <w:rsid w:val="00F5747F"/>
    <w:rsid w:val="00F574C7"/>
    <w:rsid w:val="00F5759E"/>
    <w:rsid w:val="00F5760C"/>
    <w:rsid w:val="00F5771B"/>
    <w:rsid w:val="00F577A9"/>
    <w:rsid w:val="00F577E5"/>
    <w:rsid w:val="00F579EB"/>
    <w:rsid w:val="00F57A4C"/>
    <w:rsid w:val="00F57A85"/>
    <w:rsid w:val="00F57B00"/>
    <w:rsid w:val="00F57B3B"/>
    <w:rsid w:val="00F60057"/>
    <w:rsid w:val="00F6009B"/>
    <w:rsid w:val="00F601AA"/>
    <w:rsid w:val="00F6029C"/>
    <w:rsid w:val="00F602B3"/>
    <w:rsid w:val="00F603E9"/>
    <w:rsid w:val="00F605FC"/>
    <w:rsid w:val="00F606F0"/>
    <w:rsid w:val="00F608CB"/>
    <w:rsid w:val="00F60A06"/>
    <w:rsid w:val="00F60A9F"/>
    <w:rsid w:val="00F60B5B"/>
    <w:rsid w:val="00F60C20"/>
    <w:rsid w:val="00F60D13"/>
    <w:rsid w:val="00F60D2A"/>
    <w:rsid w:val="00F60DF0"/>
    <w:rsid w:val="00F60E31"/>
    <w:rsid w:val="00F6100C"/>
    <w:rsid w:val="00F61057"/>
    <w:rsid w:val="00F610E5"/>
    <w:rsid w:val="00F61438"/>
    <w:rsid w:val="00F614ED"/>
    <w:rsid w:val="00F615FE"/>
    <w:rsid w:val="00F6160F"/>
    <w:rsid w:val="00F6169D"/>
    <w:rsid w:val="00F618E0"/>
    <w:rsid w:val="00F619CA"/>
    <w:rsid w:val="00F61A53"/>
    <w:rsid w:val="00F61ABD"/>
    <w:rsid w:val="00F61B9E"/>
    <w:rsid w:val="00F61DBC"/>
    <w:rsid w:val="00F61FFF"/>
    <w:rsid w:val="00F6219B"/>
    <w:rsid w:val="00F621C7"/>
    <w:rsid w:val="00F62646"/>
    <w:rsid w:val="00F626B7"/>
    <w:rsid w:val="00F62737"/>
    <w:rsid w:val="00F627C8"/>
    <w:rsid w:val="00F62819"/>
    <w:rsid w:val="00F62888"/>
    <w:rsid w:val="00F628C6"/>
    <w:rsid w:val="00F62BDA"/>
    <w:rsid w:val="00F62EC8"/>
    <w:rsid w:val="00F62F48"/>
    <w:rsid w:val="00F62FE2"/>
    <w:rsid w:val="00F630B6"/>
    <w:rsid w:val="00F63163"/>
    <w:rsid w:val="00F631DB"/>
    <w:rsid w:val="00F631EA"/>
    <w:rsid w:val="00F63458"/>
    <w:rsid w:val="00F634C4"/>
    <w:rsid w:val="00F6364D"/>
    <w:rsid w:val="00F6375E"/>
    <w:rsid w:val="00F63929"/>
    <w:rsid w:val="00F639AA"/>
    <w:rsid w:val="00F63A58"/>
    <w:rsid w:val="00F63E3D"/>
    <w:rsid w:val="00F63F25"/>
    <w:rsid w:val="00F64023"/>
    <w:rsid w:val="00F641D5"/>
    <w:rsid w:val="00F641E1"/>
    <w:rsid w:val="00F642C2"/>
    <w:rsid w:val="00F64424"/>
    <w:rsid w:val="00F645F2"/>
    <w:rsid w:val="00F646A7"/>
    <w:rsid w:val="00F6471E"/>
    <w:rsid w:val="00F64742"/>
    <w:rsid w:val="00F64A99"/>
    <w:rsid w:val="00F64BB2"/>
    <w:rsid w:val="00F64EC0"/>
    <w:rsid w:val="00F64F43"/>
    <w:rsid w:val="00F64F6C"/>
    <w:rsid w:val="00F65153"/>
    <w:rsid w:val="00F6523A"/>
    <w:rsid w:val="00F6530F"/>
    <w:rsid w:val="00F65564"/>
    <w:rsid w:val="00F65B3B"/>
    <w:rsid w:val="00F66032"/>
    <w:rsid w:val="00F66332"/>
    <w:rsid w:val="00F66392"/>
    <w:rsid w:val="00F664BE"/>
    <w:rsid w:val="00F66665"/>
    <w:rsid w:val="00F66959"/>
    <w:rsid w:val="00F66B68"/>
    <w:rsid w:val="00F66D53"/>
    <w:rsid w:val="00F66DB7"/>
    <w:rsid w:val="00F66E15"/>
    <w:rsid w:val="00F67081"/>
    <w:rsid w:val="00F672E7"/>
    <w:rsid w:val="00F672E9"/>
    <w:rsid w:val="00F67329"/>
    <w:rsid w:val="00F6732E"/>
    <w:rsid w:val="00F67368"/>
    <w:rsid w:val="00F6738C"/>
    <w:rsid w:val="00F674CA"/>
    <w:rsid w:val="00F676E9"/>
    <w:rsid w:val="00F676FA"/>
    <w:rsid w:val="00F67769"/>
    <w:rsid w:val="00F677FB"/>
    <w:rsid w:val="00F67805"/>
    <w:rsid w:val="00F678CF"/>
    <w:rsid w:val="00F679F9"/>
    <w:rsid w:val="00F67A78"/>
    <w:rsid w:val="00F67BB1"/>
    <w:rsid w:val="00F67D6B"/>
    <w:rsid w:val="00F67E61"/>
    <w:rsid w:val="00F67F56"/>
    <w:rsid w:val="00F70105"/>
    <w:rsid w:val="00F703A1"/>
    <w:rsid w:val="00F70458"/>
    <w:rsid w:val="00F705B9"/>
    <w:rsid w:val="00F7067F"/>
    <w:rsid w:val="00F706B7"/>
    <w:rsid w:val="00F7082D"/>
    <w:rsid w:val="00F70A0D"/>
    <w:rsid w:val="00F70A14"/>
    <w:rsid w:val="00F70B8E"/>
    <w:rsid w:val="00F70C05"/>
    <w:rsid w:val="00F70EBB"/>
    <w:rsid w:val="00F70F61"/>
    <w:rsid w:val="00F70FAD"/>
    <w:rsid w:val="00F712CA"/>
    <w:rsid w:val="00F71673"/>
    <w:rsid w:val="00F7188A"/>
    <w:rsid w:val="00F71B11"/>
    <w:rsid w:val="00F71C55"/>
    <w:rsid w:val="00F71C57"/>
    <w:rsid w:val="00F71DD9"/>
    <w:rsid w:val="00F71DF2"/>
    <w:rsid w:val="00F71F4C"/>
    <w:rsid w:val="00F721A7"/>
    <w:rsid w:val="00F72696"/>
    <w:rsid w:val="00F72701"/>
    <w:rsid w:val="00F727DA"/>
    <w:rsid w:val="00F72844"/>
    <w:rsid w:val="00F728BD"/>
    <w:rsid w:val="00F72908"/>
    <w:rsid w:val="00F72D35"/>
    <w:rsid w:val="00F72D91"/>
    <w:rsid w:val="00F72DC4"/>
    <w:rsid w:val="00F72E13"/>
    <w:rsid w:val="00F7324F"/>
    <w:rsid w:val="00F73390"/>
    <w:rsid w:val="00F733A3"/>
    <w:rsid w:val="00F73531"/>
    <w:rsid w:val="00F73953"/>
    <w:rsid w:val="00F73AED"/>
    <w:rsid w:val="00F73AFE"/>
    <w:rsid w:val="00F73B6E"/>
    <w:rsid w:val="00F73C17"/>
    <w:rsid w:val="00F73CBC"/>
    <w:rsid w:val="00F73E59"/>
    <w:rsid w:val="00F73F3E"/>
    <w:rsid w:val="00F74462"/>
    <w:rsid w:val="00F7447C"/>
    <w:rsid w:val="00F744C2"/>
    <w:rsid w:val="00F7476B"/>
    <w:rsid w:val="00F747C0"/>
    <w:rsid w:val="00F74951"/>
    <w:rsid w:val="00F74A6B"/>
    <w:rsid w:val="00F74B16"/>
    <w:rsid w:val="00F74BE4"/>
    <w:rsid w:val="00F74DED"/>
    <w:rsid w:val="00F7509E"/>
    <w:rsid w:val="00F750CF"/>
    <w:rsid w:val="00F750D4"/>
    <w:rsid w:val="00F75268"/>
    <w:rsid w:val="00F752B4"/>
    <w:rsid w:val="00F75386"/>
    <w:rsid w:val="00F754AD"/>
    <w:rsid w:val="00F757F0"/>
    <w:rsid w:val="00F75999"/>
    <w:rsid w:val="00F75E1D"/>
    <w:rsid w:val="00F75F6E"/>
    <w:rsid w:val="00F760A4"/>
    <w:rsid w:val="00F760C5"/>
    <w:rsid w:val="00F761CE"/>
    <w:rsid w:val="00F76727"/>
    <w:rsid w:val="00F767BD"/>
    <w:rsid w:val="00F76898"/>
    <w:rsid w:val="00F769AD"/>
    <w:rsid w:val="00F76B0B"/>
    <w:rsid w:val="00F76B38"/>
    <w:rsid w:val="00F76EB4"/>
    <w:rsid w:val="00F77044"/>
    <w:rsid w:val="00F77114"/>
    <w:rsid w:val="00F771F6"/>
    <w:rsid w:val="00F773D5"/>
    <w:rsid w:val="00F77587"/>
    <w:rsid w:val="00F7782A"/>
    <w:rsid w:val="00F77958"/>
    <w:rsid w:val="00F779CE"/>
    <w:rsid w:val="00F77AB2"/>
    <w:rsid w:val="00F77B39"/>
    <w:rsid w:val="00F77B8B"/>
    <w:rsid w:val="00F77D5D"/>
    <w:rsid w:val="00F77DF3"/>
    <w:rsid w:val="00F77E34"/>
    <w:rsid w:val="00F77E82"/>
    <w:rsid w:val="00F77ED7"/>
    <w:rsid w:val="00F77F5D"/>
    <w:rsid w:val="00F8010E"/>
    <w:rsid w:val="00F8015A"/>
    <w:rsid w:val="00F80190"/>
    <w:rsid w:val="00F80544"/>
    <w:rsid w:val="00F8056E"/>
    <w:rsid w:val="00F80631"/>
    <w:rsid w:val="00F8073B"/>
    <w:rsid w:val="00F80819"/>
    <w:rsid w:val="00F80910"/>
    <w:rsid w:val="00F809A2"/>
    <w:rsid w:val="00F80B34"/>
    <w:rsid w:val="00F80B9C"/>
    <w:rsid w:val="00F80C9C"/>
    <w:rsid w:val="00F81002"/>
    <w:rsid w:val="00F811C2"/>
    <w:rsid w:val="00F811FC"/>
    <w:rsid w:val="00F8126D"/>
    <w:rsid w:val="00F81292"/>
    <w:rsid w:val="00F81597"/>
    <w:rsid w:val="00F816EA"/>
    <w:rsid w:val="00F817EE"/>
    <w:rsid w:val="00F818FF"/>
    <w:rsid w:val="00F81999"/>
    <w:rsid w:val="00F819E6"/>
    <w:rsid w:val="00F81AC7"/>
    <w:rsid w:val="00F81B1A"/>
    <w:rsid w:val="00F81C39"/>
    <w:rsid w:val="00F81CD7"/>
    <w:rsid w:val="00F81EBB"/>
    <w:rsid w:val="00F82069"/>
    <w:rsid w:val="00F8209B"/>
    <w:rsid w:val="00F8212C"/>
    <w:rsid w:val="00F822B8"/>
    <w:rsid w:val="00F824C9"/>
    <w:rsid w:val="00F82749"/>
    <w:rsid w:val="00F82915"/>
    <w:rsid w:val="00F82C59"/>
    <w:rsid w:val="00F82D2C"/>
    <w:rsid w:val="00F82E12"/>
    <w:rsid w:val="00F82F85"/>
    <w:rsid w:val="00F831A0"/>
    <w:rsid w:val="00F832A0"/>
    <w:rsid w:val="00F83444"/>
    <w:rsid w:val="00F83882"/>
    <w:rsid w:val="00F838BE"/>
    <w:rsid w:val="00F83E64"/>
    <w:rsid w:val="00F83F62"/>
    <w:rsid w:val="00F83FE8"/>
    <w:rsid w:val="00F8423A"/>
    <w:rsid w:val="00F8438C"/>
    <w:rsid w:val="00F84444"/>
    <w:rsid w:val="00F84458"/>
    <w:rsid w:val="00F84475"/>
    <w:rsid w:val="00F844B2"/>
    <w:rsid w:val="00F84502"/>
    <w:rsid w:val="00F84593"/>
    <w:rsid w:val="00F84656"/>
    <w:rsid w:val="00F847E0"/>
    <w:rsid w:val="00F847EA"/>
    <w:rsid w:val="00F84844"/>
    <w:rsid w:val="00F8496F"/>
    <w:rsid w:val="00F84AB4"/>
    <w:rsid w:val="00F84C7C"/>
    <w:rsid w:val="00F84D5D"/>
    <w:rsid w:val="00F8520B"/>
    <w:rsid w:val="00F85288"/>
    <w:rsid w:val="00F854AB"/>
    <w:rsid w:val="00F854C6"/>
    <w:rsid w:val="00F85A3C"/>
    <w:rsid w:val="00F85A66"/>
    <w:rsid w:val="00F85B1D"/>
    <w:rsid w:val="00F85C89"/>
    <w:rsid w:val="00F85D35"/>
    <w:rsid w:val="00F85DAE"/>
    <w:rsid w:val="00F85F55"/>
    <w:rsid w:val="00F85F84"/>
    <w:rsid w:val="00F8607E"/>
    <w:rsid w:val="00F86099"/>
    <w:rsid w:val="00F861B5"/>
    <w:rsid w:val="00F861BB"/>
    <w:rsid w:val="00F8636F"/>
    <w:rsid w:val="00F86432"/>
    <w:rsid w:val="00F86498"/>
    <w:rsid w:val="00F867BF"/>
    <w:rsid w:val="00F86C21"/>
    <w:rsid w:val="00F86C68"/>
    <w:rsid w:val="00F86DE7"/>
    <w:rsid w:val="00F86E17"/>
    <w:rsid w:val="00F8710B"/>
    <w:rsid w:val="00F871E5"/>
    <w:rsid w:val="00F872D5"/>
    <w:rsid w:val="00F87328"/>
    <w:rsid w:val="00F874DE"/>
    <w:rsid w:val="00F87527"/>
    <w:rsid w:val="00F87783"/>
    <w:rsid w:val="00F87832"/>
    <w:rsid w:val="00F8784C"/>
    <w:rsid w:val="00F8789D"/>
    <w:rsid w:val="00F8794F"/>
    <w:rsid w:val="00F879D1"/>
    <w:rsid w:val="00F87A29"/>
    <w:rsid w:val="00F87BD4"/>
    <w:rsid w:val="00F87C24"/>
    <w:rsid w:val="00F87C39"/>
    <w:rsid w:val="00F87C5C"/>
    <w:rsid w:val="00F87D2A"/>
    <w:rsid w:val="00F87D38"/>
    <w:rsid w:val="00F87FA0"/>
    <w:rsid w:val="00F87FC2"/>
    <w:rsid w:val="00F900FF"/>
    <w:rsid w:val="00F90468"/>
    <w:rsid w:val="00F90492"/>
    <w:rsid w:val="00F905C1"/>
    <w:rsid w:val="00F9070B"/>
    <w:rsid w:val="00F908B7"/>
    <w:rsid w:val="00F909C7"/>
    <w:rsid w:val="00F90A12"/>
    <w:rsid w:val="00F90F9A"/>
    <w:rsid w:val="00F91187"/>
    <w:rsid w:val="00F911D7"/>
    <w:rsid w:val="00F91250"/>
    <w:rsid w:val="00F91284"/>
    <w:rsid w:val="00F91468"/>
    <w:rsid w:val="00F915FE"/>
    <w:rsid w:val="00F9165B"/>
    <w:rsid w:val="00F91778"/>
    <w:rsid w:val="00F917FF"/>
    <w:rsid w:val="00F91FF4"/>
    <w:rsid w:val="00F921E5"/>
    <w:rsid w:val="00F9234B"/>
    <w:rsid w:val="00F9245B"/>
    <w:rsid w:val="00F925E8"/>
    <w:rsid w:val="00F92776"/>
    <w:rsid w:val="00F9282E"/>
    <w:rsid w:val="00F92918"/>
    <w:rsid w:val="00F929B3"/>
    <w:rsid w:val="00F92C4E"/>
    <w:rsid w:val="00F92CB7"/>
    <w:rsid w:val="00F92FBC"/>
    <w:rsid w:val="00F92FFA"/>
    <w:rsid w:val="00F931A0"/>
    <w:rsid w:val="00F93259"/>
    <w:rsid w:val="00F93369"/>
    <w:rsid w:val="00F933B5"/>
    <w:rsid w:val="00F9342E"/>
    <w:rsid w:val="00F9369B"/>
    <w:rsid w:val="00F93775"/>
    <w:rsid w:val="00F93805"/>
    <w:rsid w:val="00F9387B"/>
    <w:rsid w:val="00F9387D"/>
    <w:rsid w:val="00F93F0D"/>
    <w:rsid w:val="00F93F58"/>
    <w:rsid w:val="00F93FD9"/>
    <w:rsid w:val="00F93FFB"/>
    <w:rsid w:val="00F940AF"/>
    <w:rsid w:val="00F943CC"/>
    <w:rsid w:val="00F944B1"/>
    <w:rsid w:val="00F94793"/>
    <w:rsid w:val="00F949E6"/>
    <w:rsid w:val="00F94B14"/>
    <w:rsid w:val="00F94B55"/>
    <w:rsid w:val="00F94CAD"/>
    <w:rsid w:val="00F94D3B"/>
    <w:rsid w:val="00F94E62"/>
    <w:rsid w:val="00F9500C"/>
    <w:rsid w:val="00F95011"/>
    <w:rsid w:val="00F950B6"/>
    <w:rsid w:val="00F9557A"/>
    <w:rsid w:val="00F95842"/>
    <w:rsid w:val="00F95882"/>
    <w:rsid w:val="00F95B51"/>
    <w:rsid w:val="00F95B84"/>
    <w:rsid w:val="00F95BD0"/>
    <w:rsid w:val="00F95F20"/>
    <w:rsid w:val="00F96329"/>
    <w:rsid w:val="00F96391"/>
    <w:rsid w:val="00F96617"/>
    <w:rsid w:val="00F966B8"/>
    <w:rsid w:val="00F96700"/>
    <w:rsid w:val="00F967CF"/>
    <w:rsid w:val="00F969BC"/>
    <w:rsid w:val="00F96A4D"/>
    <w:rsid w:val="00F96B6F"/>
    <w:rsid w:val="00F96BD8"/>
    <w:rsid w:val="00F96C4D"/>
    <w:rsid w:val="00F96E1F"/>
    <w:rsid w:val="00F96F2C"/>
    <w:rsid w:val="00F96F60"/>
    <w:rsid w:val="00F97633"/>
    <w:rsid w:val="00F978A8"/>
    <w:rsid w:val="00F9797B"/>
    <w:rsid w:val="00F979E0"/>
    <w:rsid w:val="00F97AA6"/>
    <w:rsid w:val="00F97BBE"/>
    <w:rsid w:val="00F97E35"/>
    <w:rsid w:val="00F97F82"/>
    <w:rsid w:val="00FA0904"/>
    <w:rsid w:val="00FA0913"/>
    <w:rsid w:val="00FA0AC4"/>
    <w:rsid w:val="00FA0BFA"/>
    <w:rsid w:val="00FA0C6E"/>
    <w:rsid w:val="00FA0F70"/>
    <w:rsid w:val="00FA1329"/>
    <w:rsid w:val="00FA17A0"/>
    <w:rsid w:val="00FA17EB"/>
    <w:rsid w:val="00FA1A25"/>
    <w:rsid w:val="00FA1B17"/>
    <w:rsid w:val="00FA1DF6"/>
    <w:rsid w:val="00FA1EE8"/>
    <w:rsid w:val="00FA2050"/>
    <w:rsid w:val="00FA20AB"/>
    <w:rsid w:val="00FA26E3"/>
    <w:rsid w:val="00FA2733"/>
    <w:rsid w:val="00FA2899"/>
    <w:rsid w:val="00FA29BD"/>
    <w:rsid w:val="00FA29F6"/>
    <w:rsid w:val="00FA2AFB"/>
    <w:rsid w:val="00FA2CC1"/>
    <w:rsid w:val="00FA2D13"/>
    <w:rsid w:val="00FA2D43"/>
    <w:rsid w:val="00FA2DA0"/>
    <w:rsid w:val="00FA2F7F"/>
    <w:rsid w:val="00FA36EA"/>
    <w:rsid w:val="00FA3897"/>
    <w:rsid w:val="00FA38E9"/>
    <w:rsid w:val="00FA3979"/>
    <w:rsid w:val="00FA3BB3"/>
    <w:rsid w:val="00FA3C27"/>
    <w:rsid w:val="00FA3DD7"/>
    <w:rsid w:val="00FA3FFC"/>
    <w:rsid w:val="00FA4242"/>
    <w:rsid w:val="00FA42C8"/>
    <w:rsid w:val="00FA42CB"/>
    <w:rsid w:val="00FA42EE"/>
    <w:rsid w:val="00FA467B"/>
    <w:rsid w:val="00FA482B"/>
    <w:rsid w:val="00FA497B"/>
    <w:rsid w:val="00FA4AD5"/>
    <w:rsid w:val="00FA4AE8"/>
    <w:rsid w:val="00FA4D86"/>
    <w:rsid w:val="00FA4DF9"/>
    <w:rsid w:val="00FA4F04"/>
    <w:rsid w:val="00FA51C3"/>
    <w:rsid w:val="00FA57A7"/>
    <w:rsid w:val="00FA580B"/>
    <w:rsid w:val="00FA59AC"/>
    <w:rsid w:val="00FA6073"/>
    <w:rsid w:val="00FA6147"/>
    <w:rsid w:val="00FA6318"/>
    <w:rsid w:val="00FA6447"/>
    <w:rsid w:val="00FA654C"/>
    <w:rsid w:val="00FA664C"/>
    <w:rsid w:val="00FA68CF"/>
    <w:rsid w:val="00FA6B72"/>
    <w:rsid w:val="00FA6D34"/>
    <w:rsid w:val="00FA6ED3"/>
    <w:rsid w:val="00FA702B"/>
    <w:rsid w:val="00FA7087"/>
    <w:rsid w:val="00FA70F0"/>
    <w:rsid w:val="00FA7355"/>
    <w:rsid w:val="00FA7396"/>
    <w:rsid w:val="00FA74F2"/>
    <w:rsid w:val="00FA765F"/>
    <w:rsid w:val="00FA7B5A"/>
    <w:rsid w:val="00FA7C19"/>
    <w:rsid w:val="00FA7CEE"/>
    <w:rsid w:val="00FA7DCA"/>
    <w:rsid w:val="00FA7F4D"/>
    <w:rsid w:val="00FA7F5D"/>
    <w:rsid w:val="00FB0001"/>
    <w:rsid w:val="00FB004F"/>
    <w:rsid w:val="00FB023E"/>
    <w:rsid w:val="00FB05EE"/>
    <w:rsid w:val="00FB065F"/>
    <w:rsid w:val="00FB0821"/>
    <w:rsid w:val="00FB08B8"/>
    <w:rsid w:val="00FB098E"/>
    <w:rsid w:val="00FB0A7C"/>
    <w:rsid w:val="00FB0B36"/>
    <w:rsid w:val="00FB0F5D"/>
    <w:rsid w:val="00FB106B"/>
    <w:rsid w:val="00FB109A"/>
    <w:rsid w:val="00FB10AA"/>
    <w:rsid w:val="00FB1365"/>
    <w:rsid w:val="00FB1610"/>
    <w:rsid w:val="00FB16EE"/>
    <w:rsid w:val="00FB1824"/>
    <w:rsid w:val="00FB1862"/>
    <w:rsid w:val="00FB1A09"/>
    <w:rsid w:val="00FB1AB9"/>
    <w:rsid w:val="00FB1BD5"/>
    <w:rsid w:val="00FB1C63"/>
    <w:rsid w:val="00FB1CC0"/>
    <w:rsid w:val="00FB1DB0"/>
    <w:rsid w:val="00FB2086"/>
    <w:rsid w:val="00FB224F"/>
    <w:rsid w:val="00FB2311"/>
    <w:rsid w:val="00FB2364"/>
    <w:rsid w:val="00FB247E"/>
    <w:rsid w:val="00FB26A6"/>
    <w:rsid w:val="00FB28E6"/>
    <w:rsid w:val="00FB2B1A"/>
    <w:rsid w:val="00FB2C06"/>
    <w:rsid w:val="00FB2CD8"/>
    <w:rsid w:val="00FB2D7B"/>
    <w:rsid w:val="00FB2E0C"/>
    <w:rsid w:val="00FB2E0F"/>
    <w:rsid w:val="00FB2EFD"/>
    <w:rsid w:val="00FB2F10"/>
    <w:rsid w:val="00FB2FEC"/>
    <w:rsid w:val="00FB3042"/>
    <w:rsid w:val="00FB3346"/>
    <w:rsid w:val="00FB3492"/>
    <w:rsid w:val="00FB3870"/>
    <w:rsid w:val="00FB3B6C"/>
    <w:rsid w:val="00FB3D91"/>
    <w:rsid w:val="00FB3FE4"/>
    <w:rsid w:val="00FB4185"/>
    <w:rsid w:val="00FB424A"/>
    <w:rsid w:val="00FB42A7"/>
    <w:rsid w:val="00FB42FD"/>
    <w:rsid w:val="00FB43EA"/>
    <w:rsid w:val="00FB44F2"/>
    <w:rsid w:val="00FB4557"/>
    <w:rsid w:val="00FB46F7"/>
    <w:rsid w:val="00FB4718"/>
    <w:rsid w:val="00FB4788"/>
    <w:rsid w:val="00FB4963"/>
    <w:rsid w:val="00FB4ABE"/>
    <w:rsid w:val="00FB4BD9"/>
    <w:rsid w:val="00FB4BED"/>
    <w:rsid w:val="00FB4C49"/>
    <w:rsid w:val="00FB4E53"/>
    <w:rsid w:val="00FB4F40"/>
    <w:rsid w:val="00FB4FFE"/>
    <w:rsid w:val="00FB503D"/>
    <w:rsid w:val="00FB5154"/>
    <w:rsid w:val="00FB522C"/>
    <w:rsid w:val="00FB5457"/>
    <w:rsid w:val="00FB54EB"/>
    <w:rsid w:val="00FB551B"/>
    <w:rsid w:val="00FB553B"/>
    <w:rsid w:val="00FB574A"/>
    <w:rsid w:val="00FB57F9"/>
    <w:rsid w:val="00FB5886"/>
    <w:rsid w:val="00FB5901"/>
    <w:rsid w:val="00FB59D7"/>
    <w:rsid w:val="00FB5A74"/>
    <w:rsid w:val="00FB5C48"/>
    <w:rsid w:val="00FB5CA3"/>
    <w:rsid w:val="00FB5DF3"/>
    <w:rsid w:val="00FB5E96"/>
    <w:rsid w:val="00FB5EA3"/>
    <w:rsid w:val="00FB61E4"/>
    <w:rsid w:val="00FB65E0"/>
    <w:rsid w:val="00FB68F6"/>
    <w:rsid w:val="00FB692E"/>
    <w:rsid w:val="00FB6937"/>
    <w:rsid w:val="00FB6A7E"/>
    <w:rsid w:val="00FB6C34"/>
    <w:rsid w:val="00FB6CDA"/>
    <w:rsid w:val="00FB6D64"/>
    <w:rsid w:val="00FB6E20"/>
    <w:rsid w:val="00FB6E34"/>
    <w:rsid w:val="00FB6EEF"/>
    <w:rsid w:val="00FB6F37"/>
    <w:rsid w:val="00FB7008"/>
    <w:rsid w:val="00FB7292"/>
    <w:rsid w:val="00FB7403"/>
    <w:rsid w:val="00FB75B4"/>
    <w:rsid w:val="00FB779D"/>
    <w:rsid w:val="00FB785D"/>
    <w:rsid w:val="00FB7A6A"/>
    <w:rsid w:val="00FB7AE2"/>
    <w:rsid w:val="00FB7C79"/>
    <w:rsid w:val="00FB7C98"/>
    <w:rsid w:val="00FB7EA6"/>
    <w:rsid w:val="00FC0118"/>
    <w:rsid w:val="00FC0241"/>
    <w:rsid w:val="00FC0323"/>
    <w:rsid w:val="00FC0390"/>
    <w:rsid w:val="00FC048E"/>
    <w:rsid w:val="00FC0644"/>
    <w:rsid w:val="00FC06DF"/>
    <w:rsid w:val="00FC075C"/>
    <w:rsid w:val="00FC09AD"/>
    <w:rsid w:val="00FC0AAF"/>
    <w:rsid w:val="00FC0B5B"/>
    <w:rsid w:val="00FC0CD3"/>
    <w:rsid w:val="00FC0D97"/>
    <w:rsid w:val="00FC0E5E"/>
    <w:rsid w:val="00FC0E76"/>
    <w:rsid w:val="00FC1137"/>
    <w:rsid w:val="00FC1165"/>
    <w:rsid w:val="00FC11CE"/>
    <w:rsid w:val="00FC13BA"/>
    <w:rsid w:val="00FC1496"/>
    <w:rsid w:val="00FC16E7"/>
    <w:rsid w:val="00FC19A9"/>
    <w:rsid w:val="00FC1A12"/>
    <w:rsid w:val="00FC1AD5"/>
    <w:rsid w:val="00FC1C2D"/>
    <w:rsid w:val="00FC1C38"/>
    <w:rsid w:val="00FC1F68"/>
    <w:rsid w:val="00FC2013"/>
    <w:rsid w:val="00FC22C3"/>
    <w:rsid w:val="00FC23F8"/>
    <w:rsid w:val="00FC2439"/>
    <w:rsid w:val="00FC25F1"/>
    <w:rsid w:val="00FC262E"/>
    <w:rsid w:val="00FC2775"/>
    <w:rsid w:val="00FC28BB"/>
    <w:rsid w:val="00FC2B3A"/>
    <w:rsid w:val="00FC2B9F"/>
    <w:rsid w:val="00FC2DF0"/>
    <w:rsid w:val="00FC2E57"/>
    <w:rsid w:val="00FC2F44"/>
    <w:rsid w:val="00FC2F55"/>
    <w:rsid w:val="00FC3125"/>
    <w:rsid w:val="00FC31FA"/>
    <w:rsid w:val="00FC3229"/>
    <w:rsid w:val="00FC3258"/>
    <w:rsid w:val="00FC3522"/>
    <w:rsid w:val="00FC393B"/>
    <w:rsid w:val="00FC39E0"/>
    <w:rsid w:val="00FC3AD9"/>
    <w:rsid w:val="00FC3B5D"/>
    <w:rsid w:val="00FC3C8D"/>
    <w:rsid w:val="00FC3DEE"/>
    <w:rsid w:val="00FC3ECA"/>
    <w:rsid w:val="00FC3EE9"/>
    <w:rsid w:val="00FC410F"/>
    <w:rsid w:val="00FC4150"/>
    <w:rsid w:val="00FC41AA"/>
    <w:rsid w:val="00FC43F2"/>
    <w:rsid w:val="00FC44D5"/>
    <w:rsid w:val="00FC44EE"/>
    <w:rsid w:val="00FC4845"/>
    <w:rsid w:val="00FC48E9"/>
    <w:rsid w:val="00FC4910"/>
    <w:rsid w:val="00FC49D9"/>
    <w:rsid w:val="00FC4B13"/>
    <w:rsid w:val="00FC4B80"/>
    <w:rsid w:val="00FC4B84"/>
    <w:rsid w:val="00FC4CF9"/>
    <w:rsid w:val="00FC4E42"/>
    <w:rsid w:val="00FC4F02"/>
    <w:rsid w:val="00FC4F68"/>
    <w:rsid w:val="00FC4FAD"/>
    <w:rsid w:val="00FC531B"/>
    <w:rsid w:val="00FC5396"/>
    <w:rsid w:val="00FC5534"/>
    <w:rsid w:val="00FC56EF"/>
    <w:rsid w:val="00FC5943"/>
    <w:rsid w:val="00FC5AE8"/>
    <w:rsid w:val="00FC5B39"/>
    <w:rsid w:val="00FC5B7B"/>
    <w:rsid w:val="00FC5BF0"/>
    <w:rsid w:val="00FC5DC8"/>
    <w:rsid w:val="00FC5EA3"/>
    <w:rsid w:val="00FC5EF1"/>
    <w:rsid w:val="00FC61AB"/>
    <w:rsid w:val="00FC61E8"/>
    <w:rsid w:val="00FC6554"/>
    <w:rsid w:val="00FC676B"/>
    <w:rsid w:val="00FC6A0B"/>
    <w:rsid w:val="00FC6AC2"/>
    <w:rsid w:val="00FC6ADD"/>
    <w:rsid w:val="00FC6E3A"/>
    <w:rsid w:val="00FC6F24"/>
    <w:rsid w:val="00FC6F49"/>
    <w:rsid w:val="00FC6FC3"/>
    <w:rsid w:val="00FC6FCB"/>
    <w:rsid w:val="00FC6FD3"/>
    <w:rsid w:val="00FC7002"/>
    <w:rsid w:val="00FC729F"/>
    <w:rsid w:val="00FC7316"/>
    <w:rsid w:val="00FC7331"/>
    <w:rsid w:val="00FC73A7"/>
    <w:rsid w:val="00FC7441"/>
    <w:rsid w:val="00FC7560"/>
    <w:rsid w:val="00FC7672"/>
    <w:rsid w:val="00FC76E9"/>
    <w:rsid w:val="00FC7862"/>
    <w:rsid w:val="00FC790A"/>
    <w:rsid w:val="00FC7A1D"/>
    <w:rsid w:val="00FC7D3D"/>
    <w:rsid w:val="00FD0056"/>
    <w:rsid w:val="00FD0398"/>
    <w:rsid w:val="00FD041F"/>
    <w:rsid w:val="00FD0674"/>
    <w:rsid w:val="00FD0710"/>
    <w:rsid w:val="00FD0744"/>
    <w:rsid w:val="00FD0941"/>
    <w:rsid w:val="00FD0978"/>
    <w:rsid w:val="00FD09E6"/>
    <w:rsid w:val="00FD0D14"/>
    <w:rsid w:val="00FD0D8C"/>
    <w:rsid w:val="00FD0D90"/>
    <w:rsid w:val="00FD1140"/>
    <w:rsid w:val="00FD1219"/>
    <w:rsid w:val="00FD124B"/>
    <w:rsid w:val="00FD12ED"/>
    <w:rsid w:val="00FD1300"/>
    <w:rsid w:val="00FD1331"/>
    <w:rsid w:val="00FD13EC"/>
    <w:rsid w:val="00FD146C"/>
    <w:rsid w:val="00FD14E1"/>
    <w:rsid w:val="00FD165B"/>
    <w:rsid w:val="00FD19D2"/>
    <w:rsid w:val="00FD1A7D"/>
    <w:rsid w:val="00FD1C77"/>
    <w:rsid w:val="00FD1DF0"/>
    <w:rsid w:val="00FD1EBC"/>
    <w:rsid w:val="00FD1F53"/>
    <w:rsid w:val="00FD1F7F"/>
    <w:rsid w:val="00FD22A3"/>
    <w:rsid w:val="00FD2490"/>
    <w:rsid w:val="00FD26E1"/>
    <w:rsid w:val="00FD275C"/>
    <w:rsid w:val="00FD2778"/>
    <w:rsid w:val="00FD284C"/>
    <w:rsid w:val="00FD2BFE"/>
    <w:rsid w:val="00FD3323"/>
    <w:rsid w:val="00FD3758"/>
    <w:rsid w:val="00FD38AB"/>
    <w:rsid w:val="00FD3CD1"/>
    <w:rsid w:val="00FD3D71"/>
    <w:rsid w:val="00FD3D8D"/>
    <w:rsid w:val="00FD3F1B"/>
    <w:rsid w:val="00FD4050"/>
    <w:rsid w:val="00FD4216"/>
    <w:rsid w:val="00FD4345"/>
    <w:rsid w:val="00FD4520"/>
    <w:rsid w:val="00FD4607"/>
    <w:rsid w:val="00FD460C"/>
    <w:rsid w:val="00FD4950"/>
    <w:rsid w:val="00FD4B24"/>
    <w:rsid w:val="00FD4CF1"/>
    <w:rsid w:val="00FD4D2B"/>
    <w:rsid w:val="00FD4D2E"/>
    <w:rsid w:val="00FD4D4B"/>
    <w:rsid w:val="00FD4F8D"/>
    <w:rsid w:val="00FD50E6"/>
    <w:rsid w:val="00FD5181"/>
    <w:rsid w:val="00FD51C2"/>
    <w:rsid w:val="00FD534A"/>
    <w:rsid w:val="00FD5491"/>
    <w:rsid w:val="00FD5519"/>
    <w:rsid w:val="00FD5835"/>
    <w:rsid w:val="00FD5973"/>
    <w:rsid w:val="00FD5C57"/>
    <w:rsid w:val="00FD5CE2"/>
    <w:rsid w:val="00FD5D9F"/>
    <w:rsid w:val="00FD5E6F"/>
    <w:rsid w:val="00FD60E0"/>
    <w:rsid w:val="00FD6247"/>
    <w:rsid w:val="00FD6408"/>
    <w:rsid w:val="00FD655D"/>
    <w:rsid w:val="00FD689E"/>
    <w:rsid w:val="00FD68F1"/>
    <w:rsid w:val="00FD6ABB"/>
    <w:rsid w:val="00FD6B71"/>
    <w:rsid w:val="00FD6BFA"/>
    <w:rsid w:val="00FD6C07"/>
    <w:rsid w:val="00FD6CDB"/>
    <w:rsid w:val="00FD6DA8"/>
    <w:rsid w:val="00FD6ECB"/>
    <w:rsid w:val="00FD70D0"/>
    <w:rsid w:val="00FD71E4"/>
    <w:rsid w:val="00FD7363"/>
    <w:rsid w:val="00FD737A"/>
    <w:rsid w:val="00FD7487"/>
    <w:rsid w:val="00FD7550"/>
    <w:rsid w:val="00FD758A"/>
    <w:rsid w:val="00FD75D1"/>
    <w:rsid w:val="00FD77AF"/>
    <w:rsid w:val="00FD7912"/>
    <w:rsid w:val="00FD7980"/>
    <w:rsid w:val="00FD7A02"/>
    <w:rsid w:val="00FD7B38"/>
    <w:rsid w:val="00FD7E5D"/>
    <w:rsid w:val="00FD7E8D"/>
    <w:rsid w:val="00FD7EA8"/>
    <w:rsid w:val="00FD7EBC"/>
    <w:rsid w:val="00FD7F62"/>
    <w:rsid w:val="00FD7FF1"/>
    <w:rsid w:val="00FE0119"/>
    <w:rsid w:val="00FE029A"/>
    <w:rsid w:val="00FE04B2"/>
    <w:rsid w:val="00FE0579"/>
    <w:rsid w:val="00FE06F5"/>
    <w:rsid w:val="00FE081C"/>
    <w:rsid w:val="00FE09AB"/>
    <w:rsid w:val="00FE0A0C"/>
    <w:rsid w:val="00FE0A12"/>
    <w:rsid w:val="00FE0A32"/>
    <w:rsid w:val="00FE0BAE"/>
    <w:rsid w:val="00FE0CB4"/>
    <w:rsid w:val="00FE10DA"/>
    <w:rsid w:val="00FE1216"/>
    <w:rsid w:val="00FE14C7"/>
    <w:rsid w:val="00FE14FC"/>
    <w:rsid w:val="00FE1624"/>
    <w:rsid w:val="00FE1673"/>
    <w:rsid w:val="00FE1700"/>
    <w:rsid w:val="00FE1819"/>
    <w:rsid w:val="00FE18AD"/>
    <w:rsid w:val="00FE1932"/>
    <w:rsid w:val="00FE193E"/>
    <w:rsid w:val="00FE1A4E"/>
    <w:rsid w:val="00FE1A98"/>
    <w:rsid w:val="00FE1AA5"/>
    <w:rsid w:val="00FE1AAF"/>
    <w:rsid w:val="00FE1AB6"/>
    <w:rsid w:val="00FE1F43"/>
    <w:rsid w:val="00FE1F6A"/>
    <w:rsid w:val="00FE1FCC"/>
    <w:rsid w:val="00FE1FEA"/>
    <w:rsid w:val="00FE2128"/>
    <w:rsid w:val="00FE2449"/>
    <w:rsid w:val="00FE2614"/>
    <w:rsid w:val="00FE2758"/>
    <w:rsid w:val="00FE2ADD"/>
    <w:rsid w:val="00FE2B44"/>
    <w:rsid w:val="00FE2BC3"/>
    <w:rsid w:val="00FE2C56"/>
    <w:rsid w:val="00FE2CC6"/>
    <w:rsid w:val="00FE2D90"/>
    <w:rsid w:val="00FE2E15"/>
    <w:rsid w:val="00FE31EA"/>
    <w:rsid w:val="00FE3204"/>
    <w:rsid w:val="00FE3450"/>
    <w:rsid w:val="00FE35B9"/>
    <w:rsid w:val="00FE367D"/>
    <w:rsid w:val="00FE3711"/>
    <w:rsid w:val="00FE388D"/>
    <w:rsid w:val="00FE39BE"/>
    <w:rsid w:val="00FE3A36"/>
    <w:rsid w:val="00FE3A68"/>
    <w:rsid w:val="00FE3D5F"/>
    <w:rsid w:val="00FE3D70"/>
    <w:rsid w:val="00FE3FAC"/>
    <w:rsid w:val="00FE3FF4"/>
    <w:rsid w:val="00FE445C"/>
    <w:rsid w:val="00FE4584"/>
    <w:rsid w:val="00FE46D2"/>
    <w:rsid w:val="00FE47DD"/>
    <w:rsid w:val="00FE48D9"/>
    <w:rsid w:val="00FE4DAA"/>
    <w:rsid w:val="00FE4E4B"/>
    <w:rsid w:val="00FE4EF1"/>
    <w:rsid w:val="00FE516D"/>
    <w:rsid w:val="00FE5247"/>
    <w:rsid w:val="00FE53D3"/>
    <w:rsid w:val="00FE57A9"/>
    <w:rsid w:val="00FE587D"/>
    <w:rsid w:val="00FE5D08"/>
    <w:rsid w:val="00FE5EAF"/>
    <w:rsid w:val="00FE5F40"/>
    <w:rsid w:val="00FE618D"/>
    <w:rsid w:val="00FE61E2"/>
    <w:rsid w:val="00FE62B4"/>
    <w:rsid w:val="00FE6435"/>
    <w:rsid w:val="00FE67B3"/>
    <w:rsid w:val="00FE69EE"/>
    <w:rsid w:val="00FE6CD6"/>
    <w:rsid w:val="00FE71EE"/>
    <w:rsid w:val="00FE7411"/>
    <w:rsid w:val="00FE7517"/>
    <w:rsid w:val="00FE7664"/>
    <w:rsid w:val="00FE76D9"/>
    <w:rsid w:val="00FE774E"/>
    <w:rsid w:val="00FE7817"/>
    <w:rsid w:val="00FE785B"/>
    <w:rsid w:val="00FE7984"/>
    <w:rsid w:val="00FE7A7A"/>
    <w:rsid w:val="00FE7A90"/>
    <w:rsid w:val="00FE7B31"/>
    <w:rsid w:val="00FE7B4E"/>
    <w:rsid w:val="00FE7CA5"/>
    <w:rsid w:val="00FE7D26"/>
    <w:rsid w:val="00FE7E0D"/>
    <w:rsid w:val="00FE7F44"/>
    <w:rsid w:val="00FF0106"/>
    <w:rsid w:val="00FF0327"/>
    <w:rsid w:val="00FF0359"/>
    <w:rsid w:val="00FF042D"/>
    <w:rsid w:val="00FF0474"/>
    <w:rsid w:val="00FF0540"/>
    <w:rsid w:val="00FF061D"/>
    <w:rsid w:val="00FF072D"/>
    <w:rsid w:val="00FF082F"/>
    <w:rsid w:val="00FF09D1"/>
    <w:rsid w:val="00FF09F7"/>
    <w:rsid w:val="00FF0A2C"/>
    <w:rsid w:val="00FF0ABB"/>
    <w:rsid w:val="00FF0B54"/>
    <w:rsid w:val="00FF0BA6"/>
    <w:rsid w:val="00FF0CD3"/>
    <w:rsid w:val="00FF0F84"/>
    <w:rsid w:val="00FF0FC0"/>
    <w:rsid w:val="00FF11FE"/>
    <w:rsid w:val="00FF123A"/>
    <w:rsid w:val="00FF14C6"/>
    <w:rsid w:val="00FF16CF"/>
    <w:rsid w:val="00FF1988"/>
    <w:rsid w:val="00FF1A7B"/>
    <w:rsid w:val="00FF1BC0"/>
    <w:rsid w:val="00FF1BD6"/>
    <w:rsid w:val="00FF1CE1"/>
    <w:rsid w:val="00FF1D61"/>
    <w:rsid w:val="00FF1D62"/>
    <w:rsid w:val="00FF1D94"/>
    <w:rsid w:val="00FF1DC6"/>
    <w:rsid w:val="00FF1EE5"/>
    <w:rsid w:val="00FF20CC"/>
    <w:rsid w:val="00FF20DC"/>
    <w:rsid w:val="00FF2164"/>
    <w:rsid w:val="00FF22DD"/>
    <w:rsid w:val="00FF23F5"/>
    <w:rsid w:val="00FF2544"/>
    <w:rsid w:val="00FF27CA"/>
    <w:rsid w:val="00FF2984"/>
    <w:rsid w:val="00FF2A2D"/>
    <w:rsid w:val="00FF2A93"/>
    <w:rsid w:val="00FF2AD0"/>
    <w:rsid w:val="00FF2AD7"/>
    <w:rsid w:val="00FF2BD8"/>
    <w:rsid w:val="00FF2C8C"/>
    <w:rsid w:val="00FF2F0D"/>
    <w:rsid w:val="00FF2F9E"/>
    <w:rsid w:val="00FF2FC6"/>
    <w:rsid w:val="00FF3151"/>
    <w:rsid w:val="00FF321E"/>
    <w:rsid w:val="00FF333E"/>
    <w:rsid w:val="00FF340D"/>
    <w:rsid w:val="00FF35AB"/>
    <w:rsid w:val="00FF35D0"/>
    <w:rsid w:val="00FF38A8"/>
    <w:rsid w:val="00FF3935"/>
    <w:rsid w:val="00FF39DE"/>
    <w:rsid w:val="00FF3C02"/>
    <w:rsid w:val="00FF3E44"/>
    <w:rsid w:val="00FF3F7D"/>
    <w:rsid w:val="00FF3FBB"/>
    <w:rsid w:val="00FF41F9"/>
    <w:rsid w:val="00FF425E"/>
    <w:rsid w:val="00FF4264"/>
    <w:rsid w:val="00FF4415"/>
    <w:rsid w:val="00FF474A"/>
    <w:rsid w:val="00FF4964"/>
    <w:rsid w:val="00FF4AF9"/>
    <w:rsid w:val="00FF4CEA"/>
    <w:rsid w:val="00FF4D6B"/>
    <w:rsid w:val="00FF4D72"/>
    <w:rsid w:val="00FF4DE3"/>
    <w:rsid w:val="00FF4E18"/>
    <w:rsid w:val="00FF4E3D"/>
    <w:rsid w:val="00FF50AF"/>
    <w:rsid w:val="00FF50FE"/>
    <w:rsid w:val="00FF52A7"/>
    <w:rsid w:val="00FF52C2"/>
    <w:rsid w:val="00FF5441"/>
    <w:rsid w:val="00FF54B6"/>
    <w:rsid w:val="00FF5708"/>
    <w:rsid w:val="00FF573E"/>
    <w:rsid w:val="00FF5A6B"/>
    <w:rsid w:val="00FF5B11"/>
    <w:rsid w:val="00FF5BB5"/>
    <w:rsid w:val="00FF5F9E"/>
    <w:rsid w:val="00FF61E6"/>
    <w:rsid w:val="00FF62A1"/>
    <w:rsid w:val="00FF63E1"/>
    <w:rsid w:val="00FF6425"/>
    <w:rsid w:val="00FF652B"/>
    <w:rsid w:val="00FF65A8"/>
    <w:rsid w:val="00FF66BB"/>
    <w:rsid w:val="00FF66F1"/>
    <w:rsid w:val="00FF685F"/>
    <w:rsid w:val="00FF688B"/>
    <w:rsid w:val="00FF6E27"/>
    <w:rsid w:val="00FF6F59"/>
    <w:rsid w:val="00FF7079"/>
    <w:rsid w:val="00FF712B"/>
    <w:rsid w:val="00FF7161"/>
    <w:rsid w:val="00FF73BE"/>
    <w:rsid w:val="00FF73F1"/>
    <w:rsid w:val="00FF766D"/>
    <w:rsid w:val="00FF7866"/>
    <w:rsid w:val="00FF78B0"/>
    <w:rsid w:val="00FF7C5E"/>
    <w:rsid w:val="0119C2E5"/>
    <w:rsid w:val="011D3B3E"/>
    <w:rsid w:val="011E832F"/>
    <w:rsid w:val="01227F45"/>
    <w:rsid w:val="012DC7CC"/>
    <w:rsid w:val="01310AEA"/>
    <w:rsid w:val="0150144A"/>
    <w:rsid w:val="01515519"/>
    <w:rsid w:val="01A76BDF"/>
    <w:rsid w:val="01ABC323"/>
    <w:rsid w:val="01DDA4BD"/>
    <w:rsid w:val="01E01E72"/>
    <w:rsid w:val="01E03F4E"/>
    <w:rsid w:val="01E62753"/>
    <w:rsid w:val="01E67292"/>
    <w:rsid w:val="01ED70A0"/>
    <w:rsid w:val="01F73C67"/>
    <w:rsid w:val="021799D4"/>
    <w:rsid w:val="02197E0D"/>
    <w:rsid w:val="0231767B"/>
    <w:rsid w:val="02420A13"/>
    <w:rsid w:val="0248FEFF"/>
    <w:rsid w:val="02550636"/>
    <w:rsid w:val="0255DE04"/>
    <w:rsid w:val="025D39A2"/>
    <w:rsid w:val="026C2EDC"/>
    <w:rsid w:val="0270D13C"/>
    <w:rsid w:val="0285C410"/>
    <w:rsid w:val="028BFE51"/>
    <w:rsid w:val="02BF2DF8"/>
    <w:rsid w:val="02C22AD9"/>
    <w:rsid w:val="02D30EC7"/>
    <w:rsid w:val="02D91E23"/>
    <w:rsid w:val="02E8E074"/>
    <w:rsid w:val="02FA53B9"/>
    <w:rsid w:val="031BDFE8"/>
    <w:rsid w:val="032CBF58"/>
    <w:rsid w:val="03416008"/>
    <w:rsid w:val="035FBA9E"/>
    <w:rsid w:val="037BF78B"/>
    <w:rsid w:val="03A9F463"/>
    <w:rsid w:val="03B68D12"/>
    <w:rsid w:val="03D98551"/>
    <w:rsid w:val="03E1D685"/>
    <w:rsid w:val="03E3A8A2"/>
    <w:rsid w:val="041504D0"/>
    <w:rsid w:val="0433A6CF"/>
    <w:rsid w:val="04481285"/>
    <w:rsid w:val="045FBD09"/>
    <w:rsid w:val="0464CC08"/>
    <w:rsid w:val="04697EFF"/>
    <w:rsid w:val="04AFE9BE"/>
    <w:rsid w:val="04B6F9DD"/>
    <w:rsid w:val="04CCB74E"/>
    <w:rsid w:val="04F5BAF0"/>
    <w:rsid w:val="04F73512"/>
    <w:rsid w:val="04F9B665"/>
    <w:rsid w:val="04FB2335"/>
    <w:rsid w:val="050ABB34"/>
    <w:rsid w:val="051798BD"/>
    <w:rsid w:val="05349E87"/>
    <w:rsid w:val="055A11CC"/>
    <w:rsid w:val="056AB27F"/>
    <w:rsid w:val="0578DF3B"/>
    <w:rsid w:val="05841B04"/>
    <w:rsid w:val="05B7068C"/>
    <w:rsid w:val="05B864C6"/>
    <w:rsid w:val="05BEE697"/>
    <w:rsid w:val="05D763EB"/>
    <w:rsid w:val="05DC0E49"/>
    <w:rsid w:val="05DC15E7"/>
    <w:rsid w:val="05FB9027"/>
    <w:rsid w:val="05FC8C38"/>
    <w:rsid w:val="05FD236F"/>
    <w:rsid w:val="060009C3"/>
    <w:rsid w:val="0603AA1C"/>
    <w:rsid w:val="06120E03"/>
    <w:rsid w:val="06134DED"/>
    <w:rsid w:val="063CD1B3"/>
    <w:rsid w:val="063DEB1C"/>
    <w:rsid w:val="0645B6CA"/>
    <w:rsid w:val="0648E5C4"/>
    <w:rsid w:val="064A42DD"/>
    <w:rsid w:val="064B77BB"/>
    <w:rsid w:val="0651F649"/>
    <w:rsid w:val="065F51CE"/>
    <w:rsid w:val="065FF0E8"/>
    <w:rsid w:val="06612828"/>
    <w:rsid w:val="0673ABAE"/>
    <w:rsid w:val="0676E70A"/>
    <w:rsid w:val="067F84DA"/>
    <w:rsid w:val="06936FCA"/>
    <w:rsid w:val="06939B98"/>
    <w:rsid w:val="06BB2BA7"/>
    <w:rsid w:val="06C5167F"/>
    <w:rsid w:val="06D093E8"/>
    <w:rsid w:val="06D4FF9A"/>
    <w:rsid w:val="06D89190"/>
    <w:rsid w:val="06F40175"/>
    <w:rsid w:val="07015849"/>
    <w:rsid w:val="07024C96"/>
    <w:rsid w:val="0703D048"/>
    <w:rsid w:val="070D3E86"/>
    <w:rsid w:val="0713A613"/>
    <w:rsid w:val="07187B26"/>
    <w:rsid w:val="07189A98"/>
    <w:rsid w:val="0718ADF7"/>
    <w:rsid w:val="0722CC89"/>
    <w:rsid w:val="0728E5DD"/>
    <w:rsid w:val="0733EE19"/>
    <w:rsid w:val="074DA90A"/>
    <w:rsid w:val="07710498"/>
    <w:rsid w:val="07741764"/>
    <w:rsid w:val="0774ED10"/>
    <w:rsid w:val="0789A7C5"/>
    <w:rsid w:val="078B2CC0"/>
    <w:rsid w:val="078C782D"/>
    <w:rsid w:val="079EA065"/>
    <w:rsid w:val="07C4967E"/>
    <w:rsid w:val="07F1313C"/>
    <w:rsid w:val="08011E55"/>
    <w:rsid w:val="08039AB5"/>
    <w:rsid w:val="081060CF"/>
    <w:rsid w:val="08160A58"/>
    <w:rsid w:val="0818AD8E"/>
    <w:rsid w:val="081D7BE7"/>
    <w:rsid w:val="082AE6F8"/>
    <w:rsid w:val="0831C584"/>
    <w:rsid w:val="083D7018"/>
    <w:rsid w:val="0842F658"/>
    <w:rsid w:val="0844617C"/>
    <w:rsid w:val="08452DD8"/>
    <w:rsid w:val="084836E4"/>
    <w:rsid w:val="085003AB"/>
    <w:rsid w:val="085B7CE9"/>
    <w:rsid w:val="085D0511"/>
    <w:rsid w:val="085DE7F7"/>
    <w:rsid w:val="086BA271"/>
    <w:rsid w:val="086D459B"/>
    <w:rsid w:val="08702FEB"/>
    <w:rsid w:val="08724921"/>
    <w:rsid w:val="08843DA4"/>
    <w:rsid w:val="088B6307"/>
    <w:rsid w:val="08A817EF"/>
    <w:rsid w:val="08CCF0C1"/>
    <w:rsid w:val="08D6A7A5"/>
    <w:rsid w:val="08DDB65D"/>
    <w:rsid w:val="08E28390"/>
    <w:rsid w:val="08E2DF4B"/>
    <w:rsid w:val="08E360E3"/>
    <w:rsid w:val="08EC3056"/>
    <w:rsid w:val="0902D0B8"/>
    <w:rsid w:val="090B982B"/>
    <w:rsid w:val="0916B40B"/>
    <w:rsid w:val="091FA1A6"/>
    <w:rsid w:val="09306339"/>
    <w:rsid w:val="093E4C98"/>
    <w:rsid w:val="09524C68"/>
    <w:rsid w:val="095DA9BA"/>
    <w:rsid w:val="09A202F1"/>
    <w:rsid w:val="09A4D128"/>
    <w:rsid w:val="09A95F22"/>
    <w:rsid w:val="09AA4447"/>
    <w:rsid w:val="09CE4841"/>
    <w:rsid w:val="0A0404E0"/>
    <w:rsid w:val="0A0524D5"/>
    <w:rsid w:val="0A069E5D"/>
    <w:rsid w:val="0A1091B9"/>
    <w:rsid w:val="0A1AC53A"/>
    <w:rsid w:val="0A31835F"/>
    <w:rsid w:val="0A4D6A98"/>
    <w:rsid w:val="0A5EF022"/>
    <w:rsid w:val="0A5FC60D"/>
    <w:rsid w:val="0A8FCE5B"/>
    <w:rsid w:val="0AA2C79C"/>
    <w:rsid w:val="0AB585AF"/>
    <w:rsid w:val="0AC5B480"/>
    <w:rsid w:val="0AC5BD5F"/>
    <w:rsid w:val="0AD5FEFC"/>
    <w:rsid w:val="0ADBC6E1"/>
    <w:rsid w:val="0ADFA901"/>
    <w:rsid w:val="0AFFEB98"/>
    <w:rsid w:val="0B037338"/>
    <w:rsid w:val="0B07ECCB"/>
    <w:rsid w:val="0B0A1046"/>
    <w:rsid w:val="0B328E12"/>
    <w:rsid w:val="0B398925"/>
    <w:rsid w:val="0B3AB339"/>
    <w:rsid w:val="0B4000E0"/>
    <w:rsid w:val="0B404D6C"/>
    <w:rsid w:val="0B41C051"/>
    <w:rsid w:val="0B445D5D"/>
    <w:rsid w:val="0B4EF2B6"/>
    <w:rsid w:val="0B64CDD8"/>
    <w:rsid w:val="0B8F95E4"/>
    <w:rsid w:val="0B97AAFE"/>
    <w:rsid w:val="0B988FFB"/>
    <w:rsid w:val="0BA0864D"/>
    <w:rsid w:val="0BA45744"/>
    <w:rsid w:val="0BB56044"/>
    <w:rsid w:val="0BCDF154"/>
    <w:rsid w:val="0BD31DDE"/>
    <w:rsid w:val="0BD91000"/>
    <w:rsid w:val="0BDADC17"/>
    <w:rsid w:val="0BEF6F08"/>
    <w:rsid w:val="0BF0CD5D"/>
    <w:rsid w:val="0BF934E7"/>
    <w:rsid w:val="0C152C35"/>
    <w:rsid w:val="0C1E1CFD"/>
    <w:rsid w:val="0C2C9B66"/>
    <w:rsid w:val="0C30F5E7"/>
    <w:rsid w:val="0C31C5D9"/>
    <w:rsid w:val="0C51E189"/>
    <w:rsid w:val="0C52FED7"/>
    <w:rsid w:val="0C5AA0CF"/>
    <w:rsid w:val="0C6128CD"/>
    <w:rsid w:val="0C75E92C"/>
    <w:rsid w:val="0C765D59"/>
    <w:rsid w:val="0C7D7733"/>
    <w:rsid w:val="0CB414FC"/>
    <w:rsid w:val="0CB90F11"/>
    <w:rsid w:val="0CC06C26"/>
    <w:rsid w:val="0CC8EAC1"/>
    <w:rsid w:val="0CDBF096"/>
    <w:rsid w:val="0CEC7F72"/>
    <w:rsid w:val="0CF9ADD8"/>
    <w:rsid w:val="0D1217F1"/>
    <w:rsid w:val="0D14176C"/>
    <w:rsid w:val="0D1BCEA8"/>
    <w:rsid w:val="0D1FDDBC"/>
    <w:rsid w:val="0D366E24"/>
    <w:rsid w:val="0D41E555"/>
    <w:rsid w:val="0D425398"/>
    <w:rsid w:val="0D4298CE"/>
    <w:rsid w:val="0D4D2352"/>
    <w:rsid w:val="0D5E43FB"/>
    <w:rsid w:val="0D71B485"/>
    <w:rsid w:val="0D791DE4"/>
    <w:rsid w:val="0D7C2A4F"/>
    <w:rsid w:val="0DA91737"/>
    <w:rsid w:val="0DA9866E"/>
    <w:rsid w:val="0DAE1DC1"/>
    <w:rsid w:val="0DC6F9B8"/>
    <w:rsid w:val="0DCA573A"/>
    <w:rsid w:val="0DFF67A7"/>
    <w:rsid w:val="0E04C41C"/>
    <w:rsid w:val="0E09A9BF"/>
    <w:rsid w:val="0E314A2E"/>
    <w:rsid w:val="0E35F9AF"/>
    <w:rsid w:val="0E56A5DE"/>
    <w:rsid w:val="0E774E28"/>
    <w:rsid w:val="0E780F4D"/>
    <w:rsid w:val="0E7E050E"/>
    <w:rsid w:val="0E7F9AC6"/>
    <w:rsid w:val="0E817E82"/>
    <w:rsid w:val="0E95BF96"/>
    <w:rsid w:val="0EA8FF17"/>
    <w:rsid w:val="0ECC145D"/>
    <w:rsid w:val="0ECD0A86"/>
    <w:rsid w:val="0EE58608"/>
    <w:rsid w:val="0EEB1B25"/>
    <w:rsid w:val="0EEED849"/>
    <w:rsid w:val="0F166550"/>
    <w:rsid w:val="0F249E30"/>
    <w:rsid w:val="0F2AC20F"/>
    <w:rsid w:val="0F3EC2DC"/>
    <w:rsid w:val="0F45E804"/>
    <w:rsid w:val="0F56DC39"/>
    <w:rsid w:val="0F596B6D"/>
    <w:rsid w:val="0F73ADC1"/>
    <w:rsid w:val="0F79CBD2"/>
    <w:rsid w:val="0F8728F5"/>
    <w:rsid w:val="0FBAD8A3"/>
    <w:rsid w:val="0FCCB988"/>
    <w:rsid w:val="0FEADCA6"/>
    <w:rsid w:val="0FFF7A7B"/>
    <w:rsid w:val="1080E6D0"/>
    <w:rsid w:val="10824352"/>
    <w:rsid w:val="108B31CC"/>
    <w:rsid w:val="10AC9EB4"/>
    <w:rsid w:val="10AD596A"/>
    <w:rsid w:val="10B5C43D"/>
    <w:rsid w:val="10C424FC"/>
    <w:rsid w:val="10D50FE4"/>
    <w:rsid w:val="10D7C788"/>
    <w:rsid w:val="10E20DB1"/>
    <w:rsid w:val="1113977A"/>
    <w:rsid w:val="11142C90"/>
    <w:rsid w:val="112EC8B4"/>
    <w:rsid w:val="1138A576"/>
    <w:rsid w:val="114D5BB8"/>
    <w:rsid w:val="115AED9C"/>
    <w:rsid w:val="1160B975"/>
    <w:rsid w:val="11657633"/>
    <w:rsid w:val="116C705E"/>
    <w:rsid w:val="11730487"/>
    <w:rsid w:val="1178801A"/>
    <w:rsid w:val="11808DF5"/>
    <w:rsid w:val="118A0979"/>
    <w:rsid w:val="1195CF93"/>
    <w:rsid w:val="11A4087F"/>
    <w:rsid w:val="11AF232F"/>
    <w:rsid w:val="11B8EF5A"/>
    <w:rsid w:val="11CD2EB3"/>
    <w:rsid w:val="11E45256"/>
    <w:rsid w:val="11E67987"/>
    <w:rsid w:val="11E801D1"/>
    <w:rsid w:val="11EF813D"/>
    <w:rsid w:val="11FC4B68"/>
    <w:rsid w:val="11FC6ACD"/>
    <w:rsid w:val="11FEA09D"/>
    <w:rsid w:val="1200B73D"/>
    <w:rsid w:val="120D4EBD"/>
    <w:rsid w:val="12241541"/>
    <w:rsid w:val="1229FCBE"/>
    <w:rsid w:val="12334A4A"/>
    <w:rsid w:val="12458E6E"/>
    <w:rsid w:val="124DDEA7"/>
    <w:rsid w:val="124F8CAF"/>
    <w:rsid w:val="125F1F6A"/>
    <w:rsid w:val="125F5AA0"/>
    <w:rsid w:val="1284EDE3"/>
    <w:rsid w:val="12854B86"/>
    <w:rsid w:val="128665E2"/>
    <w:rsid w:val="12A5C16E"/>
    <w:rsid w:val="12AA3F24"/>
    <w:rsid w:val="12B571EB"/>
    <w:rsid w:val="12BC50DF"/>
    <w:rsid w:val="12BFF042"/>
    <w:rsid w:val="12CC0638"/>
    <w:rsid w:val="12DB1F4E"/>
    <w:rsid w:val="12E9DC31"/>
    <w:rsid w:val="12EA8C3B"/>
    <w:rsid w:val="12EEB839"/>
    <w:rsid w:val="12F0E9A2"/>
    <w:rsid w:val="12F72963"/>
    <w:rsid w:val="12FF27BE"/>
    <w:rsid w:val="13025C60"/>
    <w:rsid w:val="13032129"/>
    <w:rsid w:val="130453F3"/>
    <w:rsid w:val="13320741"/>
    <w:rsid w:val="1333ED45"/>
    <w:rsid w:val="13383B7D"/>
    <w:rsid w:val="133A605B"/>
    <w:rsid w:val="133B475C"/>
    <w:rsid w:val="133C8ED6"/>
    <w:rsid w:val="133D4B51"/>
    <w:rsid w:val="1342C0B4"/>
    <w:rsid w:val="13561696"/>
    <w:rsid w:val="136AF6A1"/>
    <w:rsid w:val="138B248F"/>
    <w:rsid w:val="13A05A02"/>
    <w:rsid w:val="13C24E62"/>
    <w:rsid w:val="13C5755A"/>
    <w:rsid w:val="13CA304F"/>
    <w:rsid w:val="14020584"/>
    <w:rsid w:val="14131893"/>
    <w:rsid w:val="141BA864"/>
    <w:rsid w:val="143EB34F"/>
    <w:rsid w:val="14433F98"/>
    <w:rsid w:val="1447B597"/>
    <w:rsid w:val="145CBE7E"/>
    <w:rsid w:val="14790EF9"/>
    <w:rsid w:val="1486D387"/>
    <w:rsid w:val="148B759C"/>
    <w:rsid w:val="14918147"/>
    <w:rsid w:val="149D761D"/>
    <w:rsid w:val="14B28BB6"/>
    <w:rsid w:val="14BA28A6"/>
    <w:rsid w:val="14BBA7F5"/>
    <w:rsid w:val="14BBCED3"/>
    <w:rsid w:val="14D06CFC"/>
    <w:rsid w:val="14E1B958"/>
    <w:rsid w:val="14EA01C2"/>
    <w:rsid w:val="14ECA4BA"/>
    <w:rsid w:val="14EFBA93"/>
    <w:rsid w:val="151470CC"/>
    <w:rsid w:val="1516951C"/>
    <w:rsid w:val="153F0ACB"/>
    <w:rsid w:val="1548E85E"/>
    <w:rsid w:val="1557CE33"/>
    <w:rsid w:val="156BE385"/>
    <w:rsid w:val="15727665"/>
    <w:rsid w:val="158068CA"/>
    <w:rsid w:val="15830C3C"/>
    <w:rsid w:val="158A52FA"/>
    <w:rsid w:val="15A65111"/>
    <w:rsid w:val="15A7667F"/>
    <w:rsid w:val="15ACD169"/>
    <w:rsid w:val="15BBE0BE"/>
    <w:rsid w:val="15D04831"/>
    <w:rsid w:val="15D05B4C"/>
    <w:rsid w:val="15D77B9F"/>
    <w:rsid w:val="15DCA7F5"/>
    <w:rsid w:val="15DD0CA1"/>
    <w:rsid w:val="15E86AA6"/>
    <w:rsid w:val="1601F16B"/>
    <w:rsid w:val="16052C36"/>
    <w:rsid w:val="160EB5D0"/>
    <w:rsid w:val="1612B596"/>
    <w:rsid w:val="162BDDF7"/>
    <w:rsid w:val="162E88FD"/>
    <w:rsid w:val="16336516"/>
    <w:rsid w:val="164189BD"/>
    <w:rsid w:val="165E9F59"/>
    <w:rsid w:val="16631FB5"/>
    <w:rsid w:val="16733DB5"/>
    <w:rsid w:val="1686C453"/>
    <w:rsid w:val="1688CD44"/>
    <w:rsid w:val="16A2036C"/>
    <w:rsid w:val="16B63ECE"/>
    <w:rsid w:val="16B8AFB0"/>
    <w:rsid w:val="16BEBDC1"/>
    <w:rsid w:val="16C17AE3"/>
    <w:rsid w:val="16D244E0"/>
    <w:rsid w:val="16D7F47B"/>
    <w:rsid w:val="16F3B1DA"/>
    <w:rsid w:val="16FCFE38"/>
    <w:rsid w:val="170B59FA"/>
    <w:rsid w:val="170C73AB"/>
    <w:rsid w:val="17215580"/>
    <w:rsid w:val="172AD7EE"/>
    <w:rsid w:val="1734BD5D"/>
    <w:rsid w:val="17358228"/>
    <w:rsid w:val="17404AC7"/>
    <w:rsid w:val="1743266A"/>
    <w:rsid w:val="1748BD2A"/>
    <w:rsid w:val="175DD85A"/>
    <w:rsid w:val="175E0BD4"/>
    <w:rsid w:val="175F0017"/>
    <w:rsid w:val="176F4E30"/>
    <w:rsid w:val="177314A6"/>
    <w:rsid w:val="1779C795"/>
    <w:rsid w:val="177ACACC"/>
    <w:rsid w:val="17A6DB7F"/>
    <w:rsid w:val="17A9FBDD"/>
    <w:rsid w:val="17AD6CA4"/>
    <w:rsid w:val="17B2167D"/>
    <w:rsid w:val="17C4E04A"/>
    <w:rsid w:val="17CE17DF"/>
    <w:rsid w:val="17D8798A"/>
    <w:rsid w:val="18177A24"/>
    <w:rsid w:val="183EC7B9"/>
    <w:rsid w:val="185B47D0"/>
    <w:rsid w:val="1861E2EA"/>
    <w:rsid w:val="1865E7D3"/>
    <w:rsid w:val="1866ADCE"/>
    <w:rsid w:val="187BA7D1"/>
    <w:rsid w:val="18807A50"/>
    <w:rsid w:val="1882A1BE"/>
    <w:rsid w:val="1882CBAF"/>
    <w:rsid w:val="189FE819"/>
    <w:rsid w:val="18A8D187"/>
    <w:rsid w:val="18C99602"/>
    <w:rsid w:val="18D67B93"/>
    <w:rsid w:val="18EA6D33"/>
    <w:rsid w:val="18EF7A42"/>
    <w:rsid w:val="1902AA10"/>
    <w:rsid w:val="1902BC38"/>
    <w:rsid w:val="19089A5C"/>
    <w:rsid w:val="191505B1"/>
    <w:rsid w:val="19356C71"/>
    <w:rsid w:val="193C0D38"/>
    <w:rsid w:val="193D68BC"/>
    <w:rsid w:val="194BAA53"/>
    <w:rsid w:val="1950F8CF"/>
    <w:rsid w:val="19673E4B"/>
    <w:rsid w:val="19821455"/>
    <w:rsid w:val="19895DA1"/>
    <w:rsid w:val="19AE3AA2"/>
    <w:rsid w:val="19C4D864"/>
    <w:rsid w:val="19C502FE"/>
    <w:rsid w:val="19C97D91"/>
    <w:rsid w:val="19F7A1AC"/>
    <w:rsid w:val="1A0FCB88"/>
    <w:rsid w:val="1A10D452"/>
    <w:rsid w:val="1A1A19B3"/>
    <w:rsid w:val="1A1F41DA"/>
    <w:rsid w:val="1A39741D"/>
    <w:rsid w:val="1A405B6A"/>
    <w:rsid w:val="1A408811"/>
    <w:rsid w:val="1A40FDB2"/>
    <w:rsid w:val="1A4CD628"/>
    <w:rsid w:val="1A53506D"/>
    <w:rsid w:val="1A5C2A86"/>
    <w:rsid w:val="1A5C3EA9"/>
    <w:rsid w:val="1A604F37"/>
    <w:rsid w:val="1A67FB60"/>
    <w:rsid w:val="1A7731AE"/>
    <w:rsid w:val="1A8597F7"/>
    <w:rsid w:val="1A91F675"/>
    <w:rsid w:val="1A9ED47A"/>
    <w:rsid w:val="1AAAD71F"/>
    <w:rsid w:val="1ABC11EB"/>
    <w:rsid w:val="1AC30365"/>
    <w:rsid w:val="1AC49590"/>
    <w:rsid w:val="1AC8F97B"/>
    <w:rsid w:val="1AD1346B"/>
    <w:rsid w:val="1AF6DB94"/>
    <w:rsid w:val="1B04A117"/>
    <w:rsid w:val="1B0970B8"/>
    <w:rsid w:val="1B1212BB"/>
    <w:rsid w:val="1B17DCDF"/>
    <w:rsid w:val="1B2A43FE"/>
    <w:rsid w:val="1B47794E"/>
    <w:rsid w:val="1B4FE7C4"/>
    <w:rsid w:val="1B760C0F"/>
    <w:rsid w:val="1BA5012E"/>
    <w:rsid w:val="1BA50AA9"/>
    <w:rsid w:val="1BC13675"/>
    <w:rsid w:val="1BCDA0C4"/>
    <w:rsid w:val="1BDCCBD4"/>
    <w:rsid w:val="1BE2BE15"/>
    <w:rsid w:val="1BE91171"/>
    <w:rsid w:val="1C23C1C7"/>
    <w:rsid w:val="1C25D9A6"/>
    <w:rsid w:val="1C2A3B2F"/>
    <w:rsid w:val="1C43B2F3"/>
    <w:rsid w:val="1C44237A"/>
    <w:rsid w:val="1C544E35"/>
    <w:rsid w:val="1C653D77"/>
    <w:rsid w:val="1C6802DA"/>
    <w:rsid w:val="1C73F0D4"/>
    <w:rsid w:val="1C9581DD"/>
    <w:rsid w:val="1CAA7631"/>
    <w:rsid w:val="1CC511AC"/>
    <w:rsid w:val="1CCBE30E"/>
    <w:rsid w:val="1CD4D139"/>
    <w:rsid w:val="1CEB35ED"/>
    <w:rsid w:val="1CEFCF7F"/>
    <w:rsid w:val="1CFDF7AC"/>
    <w:rsid w:val="1D0E3C9F"/>
    <w:rsid w:val="1D1399B0"/>
    <w:rsid w:val="1D17276A"/>
    <w:rsid w:val="1D334655"/>
    <w:rsid w:val="1D3CFC18"/>
    <w:rsid w:val="1D4B4AE4"/>
    <w:rsid w:val="1D4B8B59"/>
    <w:rsid w:val="1D606FE1"/>
    <w:rsid w:val="1D677074"/>
    <w:rsid w:val="1D6A1A2D"/>
    <w:rsid w:val="1D75DD46"/>
    <w:rsid w:val="1D79EADB"/>
    <w:rsid w:val="1D805A99"/>
    <w:rsid w:val="1DA31BA8"/>
    <w:rsid w:val="1DADB4E9"/>
    <w:rsid w:val="1DBA4291"/>
    <w:rsid w:val="1DBF7992"/>
    <w:rsid w:val="1DD48080"/>
    <w:rsid w:val="1DD6CDB0"/>
    <w:rsid w:val="1DDB9C00"/>
    <w:rsid w:val="1DDDCDC6"/>
    <w:rsid w:val="1E02C45B"/>
    <w:rsid w:val="1E0CC710"/>
    <w:rsid w:val="1E1CCAE5"/>
    <w:rsid w:val="1E45DE54"/>
    <w:rsid w:val="1E517509"/>
    <w:rsid w:val="1E5F5396"/>
    <w:rsid w:val="1E802F06"/>
    <w:rsid w:val="1E859D31"/>
    <w:rsid w:val="1EB3046A"/>
    <w:rsid w:val="1EC71249"/>
    <w:rsid w:val="1EC8725A"/>
    <w:rsid w:val="1EDA669B"/>
    <w:rsid w:val="1EDB9521"/>
    <w:rsid w:val="1EDEE3EF"/>
    <w:rsid w:val="1EE17958"/>
    <w:rsid w:val="1EE25FC0"/>
    <w:rsid w:val="1EFFB344"/>
    <w:rsid w:val="1F083933"/>
    <w:rsid w:val="1F137EBE"/>
    <w:rsid w:val="1F39E488"/>
    <w:rsid w:val="1F3A5DD2"/>
    <w:rsid w:val="1F4134B0"/>
    <w:rsid w:val="1F4E627B"/>
    <w:rsid w:val="1F6D8DB0"/>
    <w:rsid w:val="1F7192F1"/>
    <w:rsid w:val="1F755E05"/>
    <w:rsid w:val="1F87C49A"/>
    <w:rsid w:val="1F96D3DC"/>
    <w:rsid w:val="1F9CAD75"/>
    <w:rsid w:val="1FA4AD29"/>
    <w:rsid w:val="1FA938B4"/>
    <w:rsid w:val="1FADCB99"/>
    <w:rsid w:val="1FBA2A9F"/>
    <w:rsid w:val="1FBC65F0"/>
    <w:rsid w:val="1FBE5AA0"/>
    <w:rsid w:val="1FD1D4D6"/>
    <w:rsid w:val="1FD38394"/>
    <w:rsid w:val="1FDE918A"/>
    <w:rsid w:val="1FEB0F55"/>
    <w:rsid w:val="201F0F47"/>
    <w:rsid w:val="201F22B1"/>
    <w:rsid w:val="20267157"/>
    <w:rsid w:val="2028E383"/>
    <w:rsid w:val="20327F51"/>
    <w:rsid w:val="203C1474"/>
    <w:rsid w:val="204B9946"/>
    <w:rsid w:val="204DD3A7"/>
    <w:rsid w:val="2059631D"/>
    <w:rsid w:val="205EE285"/>
    <w:rsid w:val="2060D9BE"/>
    <w:rsid w:val="20704DF9"/>
    <w:rsid w:val="208C4831"/>
    <w:rsid w:val="20A32530"/>
    <w:rsid w:val="20A8A2DD"/>
    <w:rsid w:val="20AA3E28"/>
    <w:rsid w:val="20B185CD"/>
    <w:rsid w:val="20BEDBDF"/>
    <w:rsid w:val="20D17444"/>
    <w:rsid w:val="20DABA94"/>
    <w:rsid w:val="20E44DB5"/>
    <w:rsid w:val="20E48CF4"/>
    <w:rsid w:val="20E9EF51"/>
    <w:rsid w:val="20ED0D95"/>
    <w:rsid w:val="20ED80CC"/>
    <w:rsid w:val="20F1187E"/>
    <w:rsid w:val="20F83C8B"/>
    <w:rsid w:val="20FA5777"/>
    <w:rsid w:val="20FD323D"/>
    <w:rsid w:val="2103602F"/>
    <w:rsid w:val="211D1788"/>
    <w:rsid w:val="2143EFA4"/>
    <w:rsid w:val="216B3433"/>
    <w:rsid w:val="217A76CC"/>
    <w:rsid w:val="217D5E97"/>
    <w:rsid w:val="2180E260"/>
    <w:rsid w:val="21A16E78"/>
    <w:rsid w:val="21AF82D8"/>
    <w:rsid w:val="21B10765"/>
    <w:rsid w:val="21BDC23B"/>
    <w:rsid w:val="21C1D7CA"/>
    <w:rsid w:val="21C75418"/>
    <w:rsid w:val="2202ADC7"/>
    <w:rsid w:val="220AF13F"/>
    <w:rsid w:val="221111C2"/>
    <w:rsid w:val="2218472A"/>
    <w:rsid w:val="2218B4B0"/>
    <w:rsid w:val="222E0EBF"/>
    <w:rsid w:val="223BCC8D"/>
    <w:rsid w:val="226EE20E"/>
    <w:rsid w:val="229B7159"/>
    <w:rsid w:val="22A4B532"/>
    <w:rsid w:val="22B52F18"/>
    <w:rsid w:val="22C40220"/>
    <w:rsid w:val="22C68411"/>
    <w:rsid w:val="22D3FAF7"/>
    <w:rsid w:val="22D4DD9E"/>
    <w:rsid w:val="23098B20"/>
    <w:rsid w:val="230D2676"/>
    <w:rsid w:val="232C141C"/>
    <w:rsid w:val="2331F332"/>
    <w:rsid w:val="233DFBB0"/>
    <w:rsid w:val="234C1EFE"/>
    <w:rsid w:val="2360E7F6"/>
    <w:rsid w:val="2366EFA7"/>
    <w:rsid w:val="2368B6CB"/>
    <w:rsid w:val="237D6E25"/>
    <w:rsid w:val="238CB637"/>
    <w:rsid w:val="23C7DB50"/>
    <w:rsid w:val="23CB1723"/>
    <w:rsid w:val="23D0D545"/>
    <w:rsid w:val="23E1E0AD"/>
    <w:rsid w:val="23E24F5D"/>
    <w:rsid w:val="23E6F968"/>
    <w:rsid w:val="23EB9B5F"/>
    <w:rsid w:val="23FC19F2"/>
    <w:rsid w:val="240012FD"/>
    <w:rsid w:val="24099DB2"/>
    <w:rsid w:val="2414E3A7"/>
    <w:rsid w:val="2416A954"/>
    <w:rsid w:val="241A76AD"/>
    <w:rsid w:val="243523EB"/>
    <w:rsid w:val="244233B3"/>
    <w:rsid w:val="245CE8A5"/>
    <w:rsid w:val="24604D04"/>
    <w:rsid w:val="24681A16"/>
    <w:rsid w:val="246E3E89"/>
    <w:rsid w:val="246E4137"/>
    <w:rsid w:val="24771D5D"/>
    <w:rsid w:val="2491D740"/>
    <w:rsid w:val="249DB56E"/>
    <w:rsid w:val="24C304C2"/>
    <w:rsid w:val="24DDA6B9"/>
    <w:rsid w:val="24F14201"/>
    <w:rsid w:val="24F9A55E"/>
    <w:rsid w:val="2500D5BC"/>
    <w:rsid w:val="2507D6BC"/>
    <w:rsid w:val="252F2368"/>
    <w:rsid w:val="25398961"/>
    <w:rsid w:val="25417578"/>
    <w:rsid w:val="255694BA"/>
    <w:rsid w:val="256AE9B6"/>
    <w:rsid w:val="25B5E922"/>
    <w:rsid w:val="25C7283E"/>
    <w:rsid w:val="25D41860"/>
    <w:rsid w:val="25D732DC"/>
    <w:rsid w:val="25DCB0C5"/>
    <w:rsid w:val="25DCCF34"/>
    <w:rsid w:val="25DE5BC7"/>
    <w:rsid w:val="25F29636"/>
    <w:rsid w:val="25FDA831"/>
    <w:rsid w:val="260694DC"/>
    <w:rsid w:val="260BBFD3"/>
    <w:rsid w:val="26288E5A"/>
    <w:rsid w:val="26327B90"/>
    <w:rsid w:val="2633C00C"/>
    <w:rsid w:val="2643C76A"/>
    <w:rsid w:val="2663B1B2"/>
    <w:rsid w:val="266CDC57"/>
    <w:rsid w:val="26806A35"/>
    <w:rsid w:val="2685E8F7"/>
    <w:rsid w:val="268D5A4E"/>
    <w:rsid w:val="269178CD"/>
    <w:rsid w:val="2691795A"/>
    <w:rsid w:val="26980ABC"/>
    <w:rsid w:val="269F21D8"/>
    <w:rsid w:val="26B0DF5F"/>
    <w:rsid w:val="26C6B2B4"/>
    <w:rsid w:val="26C71AFC"/>
    <w:rsid w:val="26C761D4"/>
    <w:rsid w:val="26CABD6A"/>
    <w:rsid w:val="26CAF7C1"/>
    <w:rsid w:val="26D45137"/>
    <w:rsid w:val="26E051EA"/>
    <w:rsid w:val="26E1D1E4"/>
    <w:rsid w:val="26EE8B2B"/>
    <w:rsid w:val="26F52701"/>
    <w:rsid w:val="26F6C35C"/>
    <w:rsid w:val="27078F13"/>
    <w:rsid w:val="270BB0A3"/>
    <w:rsid w:val="271B80BB"/>
    <w:rsid w:val="272E2B66"/>
    <w:rsid w:val="2749F164"/>
    <w:rsid w:val="277BAB72"/>
    <w:rsid w:val="277CE7E9"/>
    <w:rsid w:val="27843B64"/>
    <w:rsid w:val="27858CC9"/>
    <w:rsid w:val="279595D0"/>
    <w:rsid w:val="279A8868"/>
    <w:rsid w:val="279E03DF"/>
    <w:rsid w:val="27C74760"/>
    <w:rsid w:val="27D36290"/>
    <w:rsid w:val="27D82F0E"/>
    <w:rsid w:val="27D928CC"/>
    <w:rsid w:val="27DD778F"/>
    <w:rsid w:val="27E23F77"/>
    <w:rsid w:val="280BE010"/>
    <w:rsid w:val="2815EBB3"/>
    <w:rsid w:val="2821F7E8"/>
    <w:rsid w:val="28270B12"/>
    <w:rsid w:val="2827B942"/>
    <w:rsid w:val="282EF5A7"/>
    <w:rsid w:val="2877A22D"/>
    <w:rsid w:val="287F3289"/>
    <w:rsid w:val="28A1D930"/>
    <w:rsid w:val="28AEC1AD"/>
    <w:rsid w:val="28AFDA0A"/>
    <w:rsid w:val="28E03479"/>
    <w:rsid w:val="28F76F57"/>
    <w:rsid w:val="28F92C0F"/>
    <w:rsid w:val="291D1789"/>
    <w:rsid w:val="291E7379"/>
    <w:rsid w:val="2923158A"/>
    <w:rsid w:val="29360AB0"/>
    <w:rsid w:val="294D5802"/>
    <w:rsid w:val="294EF8AB"/>
    <w:rsid w:val="2963F33C"/>
    <w:rsid w:val="299C224E"/>
    <w:rsid w:val="299EA1B8"/>
    <w:rsid w:val="29A56CAE"/>
    <w:rsid w:val="29A73E5D"/>
    <w:rsid w:val="29B07AE6"/>
    <w:rsid w:val="29B50E5F"/>
    <w:rsid w:val="29B78835"/>
    <w:rsid w:val="29BAD849"/>
    <w:rsid w:val="29CE0C17"/>
    <w:rsid w:val="29F3B354"/>
    <w:rsid w:val="29FA915E"/>
    <w:rsid w:val="29FCAFEE"/>
    <w:rsid w:val="2A05FBF6"/>
    <w:rsid w:val="2A05FC0C"/>
    <w:rsid w:val="2A0D0D16"/>
    <w:rsid w:val="2A0EA35E"/>
    <w:rsid w:val="2A1B4842"/>
    <w:rsid w:val="2A270697"/>
    <w:rsid w:val="2A33248E"/>
    <w:rsid w:val="2A38A85B"/>
    <w:rsid w:val="2A7D0D9A"/>
    <w:rsid w:val="2A86433F"/>
    <w:rsid w:val="2A895829"/>
    <w:rsid w:val="2A8D951D"/>
    <w:rsid w:val="2A8EFE89"/>
    <w:rsid w:val="2AA30FFF"/>
    <w:rsid w:val="2AB37CC3"/>
    <w:rsid w:val="2ABF2AE3"/>
    <w:rsid w:val="2AE71A60"/>
    <w:rsid w:val="2AEA9FDB"/>
    <w:rsid w:val="2AF7A0FF"/>
    <w:rsid w:val="2AF8BD2F"/>
    <w:rsid w:val="2B05E338"/>
    <w:rsid w:val="2B1B55F9"/>
    <w:rsid w:val="2B2E3CBF"/>
    <w:rsid w:val="2B46D760"/>
    <w:rsid w:val="2B52F458"/>
    <w:rsid w:val="2B578372"/>
    <w:rsid w:val="2B66BCFB"/>
    <w:rsid w:val="2B6CC0C4"/>
    <w:rsid w:val="2B6CDDB9"/>
    <w:rsid w:val="2B715579"/>
    <w:rsid w:val="2B7786D5"/>
    <w:rsid w:val="2B98D80C"/>
    <w:rsid w:val="2B9B975C"/>
    <w:rsid w:val="2B9BCDFF"/>
    <w:rsid w:val="2B9DF4F4"/>
    <w:rsid w:val="2BB7473D"/>
    <w:rsid w:val="2BC8B13A"/>
    <w:rsid w:val="2BD261AE"/>
    <w:rsid w:val="2BF89EF0"/>
    <w:rsid w:val="2C022027"/>
    <w:rsid w:val="2C28BDD6"/>
    <w:rsid w:val="2C30BC96"/>
    <w:rsid w:val="2C48812F"/>
    <w:rsid w:val="2C5C67C3"/>
    <w:rsid w:val="2C6B1F4D"/>
    <w:rsid w:val="2CAB562D"/>
    <w:rsid w:val="2CADD624"/>
    <w:rsid w:val="2CB1302E"/>
    <w:rsid w:val="2CB891C7"/>
    <w:rsid w:val="2CC78435"/>
    <w:rsid w:val="2CE830EC"/>
    <w:rsid w:val="2CEC2493"/>
    <w:rsid w:val="2D0151DB"/>
    <w:rsid w:val="2D0B469C"/>
    <w:rsid w:val="2D0F2B22"/>
    <w:rsid w:val="2D1324A5"/>
    <w:rsid w:val="2D29A4EF"/>
    <w:rsid w:val="2D2F8358"/>
    <w:rsid w:val="2D4A64C2"/>
    <w:rsid w:val="2D4A72D2"/>
    <w:rsid w:val="2D5FEF4D"/>
    <w:rsid w:val="2D60D9C6"/>
    <w:rsid w:val="2D686018"/>
    <w:rsid w:val="2D70D09F"/>
    <w:rsid w:val="2D74C7E3"/>
    <w:rsid w:val="2D7B2492"/>
    <w:rsid w:val="2D7C82CC"/>
    <w:rsid w:val="2D7E3E97"/>
    <w:rsid w:val="2D8AA49F"/>
    <w:rsid w:val="2D8FB4FF"/>
    <w:rsid w:val="2DA09FF9"/>
    <w:rsid w:val="2DAB9B40"/>
    <w:rsid w:val="2DAEE03B"/>
    <w:rsid w:val="2DC3D828"/>
    <w:rsid w:val="2DD2C3E9"/>
    <w:rsid w:val="2DE11FFB"/>
    <w:rsid w:val="2DEBDFA5"/>
    <w:rsid w:val="2DECBF92"/>
    <w:rsid w:val="2DF4DDC9"/>
    <w:rsid w:val="2E07196D"/>
    <w:rsid w:val="2E0D7BD1"/>
    <w:rsid w:val="2E18E4AD"/>
    <w:rsid w:val="2E1CB7B8"/>
    <w:rsid w:val="2E2D04A5"/>
    <w:rsid w:val="2E3FF810"/>
    <w:rsid w:val="2E46CCA2"/>
    <w:rsid w:val="2E4DFE8A"/>
    <w:rsid w:val="2E56E803"/>
    <w:rsid w:val="2E588E16"/>
    <w:rsid w:val="2E5E6BCE"/>
    <w:rsid w:val="2E656893"/>
    <w:rsid w:val="2E726EB9"/>
    <w:rsid w:val="2E77D028"/>
    <w:rsid w:val="2E8C6A67"/>
    <w:rsid w:val="2E8DC093"/>
    <w:rsid w:val="2E9F5D73"/>
    <w:rsid w:val="2EC8E50D"/>
    <w:rsid w:val="2ED41615"/>
    <w:rsid w:val="2EDB0902"/>
    <w:rsid w:val="2EEA064F"/>
    <w:rsid w:val="2EFAB3E3"/>
    <w:rsid w:val="2F0FE417"/>
    <w:rsid w:val="2F2AFF79"/>
    <w:rsid w:val="2F37E1E3"/>
    <w:rsid w:val="2F48CF57"/>
    <w:rsid w:val="2F5559AD"/>
    <w:rsid w:val="2F5B91EA"/>
    <w:rsid w:val="2F605052"/>
    <w:rsid w:val="2F62A0DC"/>
    <w:rsid w:val="2F78CD25"/>
    <w:rsid w:val="2F7AFF21"/>
    <w:rsid w:val="2F7DBCF5"/>
    <w:rsid w:val="2F8FC27C"/>
    <w:rsid w:val="2FA8B190"/>
    <w:rsid w:val="2FB0FFB5"/>
    <w:rsid w:val="2FBFF7A4"/>
    <w:rsid w:val="2FE0DC8E"/>
    <w:rsid w:val="2FE5AB2B"/>
    <w:rsid w:val="2FF32397"/>
    <w:rsid w:val="2FFBC29F"/>
    <w:rsid w:val="302C43EF"/>
    <w:rsid w:val="30340FE4"/>
    <w:rsid w:val="3039B25C"/>
    <w:rsid w:val="3055D203"/>
    <w:rsid w:val="306ACF21"/>
    <w:rsid w:val="3070BE00"/>
    <w:rsid w:val="3093DE0C"/>
    <w:rsid w:val="30A450AB"/>
    <w:rsid w:val="30A93909"/>
    <w:rsid w:val="30B4D4C7"/>
    <w:rsid w:val="30D62733"/>
    <w:rsid w:val="30FA43F5"/>
    <w:rsid w:val="30FCC148"/>
    <w:rsid w:val="3105A23E"/>
    <w:rsid w:val="31084487"/>
    <w:rsid w:val="31263992"/>
    <w:rsid w:val="31473B67"/>
    <w:rsid w:val="3154086D"/>
    <w:rsid w:val="3155C78C"/>
    <w:rsid w:val="3167C319"/>
    <w:rsid w:val="3185A669"/>
    <w:rsid w:val="3186E62A"/>
    <w:rsid w:val="3193B82E"/>
    <w:rsid w:val="31A3BBFC"/>
    <w:rsid w:val="31B383F1"/>
    <w:rsid w:val="31B5B060"/>
    <w:rsid w:val="31C158CA"/>
    <w:rsid w:val="31C1DAB2"/>
    <w:rsid w:val="31C9BCCA"/>
    <w:rsid w:val="31D84F4E"/>
    <w:rsid w:val="31DD52FD"/>
    <w:rsid w:val="31DE6B03"/>
    <w:rsid w:val="32128F79"/>
    <w:rsid w:val="32173831"/>
    <w:rsid w:val="32179550"/>
    <w:rsid w:val="322E92D4"/>
    <w:rsid w:val="323DE1A7"/>
    <w:rsid w:val="3241A1D6"/>
    <w:rsid w:val="325D3380"/>
    <w:rsid w:val="327EDCCA"/>
    <w:rsid w:val="3280720C"/>
    <w:rsid w:val="3280D583"/>
    <w:rsid w:val="3284BF49"/>
    <w:rsid w:val="32899C8B"/>
    <w:rsid w:val="32998519"/>
    <w:rsid w:val="329F8C3A"/>
    <w:rsid w:val="32A59A89"/>
    <w:rsid w:val="32B85F16"/>
    <w:rsid w:val="32BE9DCC"/>
    <w:rsid w:val="32BFE008"/>
    <w:rsid w:val="32C14420"/>
    <w:rsid w:val="32D96562"/>
    <w:rsid w:val="32DA76DE"/>
    <w:rsid w:val="32EBAFCC"/>
    <w:rsid w:val="330877E2"/>
    <w:rsid w:val="33200D79"/>
    <w:rsid w:val="3329505F"/>
    <w:rsid w:val="3336CF06"/>
    <w:rsid w:val="333BC97F"/>
    <w:rsid w:val="333E9495"/>
    <w:rsid w:val="333EE54F"/>
    <w:rsid w:val="3345B067"/>
    <w:rsid w:val="339BC674"/>
    <w:rsid w:val="33B955DA"/>
    <w:rsid w:val="33DB1665"/>
    <w:rsid w:val="33F6FC44"/>
    <w:rsid w:val="3400E33D"/>
    <w:rsid w:val="340460A7"/>
    <w:rsid w:val="340BED57"/>
    <w:rsid w:val="342612E1"/>
    <w:rsid w:val="3448898A"/>
    <w:rsid w:val="34601E72"/>
    <w:rsid w:val="346B310E"/>
    <w:rsid w:val="34825311"/>
    <w:rsid w:val="348835EE"/>
    <w:rsid w:val="348A2B09"/>
    <w:rsid w:val="349C9ADC"/>
    <w:rsid w:val="34A84742"/>
    <w:rsid w:val="34A91508"/>
    <w:rsid w:val="34B00892"/>
    <w:rsid w:val="34DA29C4"/>
    <w:rsid w:val="34DBB81D"/>
    <w:rsid w:val="34E8434D"/>
    <w:rsid w:val="353177A9"/>
    <w:rsid w:val="35345FCC"/>
    <w:rsid w:val="3534F59D"/>
    <w:rsid w:val="35469750"/>
    <w:rsid w:val="3558FFBF"/>
    <w:rsid w:val="35597015"/>
    <w:rsid w:val="3559CE0C"/>
    <w:rsid w:val="356A0CEE"/>
    <w:rsid w:val="356B32F2"/>
    <w:rsid w:val="356B3937"/>
    <w:rsid w:val="356FDD01"/>
    <w:rsid w:val="358286C0"/>
    <w:rsid w:val="3593FAF3"/>
    <w:rsid w:val="359413C1"/>
    <w:rsid w:val="359C7206"/>
    <w:rsid w:val="35A5062B"/>
    <w:rsid w:val="35ADF6B7"/>
    <w:rsid w:val="35AE2609"/>
    <w:rsid w:val="35C8D63B"/>
    <w:rsid w:val="35EC1591"/>
    <w:rsid w:val="360969BE"/>
    <w:rsid w:val="360D7290"/>
    <w:rsid w:val="361EF9FB"/>
    <w:rsid w:val="36291A85"/>
    <w:rsid w:val="363AB657"/>
    <w:rsid w:val="36448F14"/>
    <w:rsid w:val="364C5E36"/>
    <w:rsid w:val="36512F26"/>
    <w:rsid w:val="3675C75A"/>
    <w:rsid w:val="36766BB3"/>
    <w:rsid w:val="367A0CCD"/>
    <w:rsid w:val="367DA796"/>
    <w:rsid w:val="36800BDA"/>
    <w:rsid w:val="36868664"/>
    <w:rsid w:val="36886612"/>
    <w:rsid w:val="368B0275"/>
    <w:rsid w:val="368CFE7D"/>
    <w:rsid w:val="369622D0"/>
    <w:rsid w:val="36969E8B"/>
    <w:rsid w:val="36AED123"/>
    <w:rsid w:val="36B19021"/>
    <w:rsid w:val="36C1ED1D"/>
    <w:rsid w:val="36CAC812"/>
    <w:rsid w:val="36CDB7DB"/>
    <w:rsid w:val="36E638F6"/>
    <w:rsid w:val="36EBB3F1"/>
    <w:rsid w:val="370220A5"/>
    <w:rsid w:val="3715E37A"/>
    <w:rsid w:val="37207CDC"/>
    <w:rsid w:val="37298C51"/>
    <w:rsid w:val="3729B271"/>
    <w:rsid w:val="372C470D"/>
    <w:rsid w:val="372FC63B"/>
    <w:rsid w:val="373CA373"/>
    <w:rsid w:val="373CEFCD"/>
    <w:rsid w:val="3741863E"/>
    <w:rsid w:val="374921AA"/>
    <w:rsid w:val="3752357D"/>
    <w:rsid w:val="379BB04D"/>
    <w:rsid w:val="37B11AFB"/>
    <w:rsid w:val="37BC961D"/>
    <w:rsid w:val="37D6E68E"/>
    <w:rsid w:val="37DFC7B2"/>
    <w:rsid w:val="37E1DDA2"/>
    <w:rsid w:val="37EB65CA"/>
    <w:rsid w:val="37F7191A"/>
    <w:rsid w:val="37FB16CA"/>
    <w:rsid w:val="37FC282E"/>
    <w:rsid w:val="37FD651D"/>
    <w:rsid w:val="37FDA687"/>
    <w:rsid w:val="3801FE88"/>
    <w:rsid w:val="380A2C0D"/>
    <w:rsid w:val="380B8314"/>
    <w:rsid w:val="381AEB93"/>
    <w:rsid w:val="3828F120"/>
    <w:rsid w:val="382A6EDF"/>
    <w:rsid w:val="382FC384"/>
    <w:rsid w:val="3837B334"/>
    <w:rsid w:val="384776FD"/>
    <w:rsid w:val="3857382E"/>
    <w:rsid w:val="38637BD5"/>
    <w:rsid w:val="3868755F"/>
    <w:rsid w:val="3871CBF4"/>
    <w:rsid w:val="38AB8F9A"/>
    <w:rsid w:val="38CF42DE"/>
    <w:rsid w:val="38D986F1"/>
    <w:rsid w:val="38D9DA0D"/>
    <w:rsid w:val="38EC39C3"/>
    <w:rsid w:val="390FC226"/>
    <w:rsid w:val="391B91C8"/>
    <w:rsid w:val="39382D1D"/>
    <w:rsid w:val="39417987"/>
    <w:rsid w:val="396BF75A"/>
    <w:rsid w:val="39741FE8"/>
    <w:rsid w:val="397BDD86"/>
    <w:rsid w:val="397CBF40"/>
    <w:rsid w:val="39863C21"/>
    <w:rsid w:val="3997BDA8"/>
    <w:rsid w:val="39A7FFC3"/>
    <w:rsid w:val="39B82390"/>
    <w:rsid w:val="39B963A1"/>
    <w:rsid w:val="39D7758E"/>
    <w:rsid w:val="39F2D4D2"/>
    <w:rsid w:val="3A13FE74"/>
    <w:rsid w:val="3A1462CB"/>
    <w:rsid w:val="3A14704A"/>
    <w:rsid w:val="3A260ECB"/>
    <w:rsid w:val="3A2D2FF2"/>
    <w:rsid w:val="3A4F0950"/>
    <w:rsid w:val="3A58471E"/>
    <w:rsid w:val="3A5ADAB2"/>
    <w:rsid w:val="3A6E4554"/>
    <w:rsid w:val="3A78E5FD"/>
    <w:rsid w:val="3A935F4D"/>
    <w:rsid w:val="3AA57140"/>
    <w:rsid w:val="3AABE3CD"/>
    <w:rsid w:val="3AAD1DC1"/>
    <w:rsid w:val="3AADC829"/>
    <w:rsid w:val="3AB32247"/>
    <w:rsid w:val="3AE5395F"/>
    <w:rsid w:val="3AE5D227"/>
    <w:rsid w:val="3AE89812"/>
    <w:rsid w:val="3AEDF51A"/>
    <w:rsid w:val="3AF572FF"/>
    <w:rsid w:val="3B13C1BB"/>
    <w:rsid w:val="3B22CFEC"/>
    <w:rsid w:val="3B46CFA4"/>
    <w:rsid w:val="3B49BF75"/>
    <w:rsid w:val="3B4E0B77"/>
    <w:rsid w:val="3B52ECE1"/>
    <w:rsid w:val="3B56CE9E"/>
    <w:rsid w:val="3B854AFB"/>
    <w:rsid w:val="3B9D9E3E"/>
    <w:rsid w:val="3BB08D5C"/>
    <w:rsid w:val="3BCECEF8"/>
    <w:rsid w:val="3BD480F2"/>
    <w:rsid w:val="3BDA0323"/>
    <w:rsid w:val="3BDC21F0"/>
    <w:rsid w:val="3C0CC114"/>
    <w:rsid w:val="3C0EEFC1"/>
    <w:rsid w:val="3C120C89"/>
    <w:rsid w:val="3C226FF9"/>
    <w:rsid w:val="3C28FDF3"/>
    <w:rsid w:val="3C381AA9"/>
    <w:rsid w:val="3C399B44"/>
    <w:rsid w:val="3C482B61"/>
    <w:rsid w:val="3C6E70DB"/>
    <w:rsid w:val="3C727D36"/>
    <w:rsid w:val="3C72E51D"/>
    <w:rsid w:val="3C8B9DD3"/>
    <w:rsid w:val="3C9A191E"/>
    <w:rsid w:val="3CA0A681"/>
    <w:rsid w:val="3CA5341A"/>
    <w:rsid w:val="3CB43F9F"/>
    <w:rsid w:val="3CB52CF9"/>
    <w:rsid w:val="3CC5FDF5"/>
    <w:rsid w:val="3CD7C6D6"/>
    <w:rsid w:val="3CDA8DE5"/>
    <w:rsid w:val="3CE3FF90"/>
    <w:rsid w:val="3CF79A0C"/>
    <w:rsid w:val="3D056C3F"/>
    <w:rsid w:val="3D158504"/>
    <w:rsid w:val="3D16DBBE"/>
    <w:rsid w:val="3D1A1486"/>
    <w:rsid w:val="3D1B01F5"/>
    <w:rsid w:val="3D1D1904"/>
    <w:rsid w:val="3D32C2D2"/>
    <w:rsid w:val="3D4E46D1"/>
    <w:rsid w:val="3D53BDA4"/>
    <w:rsid w:val="3D66796A"/>
    <w:rsid w:val="3D66D719"/>
    <w:rsid w:val="3D6A341A"/>
    <w:rsid w:val="3D6A6107"/>
    <w:rsid w:val="3D700192"/>
    <w:rsid w:val="3D719E9B"/>
    <w:rsid w:val="3D9AD8AA"/>
    <w:rsid w:val="3DAF7F0C"/>
    <w:rsid w:val="3DDBAE30"/>
    <w:rsid w:val="3DE0AED0"/>
    <w:rsid w:val="3DE347B7"/>
    <w:rsid w:val="3DE564A6"/>
    <w:rsid w:val="3DEAD695"/>
    <w:rsid w:val="3DECE4FE"/>
    <w:rsid w:val="3E00AF39"/>
    <w:rsid w:val="3E073055"/>
    <w:rsid w:val="3E1068FB"/>
    <w:rsid w:val="3E151ECD"/>
    <w:rsid w:val="3E282CE6"/>
    <w:rsid w:val="3E41EB45"/>
    <w:rsid w:val="3E428259"/>
    <w:rsid w:val="3E5755E6"/>
    <w:rsid w:val="3E5C056B"/>
    <w:rsid w:val="3E5C3ED4"/>
    <w:rsid w:val="3E63F2F8"/>
    <w:rsid w:val="3E85EE96"/>
    <w:rsid w:val="3E8628D7"/>
    <w:rsid w:val="3E86D89D"/>
    <w:rsid w:val="3E8FF9B8"/>
    <w:rsid w:val="3E925ACF"/>
    <w:rsid w:val="3E997C58"/>
    <w:rsid w:val="3EB26851"/>
    <w:rsid w:val="3EB56680"/>
    <w:rsid w:val="3EB92E27"/>
    <w:rsid w:val="3ECD0628"/>
    <w:rsid w:val="3EF2BB55"/>
    <w:rsid w:val="3EF9CAC4"/>
    <w:rsid w:val="3EFD08F9"/>
    <w:rsid w:val="3EFFBABC"/>
    <w:rsid w:val="3F04A445"/>
    <w:rsid w:val="3F064904"/>
    <w:rsid w:val="3F0AFD28"/>
    <w:rsid w:val="3F145FD5"/>
    <w:rsid w:val="3F1618C8"/>
    <w:rsid w:val="3F3A80B2"/>
    <w:rsid w:val="3F3C0EA9"/>
    <w:rsid w:val="3F430BC1"/>
    <w:rsid w:val="3F432A76"/>
    <w:rsid w:val="3F58EA30"/>
    <w:rsid w:val="3F61C96C"/>
    <w:rsid w:val="3F624159"/>
    <w:rsid w:val="3F637FD2"/>
    <w:rsid w:val="3F838C1D"/>
    <w:rsid w:val="3F8FE922"/>
    <w:rsid w:val="3F9EB5ED"/>
    <w:rsid w:val="3FA780A3"/>
    <w:rsid w:val="3FAC704C"/>
    <w:rsid w:val="3FB2DCAC"/>
    <w:rsid w:val="3FC02ACC"/>
    <w:rsid w:val="3FD164CE"/>
    <w:rsid w:val="3FD67934"/>
    <w:rsid w:val="3FF76E89"/>
    <w:rsid w:val="3FFD2510"/>
    <w:rsid w:val="4006EBB3"/>
    <w:rsid w:val="402458BE"/>
    <w:rsid w:val="4026385F"/>
    <w:rsid w:val="4030A6FF"/>
    <w:rsid w:val="4034CE3C"/>
    <w:rsid w:val="404D3DE3"/>
    <w:rsid w:val="4059DB26"/>
    <w:rsid w:val="405F8482"/>
    <w:rsid w:val="40630829"/>
    <w:rsid w:val="4068352C"/>
    <w:rsid w:val="4068D6B7"/>
    <w:rsid w:val="4075F85B"/>
    <w:rsid w:val="407B7049"/>
    <w:rsid w:val="4086B9F1"/>
    <w:rsid w:val="40A536B9"/>
    <w:rsid w:val="40BB63E4"/>
    <w:rsid w:val="40C0A385"/>
    <w:rsid w:val="40C4D0B4"/>
    <w:rsid w:val="40D04D13"/>
    <w:rsid w:val="40D0CCEC"/>
    <w:rsid w:val="40D35E0E"/>
    <w:rsid w:val="40D74B6A"/>
    <w:rsid w:val="40D9D022"/>
    <w:rsid w:val="41033F4F"/>
    <w:rsid w:val="41092293"/>
    <w:rsid w:val="411F2AC8"/>
    <w:rsid w:val="413D8CAF"/>
    <w:rsid w:val="4140E186"/>
    <w:rsid w:val="414A5A6B"/>
    <w:rsid w:val="415135D3"/>
    <w:rsid w:val="41578C26"/>
    <w:rsid w:val="4159A4A3"/>
    <w:rsid w:val="416070F3"/>
    <w:rsid w:val="416CB930"/>
    <w:rsid w:val="4178974F"/>
    <w:rsid w:val="41834034"/>
    <w:rsid w:val="419A5921"/>
    <w:rsid w:val="41ACC244"/>
    <w:rsid w:val="41B13359"/>
    <w:rsid w:val="41B4A72B"/>
    <w:rsid w:val="41CA152D"/>
    <w:rsid w:val="41DA8AF8"/>
    <w:rsid w:val="41F21F9B"/>
    <w:rsid w:val="421712FE"/>
    <w:rsid w:val="423647E0"/>
    <w:rsid w:val="4236ECDA"/>
    <w:rsid w:val="424B9CC0"/>
    <w:rsid w:val="424BD8ED"/>
    <w:rsid w:val="426BCF0B"/>
    <w:rsid w:val="426CC7B8"/>
    <w:rsid w:val="42752947"/>
    <w:rsid w:val="427917F5"/>
    <w:rsid w:val="42863A43"/>
    <w:rsid w:val="429275A4"/>
    <w:rsid w:val="4298F16D"/>
    <w:rsid w:val="42A59B6D"/>
    <w:rsid w:val="42A91C1B"/>
    <w:rsid w:val="42CF51AD"/>
    <w:rsid w:val="42D75428"/>
    <w:rsid w:val="42FCB109"/>
    <w:rsid w:val="4313761D"/>
    <w:rsid w:val="4316B80E"/>
    <w:rsid w:val="43191EB5"/>
    <w:rsid w:val="431E5786"/>
    <w:rsid w:val="4321881D"/>
    <w:rsid w:val="4359AF8A"/>
    <w:rsid w:val="436167E9"/>
    <w:rsid w:val="43773408"/>
    <w:rsid w:val="439F2F90"/>
    <w:rsid w:val="43A1D410"/>
    <w:rsid w:val="43A9080E"/>
    <w:rsid w:val="43C13D2D"/>
    <w:rsid w:val="43C22D8F"/>
    <w:rsid w:val="43CBC649"/>
    <w:rsid w:val="43D0759F"/>
    <w:rsid w:val="43EAF1BC"/>
    <w:rsid w:val="440D0FC2"/>
    <w:rsid w:val="441E04E1"/>
    <w:rsid w:val="442873B2"/>
    <w:rsid w:val="442A9D07"/>
    <w:rsid w:val="4458A589"/>
    <w:rsid w:val="4459EED4"/>
    <w:rsid w:val="445DF2EB"/>
    <w:rsid w:val="446C019D"/>
    <w:rsid w:val="4478B5E9"/>
    <w:rsid w:val="447920C3"/>
    <w:rsid w:val="448179E5"/>
    <w:rsid w:val="4488E1F4"/>
    <w:rsid w:val="448A9998"/>
    <w:rsid w:val="44A38FB0"/>
    <w:rsid w:val="44BB90A2"/>
    <w:rsid w:val="44BE7486"/>
    <w:rsid w:val="44C27113"/>
    <w:rsid w:val="44D8E29B"/>
    <w:rsid w:val="44E260C2"/>
    <w:rsid w:val="44E62C71"/>
    <w:rsid w:val="44F2E527"/>
    <w:rsid w:val="44F55F70"/>
    <w:rsid w:val="44F994ED"/>
    <w:rsid w:val="450AE328"/>
    <w:rsid w:val="4513C722"/>
    <w:rsid w:val="45218677"/>
    <w:rsid w:val="452239B4"/>
    <w:rsid w:val="45300EA2"/>
    <w:rsid w:val="455246A2"/>
    <w:rsid w:val="4554FBC4"/>
    <w:rsid w:val="455B4097"/>
    <w:rsid w:val="45606979"/>
    <w:rsid w:val="4565E2C5"/>
    <w:rsid w:val="458BFAA6"/>
    <w:rsid w:val="45AA517C"/>
    <w:rsid w:val="45C28ED7"/>
    <w:rsid w:val="45C6669E"/>
    <w:rsid w:val="45CB3D94"/>
    <w:rsid w:val="45CD52D4"/>
    <w:rsid w:val="45D2B103"/>
    <w:rsid w:val="45E12A62"/>
    <w:rsid w:val="45E8911C"/>
    <w:rsid w:val="45E9512C"/>
    <w:rsid w:val="45ED75BB"/>
    <w:rsid w:val="460FE8CD"/>
    <w:rsid w:val="4612FA28"/>
    <w:rsid w:val="4619D6CD"/>
    <w:rsid w:val="4629D3B0"/>
    <w:rsid w:val="462B4504"/>
    <w:rsid w:val="463B746C"/>
    <w:rsid w:val="4641B453"/>
    <w:rsid w:val="46496381"/>
    <w:rsid w:val="464A099C"/>
    <w:rsid w:val="4657E25B"/>
    <w:rsid w:val="466CA25C"/>
    <w:rsid w:val="4673909C"/>
    <w:rsid w:val="46836153"/>
    <w:rsid w:val="468B1AC0"/>
    <w:rsid w:val="469499CA"/>
    <w:rsid w:val="46BA4923"/>
    <w:rsid w:val="46BEEFDE"/>
    <w:rsid w:val="46C448E4"/>
    <w:rsid w:val="46D4FECB"/>
    <w:rsid w:val="46DC25B8"/>
    <w:rsid w:val="46E7B6CD"/>
    <w:rsid w:val="46F9D6AB"/>
    <w:rsid w:val="46FCB6CB"/>
    <w:rsid w:val="47207DA8"/>
    <w:rsid w:val="4725BB11"/>
    <w:rsid w:val="4734F45D"/>
    <w:rsid w:val="47378D8A"/>
    <w:rsid w:val="47444B4F"/>
    <w:rsid w:val="474C99E3"/>
    <w:rsid w:val="476466F7"/>
    <w:rsid w:val="47654664"/>
    <w:rsid w:val="476DC7BE"/>
    <w:rsid w:val="477BA35A"/>
    <w:rsid w:val="47F33429"/>
    <w:rsid w:val="47F647FF"/>
    <w:rsid w:val="480318DA"/>
    <w:rsid w:val="480544A3"/>
    <w:rsid w:val="4811433C"/>
    <w:rsid w:val="48225C43"/>
    <w:rsid w:val="483684C3"/>
    <w:rsid w:val="485B962C"/>
    <w:rsid w:val="485DB49C"/>
    <w:rsid w:val="4889F01B"/>
    <w:rsid w:val="488CCDCB"/>
    <w:rsid w:val="48ACBA09"/>
    <w:rsid w:val="48BF9048"/>
    <w:rsid w:val="48CD67B6"/>
    <w:rsid w:val="48E3E760"/>
    <w:rsid w:val="48E810CF"/>
    <w:rsid w:val="48F60189"/>
    <w:rsid w:val="492091EC"/>
    <w:rsid w:val="49280E3F"/>
    <w:rsid w:val="492BCFD6"/>
    <w:rsid w:val="493F4D23"/>
    <w:rsid w:val="4965231C"/>
    <w:rsid w:val="496675C8"/>
    <w:rsid w:val="49697786"/>
    <w:rsid w:val="496A7E88"/>
    <w:rsid w:val="49706010"/>
    <w:rsid w:val="497BB30C"/>
    <w:rsid w:val="497F0288"/>
    <w:rsid w:val="4980D3C3"/>
    <w:rsid w:val="4986E05B"/>
    <w:rsid w:val="499B3C36"/>
    <w:rsid w:val="49B7BDDF"/>
    <w:rsid w:val="49E426D9"/>
    <w:rsid w:val="49E724F5"/>
    <w:rsid w:val="49FF1C0A"/>
    <w:rsid w:val="4A03B141"/>
    <w:rsid w:val="4A0EF25E"/>
    <w:rsid w:val="4A234F38"/>
    <w:rsid w:val="4A3B0265"/>
    <w:rsid w:val="4A56AF41"/>
    <w:rsid w:val="4A5E1C81"/>
    <w:rsid w:val="4A83EA90"/>
    <w:rsid w:val="4A852672"/>
    <w:rsid w:val="4A8B0E41"/>
    <w:rsid w:val="4A8E40BE"/>
    <w:rsid w:val="4ABB92D6"/>
    <w:rsid w:val="4AC0B3DE"/>
    <w:rsid w:val="4AC67634"/>
    <w:rsid w:val="4ACE21D9"/>
    <w:rsid w:val="4AEB7B56"/>
    <w:rsid w:val="4B174770"/>
    <w:rsid w:val="4B24FB89"/>
    <w:rsid w:val="4B41581E"/>
    <w:rsid w:val="4B479062"/>
    <w:rsid w:val="4B6E3A95"/>
    <w:rsid w:val="4B945DCA"/>
    <w:rsid w:val="4B9D0DB3"/>
    <w:rsid w:val="4BC63EBE"/>
    <w:rsid w:val="4BD0B7E2"/>
    <w:rsid w:val="4BE8FCEB"/>
    <w:rsid w:val="4BECEE2F"/>
    <w:rsid w:val="4BFBCA15"/>
    <w:rsid w:val="4BFE3D00"/>
    <w:rsid w:val="4C0F77D6"/>
    <w:rsid w:val="4C0FC5DA"/>
    <w:rsid w:val="4C2DB6F1"/>
    <w:rsid w:val="4C3043B6"/>
    <w:rsid w:val="4C37CC0F"/>
    <w:rsid w:val="4C3E89A0"/>
    <w:rsid w:val="4C47F11B"/>
    <w:rsid w:val="4C565C51"/>
    <w:rsid w:val="4C58355B"/>
    <w:rsid w:val="4C680A58"/>
    <w:rsid w:val="4C7D19FA"/>
    <w:rsid w:val="4C8AE4F5"/>
    <w:rsid w:val="4C8F2B1B"/>
    <w:rsid w:val="4C929FE9"/>
    <w:rsid w:val="4C979ABC"/>
    <w:rsid w:val="4C99D106"/>
    <w:rsid w:val="4CDE092E"/>
    <w:rsid w:val="4CE42029"/>
    <w:rsid w:val="4D0E99D0"/>
    <w:rsid w:val="4D102C16"/>
    <w:rsid w:val="4D27C930"/>
    <w:rsid w:val="4D3125BF"/>
    <w:rsid w:val="4D456365"/>
    <w:rsid w:val="4D4990B7"/>
    <w:rsid w:val="4D50A8DA"/>
    <w:rsid w:val="4D61D3DE"/>
    <w:rsid w:val="4D65903E"/>
    <w:rsid w:val="4D66EF6F"/>
    <w:rsid w:val="4D76F044"/>
    <w:rsid w:val="4D7E11FE"/>
    <w:rsid w:val="4DD2CDFA"/>
    <w:rsid w:val="4DEB3442"/>
    <w:rsid w:val="4DFDDAC7"/>
    <w:rsid w:val="4DFF04EE"/>
    <w:rsid w:val="4E1908F3"/>
    <w:rsid w:val="4E199006"/>
    <w:rsid w:val="4E2AF376"/>
    <w:rsid w:val="4E332F55"/>
    <w:rsid w:val="4E466876"/>
    <w:rsid w:val="4E49F32E"/>
    <w:rsid w:val="4E4CF39D"/>
    <w:rsid w:val="4E53FDAE"/>
    <w:rsid w:val="4E58C900"/>
    <w:rsid w:val="4E6269CA"/>
    <w:rsid w:val="4E62BBD8"/>
    <w:rsid w:val="4E8FBDCC"/>
    <w:rsid w:val="4E9BAA01"/>
    <w:rsid w:val="4EA2178A"/>
    <w:rsid w:val="4EA9D719"/>
    <w:rsid w:val="4EA9E7EB"/>
    <w:rsid w:val="4EAB1FC1"/>
    <w:rsid w:val="4EB4E03D"/>
    <w:rsid w:val="4EBAB80A"/>
    <w:rsid w:val="4EC32EBB"/>
    <w:rsid w:val="4EC8A84F"/>
    <w:rsid w:val="4EE7FA1B"/>
    <w:rsid w:val="4EF6B0C9"/>
    <w:rsid w:val="4EF96A8A"/>
    <w:rsid w:val="4F1C2DC4"/>
    <w:rsid w:val="4F3C91EF"/>
    <w:rsid w:val="4F490D2E"/>
    <w:rsid w:val="4F4F103B"/>
    <w:rsid w:val="4F52FC1E"/>
    <w:rsid w:val="4F544E0C"/>
    <w:rsid w:val="4F5FF163"/>
    <w:rsid w:val="4F693BE7"/>
    <w:rsid w:val="4F724AF3"/>
    <w:rsid w:val="4F90B9EC"/>
    <w:rsid w:val="4FA3D658"/>
    <w:rsid w:val="4FB4E55D"/>
    <w:rsid w:val="4FC72765"/>
    <w:rsid w:val="4FDAC3C4"/>
    <w:rsid w:val="4FDE21F6"/>
    <w:rsid w:val="4FE71F66"/>
    <w:rsid w:val="4FE94CBB"/>
    <w:rsid w:val="4FEF22AF"/>
    <w:rsid w:val="4FF50EA4"/>
    <w:rsid w:val="501B6A28"/>
    <w:rsid w:val="501F517E"/>
    <w:rsid w:val="502D494C"/>
    <w:rsid w:val="50396AF2"/>
    <w:rsid w:val="50478BD7"/>
    <w:rsid w:val="5067202A"/>
    <w:rsid w:val="5076B5CC"/>
    <w:rsid w:val="507CC97A"/>
    <w:rsid w:val="507ED750"/>
    <w:rsid w:val="507F511A"/>
    <w:rsid w:val="50800655"/>
    <w:rsid w:val="50835164"/>
    <w:rsid w:val="50926E56"/>
    <w:rsid w:val="5096FD41"/>
    <w:rsid w:val="50A035A6"/>
    <w:rsid w:val="50B8877B"/>
    <w:rsid w:val="50CA4186"/>
    <w:rsid w:val="50D7AB84"/>
    <w:rsid w:val="50DC856F"/>
    <w:rsid w:val="50E0EA4A"/>
    <w:rsid w:val="50F3680D"/>
    <w:rsid w:val="50F59292"/>
    <w:rsid w:val="5107D571"/>
    <w:rsid w:val="510B6DF7"/>
    <w:rsid w:val="511209E2"/>
    <w:rsid w:val="513160F5"/>
    <w:rsid w:val="51455336"/>
    <w:rsid w:val="51534DB7"/>
    <w:rsid w:val="517D84F1"/>
    <w:rsid w:val="5180BCA1"/>
    <w:rsid w:val="5182633B"/>
    <w:rsid w:val="519A1D88"/>
    <w:rsid w:val="51C08B14"/>
    <w:rsid w:val="51CA05CD"/>
    <w:rsid w:val="51F87D39"/>
    <w:rsid w:val="51FE61CA"/>
    <w:rsid w:val="52170C3C"/>
    <w:rsid w:val="523C185E"/>
    <w:rsid w:val="525B60B4"/>
    <w:rsid w:val="52657828"/>
    <w:rsid w:val="527EAA37"/>
    <w:rsid w:val="5284940E"/>
    <w:rsid w:val="528DF4FB"/>
    <w:rsid w:val="5293011E"/>
    <w:rsid w:val="52A3362B"/>
    <w:rsid w:val="52C2F7A9"/>
    <w:rsid w:val="52CB7742"/>
    <w:rsid w:val="52DD58B5"/>
    <w:rsid w:val="52DF9506"/>
    <w:rsid w:val="5315437F"/>
    <w:rsid w:val="531EA565"/>
    <w:rsid w:val="532B30D3"/>
    <w:rsid w:val="5337AFC5"/>
    <w:rsid w:val="53613B6F"/>
    <w:rsid w:val="536AE2A9"/>
    <w:rsid w:val="538FC30C"/>
    <w:rsid w:val="53910F6B"/>
    <w:rsid w:val="53AD6206"/>
    <w:rsid w:val="53B38FDE"/>
    <w:rsid w:val="53DBF799"/>
    <w:rsid w:val="53EDE27D"/>
    <w:rsid w:val="53EE5FC7"/>
    <w:rsid w:val="53F698D4"/>
    <w:rsid w:val="53F6EC2E"/>
    <w:rsid w:val="541D7B00"/>
    <w:rsid w:val="54208F9C"/>
    <w:rsid w:val="542AECFF"/>
    <w:rsid w:val="542CA972"/>
    <w:rsid w:val="542CBD99"/>
    <w:rsid w:val="543528FA"/>
    <w:rsid w:val="543E2B41"/>
    <w:rsid w:val="544247B6"/>
    <w:rsid w:val="5448EEB3"/>
    <w:rsid w:val="5454BE9C"/>
    <w:rsid w:val="54670AD8"/>
    <w:rsid w:val="54759146"/>
    <w:rsid w:val="54786256"/>
    <w:rsid w:val="547F3683"/>
    <w:rsid w:val="5494A10B"/>
    <w:rsid w:val="549FD373"/>
    <w:rsid w:val="54A6363A"/>
    <w:rsid w:val="54C18CAA"/>
    <w:rsid w:val="54DD0E2B"/>
    <w:rsid w:val="54F2AB6E"/>
    <w:rsid w:val="550DBBE3"/>
    <w:rsid w:val="55196FD0"/>
    <w:rsid w:val="551A5ECF"/>
    <w:rsid w:val="55379703"/>
    <w:rsid w:val="554495AC"/>
    <w:rsid w:val="55560DFD"/>
    <w:rsid w:val="555AB431"/>
    <w:rsid w:val="5569F841"/>
    <w:rsid w:val="5573684E"/>
    <w:rsid w:val="557DC663"/>
    <w:rsid w:val="558FEB49"/>
    <w:rsid w:val="559A890E"/>
    <w:rsid w:val="55B8E668"/>
    <w:rsid w:val="55C0E66E"/>
    <w:rsid w:val="55CF047A"/>
    <w:rsid w:val="55EAEBAC"/>
    <w:rsid w:val="55FBC92C"/>
    <w:rsid w:val="5610EDBC"/>
    <w:rsid w:val="561EC37E"/>
    <w:rsid w:val="561FA90C"/>
    <w:rsid w:val="56272294"/>
    <w:rsid w:val="563A92A6"/>
    <w:rsid w:val="565ED5EC"/>
    <w:rsid w:val="567572D8"/>
    <w:rsid w:val="5687D598"/>
    <w:rsid w:val="568E94E9"/>
    <w:rsid w:val="56951ACA"/>
    <w:rsid w:val="56A2AF03"/>
    <w:rsid w:val="56A60CD3"/>
    <w:rsid w:val="56AF2C6E"/>
    <w:rsid w:val="56B0DB48"/>
    <w:rsid w:val="56CDCB67"/>
    <w:rsid w:val="56DA178D"/>
    <w:rsid w:val="56DF0C72"/>
    <w:rsid w:val="56E3957E"/>
    <w:rsid w:val="56E9D393"/>
    <w:rsid w:val="5705A0DE"/>
    <w:rsid w:val="57335FA7"/>
    <w:rsid w:val="573CEC92"/>
    <w:rsid w:val="57637FE2"/>
    <w:rsid w:val="5767F76D"/>
    <w:rsid w:val="5779E7EE"/>
    <w:rsid w:val="5787E1EB"/>
    <w:rsid w:val="5795C882"/>
    <w:rsid w:val="57983741"/>
    <w:rsid w:val="57CBCAF8"/>
    <w:rsid w:val="57CC6D08"/>
    <w:rsid w:val="57F5DAEA"/>
    <w:rsid w:val="58119164"/>
    <w:rsid w:val="5818F3A0"/>
    <w:rsid w:val="583834B3"/>
    <w:rsid w:val="5838E507"/>
    <w:rsid w:val="584F8E3A"/>
    <w:rsid w:val="58677F04"/>
    <w:rsid w:val="5887426F"/>
    <w:rsid w:val="589B9A1B"/>
    <w:rsid w:val="58AC76AC"/>
    <w:rsid w:val="58B29999"/>
    <w:rsid w:val="58B373C8"/>
    <w:rsid w:val="58C4C9F6"/>
    <w:rsid w:val="58D99803"/>
    <w:rsid w:val="58E19B58"/>
    <w:rsid w:val="58E5AD6C"/>
    <w:rsid w:val="58F591EE"/>
    <w:rsid w:val="5901B1AD"/>
    <w:rsid w:val="590C7AF6"/>
    <w:rsid w:val="5912817B"/>
    <w:rsid w:val="59343C6E"/>
    <w:rsid w:val="5936BBD7"/>
    <w:rsid w:val="5948726B"/>
    <w:rsid w:val="59524543"/>
    <w:rsid w:val="5957D1E8"/>
    <w:rsid w:val="595DD592"/>
    <w:rsid w:val="59682139"/>
    <w:rsid w:val="5968A843"/>
    <w:rsid w:val="598127DA"/>
    <w:rsid w:val="59821A14"/>
    <w:rsid w:val="598451FC"/>
    <w:rsid w:val="598766F1"/>
    <w:rsid w:val="598E1EBD"/>
    <w:rsid w:val="599CFCDC"/>
    <w:rsid w:val="59BD4802"/>
    <w:rsid w:val="59CD12F1"/>
    <w:rsid w:val="59D067EF"/>
    <w:rsid w:val="59F23F3A"/>
    <w:rsid w:val="59FCF319"/>
    <w:rsid w:val="59FE6DF0"/>
    <w:rsid w:val="5A0EE3EE"/>
    <w:rsid w:val="5A2F3DEC"/>
    <w:rsid w:val="5A4D1E2F"/>
    <w:rsid w:val="5A4D419F"/>
    <w:rsid w:val="5A661C84"/>
    <w:rsid w:val="5A908E09"/>
    <w:rsid w:val="5A95DBC2"/>
    <w:rsid w:val="5A9D6708"/>
    <w:rsid w:val="5AA228BB"/>
    <w:rsid w:val="5AA5486A"/>
    <w:rsid w:val="5AC4F65A"/>
    <w:rsid w:val="5AC80443"/>
    <w:rsid w:val="5AD30C18"/>
    <w:rsid w:val="5AD9FF64"/>
    <w:rsid w:val="5AF11B03"/>
    <w:rsid w:val="5B13BB5A"/>
    <w:rsid w:val="5B1636E2"/>
    <w:rsid w:val="5B174416"/>
    <w:rsid w:val="5B27121D"/>
    <w:rsid w:val="5B375159"/>
    <w:rsid w:val="5B4733B9"/>
    <w:rsid w:val="5B49355C"/>
    <w:rsid w:val="5B557B44"/>
    <w:rsid w:val="5B6253AB"/>
    <w:rsid w:val="5B70B5B9"/>
    <w:rsid w:val="5B746045"/>
    <w:rsid w:val="5B883A2C"/>
    <w:rsid w:val="5BA84AFC"/>
    <w:rsid w:val="5BA91EC2"/>
    <w:rsid w:val="5BBC0B74"/>
    <w:rsid w:val="5BC7A22A"/>
    <w:rsid w:val="5BCD0B83"/>
    <w:rsid w:val="5BE67E33"/>
    <w:rsid w:val="5BEF577F"/>
    <w:rsid w:val="5BF2E38B"/>
    <w:rsid w:val="5C17845D"/>
    <w:rsid w:val="5C2A2215"/>
    <w:rsid w:val="5C5337D4"/>
    <w:rsid w:val="5C5529ED"/>
    <w:rsid w:val="5C5E2E8F"/>
    <w:rsid w:val="5C6CFEDB"/>
    <w:rsid w:val="5C79960C"/>
    <w:rsid w:val="5C7B8EF9"/>
    <w:rsid w:val="5C8644A5"/>
    <w:rsid w:val="5C8B841F"/>
    <w:rsid w:val="5CA3B186"/>
    <w:rsid w:val="5CB7A2E7"/>
    <w:rsid w:val="5CCE1E39"/>
    <w:rsid w:val="5CD50C5B"/>
    <w:rsid w:val="5CDCA279"/>
    <w:rsid w:val="5CFF56A8"/>
    <w:rsid w:val="5D055C25"/>
    <w:rsid w:val="5D0AE66C"/>
    <w:rsid w:val="5D0B9F5A"/>
    <w:rsid w:val="5D0BC3DC"/>
    <w:rsid w:val="5D1E8135"/>
    <w:rsid w:val="5D22C805"/>
    <w:rsid w:val="5D2DCD13"/>
    <w:rsid w:val="5D382AE4"/>
    <w:rsid w:val="5D3A242C"/>
    <w:rsid w:val="5D57C4AC"/>
    <w:rsid w:val="5D5815BF"/>
    <w:rsid w:val="5D6443BA"/>
    <w:rsid w:val="5D8021E9"/>
    <w:rsid w:val="5D83AD3A"/>
    <w:rsid w:val="5D9FF225"/>
    <w:rsid w:val="5DA9DD0F"/>
    <w:rsid w:val="5DBD262C"/>
    <w:rsid w:val="5DD460ED"/>
    <w:rsid w:val="5DE2F360"/>
    <w:rsid w:val="5DFBD3F5"/>
    <w:rsid w:val="5DFD2326"/>
    <w:rsid w:val="5E019FB5"/>
    <w:rsid w:val="5E0945BA"/>
    <w:rsid w:val="5E137D54"/>
    <w:rsid w:val="5E1AAD91"/>
    <w:rsid w:val="5E2A58AB"/>
    <w:rsid w:val="5E38181F"/>
    <w:rsid w:val="5E4C2072"/>
    <w:rsid w:val="5E5FC168"/>
    <w:rsid w:val="5E76CDBA"/>
    <w:rsid w:val="5EA2DD36"/>
    <w:rsid w:val="5EBDD9F0"/>
    <w:rsid w:val="5EC41FD3"/>
    <w:rsid w:val="5ECD6F88"/>
    <w:rsid w:val="5EEA9409"/>
    <w:rsid w:val="5EEBDA8E"/>
    <w:rsid w:val="5EF92839"/>
    <w:rsid w:val="5F0D87A4"/>
    <w:rsid w:val="5F201541"/>
    <w:rsid w:val="5F36DBAA"/>
    <w:rsid w:val="5F4E0C9B"/>
    <w:rsid w:val="5F4F99C1"/>
    <w:rsid w:val="5F5D46DF"/>
    <w:rsid w:val="5F691375"/>
    <w:rsid w:val="5F76264C"/>
    <w:rsid w:val="5F81C345"/>
    <w:rsid w:val="5F876788"/>
    <w:rsid w:val="5F98CDE8"/>
    <w:rsid w:val="5FC1EBEA"/>
    <w:rsid w:val="5FC1FE79"/>
    <w:rsid w:val="5FDB29A5"/>
    <w:rsid w:val="5FEBB0D5"/>
    <w:rsid w:val="5FEF433A"/>
    <w:rsid w:val="5FF02115"/>
    <w:rsid w:val="60039340"/>
    <w:rsid w:val="600AC860"/>
    <w:rsid w:val="600F6A88"/>
    <w:rsid w:val="602035FE"/>
    <w:rsid w:val="60487C9E"/>
    <w:rsid w:val="6052DE39"/>
    <w:rsid w:val="6059E40B"/>
    <w:rsid w:val="60621A62"/>
    <w:rsid w:val="6077009D"/>
    <w:rsid w:val="607BB141"/>
    <w:rsid w:val="60805905"/>
    <w:rsid w:val="60855933"/>
    <w:rsid w:val="60AB36B2"/>
    <w:rsid w:val="60B1FFCB"/>
    <w:rsid w:val="60B8C7E1"/>
    <w:rsid w:val="60B94F0F"/>
    <w:rsid w:val="60BDBB30"/>
    <w:rsid w:val="60D62ABE"/>
    <w:rsid w:val="60DAD12E"/>
    <w:rsid w:val="60DFBF9A"/>
    <w:rsid w:val="61084312"/>
    <w:rsid w:val="6134A498"/>
    <w:rsid w:val="6141B6D1"/>
    <w:rsid w:val="61439FDC"/>
    <w:rsid w:val="614798BC"/>
    <w:rsid w:val="616FA0B7"/>
    <w:rsid w:val="6174A22C"/>
    <w:rsid w:val="61784B81"/>
    <w:rsid w:val="617AC842"/>
    <w:rsid w:val="617D94B8"/>
    <w:rsid w:val="61883363"/>
    <w:rsid w:val="6188D1D1"/>
    <w:rsid w:val="618BED6C"/>
    <w:rsid w:val="6194CCC7"/>
    <w:rsid w:val="6198E50F"/>
    <w:rsid w:val="619AB49E"/>
    <w:rsid w:val="61A093ED"/>
    <w:rsid w:val="61A94245"/>
    <w:rsid w:val="61AC8B44"/>
    <w:rsid w:val="61B8176F"/>
    <w:rsid w:val="61BA65AE"/>
    <w:rsid w:val="61C97803"/>
    <w:rsid w:val="61CADB01"/>
    <w:rsid w:val="61D8E6FC"/>
    <w:rsid w:val="61DA6E42"/>
    <w:rsid w:val="61DDFF7F"/>
    <w:rsid w:val="61E27D1B"/>
    <w:rsid w:val="61E65231"/>
    <w:rsid w:val="61FAB473"/>
    <w:rsid w:val="6203BE3F"/>
    <w:rsid w:val="62042BF3"/>
    <w:rsid w:val="62099AF3"/>
    <w:rsid w:val="620A454B"/>
    <w:rsid w:val="620D4A0E"/>
    <w:rsid w:val="621120C8"/>
    <w:rsid w:val="6227E534"/>
    <w:rsid w:val="622CC5FD"/>
    <w:rsid w:val="62334529"/>
    <w:rsid w:val="623496BE"/>
    <w:rsid w:val="6243E927"/>
    <w:rsid w:val="624A3A26"/>
    <w:rsid w:val="6252EBC2"/>
    <w:rsid w:val="62602ECD"/>
    <w:rsid w:val="6260E7FE"/>
    <w:rsid w:val="6296303A"/>
    <w:rsid w:val="62A886D6"/>
    <w:rsid w:val="62BDF5A6"/>
    <w:rsid w:val="62C4C153"/>
    <w:rsid w:val="62D53857"/>
    <w:rsid w:val="62E20C8C"/>
    <w:rsid w:val="62E28BC8"/>
    <w:rsid w:val="62F2A9AF"/>
    <w:rsid w:val="62FA4F4E"/>
    <w:rsid w:val="6313DE4C"/>
    <w:rsid w:val="63166071"/>
    <w:rsid w:val="6330ACCF"/>
    <w:rsid w:val="6358B579"/>
    <w:rsid w:val="6360E778"/>
    <w:rsid w:val="6366BEDC"/>
    <w:rsid w:val="6371111B"/>
    <w:rsid w:val="6375AA22"/>
    <w:rsid w:val="6376DA2A"/>
    <w:rsid w:val="637F9B63"/>
    <w:rsid w:val="638C1005"/>
    <w:rsid w:val="6390D7D7"/>
    <w:rsid w:val="639B1BF6"/>
    <w:rsid w:val="63A2250B"/>
    <w:rsid w:val="63A26046"/>
    <w:rsid w:val="63B62C58"/>
    <w:rsid w:val="63B892E3"/>
    <w:rsid w:val="63CD3598"/>
    <w:rsid w:val="63EA8C9D"/>
    <w:rsid w:val="6406741F"/>
    <w:rsid w:val="64102444"/>
    <w:rsid w:val="64286423"/>
    <w:rsid w:val="64375C08"/>
    <w:rsid w:val="643F8898"/>
    <w:rsid w:val="6445FA00"/>
    <w:rsid w:val="6454F91D"/>
    <w:rsid w:val="645A2FD5"/>
    <w:rsid w:val="6461BA7C"/>
    <w:rsid w:val="64663B56"/>
    <w:rsid w:val="646A6EB6"/>
    <w:rsid w:val="647B2778"/>
    <w:rsid w:val="647BC77F"/>
    <w:rsid w:val="647D8455"/>
    <w:rsid w:val="64816F29"/>
    <w:rsid w:val="64A79A5A"/>
    <w:rsid w:val="64C3319C"/>
    <w:rsid w:val="64DF3677"/>
    <w:rsid w:val="64E34D02"/>
    <w:rsid w:val="64F41D9A"/>
    <w:rsid w:val="64FAC20B"/>
    <w:rsid w:val="65108CA8"/>
    <w:rsid w:val="65167E39"/>
    <w:rsid w:val="65245F20"/>
    <w:rsid w:val="6524BF9C"/>
    <w:rsid w:val="652819D7"/>
    <w:rsid w:val="652A9E7D"/>
    <w:rsid w:val="6559B7A0"/>
    <w:rsid w:val="655C6BEA"/>
    <w:rsid w:val="6594F75E"/>
    <w:rsid w:val="659F609C"/>
    <w:rsid w:val="65C18443"/>
    <w:rsid w:val="65C31296"/>
    <w:rsid w:val="65F029FB"/>
    <w:rsid w:val="6607B9B4"/>
    <w:rsid w:val="662CF1BC"/>
    <w:rsid w:val="6648B51D"/>
    <w:rsid w:val="66494333"/>
    <w:rsid w:val="665BCC00"/>
    <w:rsid w:val="6686C1E8"/>
    <w:rsid w:val="668A27A8"/>
    <w:rsid w:val="6692B971"/>
    <w:rsid w:val="669A497F"/>
    <w:rsid w:val="66A3342D"/>
    <w:rsid w:val="66BA4FCD"/>
    <w:rsid w:val="66D70326"/>
    <w:rsid w:val="66E4BFD3"/>
    <w:rsid w:val="66EACF7F"/>
    <w:rsid w:val="66EDD801"/>
    <w:rsid w:val="66F71E97"/>
    <w:rsid w:val="66F9F07A"/>
    <w:rsid w:val="671BD584"/>
    <w:rsid w:val="671F6036"/>
    <w:rsid w:val="6721202E"/>
    <w:rsid w:val="6732F71F"/>
    <w:rsid w:val="673E61DB"/>
    <w:rsid w:val="674C2F97"/>
    <w:rsid w:val="677DF0F4"/>
    <w:rsid w:val="6788BD37"/>
    <w:rsid w:val="67A69082"/>
    <w:rsid w:val="67AADA58"/>
    <w:rsid w:val="67AE6DE2"/>
    <w:rsid w:val="67B43887"/>
    <w:rsid w:val="67B49573"/>
    <w:rsid w:val="67B55D01"/>
    <w:rsid w:val="67C557E9"/>
    <w:rsid w:val="67CF0766"/>
    <w:rsid w:val="67D262C0"/>
    <w:rsid w:val="67DE28EE"/>
    <w:rsid w:val="67F30F94"/>
    <w:rsid w:val="67F974D0"/>
    <w:rsid w:val="67FA78F9"/>
    <w:rsid w:val="68007305"/>
    <w:rsid w:val="680E6315"/>
    <w:rsid w:val="6811EDAA"/>
    <w:rsid w:val="6817E6F5"/>
    <w:rsid w:val="6821F557"/>
    <w:rsid w:val="6824CF59"/>
    <w:rsid w:val="68317264"/>
    <w:rsid w:val="68473541"/>
    <w:rsid w:val="684AA7B2"/>
    <w:rsid w:val="68601F13"/>
    <w:rsid w:val="6860531B"/>
    <w:rsid w:val="68718F0D"/>
    <w:rsid w:val="687916F0"/>
    <w:rsid w:val="6880AEDF"/>
    <w:rsid w:val="6894CDB7"/>
    <w:rsid w:val="68B873BB"/>
    <w:rsid w:val="68BCDC37"/>
    <w:rsid w:val="68CA3ED5"/>
    <w:rsid w:val="68D3DCF8"/>
    <w:rsid w:val="68DA5928"/>
    <w:rsid w:val="68F1A4AE"/>
    <w:rsid w:val="68FB5BCB"/>
    <w:rsid w:val="68FB9D5C"/>
    <w:rsid w:val="690B98EE"/>
    <w:rsid w:val="690DEC5E"/>
    <w:rsid w:val="692EE1D7"/>
    <w:rsid w:val="6932C792"/>
    <w:rsid w:val="694B25D0"/>
    <w:rsid w:val="694F6554"/>
    <w:rsid w:val="6950A0AA"/>
    <w:rsid w:val="695F1A6D"/>
    <w:rsid w:val="69652970"/>
    <w:rsid w:val="69677640"/>
    <w:rsid w:val="696C844C"/>
    <w:rsid w:val="6972CAA6"/>
    <w:rsid w:val="69979D44"/>
    <w:rsid w:val="699FBE25"/>
    <w:rsid w:val="69A32E47"/>
    <w:rsid w:val="69B82E3E"/>
    <w:rsid w:val="69BC27F6"/>
    <w:rsid w:val="69C6BA3E"/>
    <w:rsid w:val="69C7447D"/>
    <w:rsid w:val="69CBD178"/>
    <w:rsid w:val="69D3EF62"/>
    <w:rsid w:val="69DC214A"/>
    <w:rsid w:val="69E3A990"/>
    <w:rsid w:val="69EBAD20"/>
    <w:rsid w:val="69EF2297"/>
    <w:rsid w:val="69F2517E"/>
    <w:rsid w:val="6A01BEF0"/>
    <w:rsid w:val="6A078B04"/>
    <w:rsid w:val="6A1449CC"/>
    <w:rsid w:val="6A1EF992"/>
    <w:rsid w:val="6A35A090"/>
    <w:rsid w:val="6A3CE5EF"/>
    <w:rsid w:val="6A4DB845"/>
    <w:rsid w:val="6A5C848C"/>
    <w:rsid w:val="6A5CACAA"/>
    <w:rsid w:val="6A7B48E8"/>
    <w:rsid w:val="6A93D3E4"/>
    <w:rsid w:val="6AA08AC4"/>
    <w:rsid w:val="6ACF434B"/>
    <w:rsid w:val="6AD188DC"/>
    <w:rsid w:val="6ADA9CBF"/>
    <w:rsid w:val="6B027B67"/>
    <w:rsid w:val="6B093C68"/>
    <w:rsid w:val="6B14F1E1"/>
    <w:rsid w:val="6B27037C"/>
    <w:rsid w:val="6B343C85"/>
    <w:rsid w:val="6B390372"/>
    <w:rsid w:val="6B51AAF4"/>
    <w:rsid w:val="6B640BF9"/>
    <w:rsid w:val="6B75C350"/>
    <w:rsid w:val="6B764D0C"/>
    <w:rsid w:val="6B7E6118"/>
    <w:rsid w:val="6B7F55B7"/>
    <w:rsid w:val="6B87B468"/>
    <w:rsid w:val="6BBF04FB"/>
    <w:rsid w:val="6BC54327"/>
    <w:rsid w:val="6BC69C9D"/>
    <w:rsid w:val="6BD98EE4"/>
    <w:rsid w:val="6BEC2DF0"/>
    <w:rsid w:val="6C1CA61C"/>
    <w:rsid w:val="6C230B11"/>
    <w:rsid w:val="6C2FC848"/>
    <w:rsid w:val="6C30F647"/>
    <w:rsid w:val="6C5EECB7"/>
    <w:rsid w:val="6C7F7089"/>
    <w:rsid w:val="6C884255"/>
    <w:rsid w:val="6CA0859F"/>
    <w:rsid w:val="6CAC8BB6"/>
    <w:rsid w:val="6CBB5690"/>
    <w:rsid w:val="6CBC6194"/>
    <w:rsid w:val="6CC2C206"/>
    <w:rsid w:val="6CCD31B7"/>
    <w:rsid w:val="6CD0E8DE"/>
    <w:rsid w:val="6CEF5715"/>
    <w:rsid w:val="6D07B169"/>
    <w:rsid w:val="6D2ECB3A"/>
    <w:rsid w:val="6D3030F3"/>
    <w:rsid w:val="6D3DBF3A"/>
    <w:rsid w:val="6D42A2FE"/>
    <w:rsid w:val="6D4B56C5"/>
    <w:rsid w:val="6D4E06FA"/>
    <w:rsid w:val="6D4F5256"/>
    <w:rsid w:val="6D62510A"/>
    <w:rsid w:val="6D6A5DA4"/>
    <w:rsid w:val="6D7136EF"/>
    <w:rsid w:val="6D73F5AB"/>
    <w:rsid w:val="6D82419A"/>
    <w:rsid w:val="6D8726EF"/>
    <w:rsid w:val="6D918506"/>
    <w:rsid w:val="6D9536D1"/>
    <w:rsid w:val="6D9551CD"/>
    <w:rsid w:val="6DAE68B8"/>
    <w:rsid w:val="6DC3C272"/>
    <w:rsid w:val="6DCD610B"/>
    <w:rsid w:val="6DD29849"/>
    <w:rsid w:val="6DDB958F"/>
    <w:rsid w:val="6DE3E0F1"/>
    <w:rsid w:val="6DE759EF"/>
    <w:rsid w:val="6DEB9DFA"/>
    <w:rsid w:val="6DFC07CC"/>
    <w:rsid w:val="6E0980C4"/>
    <w:rsid w:val="6E0CC2BD"/>
    <w:rsid w:val="6E1F82F9"/>
    <w:rsid w:val="6E283068"/>
    <w:rsid w:val="6E302684"/>
    <w:rsid w:val="6E33601B"/>
    <w:rsid w:val="6E53BE6C"/>
    <w:rsid w:val="6E5C572D"/>
    <w:rsid w:val="6E60C32C"/>
    <w:rsid w:val="6E6A2BDC"/>
    <w:rsid w:val="6E6DEBDE"/>
    <w:rsid w:val="6E787ABF"/>
    <w:rsid w:val="6E90C614"/>
    <w:rsid w:val="6E956E52"/>
    <w:rsid w:val="6E963645"/>
    <w:rsid w:val="6ED515AF"/>
    <w:rsid w:val="6EDC2080"/>
    <w:rsid w:val="6EE34C0C"/>
    <w:rsid w:val="6EE85496"/>
    <w:rsid w:val="6EEB2878"/>
    <w:rsid w:val="6F15F734"/>
    <w:rsid w:val="6F20650F"/>
    <w:rsid w:val="6F264275"/>
    <w:rsid w:val="6F3F44D1"/>
    <w:rsid w:val="6F439AF7"/>
    <w:rsid w:val="6F4AC87C"/>
    <w:rsid w:val="6F703270"/>
    <w:rsid w:val="6F7D1595"/>
    <w:rsid w:val="6FA98ACE"/>
    <w:rsid w:val="6FD005BE"/>
    <w:rsid w:val="6FE458FA"/>
    <w:rsid w:val="6FEBEB0E"/>
    <w:rsid w:val="7026F2A9"/>
    <w:rsid w:val="70286650"/>
    <w:rsid w:val="704A6740"/>
    <w:rsid w:val="704BE0B3"/>
    <w:rsid w:val="7056CE11"/>
    <w:rsid w:val="7056FFA6"/>
    <w:rsid w:val="708B5B22"/>
    <w:rsid w:val="708EF3B4"/>
    <w:rsid w:val="70966784"/>
    <w:rsid w:val="709C0D65"/>
    <w:rsid w:val="70A955D3"/>
    <w:rsid w:val="70B723F2"/>
    <w:rsid w:val="70C52044"/>
    <w:rsid w:val="70D7FF05"/>
    <w:rsid w:val="70E17DAA"/>
    <w:rsid w:val="70E5609E"/>
    <w:rsid w:val="70FB7BE5"/>
    <w:rsid w:val="70FF2CC3"/>
    <w:rsid w:val="7104CF39"/>
    <w:rsid w:val="710B8B6A"/>
    <w:rsid w:val="715CAF4F"/>
    <w:rsid w:val="71602DB9"/>
    <w:rsid w:val="716715D7"/>
    <w:rsid w:val="71685282"/>
    <w:rsid w:val="716DC4AC"/>
    <w:rsid w:val="71AA4988"/>
    <w:rsid w:val="71AD3283"/>
    <w:rsid w:val="71D4DAAB"/>
    <w:rsid w:val="71E3A8F7"/>
    <w:rsid w:val="71EA9923"/>
    <w:rsid w:val="71F946B7"/>
    <w:rsid w:val="71FF0142"/>
    <w:rsid w:val="7207C115"/>
    <w:rsid w:val="720A3CF4"/>
    <w:rsid w:val="72105604"/>
    <w:rsid w:val="7228ABDD"/>
    <w:rsid w:val="7234DF09"/>
    <w:rsid w:val="72495E48"/>
    <w:rsid w:val="726E4154"/>
    <w:rsid w:val="727CA46D"/>
    <w:rsid w:val="72869E03"/>
    <w:rsid w:val="728B8B86"/>
    <w:rsid w:val="72931107"/>
    <w:rsid w:val="72965C8F"/>
    <w:rsid w:val="72A101D9"/>
    <w:rsid w:val="72A2EE0E"/>
    <w:rsid w:val="72C4DE6B"/>
    <w:rsid w:val="72C909BC"/>
    <w:rsid w:val="72D52CC4"/>
    <w:rsid w:val="72FB0012"/>
    <w:rsid w:val="7303C183"/>
    <w:rsid w:val="730FD45E"/>
    <w:rsid w:val="73165670"/>
    <w:rsid w:val="733D231F"/>
    <w:rsid w:val="7345DA47"/>
    <w:rsid w:val="7346CA2C"/>
    <w:rsid w:val="734C4CAE"/>
    <w:rsid w:val="734EA511"/>
    <w:rsid w:val="7367CFC4"/>
    <w:rsid w:val="736D5F00"/>
    <w:rsid w:val="73769328"/>
    <w:rsid w:val="7379CC3F"/>
    <w:rsid w:val="7383A250"/>
    <w:rsid w:val="738995A2"/>
    <w:rsid w:val="739247BA"/>
    <w:rsid w:val="73A30C23"/>
    <w:rsid w:val="73AE141D"/>
    <w:rsid w:val="73DC616A"/>
    <w:rsid w:val="73DEB48A"/>
    <w:rsid w:val="73E1AFBD"/>
    <w:rsid w:val="73EC6F47"/>
    <w:rsid w:val="73F54F0F"/>
    <w:rsid w:val="73F98D59"/>
    <w:rsid w:val="74015F9A"/>
    <w:rsid w:val="7408CFEF"/>
    <w:rsid w:val="7428311C"/>
    <w:rsid w:val="743A31F2"/>
    <w:rsid w:val="743DE006"/>
    <w:rsid w:val="7450772E"/>
    <w:rsid w:val="7455EB28"/>
    <w:rsid w:val="746C5C5D"/>
    <w:rsid w:val="7476C051"/>
    <w:rsid w:val="7476DFC1"/>
    <w:rsid w:val="747B2FF3"/>
    <w:rsid w:val="7480E4DA"/>
    <w:rsid w:val="7489F97B"/>
    <w:rsid w:val="74A23F24"/>
    <w:rsid w:val="74B8EE13"/>
    <w:rsid w:val="74BDBB1F"/>
    <w:rsid w:val="74FC0972"/>
    <w:rsid w:val="752ABCC3"/>
    <w:rsid w:val="753897D8"/>
    <w:rsid w:val="75482B92"/>
    <w:rsid w:val="75696D72"/>
    <w:rsid w:val="756CD3BB"/>
    <w:rsid w:val="75819E03"/>
    <w:rsid w:val="75945DB7"/>
    <w:rsid w:val="7596D896"/>
    <w:rsid w:val="75A5C32A"/>
    <w:rsid w:val="75C79FD0"/>
    <w:rsid w:val="75C80E53"/>
    <w:rsid w:val="75CCCA6A"/>
    <w:rsid w:val="75E877C4"/>
    <w:rsid w:val="76065654"/>
    <w:rsid w:val="7614AB3B"/>
    <w:rsid w:val="7616D289"/>
    <w:rsid w:val="761C11D4"/>
    <w:rsid w:val="76267149"/>
    <w:rsid w:val="762F3885"/>
    <w:rsid w:val="76302D1E"/>
    <w:rsid w:val="7631B84E"/>
    <w:rsid w:val="76341BCD"/>
    <w:rsid w:val="76350AD3"/>
    <w:rsid w:val="7635A930"/>
    <w:rsid w:val="76672343"/>
    <w:rsid w:val="766D3531"/>
    <w:rsid w:val="767E036E"/>
    <w:rsid w:val="769395AB"/>
    <w:rsid w:val="76990188"/>
    <w:rsid w:val="76A7D3C1"/>
    <w:rsid w:val="76A95876"/>
    <w:rsid w:val="76D56807"/>
    <w:rsid w:val="76DE7850"/>
    <w:rsid w:val="76E08AE4"/>
    <w:rsid w:val="76ED9373"/>
    <w:rsid w:val="76EF7781"/>
    <w:rsid w:val="770A11C5"/>
    <w:rsid w:val="771301B7"/>
    <w:rsid w:val="771B658C"/>
    <w:rsid w:val="771B8E9C"/>
    <w:rsid w:val="771DB124"/>
    <w:rsid w:val="7727C173"/>
    <w:rsid w:val="7732DD4B"/>
    <w:rsid w:val="773489FE"/>
    <w:rsid w:val="773BC2BC"/>
    <w:rsid w:val="7752D80F"/>
    <w:rsid w:val="7755A97F"/>
    <w:rsid w:val="77898430"/>
    <w:rsid w:val="77A0C036"/>
    <w:rsid w:val="77AFC456"/>
    <w:rsid w:val="77BFD27D"/>
    <w:rsid w:val="77D12F35"/>
    <w:rsid w:val="77DF2C12"/>
    <w:rsid w:val="77DF4BA3"/>
    <w:rsid w:val="77E8503F"/>
    <w:rsid w:val="77F39A31"/>
    <w:rsid w:val="77F4AB07"/>
    <w:rsid w:val="78042593"/>
    <w:rsid w:val="7804FA37"/>
    <w:rsid w:val="780824B0"/>
    <w:rsid w:val="7819B664"/>
    <w:rsid w:val="78217DA6"/>
    <w:rsid w:val="782501D9"/>
    <w:rsid w:val="78267139"/>
    <w:rsid w:val="783B1270"/>
    <w:rsid w:val="783D66F1"/>
    <w:rsid w:val="7848D776"/>
    <w:rsid w:val="7848DA7B"/>
    <w:rsid w:val="784F9F47"/>
    <w:rsid w:val="7855C261"/>
    <w:rsid w:val="78722483"/>
    <w:rsid w:val="787E01BF"/>
    <w:rsid w:val="788C1B3E"/>
    <w:rsid w:val="789029B0"/>
    <w:rsid w:val="789BB5D7"/>
    <w:rsid w:val="789E013F"/>
    <w:rsid w:val="789FD6B4"/>
    <w:rsid w:val="78A54126"/>
    <w:rsid w:val="78C234B2"/>
    <w:rsid w:val="78C4081C"/>
    <w:rsid w:val="78D50BF1"/>
    <w:rsid w:val="78F00DA8"/>
    <w:rsid w:val="78F4C685"/>
    <w:rsid w:val="78FE26AD"/>
    <w:rsid w:val="790AA86F"/>
    <w:rsid w:val="792ED659"/>
    <w:rsid w:val="7938DA62"/>
    <w:rsid w:val="793B699F"/>
    <w:rsid w:val="7942EA3C"/>
    <w:rsid w:val="79558D74"/>
    <w:rsid w:val="7959FBE4"/>
    <w:rsid w:val="79765856"/>
    <w:rsid w:val="79814059"/>
    <w:rsid w:val="79891410"/>
    <w:rsid w:val="79AEC6B0"/>
    <w:rsid w:val="79B9F401"/>
    <w:rsid w:val="79BE2F76"/>
    <w:rsid w:val="79BF9987"/>
    <w:rsid w:val="79DA57AB"/>
    <w:rsid w:val="79DE90AE"/>
    <w:rsid w:val="79E76E49"/>
    <w:rsid w:val="79FDC970"/>
    <w:rsid w:val="7A0877BE"/>
    <w:rsid w:val="7A13CE9E"/>
    <w:rsid w:val="7A164DD5"/>
    <w:rsid w:val="7A24E213"/>
    <w:rsid w:val="7A2F71CF"/>
    <w:rsid w:val="7A32A30A"/>
    <w:rsid w:val="7A341B2E"/>
    <w:rsid w:val="7A510A5F"/>
    <w:rsid w:val="7A74C29E"/>
    <w:rsid w:val="7A7FE749"/>
    <w:rsid w:val="7AA38F58"/>
    <w:rsid w:val="7AA85028"/>
    <w:rsid w:val="7ABF187C"/>
    <w:rsid w:val="7AC8847A"/>
    <w:rsid w:val="7AC9682F"/>
    <w:rsid w:val="7AD9F55E"/>
    <w:rsid w:val="7AE3034F"/>
    <w:rsid w:val="7B001FB6"/>
    <w:rsid w:val="7B03F09E"/>
    <w:rsid w:val="7B23B100"/>
    <w:rsid w:val="7B37F186"/>
    <w:rsid w:val="7B431CAB"/>
    <w:rsid w:val="7B44B56D"/>
    <w:rsid w:val="7B4CEF3F"/>
    <w:rsid w:val="7B59BCDF"/>
    <w:rsid w:val="7B7CC999"/>
    <w:rsid w:val="7B8B94AC"/>
    <w:rsid w:val="7BAC43BA"/>
    <w:rsid w:val="7BC69ABA"/>
    <w:rsid w:val="7BE73904"/>
    <w:rsid w:val="7BE7F982"/>
    <w:rsid w:val="7BEA4754"/>
    <w:rsid w:val="7BF03D42"/>
    <w:rsid w:val="7C0BB216"/>
    <w:rsid w:val="7C0FEABD"/>
    <w:rsid w:val="7C19BE36"/>
    <w:rsid w:val="7C29DCB5"/>
    <w:rsid w:val="7C34FCE8"/>
    <w:rsid w:val="7C459932"/>
    <w:rsid w:val="7C60AAFE"/>
    <w:rsid w:val="7C8C3CD5"/>
    <w:rsid w:val="7C939BF5"/>
    <w:rsid w:val="7C95AE36"/>
    <w:rsid w:val="7C96860A"/>
    <w:rsid w:val="7C9D09EE"/>
    <w:rsid w:val="7CAB7334"/>
    <w:rsid w:val="7CABEC60"/>
    <w:rsid w:val="7CACFC1B"/>
    <w:rsid w:val="7CAD8BB1"/>
    <w:rsid w:val="7CB7547B"/>
    <w:rsid w:val="7CBFEAE4"/>
    <w:rsid w:val="7CC76879"/>
    <w:rsid w:val="7CD5C192"/>
    <w:rsid w:val="7CE3CD45"/>
    <w:rsid w:val="7CE55A92"/>
    <w:rsid w:val="7CE96041"/>
    <w:rsid w:val="7CEDB04C"/>
    <w:rsid w:val="7CFBFEEC"/>
    <w:rsid w:val="7CFF2EC5"/>
    <w:rsid w:val="7D055644"/>
    <w:rsid w:val="7D4362B8"/>
    <w:rsid w:val="7D439740"/>
    <w:rsid w:val="7D580A45"/>
    <w:rsid w:val="7D5B3DB3"/>
    <w:rsid w:val="7D817C09"/>
    <w:rsid w:val="7D8EF031"/>
    <w:rsid w:val="7D927DE0"/>
    <w:rsid w:val="7D963DC4"/>
    <w:rsid w:val="7DA866C6"/>
    <w:rsid w:val="7DABBB90"/>
    <w:rsid w:val="7DAFBF76"/>
    <w:rsid w:val="7DB7541E"/>
    <w:rsid w:val="7DBE063E"/>
    <w:rsid w:val="7DCA17A3"/>
    <w:rsid w:val="7DCD0AA5"/>
    <w:rsid w:val="7DCD0EDD"/>
    <w:rsid w:val="7DE0BFA3"/>
    <w:rsid w:val="7DE2F327"/>
    <w:rsid w:val="7DE486F8"/>
    <w:rsid w:val="7E018185"/>
    <w:rsid w:val="7E177202"/>
    <w:rsid w:val="7E1F862C"/>
    <w:rsid w:val="7E202807"/>
    <w:rsid w:val="7E27033E"/>
    <w:rsid w:val="7E389C2E"/>
    <w:rsid w:val="7E3CE867"/>
    <w:rsid w:val="7E44DE62"/>
    <w:rsid w:val="7E569226"/>
    <w:rsid w:val="7E589D63"/>
    <w:rsid w:val="7E68AC21"/>
    <w:rsid w:val="7E79CC30"/>
    <w:rsid w:val="7E83C3A9"/>
    <w:rsid w:val="7E88BD01"/>
    <w:rsid w:val="7E89CC16"/>
    <w:rsid w:val="7EAAD493"/>
    <w:rsid w:val="7EB4C319"/>
    <w:rsid w:val="7ECF5B3C"/>
    <w:rsid w:val="7EDFCB72"/>
    <w:rsid w:val="7EEB5342"/>
    <w:rsid w:val="7EF773A4"/>
    <w:rsid w:val="7EFAF214"/>
    <w:rsid w:val="7EFB4016"/>
    <w:rsid w:val="7F058D09"/>
    <w:rsid w:val="7F106D82"/>
    <w:rsid w:val="7F130659"/>
    <w:rsid w:val="7F167B42"/>
    <w:rsid w:val="7F39F3B9"/>
    <w:rsid w:val="7F425605"/>
    <w:rsid w:val="7F489C81"/>
    <w:rsid w:val="7F5362B3"/>
    <w:rsid w:val="7F693F71"/>
    <w:rsid w:val="7F81E095"/>
    <w:rsid w:val="7F940A9A"/>
    <w:rsid w:val="7F94FF3B"/>
    <w:rsid w:val="7FA00AE7"/>
    <w:rsid w:val="7FAB69F3"/>
    <w:rsid w:val="7FBBA3B1"/>
    <w:rsid w:val="7FC8A5AF"/>
    <w:rsid w:val="7FDD3DC7"/>
    <w:rsid w:val="7FDF81A0"/>
    <w:rsid w:val="7FE32CDF"/>
    <w:rsid w:val="7FFD1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717A55E"/>
  <w15:docId w15:val="{29A5C5A1-EDB2-4974-B17C-9073F78B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40" w:lineRule="atLeast"/>
      <w:jc w:val="both"/>
    </w:pPr>
    <w:rPr>
      <w:rFonts w:ascii="EC Square Sans Pro" w:hAnsi="EC Square Sans Pro"/>
      <w:color w:val="00000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rsid w:val="00D85738"/>
    <w:pPr>
      <w:spacing w:after="0" w:line="240" w:lineRule="auto"/>
      <w:jc w:val="left"/>
    </w:pPr>
  </w:style>
  <w:style w:type="paragraph" w:styleId="FootnoteText">
    <w:name w:val="footnote text"/>
    <w:basedOn w:val="Normal"/>
    <w:link w:val="FootnoteTextChar"/>
    <w:uiPriority w:val="99"/>
    <w:rsid w:val="00D85738"/>
    <w:pPr>
      <w:spacing w:after="0" w:line="240" w:lineRule="auto"/>
      <w:ind w:left="283" w:hanging="283"/>
    </w:pPr>
    <w:rPr>
      <w:sz w:val="16"/>
      <w:szCs w:val="20"/>
    </w:rPr>
  </w:style>
  <w:style w:type="paragraph" w:customStyle="1" w:styleId="ChapterName">
    <w:name w:val="Chapter Name"/>
    <w:basedOn w:val="Normal"/>
    <w:next w:val="Normal"/>
    <w:rsid w:val="00D85738"/>
    <w:pPr>
      <w:spacing w:before="1080" w:line="240" w:lineRule="auto"/>
      <w:jc w:val="left"/>
    </w:pPr>
    <w:rPr>
      <w:b/>
      <w:color w:val="808080"/>
      <w:sz w:val="72"/>
    </w:rPr>
  </w:style>
  <w:style w:type="paragraph" w:customStyle="1" w:styleId="ChapterTitle">
    <w:name w:val="Chapter Title"/>
    <w:basedOn w:val="Normal"/>
    <w:next w:val="Normal"/>
    <w:rsid w:val="00D85738"/>
    <w:pPr>
      <w:spacing w:line="240" w:lineRule="auto"/>
      <w:jc w:val="left"/>
    </w:pPr>
    <w:rPr>
      <w:color w:val="333399"/>
      <w:sz w:val="36"/>
    </w:rPr>
  </w:style>
  <w:style w:type="paragraph" w:customStyle="1" w:styleId="SectionTitle">
    <w:name w:val="Section Title"/>
    <w:basedOn w:val="Normal"/>
    <w:next w:val="SectionSubtitle"/>
    <w:rsid w:val="00D85738"/>
    <w:pPr>
      <w:keepNext/>
      <w:spacing w:before="1080" w:line="240" w:lineRule="auto"/>
      <w:ind w:left="567" w:hanging="567"/>
      <w:jc w:val="left"/>
    </w:pPr>
    <w:rPr>
      <w:caps/>
      <w:color w:val="333399"/>
      <w:sz w:val="28"/>
    </w:rPr>
  </w:style>
  <w:style w:type="paragraph" w:customStyle="1" w:styleId="SectionTitletwolines">
    <w:name w:val="Section Title (two lines)"/>
    <w:basedOn w:val="Normal"/>
    <w:next w:val="SectionSubtitle"/>
    <w:rsid w:val="00D85738"/>
    <w:pPr>
      <w:keepNext/>
      <w:spacing w:before="600" w:after="0" w:line="240" w:lineRule="auto"/>
      <w:ind w:left="567" w:hanging="567"/>
      <w:jc w:val="left"/>
    </w:pPr>
    <w:rPr>
      <w:caps/>
      <w:color w:val="333399"/>
      <w:sz w:val="28"/>
    </w:rPr>
  </w:style>
  <w:style w:type="paragraph" w:customStyle="1" w:styleId="SectionSubtitle">
    <w:name w:val="Section Subtitle"/>
    <w:basedOn w:val="Normal"/>
    <w:next w:val="Normal"/>
    <w:rsid w:val="00D85738"/>
    <w:pPr>
      <w:spacing w:after="360" w:line="240" w:lineRule="auto"/>
      <w:ind w:left="567"/>
      <w:jc w:val="left"/>
    </w:pPr>
    <w:rPr>
      <w:color w:val="333399"/>
      <w:sz w:val="24"/>
    </w:rPr>
  </w:style>
  <w:style w:type="paragraph" w:customStyle="1" w:styleId="HeaderTitleLeft">
    <w:name w:val="Header Title Left"/>
    <w:basedOn w:val="Normal"/>
    <w:next w:val="Normal"/>
    <w:rsid w:val="00D85738"/>
    <w:pPr>
      <w:tabs>
        <w:tab w:val="right" w:pos="8220"/>
      </w:tabs>
      <w:spacing w:before="100" w:after="40" w:line="240" w:lineRule="auto"/>
      <w:ind w:left="-1502"/>
    </w:pPr>
    <w:rPr>
      <w:rFonts w:ascii="EC Square Sans Pro Thin" w:hAnsi="EC Square Sans Pro Thin"/>
      <w:color w:val="333399"/>
      <w:sz w:val="14"/>
    </w:rPr>
  </w:style>
  <w:style w:type="paragraph" w:customStyle="1" w:styleId="HeaderSubtitleLeft">
    <w:name w:val="Header Subtitle Left"/>
    <w:basedOn w:val="Normal"/>
    <w:next w:val="Normal"/>
    <w:rsid w:val="00D85738"/>
    <w:pPr>
      <w:tabs>
        <w:tab w:val="right" w:pos="8220"/>
      </w:tabs>
      <w:spacing w:after="0" w:line="240" w:lineRule="auto"/>
      <w:ind w:left="-1502"/>
    </w:pPr>
    <w:rPr>
      <w:rFonts w:ascii="EC Square Sans Pro Thin" w:hAnsi="EC Square Sans Pro Thin"/>
      <w:color w:val="333399"/>
      <w:sz w:val="14"/>
    </w:rPr>
  </w:style>
  <w:style w:type="paragraph" w:customStyle="1" w:styleId="HeaderTitleRight">
    <w:name w:val="Header Title Right"/>
    <w:basedOn w:val="Normal"/>
    <w:next w:val="Normal"/>
    <w:rsid w:val="00D85738"/>
    <w:pPr>
      <w:spacing w:before="100" w:after="40" w:line="240" w:lineRule="auto"/>
      <w:ind w:right="-1502"/>
      <w:jc w:val="right"/>
    </w:pPr>
    <w:rPr>
      <w:rFonts w:ascii="EC Square Sans Pro Thin" w:hAnsi="EC Square Sans Pro Thin"/>
      <w:color w:val="333399"/>
      <w:sz w:val="14"/>
    </w:rPr>
  </w:style>
  <w:style w:type="paragraph" w:customStyle="1" w:styleId="HeaderSubtitleRight">
    <w:name w:val="Header Subtitle Right"/>
    <w:basedOn w:val="Normal"/>
    <w:next w:val="Normal"/>
    <w:rsid w:val="00D85738"/>
    <w:pPr>
      <w:spacing w:after="0" w:line="240" w:lineRule="auto"/>
      <w:ind w:right="-1502"/>
      <w:jc w:val="right"/>
    </w:pPr>
    <w:rPr>
      <w:rFonts w:ascii="EC Square Sans Pro Thin" w:hAnsi="EC Square Sans Pro Thin"/>
      <w:color w:val="333399"/>
      <w:sz w:val="14"/>
    </w:rPr>
  </w:style>
  <w:style w:type="paragraph" w:customStyle="1" w:styleId="FooterPageNumber">
    <w:name w:val="Footer PageNumber"/>
    <w:basedOn w:val="Normal"/>
    <w:next w:val="Normal"/>
    <w:rsid w:val="00D85738"/>
    <w:pPr>
      <w:framePr w:w="567" w:hSpace="992" w:wrap="around" w:vAnchor="page" w:hAnchor="page" w:xAlign="outside" w:y="16046"/>
      <w:spacing w:after="0" w:line="240" w:lineRule="auto"/>
      <w:jc w:val="center"/>
    </w:pPr>
    <w:rPr>
      <w:color w:val="333399"/>
      <w:sz w:val="18"/>
    </w:rPr>
  </w:style>
  <w:style w:type="paragraph" w:customStyle="1" w:styleId="AnnexTitle">
    <w:name w:val="Annex Title"/>
    <w:basedOn w:val="Normal"/>
    <w:rsid w:val="00D85738"/>
    <w:pPr>
      <w:spacing w:before="120" w:line="240" w:lineRule="auto"/>
      <w:jc w:val="left"/>
    </w:pPr>
    <w:rPr>
      <w:rFonts w:ascii="Century Gothic" w:hAnsi="Century Gothic"/>
      <w:color w:val="333399"/>
      <w:sz w:val="28"/>
    </w:rPr>
  </w:style>
  <w:style w:type="paragraph" w:customStyle="1" w:styleId="PublicationTitle">
    <w:name w:val="Publication Title"/>
    <w:basedOn w:val="Normal"/>
    <w:next w:val="Normal"/>
    <w:rsid w:val="00D85738"/>
    <w:pPr>
      <w:spacing w:after="240" w:line="240" w:lineRule="auto"/>
      <w:jc w:val="center"/>
    </w:pPr>
    <w:rPr>
      <w:color w:val="333399"/>
      <w:sz w:val="48"/>
    </w:rPr>
  </w:style>
  <w:style w:type="paragraph" w:customStyle="1" w:styleId="PublicationSubtitle">
    <w:name w:val="Publication Subtitle"/>
    <w:basedOn w:val="Normal"/>
    <w:next w:val="Normal"/>
    <w:rsid w:val="00D85738"/>
    <w:pPr>
      <w:spacing w:after="240" w:line="240" w:lineRule="auto"/>
      <w:jc w:val="center"/>
    </w:pPr>
    <w:rPr>
      <w:sz w:val="32"/>
    </w:rPr>
  </w:style>
  <w:style w:type="paragraph" w:customStyle="1" w:styleId="Series">
    <w:name w:val="Series"/>
    <w:basedOn w:val="Normal"/>
    <w:next w:val="Normal"/>
    <w:rsid w:val="00D85738"/>
    <w:pPr>
      <w:tabs>
        <w:tab w:val="right" w:pos="8787"/>
      </w:tabs>
      <w:spacing w:before="6240" w:line="240" w:lineRule="auto"/>
      <w:jc w:val="left"/>
    </w:pPr>
    <w:rPr>
      <w:color w:val="333399"/>
    </w:rPr>
  </w:style>
  <w:style w:type="paragraph" w:customStyle="1" w:styleId="Institution">
    <w:name w:val="Institution"/>
    <w:basedOn w:val="Normal"/>
    <w:next w:val="Normal"/>
    <w:rsid w:val="00D85738"/>
    <w:pPr>
      <w:spacing w:line="240" w:lineRule="auto"/>
      <w:jc w:val="left"/>
    </w:pPr>
    <w:rPr>
      <w:sz w:val="24"/>
    </w:rPr>
  </w:style>
  <w:style w:type="paragraph" w:customStyle="1" w:styleId="InstitutionSubtitle">
    <w:name w:val="Institution Subtitle"/>
    <w:basedOn w:val="Normal"/>
    <w:next w:val="Normal"/>
    <w:rsid w:val="00D85738"/>
    <w:pPr>
      <w:spacing w:line="240" w:lineRule="auto"/>
      <w:jc w:val="left"/>
    </w:pPr>
  </w:style>
  <w:style w:type="paragraph" w:customStyle="1" w:styleId="PartTitle">
    <w:name w:val="Part Title"/>
    <w:basedOn w:val="Normal"/>
    <w:next w:val="Normal"/>
    <w:rsid w:val="00D85738"/>
    <w:pPr>
      <w:spacing w:before="1080" w:line="240" w:lineRule="auto"/>
      <w:jc w:val="left"/>
    </w:pPr>
    <w:rPr>
      <w:color w:val="333399"/>
      <w:sz w:val="40"/>
    </w:rPr>
  </w:style>
  <w:style w:type="paragraph" w:customStyle="1" w:styleId="PartSubtitle">
    <w:name w:val="Part Subtitle"/>
    <w:basedOn w:val="Normal"/>
    <w:next w:val="Normal"/>
    <w:rsid w:val="00D85738"/>
    <w:pPr>
      <w:spacing w:line="240" w:lineRule="auto"/>
      <w:jc w:val="left"/>
    </w:pPr>
    <w:rPr>
      <w:color w:val="333399"/>
      <w:sz w:val="32"/>
    </w:rPr>
  </w:style>
  <w:style w:type="character" w:customStyle="1" w:styleId="SectionNumber">
    <w:name w:val="Section Number"/>
    <w:rsid w:val="00D85738"/>
    <w:rPr>
      <w:rFonts w:ascii="EC Square Sans Pro" w:hAnsi="EC Square Sans Pro" w:cs="Times New Roman"/>
      <w:b/>
      <w:color w:val="808080"/>
      <w:sz w:val="72"/>
    </w:rPr>
  </w:style>
  <w:style w:type="paragraph" w:customStyle="1" w:styleId="HeaderTitleLeft30">
    <w:name w:val="Header Title Left (30)"/>
    <w:basedOn w:val="Normal"/>
    <w:next w:val="Normal"/>
    <w:rsid w:val="00D85738"/>
    <w:pPr>
      <w:tabs>
        <w:tab w:val="right" w:pos="8504"/>
      </w:tabs>
      <w:spacing w:before="100" w:after="40" w:line="240" w:lineRule="auto"/>
      <w:ind w:left="-850"/>
    </w:pPr>
    <w:rPr>
      <w:rFonts w:ascii="EC Square Sans Pro Thin" w:hAnsi="EC Square Sans Pro Thin"/>
      <w:color w:val="333399"/>
      <w:sz w:val="14"/>
    </w:rPr>
  </w:style>
  <w:style w:type="paragraph" w:customStyle="1" w:styleId="HeaderSubtitleLeft30">
    <w:name w:val="Header Subtitle Left (30)"/>
    <w:basedOn w:val="Normal"/>
    <w:next w:val="Normal"/>
    <w:rsid w:val="00D85738"/>
    <w:pPr>
      <w:tabs>
        <w:tab w:val="right" w:pos="8504"/>
      </w:tabs>
      <w:spacing w:after="0" w:line="240" w:lineRule="auto"/>
      <w:ind w:left="-850"/>
    </w:pPr>
    <w:rPr>
      <w:rFonts w:ascii="EC Square Sans Pro Thin" w:hAnsi="EC Square Sans Pro Thin"/>
      <w:color w:val="333399"/>
      <w:sz w:val="14"/>
    </w:rPr>
  </w:style>
  <w:style w:type="paragraph" w:customStyle="1" w:styleId="HeaderTitleRight30">
    <w:name w:val="Header Title Right (30)"/>
    <w:basedOn w:val="Normal"/>
    <w:next w:val="Normal"/>
    <w:rsid w:val="00D85738"/>
    <w:pPr>
      <w:spacing w:before="100" w:after="40" w:line="240" w:lineRule="auto"/>
      <w:ind w:right="-850"/>
      <w:jc w:val="right"/>
    </w:pPr>
    <w:rPr>
      <w:rFonts w:ascii="EC Square Sans Pro Thin" w:hAnsi="EC Square Sans Pro Thin"/>
      <w:color w:val="333399"/>
      <w:sz w:val="14"/>
    </w:rPr>
  </w:style>
  <w:style w:type="paragraph" w:customStyle="1" w:styleId="HeaderSubtitleRight30">
    <w:name w:val="Header Subtitle Right (30)"/>
    <w:basedOn w:val="Normal"/>
    <w:next w:val="Normal"/>
    <w:rsid w:val="00D85738"/>
    <w:pPr>
      <w:spacing w:after="0" w:line="240" w:lineRule="auto"/>
      <w:ind w:right="-850"/>
      <w:jc w:val="right"/>
    </w:pPr>
    <w:rPr>
      <w:rFonts w:ascii="EC Square Sans Pro Thin" w:hAnsi="EC Square Sans Pro Thin"/>
      <w:color w:val="333399"/>
      <w:sz w:val="14"/>
    </w:rPr>
  </w:style>
  <w:style w:type="paragraph" w:customStyle="1" w:styleId="FooterPageNumber30">
    <w:name w:val="Footer PageNumber (30)"/>
    <w:basedOn w:val="Normal"/>
    <w:next w:val="Normal"/>
    <w:rsid w:val="00D85738"/>
    <w:pPr>
      <w:framePr w:w="567" w:hSpace="567" w:wrap="around" w:vAnchor="page" w:hAnchor="page" w:xAlign="outside" w:y="16046"/>
      <w:spacing w:after="0" w:line="240" w:lineRule="auto"/>
      <w:jc w:val="center"/>
    </w:pPr>
    <w:rPr>
      <w:color w:val="333399"/>
      <w:sz w:val="18"/>
    </w:rPr>
  </w:style>
  <w:style w:type="paragraph" w:customStyle="1" w:styleId="FooterPageNumber15">
    <w:name w:val="Footer PageNumber (15)"/>
    <w:basedOn w:val="Normal"/>
    <w:next w:val="Normal"/>
    <w:rsid w:val="00D85738"/>
    <w:pPr>
      <w:framePr w:w="567" w:wrap="around" w:vAnchor="page" w:hAnchor="margin" w:xAlign="outside" w:y="16046"/>
      <w:spacing w:after="0" w:line="240" w:lineRule="auto"/>
      <w:jc w:val="center"/>
    </w:pPr>
    <w:rPr>
      <w:color w:val="333399"/>
      <w:sz w:val="18"/>
    </w:rPr>
  </w:style>
  <w:style w:type="paragraph" w:customStyle="1" w:styleId="SectionTitlelarge">
    <w:name w:val="Section Title (large)"/>
    <w:basedOn w:val="Normal"/>
    <w:next w:val="SectionSubtitle"/>
    <w:rsid w:val="00D85738"/>
    <w:pPr>
      <w:keepNext/>
      <w:spacing w:before="1080" w:line="240" w:lineRule="auto"/>
      <w:ind w:left="567" w:hanging="567"/>
      <w:jc w:val="left"/>
    </w:pPr>
    <w:rPr>
      <w:caps/>
      <w:color w:val="333399"/>
      <w:sz w:val="32"/>
    </w:rPr>
  </w:style>
  <w:style w:type="paragraph" w:customStyle="1" w:styleId="SectionTitletwolineslarge">
    <w:name w:val="Section Title (two lines) (large)"/>
    <w:basedOn w:val="Normal"/>
    <w:next w:val="SectionSubtitle"/>
    <w:rsid w:val="00D85738"/>
    <w:pPr>
      <w:keepNext/>
      <w:spacing w:before="1080" w:after="40" w:line="240" w:lineRule="auto"/>
      <w:ind w:left="567" w:hanging="567"/>
      <w:jc w:val="left"/>
    </w:pPr>
    <w:rPr>
      <w:caps/>
      <w:color w:val="333399"/>
      <w:sz w:val="32"/>
    </w:rPr>
  </w:style>
  <w:style w:type="character" w:styleId="FootnoteReference">
    <w:name w:val="footnote reference"/>
    <w:link w:val="FootnotesymbolCarZchn"/>
    <w:uiPriority w:val="99"/>
    <w:rsid w:val="00D85738"/>
    <w:rPr>
      <w:vertAlign w:val="superscript"/>
    </w:rPr>
  </w:style>
  <w:style w:type="paragraph" w:customStyle="1" w:styleId="Heading">
    <w:name w:val="Heading"/>
    <w:basedOn w:val="Normal"/>
    <w:next w:val="Normal"/>
    <w:rsid w:val="00D85738"/>
    <w:pPr>
      <w:keepNext/>
      <w:spacing w:before="120"/>
    </w:pPr>
    <w:rPr>
      <w:rFonts w:ascii="EC Square Sans Pro Medium" w:hAnsi="EC Square Sans Pro Medium"/>
      <w:color w:val="333399"/>
    </w:rPr>
  </w:style>
  <w:style w:type="paragraph" w:customStyle="1" w:styleId="SideNote">
    <w:name w:val="Side Note"/>
    <w:basedOn w:val="Normal"/>
    <w:next w:val="Normal"/>
    <w:rsid w:val="00D85738"/>
    <w:pPr>
      <w:keepNext/>
      <w:framePr w:w="1701" w:h="567" w:hSpace="227" w:wrap="around" w:vAnchor="text" w:hAnchor="page" w:xAlign="outside" w:y="1"/>
      <w:spacing w:after="200" w:line="240" w:lineRule="auto"/>
      <w:jc w:val="left"/>
    </w:pPr>
    <w:rPr>
      <w:color w:val="333399"/>
      <w:sz w:val="14"/>
    </w:rPr>
  </w:style>
  <w:style w:type="paragraph" w:customStyle="1" w:styleId="Abbreviation">
    <w:name w:val="Abbreviation"/>
    <w:basedOn w:val="Normal"/>
    <w:rsid w:val="00D85738"/>
    <w:pPr>
      <w:spacing w:after="0"/>
      <w:ind w:left="1134" w:hanging="1134"/>
    </w:pPr>
  </w:style>
  <w:style w:type="paragraph" w:customStyle="1" w:styleId="BoxShape">
    <w:name w:val="Box Shape"/>
    <w:basedOn w:val="Normal"/>
    <w:next w:val="Normal"/>
    <w:rsid w:val="00D85738"/>
    <w:pPr>
      <w:spacing w:before="120"/>
      <w:jc w:val="center"/>
    </w:pPr>
  </w:style>
  <w:style w:type="paragraph" w:customStyle="1" w:styleId="BoxContinueTop">
    <w:name w:val="Box Continue Top"/>
    <w:basedOn w:val="Normal"/>
    <w:next w:val="Normal"/>
    <w:rsid w:val="00D85738"/>
    <w:pPr>
      <w:spacing w:before="20" w:after="0" w:line="240" w:lineRule="auto"/>
      <w:ind w:left="283"/>
    </w:pPr>
    <w:rPr>
      <w:rFonts w:ascii="EC Square Sans Pro Thin" w:hAnsi="EC Square Sans Pro Thin"/>
      <w:i/>
      <w:color w:val="333399"/>
      <w:sz w:val="14"/>
    </w:rPr>
  </w:style>
  <w:style w:type="paragraph" w:customStyle="1" w:styleId="BoxContinueBottom">
    <w:name w:val="Box Continue Bottom"/>
    <w:basedOn w:val="Normal"/>
    <w:next w:val="Normal"/>
    <w:rsid w:val="00D85738"/>
    <w:pPr>
      <w:spacing w:after="20" w:line="240" w:lineRule="auto"/>
      <w:ind w:right="283"/>
      <w:jc w:val="right"/>
    </w:pPr>
    <w:rPr>
      <w:rFonts w:ascii="EC Square Sans Pro Thin" w:hAnsi="EC Square Sans Pro Thin"/>
      <w:i/>
      <w:color w:val="333399"/>
      <w:sz w:val="14"/>
    </w:rPr>
  </w:style>
  <w:style w:type="paragraph" w:customStyle="1" w:styleId="BottomTable">
    <w:name w:val="Bottom Table"/>
    <w:basedOn w:val="Normal"/>
    <w:next w:val="Normal"/>
    <w:rsid w:val="00D85738"/>
    <w:pPr>
      <w:spacing w:after="0" w:line="240" w:lineRule="auto"/>
      <w:jc w:val="left"/>
    </w:pPr>
  </w:style>
  <w:style w:type="paragraph" w:customStyle="1" w:styleId="DefaultTable">
    <w:name w:val="Default Table"/>
    <w:basedOn w:val="Normal"/>
    <w:next w:val="Normal"/>
    <w:rsid w:val="00D85738"/>
    <w:pPr>
      <w:spacing w:after="0" w:line="240" w:lineRule="auto"/>
      <w:jc w:val="left"/>
    </w:pPr>
  </w:style>
  <w:style w:type="paragraph" w:customStyle="1" w:styleId="BottomCenterTable">
    <w:name w:val="Bottom Center Table"/>
    <w:basedOn w:val="Normal"/>
    <w:next w:val="Normal"/>
    <w:rsid w:val="00D85738"/>
    <w:pPr>
      <w:spacing w:before="160" w:after="0" w:line="240" w:lineRule="auto"/>
      <w:jc w:val="center"/>
    </w:pPr>
  </w:style>
  <w:style w:type="paragraph" w:customStyle="1" w:styleId="BottomTableRestrictedShape">
    <w:name w:val="Bottom Table Restricted Shape"/>
    <w:basedOn w:val="Normal"/>
    <w:next w:val="Normal"/>
    <w:rsid w:val="00D85738"/>
    <w:pPr>
      <w:spacing w:before="160" w:after="0" w:line="240" w:lineRule="auto"/>
      <w:jc w:val="center"/>
    </w:pPr>
  </w:style>
  <w:style w:type="paragraph" w:customStyle="1" w:styleId="GraphTitle">
    <w:name w:val="Graph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GraphSource">
    <w:name w:val="Graph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GraphShape">
    <w:name w:val="Graph Shape"/>
    <w:basedOn w:val="Normal"/>
    <w:next w:val="Normal"/>
    <w:rsid w:val="00D85738"/>
    <w:pPr>
      <w:keepNext/>
      <w:spacing w:after="0" w:line="240" w:lineRule="auto"/>
    </w:pPr>
  </w:style>
  <w:style w:type="paragraph" w:customStyle="1" w:styleId="TableTitle">
    <w:name w:val="Table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TableSource">
    <w:name w:val="Table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TableShape">
    <w:name w:val="Table Shape"/>
    <w:basedOn w:val="Normal"/>
    <w:next w:val="Normal"/>
    <w:rsid w:val="00D85738"/>
    <w:pPr>
      <w:keepNext/>
      <w:spacing w:after="0" w:line="240" w:lineRule="auto"/>
    </w:pPr>
  </w:style>
  <w:style w:type="paragraph" w:customStyle="1" w:styleId="SNText">
    <w:name w:val="SN Text"/>
    <w:basedOn w:val="Normal"/>
    <w:rsid w:val="00F64EC0"/>
  </w:style>
  <w:style w:type="paragraph" w:customStyle="1" w:styleId="SectionTitleSingleBase">
    <w:name w:val="Section Title (Single Base)"/>
    <w:basedOn w:val="Normal"/>
    <w:rsid w:val="00F64EC0"/>
  </w:style>
  <w:style w:type="paragraph" w:customStyle="1" w:styleId="HEADINGTOC">
    <w:name w:val="HEADING TOC"/>
    <w:basedOn w:val="Normal"/>
    <w:rsid w:val="00F64EC0"/>
  </w:style>
  <w:style w:type="paragraph" w:customStyle="1" w:styleId="FooterPageNumber45">
    <w:name w:val="Footer PageNumber (45)"/>
    <w:basedOn w:val="Normal"/>
    <w:rsid w:val="00F64EC0"/>
  </w:style>
  <w:style w:type="paragraph" w:customStyle="1" w:styleId="SNNumberedHeading1">
    <w:name w:val="SN Numbered Heading 1"/>
    <w:basedOn w:val="Normal"/>
    <w:rsid w:val="00F64EC0"/>
  </w:style>
  <w:style w:type="paragraph" w:customStyle="1" w:styleId="SNNumberedHeading2">
    <w:name w:val="SN Numbered Heading 2"/>
    <w:basedOn w:val="Normal"/>
    <w:rsid w:val="00F64EC0"/>
  </w:style>
  <w:style w:type="paragraph" w:customStyle="1" w:styleId="NumberedHeading1">
    <w:name w:val="Numbered Heading 1"/>
    <w:basedOn w:val="Normal"/>
    <w:rsid w:val="00F64EC0"/>
    <w:pPr>
      <w:jc w:val="left"/>
    </w:pPr>
    <w:rPr>
      <w:rFonts w:ascii="EC Square Sans Pro Medium" w:hAnsi="EC Square Sans Pro Medium"/>
    </w:rPr>
  </w:style>
  <w:style w:type="paragraph" w:customStyle="1" w:styleId="NumberedHeading2">
    <w:name w:val="Numbered Heading 2"/>
    <w:basedOn w:val="Normal"/>
    <w:rsid w:val="00F64EC0"/>
    <w:pPr>
      <w:jc w:val="left"/>
    </w:pPr>
  </w:style>
  <w:style w:type="paragraph" w:customStyle="1" w:styleId="NumberedHeading3">
    <w:name w:val="Numbered Heading 3"/>
    <w:basedOn w:val="Normal"/>
    <w:rsid w:val="00F64EC0"/>
    <w:pPr>
      <w:jc w:val="left"/>
    </w:pPr>
    <w:rPr>
      <w:sz w:val="18"/>
    </w:rPr>
  </w:style>
  <w:style w:type="paragraph" w:customStyle="1" w:styleId="ChapterSubtitle">
    <w:name w:val="Chapter Subtitle"/>
    <w:basedOn w:val="SectionSubtitle"/>
    <w:rsid w:val="00F64EC0"/>
    <w:pPr>
      <w:ind w:left="0"/>
    </w:pPr>
  </w:style>
  <w:style w:type="paragraph" w:customStyle="1" w:styleId="SectionTitleoverview">
    <w:name w:val="Section Title (overview)"/>
    <w:basedOn w:val="SectionTitletwolineslarge"/>
    <w:rsid w:val="00F64EC0"/>
    <w:pPr>
      <w:ind w:left="2268" w:hanging="2268"/>
    </w:pPr>
  </w:style>
  <w:style w:type="paragraph" w:customStyle="1" w:styleId="SectionSubtitleoverview">
    <w:name w:val="Section Subtitle (overview)"/>
    <w:basedOn w:val="SectionSubtitle"/>
    <w:rsid w:val="00F64EC0"/>
    <w:pPr>
      <w:ind w:left="2268"/>
    </w:pPr>
  </w:style>
  <w:style w:type="paragraph" w:customStyle="1" w:styleId="SubsectionTitle">
    <w:name w:val="Subsection Title"/>
    <w:basedOn w:val="Normal"/>
    <w:rsid w:val="00F64EC0"/>
  </w:style>
  <w:style w:type="paragraph" w:customStyle="1" w:styleId="SNSideNote">
    <w:name w:val="SN SideNote"/>
    <w:basedOn w:val="Normal"/>
    <w:rsid w:val="00F64EC0"/>
  </w:style>
  <w:style w:type="paragraph" w:customStyle="1" w:styleId="Abstract">
    <w:name w:val="Abstract"/>
    <w:basedOn w:val="Normal"/>
    <w:rsid w:val="00F64EC0"/>
    <w:pPr>
      <w:framePr w:w="8164" w:wrap="around" w:vAnchor="text" w:hAnchor="text" w:y="1"/>
      <w:ind w:left="57" w:right="57"/>
    </w:pPr>
  </w:style>
  <w:style w:type="paragraph" w:customStyle="1" w:styleId="PublicationSupertitle">
    <w:name w:val="Publication Supertitle"/>
    <w:basedOn w:val="Normal"/>
    <w:rsid w:val="00F64EC0"/>
    <w:pPr>
      <w:spacing w:before="2640" w:after="240"/>
      <w:jc w:val="center"/>
    </w:pPr>
  </w:style>
  <w:style w:type="paragraph" w:customStyle="1" w:styleId="SectionTitlenonumber">
    <w:name w:val="Section Title (no number)"/>
    <w:basedOn w:val="Normal"/>
    <w:rsid w:val="00F64EC0"/>
    <w:pPr>
      <w:keepNext/>
      <w:spacing w:before="1080" w:after="40" w:line="240" w:lineRule="auto"/>
      <w:jc w:val="left"/>
    </w:pPr>
    <w:rPr>
      <w:caps/>
      <w:color w:val="333399"/>
      <w:sz w:val="32"/>
    </w:rPr>
  </w:style>
  <w:style w:type="paragraph" w:customStyle="1" w:styleId="TableContinueTop">
    <w:name w:val="Table Continue Top"/>
    <w:basedOn w:val="Normal"/>
    <w:rsid w:val="00F64EC0"/>
    <w:rPr>
      <w:rFonts w:ascii="EC Square Sans Pro Thin" w:hAnsi="EC Square Sans Pro Thin"/>
    </w:rPr>
  </w:style>
  <w:style w:type="paragraph" w:customStyle="1" w:styleId="TableContinueBottom">
    <w:name w:val="Table Continue Bottom"/>
    <w:basedOn w:val="Normal"/>
    <w:rsid w:val="00F64EC0"/>
    <w:rPr>
      <w:rFonts w:ascii="EC Square Sans Pro Thin" w:hAnsi="EC Square Sans Pro Thin"/>
    </w:rPr>
  </w:style>
  <w:style w:type="paragraph" w:styleId="TOC1">
    <w:name w:val="toc 1"/>
    <w:basedOn w:val="Normal"/>
    <w:next w:val="Normal"/>
    <w:autoRedefine/>
    <w:semiHidden/>
    <w:unhideWhenUsed/>
    <w:rsid w:val="00F64EC0"/>
    <w:pPr>
      <w:tabs>
        <w:tab w:val="left" w:pos="709"/>
        <w:tab w:val="right" w:pos="8504"/>
      </w:tabs>
      <w:spacing w:after="100"/>
      <w:ind w:left="709"/>
    </w:pPr>
  </w:style>
  <w:style w:type="paragraph" w:styleId="TOC2">
    <w:name w:val="toc 2"/>
    <w:basedOn w:val="Normal"/>
    <w:next w:val="Normal"/>
    <w:autoRedefine/>
    <w:semiHidden/>
    <w:unhideWhenUsed/>
    <w:rsid w:val="00F64EC0"/>
    <w:pPr>
      <w:tabs>
        <w:tab w:val="left" w:pos="1786"/>
        <w:tab w:val="right" w:pos="8504"/>
      </w:tabs>
      <w:spacing w:after="100"/>
      <w:ind w:left="1786" w:hanging="425"/>
    </w:pPr>
  </w:style>
  <w:style w:type="paragraph" w:styleId="TOC3">
    <w:name w:val="toc 3"/>
    <w:basedOn w:val="Normal"/>
    <w:next w:val="Normal"/>
    <w:autoRedefine/>
    <w:semiHidden/>
    <w:unhideWhenUsed/>
    <w:rsid w:val="00F64EC0"/>
    <w:pPr>
      <w:tabs>
        <w:tab w:val="left" w:pos="1361"/>
        <w:tab w:val="right" w:pos="8504"/>
      </w:tabs>
      <w:spacing w:before="40" w:after="40"/>
      <w:ind w:left="1361" w:hanging="652"/>
    </w:pPr>
    <w:rPr>
      <w:caps/>
      <w:color w:val="333399"/>
    </w:rPr>
  </w:style>
  <w:style w:type="paragraph" w:styleId="TOC4">
    <w:name w:val="toc 4"/>
    <w:basedOn w:val="Normal"/>
    <w:next w:val="Normal"/>
    <w:autoRedefine/>
    <w:semiHidden/>
    <w:unhideWhenUsed/>
    <w:rsid w:val="00F64EC0"/>
    <w:pPr>
      <w:tabs>
        <w:tab w:val="left" w:pos="2211"/>
        <w:tab w:val="right" w:pos="8504"/>
      </w:tabs>
      <w:spacing w:after="100"/>
      <w:ind w:left="2211" w:hanging="850"/>
    </w:pPr>
    <w:rPr>
      <w:color w:val="333399"/>
    </w:rPr>
  </w:style>
  <w:style w:type="paragraph" w:styleId="TOC5">
    <w:name w:val="toc 5"/>
    <w:basedOn w:val="Normal"/>
    <w:next w:val="Normal"/>
    <w:autoRedefine/>
    <w:semiHidden/>
    <w:unhideWhenUsed/>
    <w:rsid w:val="00F64EC0"/>
    <w:pPr>
      <w:tabs>
        <w:tab w:val="left" w:pos="2211"/>
        <w:tab w:val="right" w:pos="8504"/>
      </w:tabs>
      <w:spacing w:after="100"/>
      <w:ind w:left="800"/>
    </w:pPr>
  </w:style>
  <w:style w:type="paragraph" w:styleId="TOC6">
    <w:name w:val="toc 6"/>
    <w:basedOn w:val="Normal"/>
    <w:next w:val="Normal"/>
    <w:autoRedefine/>
    <w:semiHidden/>
    <w:unhideWhenUsed/>
    <w:rsid w:val="00F64EC0"/>
    <w:pPr>
      <w:keepNext/>
      <w:tabs>
        <w:tab w:val="right" w:pos="8504"/>
      </w:tabs>
      <w:spacing w:before="120" w:after="60"/>
      <w:ind w:left="1000"/>
    </w:pPr>
    <w:rPr>
      <w:sz w:val="22"/>
    </w:rPr>
  </w:style>
  <w:style w:type="paragraph" w:styleId="TOC7">
    <w:name w:val="toc 7"/>
    <w:basedOn w:val="Normal"/>
    <w:next w:val="Normal"/>
    <w:autoRedefine/>
    <w:semiHidden/>
    <w:unhideWhenUsed/>
    <w:rsid w:val="00F64EC0"/>
    <w:pPr>
      <w:tabs>
        <w:tab w:val="right" w:pos="8504"/>
      </w:tabs>
      <w:spacing w:after="100"/>
      <w:ind w:left="1200"/>
    </w:pPr>
  </w:style>
  <w:style w:type="paragraph" w:customStyle="1" w:styleId="HeaderTitleLeft45">
    <w:name w:val="Header Title Left (45)"/>
    <w:basedOn w:val="Normal"/>
    <w:rsid w:val="00F64EC0"/>
    <w:rPr>
      <w:rFonts w:ascii="EC Square Sans Pro Thin" w:hAnsi="EC Square Sans Pro Thin"/>
    </w:rPr>
  </w:style>
  <w:style w:type="paragraph" w:customStyle="1" w:styleId="HeaderSubtitleLeft15">
    <w:name w:val="Header Subtitle Left (15)"/>
    <w:basedOn w:val="Normal"/>
    <w:rsid w:val="00F64EC0"/>
    <w:rPr>
      <w:rFonts w:ascii="EC Square Sans Pro Thin" w:hAnsi="EC Square Sans Pro Thin"/>
    </w:rPr>
  </w:style>
  <w:style w:type="paragraph" w:customStyle="1" w:styleId="HeaderSubtitleLeft45">
    <w:name w:val="Header Subtitle Left (45)"/>
    <w:basedOn w:val="Normal"/>
    <w:rsid w:val="00F64EC0"/>
    <w:rPr>
      <w:rFonts w:ascii="EC Square Sans Pro Thin" w:hAnsi="EC Square Sans Pro Thin"/>
    </w:rPr>
  </w:style>
  <w:style w:type="paragraph" w:customStyle="1" w:styleId="HeaderTitleLeft15">
    <w:name w:val="Header Title Left (15)"/>
    <w:basedOn w:val="Normal"/>
    <w:rsid w:val="00F64EC0"/>
    <w:pPr>
      <w:tabs>
        <w:tab w:val="right" w:pos="9921"/>
      </w:tabs>
      <w:spacing w:before="100" w:after="40"/>
    </w:pPr>
    <w:rPr>
      <w:rFonts w:ascii="EC Square Sans Pro Thin" w:hAnsi="EC Square Sans Pro Thin"/>
      <w:color w:val="333399"/>
      <w:sz w:val="14"/>
    </w:rPr>
  </w:style>
  <w:style w:type="paragraph" w:customStyle="1" w:styleId="HeaderSubitleLeft15">
    <w:name w:val="Header Subitle Left (15)"/>
    <w:basedOn w:val="Normal"/>
    <w:rsid w:val="00F64EC0"/>
    <w:pPr>
      <w:tabs>
        <w:tab w:val="right" w:pos="9921"/>
      </w:tabs>
    </w:pPr>
    <w:rPr>
      <w:rFonts w:ascii="EC Square Sans Pro Thin" w:hAnsi="EC Square Sans Pro Thin"/>
      <w:color w:val="333399"/>
      <w:sz w:val="14"/>
    </w:rPr>
  </w:style>
  <w:style w:type="paragraph" w:customStyle="1" w:styleId="HeaderTitleRight45">
    <w:name w:val="Header Title Right (45)"/>
    <w:basedOn w:val="Normal"/>
    <w:rsid w:val="00F64EC0"/>
    <w:rPr>
      <w:rFonts w:ascii="EC Square Sans Pro Thin" w:hAnsi="EC Square Sans Pro Thin"/>
    </w:rPr>
  </w:style>
  <w:style w:type="paragraph" w:customStyle="1" w:styleId="HeaderSubtitleRight15">
    <w:name w:val="Header Subtitle Right (15)"/>
    <w:basedOn w:val="Normal"/>
    <w:rsid w:val="00F64EC0"/>
    <w:rPr>
      <w:rFonts w:ascii="EC Square Sans Pro Thin" w:hAnsi="EC Square Sans Pro Thin"/>
    </w:rPr>
  </w:style>
  <w:style w:type="paragraph" w:customStyle="1" w:styleId="HeaderSubtitleRight45">
    <w:name w:val="Header Subtitle Right (45)"/>
    <w:basedOn w:val="Normal"/>
    <w:rsid w:val="00F64EC0"/>
    <w:rPr>
      <w:rFonts w:ascii="EC Square Sans Pro Thin" w:hAnsi="EC Square Sans Pro Thin"/>
    </w:rPr>
  </w:style>
  <w:style w:type="paragraph" w:customStyle="1" w:styleId="HeaderTitleRight15">
    <w:name w:val="Header Title Right (15)"/>
    <w:basedOn w:val="Normal"/>
    <w:rsid w:val="00F64EC0"/>
    <w:pPr>
      <w:spacing w:before="100" w:after="40"/>
      <w:jc w:val="right"/>
    </w:pPr>
    <w:rPr>
      <w:rFonts w:ascii="EC Square Sans Pro Thin" w:hAnsi="EC Square Sans Pro Thin"/>
      <w:color w:val="333399"/>
      <w:sz w:val="14"/>
    </w:rPr>
  </w:style>
  <w:style w:type="paragraph" w:customStyle="1" w:styleId="HeaderSubitleRight15">
    <w:name w:val="Header Subitle Right (15)"/>
    <w:basedOn w:val="Normal"/>
    <w:rsid w:val="00F64EC0"/>
    <w:pPr>
      <w:jc w:val="right"/>
    </w:pPr>
    <w:rPr>
      <w:rFonts w:ascii="EC Square Sans Pro Thin" w:hAnsi="EC Square Sans Pro Thin"/>
      <w:color w:val="333399"/>
      <w:sz w:val="14"/>
    </w:rPr>
  </w:style>
  <w:style w:type="paragraph" w:customStyle="1" w:styleId="SectionTitletop">
    <w:name w:val="Section Title (top)"/>
    <w:basedOn w:val="SectionTitlelarge"/>
    <w:rsid w:val="00F64EC0"/>
    <w:pPr>
      <w:spacing w:before="600"/>
    </w:pPr>
  </w:style>
  <w:style w:type="paragraph" w:customStyle="1" w:styleId="SectionTitlethreelineslarge">
    <w:name w:val="Section Title (three lines) (large)"/>
    <w:basedOn w:val="Normal"/>
    <w:rsid w:val="00F64EC0"/>
    <w:pPr>
      <w:ind w:left="567" w:hanging="567"/>
    </w:pPr>
  </w:style>
  <w:style w:type="paragraph" w:customStyle="1" w:styleId="MapTitle">
    <w:name w:val="Map Title"/>
    <w:basedOn w:val="Normal"/>
    <w:rsid w:val="00F64EC0"/>
    <w:pPr>
      <w:spacing w:after="0"/>
    </w:pPr>
  </w:style>
  <w:style w:type="paragraph" w:styleId="Header">
    <w:name w:val="header"/>
    <w:basedOn w:val="Normal"/>
    <w:link w:val="HeaderChar"/>
    <w:unhideWhenUsed/>
    <w:rsid w:val="00F64EC0"/>
    <w:pPr>
      <w:tabs>
        <w:tab w:val="center" w:pos="4513"/>
        <w:tab w:val="right" w:pos="9026"/>
      </w:tabs>
      <w:spacing w:after="0" w:line="240" w:lineRule="auto"/>
    </w:pPr>
  </w:style>
  <w:style w:type="character" w:customStyle="1" w:styleId="HeaderChar">
    <w:name w:val="Header Char"/>
    <w:basedOn w:val="DefaultParagraphFont"/>
    <w:link w:val="Header"/>
    <w:rsid w:val="00F64EC0"/>
    <w:rPr>
      <w:rFonts w:ascii="EC Square Sans Pro" w:hAnsi="EC Square Sans Pro"/>
      <w:color w:val="000000"/>
      <w:szCs w:val="24"/>
      <w:lang w:val="fr-FR"/>
    </w:rPr>
  </w:style>
  <w:style w:type="paragraph" w:styleId="ListParagraph">
    <w:name w:val="List Paragraph"/>
    <w:basedOn w:val="Normal"/>
    <w:uiPriority w:val="34"/>
    <w:qFormat/>
    <w:rsid w:val="003C562C"/>
    <w:pPr>
      <w:ind w:left="720"/>
      <w:contextualSpacing/>
    </w:pPr>
  </w:style>
  <w:style w:type="paragraph" w:customStyle="1" w:styleId="Text1">
    <w:name w:val="Text 1"/>
    <w:basedOn w:val="Normal"/>
    <w:uiPriority w:val="99"/>
    <w:rsid w:val="00861E10"/>
    <w:pPr>
      <w:spacing w:before="120" w:line="240" w:lineRule="auto"/>
      <w:ind w:left="850"/>
    </w:pPr>
    <w:rPr>
      <w:rFonts w:ascii="Times New Roman" w:hAnsi="Times New Roman"/>
      <w:color w:val="auto"/>
      <w:sz w:val="24"/>
      <w:szCs w:val="20"/>
      <w:lang w:eastAsia="en-GB"/>
    </w:rPr>
  </w:style>
  <w:style w:type="character" w:styleId="CommentReference">
    <w:name w:val="annotation reference"/>
    <w:basedOn w:val="DefaultParagraphFont"/>
    <w:semiHidden/>
    <w:unhideWhenUsed/>
    <w:rsid w:val="00C25B3E"/>
    <w:rPr>
      <w:sz w:val="16"/>
      <w:szCs w:val="16"/>
    </w:rPr>
  </w:style>
  <w:style w:type="paragraph" w:styleId="CommentText">
    <w:name w:val="annotation text"/>
    <w:basedOn w:val="Normal"/>
    <w:link w:val="CommentTextChar"/>
    <w:unhideWhenUsed/>
    <w:rsid w:val="00C25B3E"/>
    <w:pPr>
      <w:spacing w:line="240" w:lineRule="auto"/>
    </w:pPr>
    <w:rPr>
      <w:szCs w:val="20"/>
    </w:rPr>
  </w:style>
  <w:style w:type="character" w:customStyle="1" w:styleId="CommentTextChar">
    <w:name w:val="Comment Text Char"/>
    <w:basedOn w:val="DefaultParagraphFont"/>
    <w:link w:val="CommentText"/>
    <w:rsid w:val="00C25B3E"/>
    <w:rPr>
      <w:rFonts w:ascii="EC Square Sans Pro" w:hAnsi="EC Square Sans Pro"/>
      <w:color w:val="000000"/>
      <w:lang w:val="fr-FR"/>
    </w:rPr>
  </w:style>
  <w:style w:type="paragraph" w:styleId="CommentSubject">
    <w:name w:val="annotation subject"/>
    <w:basedOn w:val="CommentText"/>
    <w:next w:val="CommentText"/>
    <w:link w:val="CommentSubjectChar"/>
    <w:semiHidden/>
    <w:unhideWhenUsed/>
    <w:rsid w:val="00C25B3E"/>
    <w:rPr>
      <w:b/>
      <w:bCs/>
    </w:rPr>
  </w:style>
  <w:style w:type="character" w:customStyle="1" w:styleId="CommentSubjectChar">
    <w:name w:val="Comment Subject Char"/>
    <w:basedOn w:val="CommentTextChar"/>
    <w:link w:val="CommentSubject"/>
    <w:semiHidden/>
    <w:rsid w:val="00C25B3E"/>
    <w:rPr>
      <w:rFonts w:ascii="EC Square Sans Pro" w:hAnsi="EC Square Sans Pro"/>
      <w:b/>
      <w:bCs/>
      <w:color w:val="000000"/>
      <w:lang w:val="fr-FR"/>
    </w:rPr>
  </w:style>
  <w:style w:type="paragraph" w:styleId="Revision">
    <w:name w:val="Revision"/>
    <w:hidden/>
    <w:uiPriority w:val="99"/>
    <w:semiHidden/>
    <w:rsid w:val="008D530F"/>
    <w:rPr>
      <w:rFonts w:ascii="EC Square Sans Pro" w:hAnsi="EC Square Sans Pro"/>
      <w:color w:val="000000"/>
      <w:szCs w:val="24"/>
    </w:rPr>
  </w:style>
  <w:style w:type="character" w:styleId="Hyperlink">
    <w:name w:val="Hyperlink"/>
    <w:basedOn w:val="DefaultParagraphFont"/>
    <w:uiPriority w:val="99"/>
    <w:unhideWhenUsed/>
    <w:rsid w:val="2C28BDD6"/>
    <w:rPr>
      <w:color w:val="0000FF"/>
      <w:u w:val="single"/>
    </w:rPr>
  </w:style>
  <w:style w:type="character" w:customStyle="1" w:styleId="FootnoteTextChar">
    <w:name w:val="Footnote Text Char"/>
    <w:basedOn w:val="DefaultParagraphFont"/>
    <w:link w:val="FootnoteText"/>
    <w:uiPriority w:val="99"/>
    <w:rsid w:val="009C6F80"/>
    <w:rPr>
      <w:rFonts w:ascii="EC Square Sans Pro" w:hAnsi="EC Square Sans Pro"/>
      <w:color w:val="000000"/>
      <w:sz w:val="16"/>
      <w:lang w:val="fr-F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518DF"/>
    <w:pPr>
      <w:spacing w:after="160" w:line="240" w:lineRule="exact"/>
    </w:pPr>
    <w:rPr>
      <w:rFonts w:ascii="Times New Roman" w:hAnsi="Times New Roman"/>
      <w:color w:val="auto"/>
      <w:szCs w:val="20"/>
      <w:vertAlign w:val="superscript"/>
    </w:rPr>
  </w:style>
  <w:style w:type="character" w:customStyle="1" w:styleId="Mention">
    <w:name w:val="Mention"/>
    <w:basedOn w:val="DefaultParagraphFont"/>
    <w:uiPriority w:val="99"/>
    <w:unhideWhenUsed/>
    <w:rsid w:val="005652EF"/>
    <w:rPr>
      <w:color w:val="2B579A"/>
      <w:shd w:val="clear" w:color="auto" w:fill="E1DFDD"/>
    </w:rPr>
  </w:style>
  <w:style w:type="character" w:customStyle="1" w:styleId="Marker">
    <w:name w:val="Marker"/>
    <w:basedOn w:val="DefaultParagraphFont"/>
    <w:rsid w:val="00E46E5E"/>
    <w:rPr>
      <w:color w:val="0000FF"/>
      <w:shd w:val="clear" w:color="auto" w:fill="auto"/>
    </w:rPr>
  </w:style>
  <w:style w:type="paragraph" w:customStyle="1" w:styleId="Pagedecouverture">
    <w:name w:val="Page de couverture"/>
    <w:basedOn w:val="Normal"/>
    <w:next w:val="Normal"/>
    <w:rsid w:val="00E46E5E"/>
    <w:pPr>
      <w:spacing w:after="0" w:line="240" w:lineRule="auto"/>
    </w:pPr>
    <w:rPr>
      <w:rFonts w:ascii="Times New Roman" w:eastAsiaTheme="minorHAnsi" w:hAnsi="Times New Roman"/>
      <w:color w:val="auto"/>
      <w:sz w:val="24"/>
      <w:szCs w:val="22"/>
    </w:rPr>
  </w:style>
  <w:style w:type="paragraph" w:customStyle="1" w:styleId="FooterCoverPage">
    <w:name w:val="Footer Cover Page"/>
    <w:basedOn w:val="Normal"/>
    <w:link w:val="FooterCoverPageChar"/>
    <w:rsid w:val="00E46E5E"/>
    <w:pPr>
      <w:tabs>
        <w:tab w:val="center" w:pos="4535"/>
        <w:tab w:val="right" w:pos="9071"/>
        <w:tab w:val="right" w:pos="9921"/>
      </w:tabs>
      <w:spacing w:before="360" w:after="0" w:line="240" w:lineRule="auto"/>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E46E5E"/>
    <w:rPr>
      <w:color w:val="000000"/>
      <w:sz w:val="24"/>
      <w:szCs w:val="24"/>
    </w:rPr>
  </w:style>
  <w:style w:type="paragraph" w:customStyle="1" w:styleId="FooterSensitivity">
    <w:name w:val="Footer Sensitivity"/>
    <w:basedOn w:val="Normal"/>
    <w:link w:val="FooterSensitivityChar"/>
    <w:rsid w:val="00E46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E46E5E"/>
    <w:rPr>
      <w:b/>
      <w:color w:val="000000"/>
      <w:sz w:val="32"/>
      <w:szCs w:val="24"/>
    </w:rPr>
  </w:style>
  <w:style w:type="paragraph" w:customStyle="1" w:styleId="HeaderCoverPage">
    <w:name w:val="Header Cover Page"/>
    <w:basedOn w:val="Normal"/>
    <w:link w:val="HeaderCoverPageChar"/>
    <w:rsid w:val="00E46E5E"/>
    <w:pPr>
      <w:tabs>
        <w:tab w:val="center" w:pos="4535"/>
        <w:tab w:val="right" w:pos="9071"/>
      </w:tabs>
      <w:spacing w:line="240" w:lineRule="auto"/>
    </w:pPr>
    <w:rPr>
      <w:rFonts w:ascii="Times New Roman" w:hAnsi="Times New Roman"/>
      <w:sz w:val="24"/>
    </w:rPr>
  </w:style>
  <w:style w:type="character" w:customStyle="1" w:styleId="HeaderCoverPageChar">
    <w:name w:val="Header Cover Page Char"/>
    <w:basedOn w:val="DefaultParagraphFont"/>
    <w:link w:val="HeaderCoverPage"/>
    <w:rsid w:val="00E46E5E"/>
    <w:rPr>
      <w:color w:val="000000"/>
      <w:sz w:val="24"/>
      <w:szCs w:val="24"/>
    </w:rPr>
  </w:style>
  <w:style w:type="paragraph" w:customStyle="1" w:styleId="HeaderSensitivity">
    <w:name w:val="Header Sensitivity"/>
    <w:basedOn w:val="Normal"/>
    <w:link w:val="HeaderSensitivityChar"/>
    <w:rsid w:val="00E46E5E"/>
    <w:pPr>
      <w:pBdr>
        <w:top w:val="single" w:sz="4" w:space="1" w:color="auto"/>
        <w:left w:val="single" w:sz="4" w:space="4" w:color="auto"/>
        <w:bottom w:val="single" w:sz="4" w:space="1" w:color="auto"/>
        <w:right w:val="single" w:sz="4" w:space="4" w:color="auto"/>
      </w:pBdr>
      <w:spacing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E46E5E"/>
    <w:rPr>
      <w:b/>
      <w:color w:val="000000"/>
      <w:sz w:val="32"/>
      <w:szCs w:val="24"/>
    </w:rPr>
  </w:style>
  <w:style w:type="paragraph" w:customStyle="1" w:styleId="HeaderSensitivityRight">
    <w:name w:val="Header Sensitivity Right"/>
    <w:basedOn w:val="Normal"/>
    <w:link w:val="HeaderSensitivityRightChar"/>
    <w:rsid w:val="00E46E5E"/>
    <w:pPr>
      <w:spacing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E46E5E"/>
    <w:rPr>
      <w:color w:val="000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294892">
      <w:bodyDiv w:val="1"/>
      <w:marLeft w:val="0"/>
      <w:marRight w:val="0"/>
      <w:marTop w:val="0"/>
      <w:marBottom w:val="0"/>
      <w:divBdr>
        <w:top w:val="none" w:sz="0" w:space="0" w:color="auto"/>
        <w:left w:val="none" w:sz="0" w:space="0" w:color="auto"/>
        <w:bottom w:val="none" w:sz="0" w:space="0" w:color="auto"/>
        <w:right w:val="none" w:sz="0" w:space="0" w:color="auto"/>
      </w:divBdr>
    </w:div>
    <w:div w:id="1664044294">
      <w:bodyDiv w:val="1"/>
      <w:marLeft w:val="0"/>
      <w:marRight w:val="0"/>
      <w:marTop w:val="0"/>
      <w:marBottom w:val="0"/>
      <w:divBdr>
        <w:top w:val="none" w:sz="0" w:space="0" w:color="auto"/>
        <w:left w:val="none" w:sz="0" w:space="0" w:color="auto"/>
        <w:bottom w:val="none" w:sz="0" w:space="0" w:color="auto"/>
        <w:right w:val="none" w:sz="0" w:space="0" w:color="auto"/>
      </w:divBdr>
    </w:div>
    <w:div w:id="1784107409">
      <w:bodyDiv w:val="1"/>
      <w:marLeft w:val="0"/>
      <w:marRight w:val="0"/>
      <w:marTop w:val="0"/>
      <w:marBottom w:val="0"/>
      <w:divBdr>
        <w:top w:val="none" w:sz="0" w:space="0" w:color="auto"/>
        <w:left w:val="none" w:sz="0" w:space="0" w:color="auto"/>
        <w:bottom w:val="none" w:sz="0" w:space="0" w:color="auto"/>
        <w:right w:val="none" w:sz="0" w:space="0" w:color="auto"/>
      </w:divBdr>
    </w:div>
    <w:div w:id="202947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ECBCA-A1B2-442B-8214-5A3FAEFE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12670</Words>
  <Characters>72222</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30</cp:revision>
  <dcterms:created xsi:type="dcterms:W3CDTF">2026-06-21T17:54:00Z</dcterms:created>
  <dcterms:modified xsi:type="dcterms:W3CDTF">2026-07-01T08:57:00Z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2026-06-21T17:54:01Z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fa656a86-fab6-4f66-8563-8c7c48af66ff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