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85873" w14:textId="0683D79F" w:rsidR="00E46E5E" w:rsidRPr="003D0413" w:rsidRDefault="003D2F00" w:rsidP="003D2F00">
      <w:pPr>
        <w:pStyle w:val="Pagedecouverture"/>
        <w:rPr>
          <w:noProof/>
        </w:rPr>
      </w:pPr>
      <w:bookmarkStart w:id="0" w:name="GUID0C83FB94D4D5468DAEDF020B9CAAF142"/>
      <w:bookmarkStart w:id="1" w:name="LW_BM_COVERPAGE"/>
      <w:r>
        <w:rPr>
          <w:noProof/>
        </w:rPr>
        <w:pict w14:anchorId="4114B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F28F1D-993F-47E5-B2F7-6DF93D72368C" style="width:455.25pt;height:342pt">
            <v:imagedata r:id="rId8" o:title=""/>
          </v:shape>
        </w:pict>
      </w:r>
    </w:p>
    <w:bookmarkEnd w:id="1"/>
    <w:p w14:paraId="56819F7E" w14:textId="09535223" w:rsidR="00C3471D" w:rsidRPr="003D0413" w:rsidRDefault="00C3471D" w:rsidP="00C3471D">
      <w:pPr>
        <w:pStyle w:val="Pagedecouverture"/>
        <w:rPr>
          <w:noProof/>
        </w:rPr>
        <w:sectPr w:rsidR="00C3471D" w:rsidRPr="003D0413" w:rsidSect="003D2F00">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7" w:h="16839"/>
          <w:pgMar w:top="1134" w:right="1417" w:bottom="1134" w:left="1417" w:header="709" w:footer="709" w:gutter="0"/>
          <w:pgNumType w:start="0"/>
          <w:cols w:space="720"/>
          <w:docGrid w:linePitch="360"/>
        </w:sectPr>
      </w:pPr>
    </w:p>
    <w:p w14:paraId="3F4D3AAB" w14:textId="77777777" w:rsidR="009331D7" w:rsidRPr="003D0413" w:rsidRDefault="009331D7" w:rsidP="00D85738">
      <w:pPr>
        <w:rPr>
          <w:noProof/>
        </w:rPr>
      </w:pPr>
      <w:bookmarkStart w:id="2" w:name="_GoBack"/>
      <w:bookmarkEnd w:id="2"/>
    </w:p>
    <w:p w14:paraId="5AF1D865" w14:textId="46CFB80F" w:rsidR="009331D7" w:rsidRPr="003D0413" w:rsidRDefault="009331D7" w:rsidP="00D00781">
      <w:pPr>
        <w:numPr>
          <w:ilvl w:val="0"/>
          <w:numId w:val="1"/>
        </w:numPr>
        <w:ind w:left="567" w:hanging="567"/>
        <w:rPr>
          <w:b/>
          <w:bCs/>
          <w:noProof/>
        </w:rPr>
      </w:pPr>
      <w:r w:rsidRPr="003D0413">
        <w:rPr>
          <w:b/>
          <w:noProof/>
        </w:rPr>
        <w:t>OBIECTIVUL RAPORTULUI</w:t>
      </w:r>
    </w:p>
    <w:p w14:paraId="06DCB12B" w14:textId="2639A77B" w:rsidR="00F410AB" w:rsidRPr="003D0413" w:rsidRDefault="00F410AB" w:rsidP="004D64E3">
      <w:pPr>
        <w:ind w:left="567"/>
        <w:rPr>
          <w:noProof/>
        </w:rPr>
      </w:pPr>
      <w:r w:rsidRPr="003D0413">
        <w:rPr>
          <w:noProof/>
        </w:rPr>
        <w:t>Euro are vocația de a deveni moneda unică a întregii Uniuni Europene. În prezent, este utilizat zilnic de aproximativ 355 de milioane de persoane în 21 de state membre din zona euro. Printre avantajele practice ale monedei euro se numără prețuri mai stabile, costuri mai mici de tranzacție pentru persoane fizice și întreprinderi, piețe mai transparente și mai competitive, precum și schimburi comerciale mai intense în interiorul UE și cu restul lumii. Euro este, în prezent, a doua monedă ca utilizare din lume.</w:t>
      </w:r>
    </w:p>
    <w:p w14:paraId="63AE047A" w14:textId="40F99D16" w:rsidR="009C6F80" w:rsidRPr="003D0413" w:rsidRDefault="00F410AB" w:rsidP="004D64E3">
      <w:pPr>
        <w:ind w:left="567"/>
        <w:rPr>
          <w:noProof/>
        </w:rPr>
      </w:pPr>
      <w:r w:rsidRPr="003D0413">
        <w:rPr>
          <w:noProof/>
        </w:rPr>
        <w:t>Articolul 140 alineatul (1) din Tratatul privind funcționarea Uniunii Europene (TFUE) prevede ca, cel puțin o dată la doi ani sau la cererea unui stat membru care face obiectul unei derogări</w:t>
      </w:r>
      <w:r w:rsidRPr="003D0413">
        <w:rPr>
          <w:rStyle w:val="FootnoteReference"/>
          <w:noProof/>
        </w:rPr>
        <w:footnoteReference w:id="2"/>
      </w:r>
      <w:r w:rsidRPr="003D0413">
        <w:rPr>
          <w:noProof/>
        </w:rPr>
        <w:t xml:space="preserve">, Comisia și Banca Centrală Europeană (BCE) să prezinte Consiliului un raport cu privire la progresele înregistrate de statele membre care fac obiectul unei derogări în îndeplinirea obligațiilor care le revin pentru realizarea uniunii economice și monetare. Cele mai recente rapoarte periodice de convergență elaborate de Comisie și de BCE au fost adoptate în iunie 2024. </w:t>
      </w:r>
    </w:p>
    <w:p w14:paraId="011A551A" w14:textId="76607163" w:rsidR="009C6F80" w:rsidRPr="003D0413" w:rsidRDefault="2CB1302E" w:rsidP="009C6F80">
      <w:pPr>
        <w:ind w:left="567"/>
        <w:rPr>
          <w:noProof/>
        </w:rPr>
      </w:pPr>
      <w:r w:rsidRPr="003D0413">
        <w:rPr>
          <w:noProof/>
        </w:rPr>
        <w:t>La 25 februarie 2025, Bulgaria a depus o cerere de evaluare ad-hoc a convergenței. În urma pregătirii unui raport de convergență privind Bulgaria și pe baza unei propuneri a Comisiei, Consiliul a decis în iulie 2025 că Bulgaria îndeplinește condițiile necesare pentru adoptarea monedei euro la 1 ianuarie 2026</w:t>
      </w:r>
      <w:r w:rsidRPr="003D0413">
        <w:rPr>
          <w:rStyle w:val="FootnoteReference"/>
          <w:noProof/>
        </w:rPr>
        <w:footnoteReference w:id="3"/>
      </w:r>
      <w:r w:rsidRPr="003D0413">
        <w:rPr>
          <w:noProof/>
        </w:rPr>
        <w:t xml:space="preserve">. </w:t>
      </w:r>
    </w:p>
    <w:p w14:paraId="293A9D79" w14:textId="6CEAEC15" w:rsidR="00F410AB" w:rsidRPr="003D0413" w:rsidRDefault="00F410AB" w:rsidP="004D64E3">
      <w:pPr>
        <w:ind w:left="567"/>
        <w:rPr>
          <w:noProof/>
        </w:rPr>
      </w:pPr>
      <w:r w:rsidRPr="003D0413">
        <w:rPr>
          <w:noProof/>
        </w:rPr>
        <w:t>Prezentul raport de convergență pe 2026 vizează următoarele cinci state membre care fac obiectul unei derogări: Cehia, Ungaria, Polonia, România și Suedia</w:t>
      </w:r>
      <w:r w:rsidRPr="003D0413">
        <w:rPr>
          <w:rStyle w:val="FootnoteReference"/>
          <w:noProof/>
        </w:rPr>
        <w:footnoteReference w:id="4"/>
      </w:r>
      <w:r w:rsidRPr="003D0413">
        <w:rPr>
          <w:noProof/>
        </w:rPr>
        <w:t>. Documentul de lucru al serviciilor Comisiei care însoțește prezentul raport oferă o evaluare mai detaliată a stadiului de convergență din aceste state membre</w:t>
      </w:r>
      <w:r w:rsidRPr="003D0413">
        <w:rPr>
          <w:rStyle w:val="FootnoteReference"/>
          <w:noProof/>
        </w:rPr>
        <w:footnoteReference w:id="5"/>
      </w:r>
      <w:r w:rsidRPr="003D0413">
        <w:rPr>
          <w:noProof/>
        </w:rPr>
        <w:t>.</w:t>
      </w:r>
    </w:p>
    <w:p w14:paraId="175EA11C" w14:textId="5ACDA170" w:rsidR="00D85CC2" w:rsidRPr="003D0413" w:rsidRDefault="00D85CC2" w:rsidP="00D85CC2">
      <w:pPr>
        <w:ind w:left="567"/>
        <w:rPr>
          <w:noProof/>
        </w:rPr>
      </w:pPr>
      <w:r w:rsidRPr="003D0413">
        <w:rPr>
          <w:noProof/>
        </w:rPr>
        <w:t>Articolul 140 alineatul (1) din TFUE prevede că rapoartele trebuie să includă o examinare a compatibilității legislației naționale, inclusiv a statutului băncilor centrale naționale, cu articolele 130 și 131 din TFUE și cu Statutul Sistemului European al Băncilor Centrale și al Băncii Centrale Europene („statutul SEBC/BCE”). De asemenea, rapoartele trebuie să examineze dacă statul membru în cauză a atins un grad înalt de convergență durabilă (i) prin referire la îndeplinirea celor patru criterii de convergență (stabilitatea prețurilor, finanțele publice, stabilitatea cursului de schimb și ratele dobânzilor pe termen lung) și (ii) prin luarea în considerare a altor factori relevanți pentru integrarea economică și pentru convergență menționați la articolul 140 alineatul (1) ultimul paragraf din TFUE. Cele patru criterii de convergență sunt prezentate pe larg într-un protocol anexat la tratate (Protocolul nr. 13 privind criteriile de convergență).</w:t>
      </w:r>
    </w:p>
    <w:p w14:paraId="2EFDAC89" w14:textId="30C5D669" w:rsidR="0027082F" w:rsidRPr="003D0413" w:rsidRDefault="0027082F" w:rsidP="0027082F">
      <w:pPr>
        <w:ind w:left="567"/>
        <w:rPr>
          <w:noProof/>
        </w:rPr>
      </w:pPr>
      <w:r w:rsidRPr="003D0413">
        <w:rPr>
          <w:noProof/>
        </w:rPr>
        <w:t xml:space="preserve">Evaluarea convergenței din prezentul raport este prezentată în contextul mai multor evoluții economice și politice majore din cursul anului 2025 și din prima jumătate a anului 2026. </w:t>
      </w:r>
      <w:bookmarkStart w:id="3" w:name="_Hlk232343565"/>
      <w:r w:rsidRPr="003D0413">
        <w:rPr>
          <w:noProof/>
        </w:rPr>
        <w:t xml:space="preserve">În 2025, volatilitatea politicii comerciale a SUA și creșterea tarifelor comerciale ale SUA, deși de o amploare mai redusă decât cea anunțată inițial, au perturbat fluxurile comerciale mondiale și au condus la accentuarea incertitudinii în materie de politici. Cu toate acestea, în pofida unui context extern dificil, economia UE a dat dovadă de reziliență și a continuat să crească într-un ritm susținut. După o creștere economică moderată de 1,0 % în 2024, economia UE a intrat pe o pantă ascendentă în 2025, PIB-ul crescând în consecință cu 1,4 %. Această creștere a fost susținută de o piață a muncii puternică, de atenuarea tensiunilor inflaționiste și de condiții financiare favorabile. După nivelurile maxime atinse în perioada 2022-23, inflația anuală a prețurilor de consum a scăzut la 2,6 % în 2024 și la 2,5 % în 2025. Pe fondul reducerii prețurilor energiei și al temperării inflației în sectorul serviciilor, aceasta a continuat să scadă în întreaga UE în prima jumătate a anului 2025, stabilizându-se ulterior în jurul valorii de 2 % în a doua jumătate a anului și în primele două luni ale anului 2026. </w:t>
      </w:r>
    </w:p>
    <w:bookmarkEnd w:id="3"/>
    <w:p w14:paraId="4A3E1D3A" w14:textId="4EA7EB95" w:rsidR="00816876" w:rsidRPr="003D0413" w:rsidRDefault="00816876" w:rsidP="00816876">
      <w:pPr>
        <w:ind w:left="567"/>
        <w:rPr>
          <w:noProof/>
        </w:rPr>
      </w:pPr>
      <w:r w:rsidRPr="003D0413">
        <w:rPr>
          <w:noProof/>
        </w:rPr>
        <w:t>Izbucnirea războiului din Orientul Mijlociu la 28 februarie 2026 a modificat însă semnificativ această perspectivă, generând cea mai importantă perturbare a aprovizionării mondiale cu energie din istoria recentă. Conflictul din Orientul Mijlociu a fost urmat de închiderea aproape completă a strâmtorii Ormuz, ceea ce a redus fluxurile maritime de petrol și GNL și a determinat creșterea bruscă a prețurilor energiei. În perioada cuprinsă între izbucnirea conflictului din Orientul Mijlociu și 29 aprilie – data-limită pentru formularea ipotezelor tehnice din previziunile economice ale Comisiei din primăvara anului 2026, care stă la baza evaluării sustenabilității din prezentul raport de convergență – prețurile petrolului și gazelor au crescut cu 65 %, respectiv 50 %, ceea ce a condus la o accelerare puternică a inflației în sectorul energetic. Se estimează că presiunile asupra prețurilor se vor extinde treptat, pe măsură ce creșterea costurilor energiei se propagă de-a lungul lanțului de producție și este transferată parțial către consumatori. Ipotezele externe incluse în previziunile economice ale Comisiei din primăvara anului 2026 țin seama de traiectoria prețurilor la termen ale produselor energetice de bază la data-limită a elaborării previziunilor. Aceste ipoteze privind produsele energetice sugerează o normalizare relativ rapidă, deși parțială, a condițiilor de aprovizionare, preconizându-se că, până în 2027, prețurile petrolului și gazelor se vor stabiliza la niveluri cu aproximativ 20 % peste cele înregistrate înaintea izbucnirii războiului.</w:t>
      </w:r>
    </w:p>
    <w:p w14:paraId="348908B6" w14:textId="2872B05C" w:rsidR="0027082F" w:rsidRPr="003D0413" w:rsidRDefault="0027082F" w:rsidP="0027082F">
      <w:pPr>
        <w:ind w:left="567"/>
        <w:rPr>
          <w:noProof/>
        </w:rPr>
      </w:pPr>
      <w:r w:rsidRPr="003D0413">
        <w:rPr>
          <w:noProof/>
        </w:rPr>
        <w:t>În paralel, continuarea războiului de agresiune al Rusiei împotriva Ucrainei implică o amenințare semnificativă la adresa securității europene și impune majorarea cheltuielilor pentru apărare în viitorul apropiat. În acest context, Comisia a prezentat, în martie 2025, un pachet de măsuri în domeniul apărării în cadrul Planului „ReArm Europe – Pregătirea pentru 2030”. În cadrul acestui plan, Comisia a invitat statele membre să solicite activarea clauzei derogatorii naționale prevăzute în Pactul de stabilitate și de creștere, care le oferă o marjă bugetară suplimentară pentru a trece la un nivel mai ridicat al cheltuielilor pentru apărare, în cadrul normelor bugetare ale UE. Cuantumul abaterii planificate de la traiectoria recomandată a cheltuielilor nete în temeiul clauzei derogatorii este plafonat la 1,5 % din PIB, disponibil pentru o perioadă de patru ani. În plus, noul pachet denumit Acțiunea pentru securitatea Europei (SAFE) oferă împrumuturi de până la 150 de miliarde EUR pentru a ajuta statele membre ale UE să crească rapid și substanțial investițiile în capabilitățile de apărare ale Europei.</w:t>
      </w:r>
    </w:p>
    <w:p w14:paraId="081FEEC9" w14:textId="1988B75D" w:rsidR="0027082F" w:rsidRPr="003D0413" w:rsidRDefault="00B812A0" w:rsidP="0027082F">
      <w:pPr>
        <w:ind w:left="567"/>
        <w:rPr>
          <w:noProof/>
        </w:rPr>
      </w:pPr>
      <w:r w:rsidRPr="003D0413">
        <w:rPr>
          <w:noProof/>
        </w:rPr>
        <w:t xml:space="preserve">Se preconizează că accelerarea punerii în aplicare a planurilor naționale de redresare și reziliență (PNRR), înainte de închiderea Mecanismului de redresare și reziliență (MRR) la sfârșitul anului, împreună cu progresele înregistrate în punerea în aplicare a programelor politicii de coeziune pentru perioada 2021-2027, vor compensa parțial consecințele negative ale instabilității geopolitice actuale și vor contribui la procesul de convergență al statelor membre ale UE din afara zonei euro. Pe lângă contribuția la accelerarea creșterii și la îmbunătățirea finanțelor publice, MRR și programele politicii de coeziune consolidează creșterea și reziliența pe termen lung a statelor membre prin sprijinirea reformelor și a investițiilor majore menite să răspundă atât provocărilor de lungă durată, cât și celor recente, cum ar fi diversificarea aprovizionării cu energie. Până la sfârșitul lunii mai 2026, plățile MRR au ajuns la 405,9 miliarde EUR, ceea ce reprezintă aproximativ 70 % din cuantumul total al sprijinului angajat în cadrul MRR. Pentru perioada 2021-2027, UE va oferi statelor membre finanțare în valoare de 420 de miliarde EUR în cadrul politicii de coeziune. Politica de coeziune se axează pe domenii esențiale pentru promovarea convergenței și a competitivității. Aceasta sprijină investițiile pe termen lung în conformitate cu prioritățile UE, încurajează creșterea PIB-ului UE și are un impact deosebit de mare asupra statelor membre și a regiunilor care sunt principalii beneficiari ai politicii. Evaluarea la jumătatea perioadei a politicii de coeziune, finalizată în toamna anului 2025, a oferit statelor membre o flexibilitate sporită și stimulente pentru a utiliza mai rapid resursele existente, pentru a accelera punerea în aplicare a programelor și pentru a alinia mai bine finanțarea la prioritățile majore ale UE. </w:t>
      </w:r>
    </w:p>
    <w:p w14:paraId="4C183F21" w14:textId="2967696B" w:rsidR="0027082F" w:rsidRPr="003D0413" w:rsidRDefault="0027082F" w:rsidP="0027082F">
      <w:pPr>
        <w:ind w:left="567"/>
        <w:rPr>
          <w:noProof/>
        </w:rPr>
      </w:pPr>
      <w:r w:rsidRPr="003D0413">
        <w:rPr>
          <w:noProof/>
        </w:rPr>
        <w:t xml:space="preserve">La 22 aprilie 2026, Comisia a adoptat Comunicarea „AccelerateEU”, care a prezentat un set cuprinzător de acțiuni și măsuri destinate combaterii creșterii costurilor energiei și reducerii suplimentare a dependenței de piețele volatile ale combustibililor fosili, plasând totodată Europa pe o traiectorie stabilă către independența energetică. Planul urmărește să ofere ajutor consumatorilor care se confruntă cu creșteri bruște ale prețurilor energiei și să accelereze tranziția către o energie curată, sigură și la prețuri accesibile. Numeroase state membre au adoptat măsuri de politică bugetară pentru a atenua impactul social și economic al prețurilor ridicate ale energiei asupra gospodăriilor și întreprinderilor. Potrivit previziunilor economice ale Comisiei din primăvara anului 2026, costul bugetar total al unor astfel de măsuri este de 14,6 miliarde EUR, echivalentul a 0,07 % din PIB-ul UE în 2026, cu diferențe semnificative între statele membre. </w:t>
      </w:r>
    </w:p>
    <w:p w14:paraId="6B464E2F" w14:textId="3FBDA7EA" w:rsidR="009A1B23" w:rsidRPr="003D0413" w:rsidRDefault="009A1B23" w:rsidP="009A1B23">
      <w:pPr>
        <w:ind w:left="567"/>
        <w:rPr>
          <w:noProof/>
        </w:rPr>
      </w:pPr>
      <w:r w:rsidRPr="003D0413">
        <w:rPr>
          <w:noProof/>
        </w:rPr>
        <w:t xml:space="preserve">La 3 iunie 2026, Comisia a publicat pachetul de primăvară al semestrului european 2026. Pachetul include evaluarea de către Comisie a respectării de către statele membre a recomandărilor relevante ale Consiliului privind politica bugetară. Pentru cele 10 state membre care fac în prezent obiectul procedurii aplicabile deficitelor excesive (PDE), inclusiv Ungaria, Polonia și România, Comisia a evaluat acțiunile întreprinse ca răspuns la recomandările Consiliului în cadrul PDE. Pentru celelalte state membre (care nu fac în prezent obiectul PDE), inclusiv Cehia și Suedia, Comisia a evaluat progresele înregistrate în ceea ce privește punerea în aplicare a planurilor pe termen mediu și respectarea recomandărilor relevante ale Consiliului. Pentru statele membre care beneficiază de o perioadă de ajustare bugetară de șapte ani în loc de patru ani în contextul planurilor lor pe termen mediu, inclusiv România, Comisia a evaluat totodată punerea în aplicare a principalelor etape aferente angajamentelor privind reforma și investițiile care au stat la baza acordării acestei prelungiri. Comisia a anunțat, de asemenea, că statele membre care iau măsuri pentru a consolida securitatea energetică a Europei și pentru a accelera tranziția de la combustibilii fosili la alte surse de energie pot solicita o flexibilitate bugetară limitată în temeiul actualei clauze derogatorii naționale pentru cheltuielile pentru apărare. La cererea statului membru, domeniul de aplicare al clauzei poate fi extins pentru a include măsuri, aplicate începând cu februarie 2026, care reduc dependența de combustibilii fosili importați, în limita unui plafon anual specific pentru perioada 2026-2028 (0,3 % din PIB) și a unui plafon cumulativ (0,6 % din PIB). </w:t>
      </w:r>
    </w:p>
    <w:p w14:paraId="46CB412A" w14:textId="77777777" w:rsidR="001B33BE" w:rsidRPr="003D0413" w:rsidRDefault="001B33BE" w:rsidP="001B33BE">
      <w:pPr>
        <w:ind w:left="567"/>
        <w:rPr>
          <w:i/>
          <w:iCs/>
          <w:noProof/>
          <w:u w:val="single"/>
        </w:rPr>
      </w:pPr>
      <w:r w:rsidRPr="003D0413">
        <w:rPr>
          <w:i/>
          <w:noProof/>
          <w:u w:val="single"/>
        </w:rPr>
        <w:t>Criterii de convergență</w:t>
      </w:r>
    </w:p>
    <w:p w14:paraId="7E8FB402" w14:textId="1D92510E" w:rsidR="001B33BE" w:rsidRPr="003D0413" w:rsidRDefault="001B33BE" w:rsidP="001B33BE">
      <w:pPr>
        <w:ind w:left="567"/>
        <w:rPr>
          <w:noProof/>
        </w:rPr>
      </w:pPr>
      <w:r w:rsidRPr="003D0413">
        <w:rPr>
          <w:noProof/>
        </w:rPr>
        <w:t xml:space="preserve">Examinarea </w:t>
      </w:r>
      <w:r w:rsidRPr="003D0413">
        <w:rPr>
          <w:b/>
          <w:noProof/>
        </w:rPr>
        <w:t>compatibilității legislației naționale</w:t>
      </w:r>
      <w:r w:rsidRPr="003D0413">
        <w:rPr>
          <w:noProof/>
        </w:rPr>
        <w:t xml:space="preserve"> a statelor membre care fac obiectul unei derogări, inclusiv a statutului băncilor centrale naționale, cu articolul 130 din TFUE și cu obligația de conformitate de la articolul 131 din TFUE include o evaluare a respectării interdicției referitoare la finanțarea monetară (articolul 123 din TFUE) și a interdicției referitoare la accesul preferențial la instituțiile financiare (articolul 124 din TFUE); a coerenței cu obiectivele SEBC [articolul 127 alineatul (1) din TFUE] și cu misiunile acestuia [articolul 127 alineatul (2) din TFUE] și a altor aspecte legate de integrarea băncilor centrale naționale în Eurosistem</w:t>
      </w:r>
      <w:r w:rsidRPr="003D0413">
        <w:rPr>
          <w:rStyle w:val="FootnoteReference"/>
          <w:noProof/>
        </w:rPr>
        <w:footnoteReference w:id="6"/>
      </w:r>
      <w:r w:rsidRPr="003D0413">
        <w:rPr>
          <w:noProof/>
        </w:rPr>
        <w:t xml:space="preserve">. </w:t>
      </w:r>
    </w:p>
    <w:p w14:paraId="69F9A311" w14:textId="77777777" w:rsidR="001B33BE" w:rsidRPr="003D0413" w:rsidRDefault="001B33BE" w:rsidP="001B33BE">
      <w:pPr>
        <w:ind w:left="567"/>
        <w:rPr>
          <w:i/>
          <w:iCs/>
          <w:noProof/>
        </w:rPr>
      </w:pPr>
      <w:r w:rsidRPr="003D0413">
        <w:rPr>
          <w:b/>
          <w:noProof/>
        </w:rPr>
        <w:t>Criteriul stabilității prețurilor</w:t>
      </w:r>
      <w:r w:rsidRPr="003D0413">
        <w:rPr>
          <w:noProof/>
        </w:rPr>
        <w:t xml:space="preserve"> este definit la articolul 140 alineatul (1) prima liniuță din TFUE ca fiind </w:t>
      </w:r>
      <w:r w:rsidRPr="003D0413">
        <w:rPr>
          <w:i/>
          <w:noProof/>
        </w:rPr>
        <w:t>„realizarea unui grad înalt de stabilitate a prețurilor; acest lucru rezultă dintr-o rată a inflației apropiată de rata a cel mult trei state membre care au cele mai bune rezultate în materie de stabilitate a prețurilor”.</w:t>
      </w:r>
    </w:p>
    <w:p w14:paraId="28F1A436" w14:textId="77777777" w:rsidR="001B33BE" w:rsidRPr="003D0413" w:rsidRDefault="001B33BE" w:rsidP="001B33BE">
      <w:pPr>
        <w:ind w:left="567"/>
        <w:rPr>
          <w:i/>
          <w:iCs/>
          <w:noProof/>
        </w:rPr>
      </w:pPr>
      <w:r w:rsidRPr="003D0413">
        <w:rPr>
          <w:noProof/>
        </w:rPr>
        <w:t xml:space="preserve">Articolul 1 din Protocolul privind criteriile de convergență prevede că </w:t>
      </w:r>
      <w:r w:rsidRPr="003D0413">
        <w:rPr>
          <w:i/>
          <w:noProof/>
        </w:rPr>
        <w:t>„criteriul stabilității prețurilor [...] înseamnă că un stat membru are o stabilitate durabilă a nivelului prețurilor și o rată medie a inflației, în cursul unei perioade de un an înaintea examinării, care nu poate depăși cu mai mult de 1,5</w:t>
      </w:r>
      <w:r w:rsidRPr="003D0413">
        <w:rPr>
          <w:rFonts w:ascii="Calibri" w:hAnsi="Calibri" w:cs="Calibri"/>
          <w:i/>
          <w:noProof/>
        </w:rPr>
        <w:t> </w:t>
      </w:r>
      <w:r w:rsidRPr="003D0413">
        <w:rPr>
          <w:i/>
          <w:noProof/>
        </w:rPr>
        <w:t>% rata infla</w:t>
      </w:r>
      <w:r w:rsidRPr="003D0413">
        <w:rPr>
          <w:rFonts w:cs="EC Square Sans Pro"/>
          <w:i/>
          <w:noProof/>
        </w:rPr>
        <w:t>ț</w:t>
      </w:r>
      <w:r w:rsidRPr="003D0413">
        <w:rPr>
          <w:i/>
          <w:noProof/>
        </w:rPr>
        <w:t xml:space="preserve">iei a cel mult trei state membre care au </w:t>
      </w:r>
      <w:r w:rsidRPr="003D0413">
        <w:rPr>
          <w:rFonts w:cs="EC Square Sans Pro"/>
          <w:i/>
          <w:noProof/>
        </w:rPr>
        <w:t>î</w:t>
      </w:r>
      <w:r w:rsidRPr="003D0413">
        <w:rPr>
          <w:i/>
          <w:noProof/>
        </w:rPr>
        <w:t xml:space="preserve">nregistrat cele mai bune rezultate </w:t>
      </w:r>
      <w:r w:rsidRPr="003D0413">
        <w:rPr>
          <w:rFonts w:cs="EC Square Sans Pro"/>
          <w:i/>
          <w:noProof/>
        </w:rPr>
        <w:t>î</w:t>
      </w:r>
      <w:r w:rsidRPr="003D0413">
        <w:rPr>
          <w:i/>
          <w:noProof/>
        </w:rPr>
        <w:t>n domeniul stabilit</w:t>
      </w:r>
      <w:r w:rsidRPr="003D0413">
        <w:rPr>
          <w:rFonts w:cs="EC Square Sans Pro"/>
          <w:i/>
          <w:noProof/>
        </w:rPr>
        <w:t>ăț</w:t>
      </w:r>
      <w:r w:rsidRPr="003D0413">
        <w:rPr>
          <w:i/>
          <w:noProof/>
        </w:rPr>
        <w:t>ii pre</w:t>
      </w:r>
      <w:r w:rsidRPr="003D0413">
        <w:rPr>
          <w:rFonts w:cs="EC Square Sans Pro"/>
          <w:i/>
          <w:noProof/>
        </w:rPr>
        <w:t>ț</w:t>
      </w:r>
      <w:r w:rsidRPr="003D0413">
        <w:rPr>
          <w:i/>
          <w:noProof/>
        </w:rPr>
        <w:t>urilor. Infla</w:t>
      </w:r>
      <w:r w:rsidRPr="003D0413">
        <w:rPr>
          <w:rFonts w:cs="EC Square Sans Pro"/>
          <w:i/>
          <w:noProof/>
        </w:rPr>
        <w:t>ț</w:t>
      </w:r>
      <w:r w:rsidRPr="003D0413">
        <w:rPr>
          <w:i/>
          <w:noProof/>
        </w:rPr>
        <w:t>ia se calculeaz</w:t>
      </w:r>
      <w:r w:rsidRPr="003D0413">
        <w:rPr>
          <w:rFonts w:cs="EC Square Sans Pro"/>
          <w:i/>
          <w:noProof/>
        </w:rPr>
        <w:t>ă</w:t>
      </w:r>
      <w:r w:rsidRPr="003D0413">
        <w:rPr>
          <w:i/>
          <w:noProof/>
        </w:rPr>
        <w:t xml:space="preserve"> cu ajutorul indicelui pre</w:t>
      </w:r>
      <w:r w:rsidRPr="003D0413">
        <w:rPr>
          <w:rFonts w:cs="EC Square Sans Pro"/>
          <w:i/>
          <w:noProof/>
        </w:rPr>
        <w:t>ț</w:t>
      </w:r>
      <w:r w:rsidRPr="003D0413">
        <w:rPr>
          <w:i/>
          <w:noProof/>
        </w:rPr>
        <w:t>urilor de consum pe o baz</w:t>
      </w:r>
      <w:r w:rsidRPr="003D0413">
        <w:rPr>
          <w:rFonts w:cs="EC Square Sans Pro"/>
          <w:i/>
          <w:noProof/>
        </w:rPr>
        <w:t>ă</w:t>
      </w:r>
      <w:r w:rsidRPr="003D0413">
        <w:rPr>
          <w:i/>
          <w:noProof/>
        </w:rPr>
        <w:t xml:space="preserve"> comparabil</w:t>
      </w:r>
      <w:r w:rsidRPr="003D0413">
        <w:rPr>
          <w:rFonts w:cs="EC Square Sans Pro"/>
          <w:i/>
          <w:noProof/>
        </w:rPr>
        <w:t>ă</w:t>
      </w:r>
      <w:r w:rsidRPr="003D0413">
        <w:rPr>
          <w:i/>
          <w:noProof/>
        </w:rPr>
        <w:t xml:space="preserve">, </w:t>
      </w:r>
      <w:r w:rsidRPr="003D0413">
        <w:rPr>
          <w:rFonts w:cs="EC Square Sans Pro"/>
          <w:i/>
          <w:noProof/>
        </w:rPr>
        <w:t>ț</w:t>
      </w:r>
      <w:r w:rsidRPr="003D0413">
        <w:rPr>
          <w:i/>
          <w:noProof/>
        </w:rPr>
        <w:t>in</w:t>
      </w:r>
      <w:r w:rsidRPr="003D0413">
        <w:rPr>
          <w:rFonts w:cs="EC Square Sans Pro"/>
          <w:i/>
          <w:noProof/>
        </w:rPr>
        <w:t>â</w:t>
      </w:r>
      <w:r w:rsidRPr="003D0413">
        <w:rPr>
          <w:i/>
          <w:noProof/>
        </w:rPr>
        <w:t>nd seama de diferen</w:t>
      </w:r>
      <w:r w:rsidRPr="003D0413">
        <w:rPr>
          <w:rFonts w:cs="EC Square Sans Pro"/>
          <w:i/>
          <w:noProof/>
        </w:rPr>
        <w:t>ț</w:t>
      </w:r>
      <w:r w:rsidRPr="003D0413">
        <w:rPr>
          <w:i/>
          <w:noProof/>
        </w:rPr>
        <w:t>ele dintre defini</w:t>
      </w:r>
      <w:r w:rsidRPr="003D0413">
        <w:rPr>
          <w:rFonts w:cs="EC Square Sans Pro"/>
          <w:i/>
          <w:noProof/>
        </w:rPr>
        <w:t>ț</w:t>
      </w:r>
      <w:r w:rsidRPr="003D0413">
        <w:rPr>
          <w:i/>
          <w:noProof/>
        </w:rPr>
        <w:t>iile na</w:t>
      </w:r>
      <w:r w:rsidRPr="003D0413">
        <w:rPr>
          <w:rFonts w:cs="EC Square Sans Pro"/>
          <w:i/>
          <w:noProof/>
        </w:rPr>
        <w:t>ț</w:t>
      </w:r>
      <w:r w:rsidRPr="003D0413">
        <w:rPr>
          <w:i/>
          <w:noProof/>
        </w:rPr>
        <w:t>ionale”</w:t>
      </w:r>
      <w:r w:rsidRPr="003D0413">
        <w:rPr>
          <w:rStyle w:val="FootnoteReference"/>
          <w:i/>
          <w:iCs/>
          <w:noProof/>
        </w:rPr>
        <w:footnoteReference w:id="7"/>
      </w:r>
      <w:r w:rsidRPr="003D0413">
        <w:rPr>
          <w:i/>
          <w:noProof/>
        </w:rPr>
        <w:t>.</w:t>
      </w:r>
    </w:p>
    <w:p w14:paraId="593567B5" w14:textId="77777777" w:rsidR="001B33BE" w:rsidRPr="003D0413" w:rsidRDefault="001B33BE" w:rsidP="001B33BE">
      <w:pPr>
        <w:ind w:left="567"/>
        <w:rPr>
          <w:noProof/>
        </w:rPr>
      </w:pPr>
      <w:r w:rsidRPr="003D0413">
        <w:rPr>
          <w:noProof/>
        </w:rPr>
        <w:t>Criteriul sustenabilității presupune ca rezultatele satisfăcătoare în materie de inflație să fie atribuite evoluției costurilor de producție și a altor factori care influențează prețurile într-un mod structural, și nu influenței unor factori temporari. Prin urmare, analiza convergenței cuprinde o evaluare a factorilor care au un impact asupra perspectivelor inflației și este completată de o trimitere la cele mai recente previziuni ale Comisiei privind inflația</w:t>
      </w:r>
      <w:r w:rsidRPr="003D0413">
        <w:rPr>
          <w:rStyle w:val="FootnoteReference"/>
          <w:noProof/>
        </w:rPr>
        <w:footnoteReference w:id="8"/>
      </w:r>
      <w:r w:rsidRPr="003D0413">
        <w:rPr>
          <w:noProof/>
        </w:rPr>
        <w:t xml:space="preserve">. </w:t>
      </w:r>
    </w:p>
    <w:p w14:paraId="70D87E84" w14:textId="1FC77FEB" w:rsidR="001B33BE" w:rsidRPr="003D0413" w:rsidRDefault="001B33BE" w:rsidP="001B33BE">
      <w:pPr>
        <w:ind w:left="567"/>
        <w:rPr>
          <w:noProof/>
        </w:rPr>
      </w:pPr>
      <w:r w:rsidRPr="003D0413">
        <w:rPr>
          <w:noProof/>
        </w:rPr>
        <w:t>Valoarea de referință a inflației a fost calculată la 2,7 % în mai 2026, Cipru, Franța și Danemarca fiind „cele trei state membre cu cele mai bune rezultate”</w:t>
      </w:r>
      <w:r w:rsidRPr="003D0413">
        <w:rPr>
          <w:rStyle w:val="FootnoteReference"/>
          <w:noProof/>
        </w:rPr>
        <w:footnoteReference w:id="9"/>
      </w:r>
      <w:r w:rsidRPr="003D0413">
        <w:rPr>
          <w:noProof/>
        </w:rPr>
        <w:t>.</w:t>
      </w:r>
    </w:p>
    <w:p w14:paraId="3C7A8025" w14:textId="77777777" w:rsidR="001B33BE" w:rsidRPr="003D0413" w:rsidRDefault="001B33BE" w:rsidP="001B33BE">
      <w:pPr>
        <w:ind w:left="567"/>
        <w:rPr>
          <w:noProof/>
        </w:rPr>
      </w:pPr>
      <w:r w:rsidRPr="003D0413">
        <w:rPr>
          <w:noProof/>
        </w:rPr>
        <w:t>Niciun stat membru nu a fost identificat ca înregistrând valori aberante în ceea ce privește inflația pentru calcularea valorii de referință, deoarece niciuna dintre ratele inflației nu s-a abătut cu o marjă largă de la media zonei euro din cauza circumstanțelor specifice fiecărei țări.</w:t>
      </w:r>
    </w:p>
    <w:p w14:paraId="4292DE63" w14:textId="113C35E5" w:rsidR="001B33BE" w:rsidRPr="003D0413" w:rsidRDefault="001B33BE" w:rsidP="001B33BE">
      <w:pPr>
        <w:ind w:left="567"/>
        <w:rPr>
          <w:i/>
          <w:iCs/>
          <w:noProof/>
        </w:rPr>
      </w:pPr>
      <w:r w:rsidRPr="003D0413">
        <w:rPr>
          <w:noProof/>
        </w:rPr>
        <w:t xml:space="preserve">La articolul 140 alineatul (1) a doua liniuță din TFUE, </w:t>
      </w:r>
      <w:r w:rsidRPr="003D0413">
        <w:rPr>
          <w:b/>
          <w:noProof/>
        </w:rPr>
        <w:t>criteriul</w:t>
      </w:r>
      <w:r w:rsidRPr="003D0413">
        <w:rPr>
          <w:noProof/>
        </w:rPr>
        <w:t xml:space="preserve"> de convergență </w:t>
      </w:r>
      <w:r w:rsidRPr="003D0413">
        <w:rPr>
          <w:b/>
          <w:noProof/>
        </w:rPr>
        <w:t>care se referă la situația finanțelor publice</w:t>
      </w:r>
      <w:r w:rsidRPr="003D0413">
        <w:rPr>
          <w:noProof/>
        </w:rPr>
        <w:t xml:space="preserve"> este definit ca reprezentând </w:t>
      </w:r>
      <w:r w:rsidRPr="003D0413">
        <w:rPr>
          <w:i/>
          <w:noProof/>
        </w:rPr>
        <w:t xml:space="preserve">„caracterul solid al finanțelor publice; acesta rezultă dintr-o situație bugetară care nu cunoaște deficit public excesiv în înțelesul articolului 126 alineatul (6)”. </w:t>
      </w:r>
    </w:p>
    <w:p w14:paraId="176A58BB" w14:textId="77777777" w:rsidR="001B33BE" w:rsidRPr="003D0413" w:rsidRDefault="001B33BE" w:rsidP="001B33BE">
      <w:pPr>
        <w:ind w:left="567"/>
        <w:rPr>
          <w:noProof/>
        </w:rPr>
      </w:pPr>
      <w:r w:rsidRPr="003D0413">
        <w:rPr>
          <w:noProof/>
        </w:rPr>
        <w:t xml:space="preserve">În plus, articolul 2 din Protocolul privind criteriile de convergență prevede că acest criteriu înseamnă că </w:t>
      </w:r>
      <w:r w:rsidRPr="003D0413">
        <w:rPr>
          <w:i/>
          <w:noProof/>
        </w:rPr>
        <w:t>„în momentul examinării, un stat membru nu face obiectul unei decizii a Consiliului menționată la articolul 126 alineatul (6) din tratatul menționat, privind existența unui deficit excesiv în statul membru respectiv”.</w:t>
      </w:r>
    </w:p>
    <w:p w14:paraId="65DAAC76" w14:textId="77777777" w:rsidR="001B33BE" w:rsidRPr="003D0413" w:rsidRDefault="001B33BE" w:rsidP="001B33BE">
      <w:pPr>
        <w:ind w:left="567"/>
        <w:rPr>
          <w:i/>
          <w:iCs/>
          <w:noProof/>
        </w:rPr>
      </w:pPr>
      <w:r w:rsidRPr="003D0413">
        <w:rPr>
          <w:noProof/>
        </w:rPr>
        <w:t xml:space="preserve">La articolul 140 alineatul (1) a treia liniuță, TFUE definește </w:t>
      </w:r>
      <w:r w:rsidRPr="003D0413">
        <w:rPr>
          <w:b/>
          <w:noProof/>
        </w:rPr>
        <w:t>criteriul cursului de schimb</w:t>
      </w:r>
      <w:r w:rsidRPr="003D0413">
        <w:rPr>
          <w:noProof/>
        </w:rPr>
        <w:t xml:space="preserve"> ca reprezentând </w:t>
      </w:r>
      <w:r w:rsidRPr="003D0413">
        <w:rPr>
          <w:i/>
          <w:noProof/>
        </w:rPr>
        <w:t>„respectarea limitelor normale de fluctuație prevăzute de mecanismul cursului de schimb din Sistemul Monetar European, timp de cel puțin doi ani, fără devalorizarea monedei în raport cu moneda euro”</w:t>
      </w:r>
      <w:r w:rsidRPr="003D0413">
        <w:rPr>
          <w:noProof/>
        </w:rPr>
        <w:t>.</w:t>
      </w:r>
    </w:p>
    <w:p w14:paraId="1117235B" w14:textId="77777777" w:rsidR="001B33BE" w:rsidRPr="003D0413" w:rsidRDefault="001B33BE" w:rsidP="001B33BE">
      <w:pPr>
        <w:ind w:left="567"/>
        <w:rPr>
          <w:i/>
          <w:iCs/>
          <w:noProof/>
        </w:rPr>
      </w:pPr>
      <w:r w:rsidRPr="003D0413">
        <w:rPr>
          <w:noProof/>
        </w:rPr>
        <w:t xml:space="preserve">Articolul 3 din Protocolul privind criteriile de convergență prevede următoarele: </w:t>
      </w:r>
      <w:r w:rsidRPr="003D0413">
        <w:rPr>
          <w:i/>
          <w:noProof/>
        </w:rPr>
        <w:t>„Criteriul de participare la mecanismul cursului de schimb al Sistemului Monetar European [...] înseamnă că un stat membru a respectat marjele normale de fluctuație prevăzute de mecanismul cursului de schimb al Sistemului Monetar European, fără să cunoască tensiuni grave cel puțin pe parcursul ultimilor doi ani dinaintea examinării. În special, statul membru nu a devalorizat din proprie inițiativă cursul de schimb central bilateral al monedei sale în raport cu euro pentru aceeași perioadă”</w:t>
      </w:r>
      <w:r w:rsidRPr="003D0413">
        <w:rPr>
          <w:rStyle w:val="FootnoteReference"/>
          <w:i/>
          <w:iCs/>
          <w:noProof/>
        </w:rPr>
        <w:footnoteReference w:id="10"/>
      </w:r>
      <w:r w:rsidRPr="003D0413">
        <w:rPr>
          <w:i/>
          <w:noProof/>
        </w:rPr>
        <w:t>.</w:t>
      </w:r>
    </w:p>
    <w:p w14:paraId="3FB41088" w14:textId="7EE7D4C6" w:rsidR="001B33BE" w:rsidRPr="003D0413" w:rsidRDefault="001B33BE" w:rsidP="001B33BE">
      <w:pPr>
        <w:ind w:left="567"/>
        <w:rPr>
          <w:noProof/>
        </w:rPr>
      </w:pPr>
      <w:r w:rsidRPr="003D0413">
        <w:rPr>
          <w:noProof/>
        </w:rPr>
        <w:t xml:space="preserve">Perioada de doi ani luată în calcul pentru evaluarea stabilității cursului de schimb în prezentul raport este cuprinsă între 18 iunie 2024 și 17 iunie 2026. Pentru a evalua criteriul stabilității cursului de schimb, Comisia ia în considerare evoluția unor indicatori auxiliari, cum ar fi evoluția rezervelor valutare și ratele dobânzii pe termen scurt. În plus, Comisia ia în considerare rolul măsurilor de politică (inclusiv al intervențiilor pe piața valutară) și al asistenței financiare internaționale (unde este cazul) în menținerea stabilității cursului de schimb. </w:t>
      </w:r>
    </w:p>
    <w:p w14:paraId="79EB0D44" w14:textId="77777777" w:rsidR="001B33BE" w:rsidRPr="003D0413" w:rsidRDefault="001B33BE" w:rsidP="001B33BE">
      <w:pPr>
        <w:ind w:left="567"/>
        <w:rPr>
          <w:i/>
          <w:iCs/>
          <w:noProof/>
        </w:rPr>
      </w:pPr>
      <w:r w:rsidRPr="003D0413">
        <w:rPr>
          <w:noProof/>
        </w:rPr>
        <w:t>Articolul 140 alineatul (1) a patra liniuță din TFUE impune</w:t>
      </w:r>
      <w:r w:rsidRPr="003D0413">
        <w:rPr>
          <w:i/>
          <w:noProof/>
        </w:rPr>
        <w:t xml:space="preserve"> „caracterul durabil al convergenței atinse de statul membru care face obiectul unei derogări și al participării sale la mecanismul cursului de schimb, «care se reflectă în </w:t>
      </w:r>
      <w:r w:rsidRPr="003D0413">
        <w:rPr>
          <w:b/>
          <w:noProof/>
        </w:rPr>
        <w:t>nivelul ratelor dobânzilor pe termen lung</w:t>
      </w:r>
      <w:r w:rsidRPr="003D0413">
        <w:rPr>
          <w:noProof/>
        </w:rPr>
        <w:t>»”.</w:t>
      </w:r>
    </w:p>
    <w:p w14:paraId="4968DE11" w14:textId="77777777" w:rsidR="001B33BE" w:rsidRPr="003D0413" w:rsidRDefault="001B33BE" w:rsidP="001B33BE">
      <w:pPr>
        <w:ind w:left="567"/>
        <w:rPr>
          <w:i/>
          <w:iCs/>
          <w:noProof/>
        </w:rPr>
      </w:pPr>
      <w:r w:rsidRPr="003D0413">
        <w:rPr>
          <w:noProof/>
        </w:rPr>
        <w:t xml:space="preserve">Articolul 4 din Protocolul privind criteriile de convergență prevede, în plus, următoarele: </w:t>
      </w:r>
      <w:r w:rsidRPr="003D0413">
        <w:rPr>
          <w:i/>
          <w:noProof/>
        </w:rPr>
        <w:t>„[...] criteriul de convergență al ratelor dobânzilor [...] în cursul unei perioade de un an înaintea examinării, înseamnă că un stat membru a avut o rată a dobânzii nominală medie pe termen lung care nu poate depăși cu mai mult de două puncte procentuale pe aceea a cel mult trei state membre care au înregistrat cele mai bune rezultate în domeniul stabilității prețurilor. Ratele dobânzilor sunt calculate pe baza obligațiunilor de stat pe termen lung sau a unor titluri comparabile, ținând seama de diferențele dintre definițiile naționale”.</w:t>
      </w:r>
    </w:p>
    <w:p w14:paraId="571C0F76" w14:textId="0B484DFD" w:rsidR="001B33BE" w:rsidRPr="003D0413" w:rsidRDefault="001B33BE" w:rsidP="001B33BE">
      <w:pPr>
        <w:ind w:left="567"/>
        <w:rPr>
          <w:noProof/>
        </w:rPr>
      </w:pPr>
      <w:r w:rsidRPr="003D0413">
        <w:rPr>
          <w:noProof/>
        </w:rPr>
        <w:t>Valoarea de referință a ratei dobânzii a fost calculată la 5,1 % în mai 2026</w:t>
      </w:r>
      <w:r w:rsidRPr="003D0413">
        <w:rPr>
          <w:rStyle w:val="FootnoteReference"/>
          <w:noProof/>
        </w:rPr>
        <w:footnoteReference w:id="11"/>
      </w:r>
      <w:r w:rsidRPr="003D0413">
        <w:rPr>
          <w:noProof/>
        </w:rPr>
        <w:t>.</w:t>
      </w:r>
    </w:p>
    <w:p w14:paraId="6A8A012C" w14:textId="4DEC4152" w:rsidR="001B33BE" w:rsidRPr="003D0413" w:rsidRDefault="001B33BE" w:rsidP="001B33BE">
      <w:pPr>
        <w:ind w:left="567"/>
        <w:rPr>
          <w:noProof/>
        </w:rPr>
      </w:pPr>
      <w:r w:rsidRPr="003D0413">
        <w:rPr>
          <w:noProof/>
        </w:rPr>
        <w:t xml:space="preserve">Articolul 140 alineatul (1) din TFUE impune, de asemenea, luarea în considerare a </w:t>
      </w:r>
      <w:r w:rsidRPr="003D0413">
        <w:rPr>
          <w:b/>
          <w:noProof/>
        </w:rPr>
        <w:t>altor factori</w:t>
      </w:r>
      <w:r w:rsidRPr="003D0413">
        <w:rPr>
          <w:noProof/>
        </w:rPr>
        <w:t xml:space="preserve"> relevanți pentru integrarea economică și pentru convergență. Printre aceștia se numără integrarea piețelor, evoluția balanțelor de plăți curente, a costurilor unitare ale muncii și a altor indici de prețuri. Factorii suplimentari care trebuie luați în considerare sunt indicatori importanți pentru a stabili dacă un stat membru s-ar integra în zona euro fără dificultăți. De asemenea, aceștia oferă o imagine mai amplă asupra gradului ridicat prevăzut de convergență durabilă.</w:t>
      </w:r>
    </w:p>
    <w:p w14:paraId="4B5BF6FC" w14:textId="65B1BB9B" w:rsidR="001B33BE" w:rsidRPr="003D0413" w:rsidRDefault="001B33BE" w:rsidP="001B33BE">
      <w:pPr>
        <w:ind w:left="567"/>
        <w:rPr>
          <w:noProof/>
        </w:rPr>
      </w:pPr>
      <w:r w:rsidRPr="003D0413">
        <w:rPr>
          <w:noProof/>
        </w:rPr>
        <w:t>Evaluarea gradului de sustenabilitate a convergenței pentru statele membre care fac obiectul unei derogări, cuprinsă în prezentul raport, se bazează pe previziunile economice ale Comisiei din primăvara anului 2026 și pe orientările de politică furnizate în cadrul pachetului de primăvară al semestrului european 2026</w:t>
      </w:r>
      <w:r w:rsidRPr="003D0413">
        <w:rPr>
          <w:rStyle w:val="FootnoteReference"/>
          <w:noProof/>
        </w:rPr>
        <w:footnoteReference w:id="12"/>
      </w:r>
      <w:r w:rsidRPr="003D0413">
        <w:rPr>
          <w:noProof/>
        </w:rPr>
        <w:t>. Evaluarea se bazează în special pe: comunicarea generală pentru pachetul de primăvară, inclusiv concluziile privind (i) supravegherea bugetară efectuată în cadrul Pactului de stabilitate și de creștere și (ii) pe procedura privind dezechilibrele macroeconomice. Evaluarea se referă, de asemenea, la constatările din bilanțurile aprofundate din 2026 și la cele din rapoartele de țară din 2026. Aceasta reflectă, de asemenea, evaluările Comisiei cu privire la riscurile legate de sustenabilitatea finanțelor publice și la cadrul bugetar național, precum și cu privire la punerea în aplicare a planului de redresare și reziliență. Performanța pieței forței de muncă și a produselor, participarea forței de muncă, disponibilitatea competențelor, formarea salariilor, reziliența socială și coeziunea teritorială sunt, de asemenea, relevante, deoarece contribuie la modelarea capacității de ajustare, a competitivității și a capacității de a participa fără probleme la zona euro.</w:t>
      </w:r>
    </w:p>
    <w:p w14:paraId="0DB4D347" w14:textId="77777777" w:rsidR="00A97E17" w:rsidRPr="003D0413" w:rsidRDefault="00A97E17" w:rsidP="00F62737">
      <w:pPr>
        <w:ind w:left="567"/>
        <w:rPr>
          <w:noProof/>
        </w:rPr>
      </w:pPr>
    </w:p>
    <w:p w14:paraId="14CBCF34" w14:textId="522550A8" w:rsidR="009331D7" w:rsidRPr="003D0413" w:rsidRDefault="003C562C" w:rsidP="003C562C">
      <w:pPr>
        <w:numPr>
          <w:ilvl w:val="0"/>
          <w:numId w:val="1"/>
        </w:numPr>
        <w:ind w:left="567" w:hanging="567"/>
        <w:rPr>
          <w:b/>
          <w:bCs/>
          <w:noProof/>
        </w:rPr>
      </w:pPr>
      <w:r w:rsidRPr="003D0413">
        <w:rPr>
          <w:b/>
          <w:noProof/>
        </w:rPr>
        <w:t>CEHIA</w:t>
      </w:r>
    </w:p>
    <w:p w14:paraId="6F74E9F8" w14:textId="60B310C5" w:rsidR="003834D9" w:rsidRPr="003D0413" w:rsidRDefault="003834D9" w:rsidP="003834D9">
      <w:pPr>
        <w:ind w:left="567"/>
        <w:rPr>
          <w:b/>
          <w:bCs/>
          <w:noProof/>
        </w:rPr>
      </w:pPr>
      <w:r w:rsidRPr="003D0413">
        <w:rPr>
          <w:b/>
          <w:noProof/>
        </w:rPr>
        <w:t>Având în vedere evaluarea privind compatibilitatea juridică și îndeplinirea criteriilor de convergență și luând în considerare factorii relevanți suplimentari, Comisia a ajuns la concluzia că Cehia nu îndeplinește condițiile pentru adoptarea monedei euro.</w:t>
      </w:r>
    </w:p>
    <w:p w14:paraId="7340D1B1" w14:textId="2884BF56" w:rsidR="003834D9" w:rsidRPr="003D0413" w:rsidRDefault="003834D9" w:rsidP="003834D9">
      <w:pPr>
        <w:ind w:left="567"/>
        <w:rPr>
          <w:noProof/>
        </w:rPr>
      </w:pPr>
      <w:r w:rsidRPr="003D0413">
        <w:rPr>
          <w:b/>
          <w:noProof/>
        </w:rPr>
        <w:t>Legislația din Cehia</w:t>
      </w:r>
      <w:r w:rsidRPr="003D0413">
        <w:rPr>
          <w:noProof/>
        </w:rPr>
        <w:t xml:space="preserve">, în special Legea nr. 6/1993 a Consiliului Național Ceh privind </w:t>
      </w:r>
      <w:r w:rsidRPr="003D0413">
        <w:rPr>
          <w:i/>
          <w:iCs/>
          <w:noProof/>
        </w:rPr>
        <w:t>Česká národní banka</w:t>
      </w:r>
      <w:r w:rsidRPr="003D0413">
        <w:rPr>
          <w:noProof/>
        </w:rPr>
        <w:t xml:space="preserve"> („Legea privind ČNB”), </w:t>
      </w:r>
      <w:r w:rsidRPr="003D0413">
        <w:rPr>
          <w:b/>
          <w:noProof/>
        </w:rPr>
        <w:t>nu este pe deplin compatibilă</w:t>
      </w:r>
      <w:r w:rsidRPr="003D0413">
        <w:rPr>
          <w:noProof/>
        </w:rPr>
        <w:t xml:space="preserve"> cu cerințele prevăzute la articolul 131 din TFUE. Incompatibilitățile vizează independența băncii centrale, interzicerea finanțării monetare și integrarea băncii centrale în Eurosistem în ceea ce privește obiectivele ČNB și obiectivele și misiunile SEBC/BCE prevăzute la articolul 127 alineatul (1) și alineatul (2) din TFUE și la articolele 2 și 3 din statutul SEBC/BCE. În plus, Legea privind ČNB include, de asemenea, imperfecțiuni legate de misiunile SEBC/BCE.</w:t>
      </w:r>
    </w:p>
    <w:p w14:paraId="22BD389F" w14:textId="52053BAB" w:rsidR="00F32307" w:rsidRPr="003D0413" w:rsidRDefault="00F32307" w:rsidP="00F32307">
      <w:pPr>
        <w:ind w:left="567"/>
        <w:rPr>
          <w:noProof/>
        </w:rPr>
      </w:pPr>
      <w:r w:rsidRPr="003D0413">
        <w:rPr>
          <w:b/>
          <w:noProof/>
        </w:rPr>
        <w:t>Cehia îndeplinește criteriul stabilității prețurilor.</w:t>
      </w:r>
      <w:r w:rsidRPr="003D0413">
        <w:rPr>
          <w:noProof/>
        </w:rPr>
        <w:t xml:space="preserve"> Rata medie a inflației din Cehia în perioada de 12 luni care s-a încheiat în mai 2026 a fost de 1,9 %, sub valoarea de referință de 2,7 %. Se preconizează că aceasta va crește până la sfârșitul anului 2026 și va scădea în a doua jumătate a anului 2027, dar ar trebui să rămână sub valoarea de referință în ambii ani. </w:t>
      </w:r>
    </w:p>
    <w:p w14:paraId="630586EC" w14:textId="0A07557A" w:rsidR="003C562C" w:rsidRPr="003D0413" w:rsidRDefault="00993E97" w:rsidP="00B73DB6">
      <w:pPr>
        <w:ind w:left="567"/>
        <w:jc w:val="center"/>
        <w:rPr>
          <w:noProof/>
        </w:rPr>
      </w:pPr>
      <w:r w:rsidRPr="00993E97">
        <w:rPr>
          <w:noProof/>
          <w:lang w:val="en-GB" w:eastAsia="en-GB"/>
        </w:rPr>
        <w:drawing>
          <wp:inline distT="0" distB="0" distL="0" distR="0" wp14:anchorId="5666E543" wp14:editId="58F68A1F">
            <wp:extent cx="3553228" cy="2895600"/>
            <wp:effectExtent l="0" t="0" r="9525" b="0"/>
            <wp:docPr id="1618640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40794" name=""/>
                    <pic:cNvPicPr/>
                  </pic:nvPicPr>
                  <pic:blipFill>
                    <a:blip r:embed="rId15"/>
                    <a:stretch>
                      <a:fillRect/>
                    </a:stretch>
                  </pic:blipFill>
                  <pic:spPr>
                    <a:xfrm>
                      <a:off x="0" y="0"/>
                      <a:ext cx="3558101" cy="2899571"/>
                    </a:xfrm>
                    <a:prstGeom prst="rect">
                      <a:avLst/>
                    </a:prstGeom>
                  </pic:spPr>
                </pic:pic>
              </a:graphicData>
            </a:graphic>
          </wp:inline>
        </w:drawing>
      </w:r>
    </w:p>
    <w:p w14:paraId="1C6CC779" w14:textId="5DEE836C" w:rsidR="003D6E40" w:rsidRPr="003D0413" w:rsidRDefault="003D6E40" w:rsidP="003834D9">
      <w:pPr>
        <w:ind w:left="567"/>
        <w:rPr>
          <w:noProof/>
        </w:rPr>
      </w:pPr>
      <w:r w:rsidRPr="003D0413">
        <w:rPr>
          <w:noProof/>
        </w:rPr>
        <w:t>După o perioadă de inflație ridicată în perioada 2021-2023, care a început odată cu redresarea în urma pandemiei de COVID și a fost amplificată de șocul prețurilor energiei în urma invadării pe scară largă a Ucrainei de către Rusia, inflația IAPC a început să se tempereze în 2024 (2,7 %) și 2025 (2,3 %). Scăderea inflației totale a fost determinată de o încetinire a creșterii prețurilor alimentelor în 2024 și a prețurilor energiei în 2025. Inflația din sectorul serviciilor, care este, de regulă, relativ persistentă și determinată de salarii, s-a stabilizat în perioada respectivă, dar a rămas cu mult peste inflația totală. Inflația anuală a continuat să scadă în primele două luni ale anului 2026, după care a revenit pe o traiectorie ascendentă în lunile următoare și a ajuns la 1,8</w:t>
      </w:r>
      <w:r w:rsidRPr="003D0413">
        <w:rPr>
          <w:noProof/>
          <w:color w:val="000000" w:themeColor="text1"/>
        </w:rPr>
        <w:t xml:space="preserve"> % în mai 2026, ca urmare a inflației din sectorul serviciilor și a creșterii inflației în sectorul energetic din cauza conflictului din Orientul Mijlociu. </w:t>
      </w:r>
      <w:r w:rsidRPr="003D0413">
        <w:rPr>
          <w:noProof/>
        </w:rPr>
        <w:t>Ratele anuale ale inflației IAPC în Cehia în anii 2024 și 2025 au fost, în medie, mai ridicate decât cele din zona euro în ansamblu.</w:t>
      </w:r>
      <w:r w:rsidR="003D0413">
        <w:rPr>
          <w:noProof/>
        </w:rPr>
        <w:t xml:space="preserve"> </w:t>
      </w:r>
    </w:p>
    <w:p w14:paraId="3E89551C" w14:textId="3D82A540" w:rsidR="00B468F6" w:rsidRPr="003D0413" w:rsidRDefault="05BEE697" w:rsidP="46BA4923">
      <w:pPr>
        <w:ind w:left="567"/>
        <w:rPr>
          <w:noProof/>
        </w:rPr>
      </w:pPr>
      <w:r w:rsidRPr="003D0413">
        <w:rPr>
          <w:noProof/>
        </w:rPr>
        <w:t>Potrivit previziunilor economice ale Comisiei din primăvara anului 2026, inflația medie anuală IAPC va crește la 2,7 % în 2026 și la 2,8 % în 2027. Această evoluție este atribuită majorării prețurilor energiei, efect compensat doar parțial de încetinirea creșterii prețurilor serviciilor și alimentelor. Nivelul prețurilor de consum din Cehia a fost de aproximativ 88 % din media zonei euro în 2024, indicând în continuare un potențial de convergență suplimentară a nivelului prețurilor pe termen lung.</w:t>
      </w:r>
    </w:p>
    <w:p w14:paraId="06819DD6" w14:textId="3C35D1EC" w:rsidR="00E40A43" w:rsidRPr="003D0413" w:rsidRDefault="007E7E5E" w:rsidP="00A96F61">
      <w:pPr>
        <w:ind w:left="567"/>
        <w:rPr>
          <w:noProof/>
        </w:rPr>
      </w:pPr>
      <w:bookmarkStart w:id="4" w:name="_Hlk169705889"/>
      <w:r w:rsidRPr="003D0413">
        <w:rPr>
          <w:b/>
          <w:noProof/>
        </w:rPr>
        <w:t xml:space="preserve">Cehia îndeplinește criteriul privind finanțele publice. </w:t>
      </w:r>
      <w:r w:rsidRPr="003D0413">
        <w:rPr>
          <w:noProof/>
        </w:rPr>
        <w:t xml:space="preserve">Cehia nu face obiectul unei decizii a Consiliului privind existența unui deficit excesiv. Deficitul public a crescut de la 2,0 % din PIB în 2024 la 2,1 % în 2025, reflectând creșterea salariilor din sectorul public și creșterea subvențiilor guvernamentale pentru sursele regenerabile de energie, în pofida unei creșteri mai mari a PIB-ului. Previziunile economice ale Comisiei din primăvara anului 2026 estimează că deficitul public va atinge 2,8 % din PIB în 2026, printre altele din cauza eliminării treptate complete a taxei pe profitul excepțional al întreprinderilor din domeniul energiei și a preluării de la consumatorii de energie electrică a plății taxei pe energia din surse regenerabile. În 2027, se preconizează că ponderea deficitului public va fi de 2,9 %. </w:t>
      </w:r>
    </w:p>
    <w:p w14:paraId="03E695B4" w14:textId="15DA5C02" w:rsidR="00E059CD" w:rsidRPr="003D0413" w:rsidRDefault="0061106F" w:rsidP="003834D9">
      <w:pPr>
        <w:ind w:left="567"/>
        <w:rPr>
          <w:rFonts w:eastAsia="EC Square Sans Pro" w:cs="EC Square Sans Pro"/>
          <w:noProof/>
        </w:rPr>
      </w:pPr>
      <w:r w:rsidRPr="003D0413">
        <w:rPr>
          <w:noProof/>
        </w:rPr>
        <w:t>La 21 ianuarie 2025, Consiliul a adoptat o recomandare de aprobare a planului bugetar-structural pe termen mediu al Cehiei. Planul stabilește o traiectorie de ajustare bugetară pe o perioadă de patru ani, cu o creștere maximă a cheltuielilor nete de 4,5 % în 2025, de 2,5 % în 2026, de 2,6 % în 2027 și de 2,9 % în 2028. În iulie 2025, Consiliul a activat clauza derogatorie națională pentru creșterea cheltuielilor pentru apărare ale Cehiei, permițând Cehiei să se abată de la traiectoria cheltuielilor nete din planul bugetar-structural pe termen mediu și să o depășească. La 3 iunie 2026, Comisia a concluzionat că, în Cehia, cheltuielile nete au crescut cu 4,9 % în 2025 și, cumulat, cu 6,0 % în 2024 și 2025. Creșterea cheltuielilor nete în 2025 a depășit rata maximă de creștere recomandată, ceea ce corespunde unei abateri de 0,2 % din PIB în termeni anuali. Dacă se iau în considerare împreună anii 2024 și 2025, rata de creștere cumulată a cheltuielilor este sub rata maximă de creștere recomandată. Întrucât Cehia beneficiază de flexibilitate în temeiul clauzei derogatorii naționale, evaluarea conformității se axează pe această din urmă comparație.</w:t>
      </w:r>
    </w:p>
    <w:p w14:paraId="4D92DB86" w14:textId="4BCAB049" w:rsidR="00A87607" w:rsidRPr="003D0413" w:rsidRDefault="00D20B86" w:rsidP="00630DB4">
      <w:pPr>
        <w:ind w:left="567"/>
        <w:rPr>
          <w:noProof/>
        </w:rPr>
      </w:pPr>
      <w:bookmarkStart w:id="5" w:name="_Hlk226539012"/>
      <w:r w:rsidRPr="003D0413">
        <w:rPr>
          <w:noProof/>
        </w:rPr>
        <w:t xml:space="preserve">Potrivit estimărilor, cheltuielile nete vor crește cu 6,4 % în 2026, depășind creșterea recomandată de 2,5 %. </w:t>
      </w:r>
      <w:bookmarkEnd w:id="5"/>
      <w:r w:rsidRPr="003D0413">
        <w:rPr>
          <w:noProof/>
        </w:rPr>
        <w:t xml:space="preserve">Abaterea care depășește valoarea maximă recomandată este echivalentă cu o abatere anuală de 1,5 % din PIB și cu o abatere cumulată de 0,1 % din PIB atunci când se iau în considerare împreună anii 2024, 2025 și 2026. Ținând seama de flexibilitatea prevăzută de clauza derogatorie națională, abaterea preconizată pentru 2026 se încadrează în flexibilitatea clauzei derogatorii naționale pe baza proiecțiilor actuale privind cheltuielile pentru apărare. </w:t>
      </w:r>
    </w:p>
    <w:p w14:paraId="33E5B0D3" w14:textId="7258CDC3" w:rsidR="00F7067F" w:rsidRPr="003D0413" w:rsidRDefault="00F60C20" w:rsidP="00630DB4">
      <w:pPr>
        <w:ind w:left="567"/>
        <w:rPr>
          <w:noProof/>
        </w:rPr>
      </w:pPr>
      <w:r w:rsidRPr="003D0413">
        <w:rPr>
          <w:noProof/>
        </w:rPr>
        <w:t>Ponderea datoriei publice în PIB a crescut de la 43,3 % în 2024 la 44,3 % în 2025 și se preconizează că va crește în continuare la 45,8 % în 2026 și la 47,2 % în 2027. Acest lucru este determinat de un sold primar negativ, de cheltuielile cu dobânzile și, într-o mai mică măsură, de ajustarea datorie-deficit cu efect de creștere a datoriei, dar este parțial compensat de creșterea nominală a PIB-ului. Riscurile legate de sustenabilitatea datoriei par a fi medii pe termen mediu, preconizându-se că datoria publică va crește de la aproximativ 44 % din PIB în 2025 la aproximativ 56 % în 2036. Cadrul bugetar național al Cehiei funcționează bine, dar se confruntă cu provocări tot mai mari generate, printre altele, de creșterea puternică a datoriei publice de la pandemie, de necesitatea respectării regulii privind soldul structural, care impune măsuri suplimentare de consolidare înainte de 2028, și de excluderea cheltuielilor pentru apărare de peste 2 % din PIB din cadrul național de cheltuieli.</w:t>
      </w:r>
    </w:p>
    <w:bookmarkEnd w:id="4"/>
    <w:p w14:paraId="7A100D7C" w14:textId="491C399F" w:rsidR="003834D9" w:rsidRPr="003D0413" w:rsidRDefault="005274AE" w:rsidP="00FA20AB">
      <w:pPr>
        <w:ind w:left="567"/>
        <w:jc w:val="center"/>
        <w:rPr>
          <w:noProof/>
        </w:rPr>
      </w:pPr>
      <w:r w:rsidRPr="005274AE">
        <w:rPr>
          <w:noProof/>
          <w:lang w:val="en-GB" w:eastAsia="en-GB"/>
        </w:rPr>
        <w:drawing>
          <wp:inline distT="0" distB="0" distL="0" distR="0" wp14:anchorId="75D76D21" wp14:editId="70460434">
            <wp:extent cx="4029075" cy="2343150"/>
            <wp:effectExtent l="0" t="0" r="9525" b="0"/>
            <wp:docPr id="298989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29075" cy="2343150"/>
                    </a:xfrm>
                    <a:prstGeom prst="rect">
                      <a:avLst/>
                    </a:prstGeom>
                    <a:noFill/>
                    <a:ln>
                      <a:noFill/>
                    </a:ln>
                  </pic:spPr>
                </pic:pic>
              </a:graphicData>
            </a:graphic>
          </wp:inline>
        </w:drawing>
      </w:r>
    </w:p>
    <w:p w14:paraId="3851E414" w14:textId="2E8C3497" w:rsidR="004236D7" w:rsidRPr="003D0413" w:rsidRDefault="004236D7" w:rsidP="004236D7">
      <w:pPr>
        <w:ind w:left="567"/>
        <w:rPr>
          <w:noProof/>
        </w:rPr>
      </w:pPr>
      <w:r w:rsidRPr="003D0413">
        <w:rPr>
          <w:b/>
          <w:noProof/>
        </w:rPr>
        <w:t>Cehia nu îndeplinește criteriul cursului de schimb.</w:t>
      </w:r>
      <w:r w:rsidRPr="003D0413">
        <w:rPr>
          <w:noProof/>
        </w:rPr>
        <w:t xml:space="preserve"> Coroana cehă nu participă la mecanismul cursului de schimb II. De la sfârșitul anilor 1990, ČNB a aplicat un cadru explicit de țintire a inflației, combinat cu un regim de flotare a cursului de schimb care permite băncii centrale să intervină pe piața valutară. În perioada aprilie 2024-ianuarie 2025, coroana cehă a fost tranzacționată la aproximativ 25,2 CZK pentru un euro. Până la sfârșitul anului 2025, coroana cehă s-a apreciat la aproximativ 24,3 CZK pentru un euro și a fluctuat în jurul acestui nivel până la jumătatea anului 2026. În mai 2026, coroana cehă a fost cu aproximativ 2 % mai puternică față de euro, comparativ cu nivelul înregistrat cu doi ani înainte. Ciclul de relaxare a politicii monetare a ČNB în perioada decembrie 2023-mai 2025 a condus la o scădere semnificativă și constantă a PRIBOR la trei luni în Cehia și, în consecință, a spreadului în raport cu zona euro, care a scăzut sub 100 de puncte de bază în a doua jumătate a anului 2024. Din septembrie 2024, spreadul a început să crească ușor până la jumătatea anului 2025. Ulterior, spreadul s-a stabilizat la aproximativ 150 de puncte de bază, ajungând la 133 de puncte de bază în mai 2026.</w:t>
      </w:r>
    </w:p>
    <w:p w14:paraId="1D398712" w14:textId="274D7880" w:rsidR="00B922E3" w:rsidRPr="003D0413" w:rsidRDefault="00B922E3" w:rsidP="00B922E3">
      <w:pPr>
        <w:ind w:left="567"/>
        <w:rPr>
          <w:noProof/>
        </w:rPr>
      </w:pPr>
      <w:r w:rsidRPr="003D0413">
        <w:rPr>
          <w:b/>
          <w:noProof/>
        </w:rPr>
        <w:t>Cehia îndeplinește criteriul de convergență a ratelor dobânzii pe termen lung.</w:t>
      </w:r>
      <w:r w:rsidRPr="003D0413">
        <w:rPr>
          <w:noProof/>
        </w:rPr>
        <w:t xml:space="preserve"> În perioada de douăsprezece luni care s-a încheiat în mai 2026, rata medie a dobânzii pe termen lung a fost de 4,5 %, sub valoarea de referință de 5,1 %. Rata dobânzii pe termen lung a Cehiei a scăzut în a doua jumătate a anului 2024, ajungând la 3,8 % în luna septembrie a anului respectiv. Ulterior, aceasta a crescut treptat până la 4,7 % în decembrie 2025, în concordanță cu creșterea presiunilor inflaționiste. În mai 2026, rata dobânzii pe termen lung a ajuns la 4,9 %, iar spreadul în raport cu obligațiunea germană de referință a atins 184 de puncte de bază.</w:t>
      </w:r>
    </w:p>
    <w:p w14:paraId="3744AA9D" w14:textId="47D48400" w:rsidR="00504C37" w:rsidRPr="003D0413" w:rsidRDefault="00552C51" w:rsidP="009F0DD6">
      <w:pPr>
        <w:ind w:left="567"/>
        <w:rPr>
          <w:noProof/>
        </w:rPr>
      </w:pPr>
      <w:r w:rsidRPr="003D0413">
        <w:rPr>
          <w:noProof/>
        </w:rPr>
        <w:t xml:space="preserve">Comisia a examinat și </w:t>
      </w:r>
      <w:r w:rsidRPr="003D0413">
        <w:rPr>
          <w:b/>
          <w:noProof/>
        </w:rPr>
        <w:t>alți factori</w:t>
      </w:r>
      <w:r w:rsidRPr="003D0413">
        <w:rPr>
          <w:noProof/>
        </w:rPr>
        <w:t xml:space="preserve">, inclusiv evoluția balanței de plăți, integrarea piețelor și mediul internațional. Balanța externă a Cehiei (contul curent și contul de capital combinate) a înregistrat un excedent de 2,2 % din PIB în 2025. Economia Cehiei este foarte bine integrată cu zona euro datorită schimburilor comerciale și investițiilor. Indicatorii selectați privind mediul instituțional arată că Cehia înregistrează rezultate peste media statelor membre din zona euro în această privință. Sectorul financiar din Cehia este mai mic și mai puțin dezvoltat decât în zona euro. Finanțarea bazată pe piață este mai puțin dezvoltată, astfel cum se reflectă în piețele foarte mici ale titlurilor de capital și datoriei sectorului privat. Sectorul bancar din Cehia este foarte bine integrat în sistemul financiar al zonei euro, în special datorită ponderii ridicate a participațiilor investitorilor străini în bănci. În contextul procedurii privind dezechilibrele macroeconomice, Comisia a concluzionat, în Raportul său privind mecanismul de alertă pentru 2026, că nu este necesară efectuarea unei analize aprofundate pentru Cehia. </w:t>
      </w:r>
    </w:p>
    <w:p w14:paraId="2072B6D8" w14:textId="6AB4872E" w:rsidR="00504C37" w:rsidRPr="003D0413" w:rsidRDefault="00552C51" w:rsidP="00504C37">
      <w:pPr>
        <w:ind w:left="567"/>
        <w:rPr>
          <w:noProof/>
        </w:rPr>
      </w:pPr>
      <w:r w:rsidRPr="003D0413">
        <w:rPr>
          <w:noProof/>
        </w:rPr>
        <w:t>Planul de redresare și reziliență (PRR) al Cehiei include măsuri menite să abordeze o serie de provocări structurale, în sinergie cu alte fonduri ale UE, inclusiv cu fondurile politicii de coeziune, pentru a stimula competitivitatea și creșterea durabilă, precum și pentru a reduce disparitățile teritoriale și sociale din țară. Cehia beneficiază de finanțare sub formă de granturi în valoare de</w:t>
      </w:r>
      <w:r w:rsidRPr="003D0413">
        <w:rPr>
          <w:rFonts w:ascii="Arial" w:hAnsi="Arial"/>
          <w:noProof/>
        </w:rPr>
        <w:t xml:space="preserve"> </w:t>
      </w:r>
      <w:r w:rsidRPr="003D0413">
        <w:rPr>
          <w:noProof/>
        </w:rPr>
        <w:t>8,4 miliarde EUR și sub formă de împrumuturi în valoare de 343 de milioane EUR în cadrul MRR pentru perioada 2021-2026. Cehia a prezentat șase cereri de plată, dintre care cinci au fost deja evaluate, ceea ce a dus la o plată totală de 6,8 miliarde EUR până la sfârșitul lunii mai 2026. În plus, Cehia a atins aproximativ 71 % din jaloanele și țintele planului său de redresare și reziliență. Printre reformele majore din planul de redresare și reziliență al Cehiei se numără cele din domeniul energiei din surse regenerabile, al mobilității cu emisii zero, al îngrijirii pe termen lung, al locuințelor la prețuri accesibile și al normelor privind conflictele de interese și activitățile de lobby. În plus, pentru perioada 2021-2027, Cehia beneficiază de finanțare din partea politicii de coeziune în valoare de</w:t>
      </w:r>
      <w:r w:rsidRPr="003D0413">
        <w:rPr>
          <w:rFonts w:ascii="Arial" w:hAnsi="Arial"/>
          <w:noProof/>
        </w:rPr>
        <w:t xml:space="preserve"> </w:t>
      </w:r>
      <w:r w:rsidRPr="003D0413">
        <w:rPr>
          <w:noProof/>
        </w:rPr>
        <w:t>24,2 miliarde</w:t>
      </w:r>
      <w:r w:rsidRPr="003D0413">
        <w:rPr>
          <w:rFonts w:ascii="Arial" w:hAnsi="Arial"/>
          <w:noProof/>
        </w:rPr>
        <w:t xml:space="preserve"> </w:t>
      </w:r>
      <w:r w:rsidRPr="003D0413">
        <w:rPr>
          <w:noProof/>
        </w:rPr>
        <w:t>EUR. Finanțarea politicii de coeziune urmărește în special consolidarea în continuare a competitivității Cehiei, prin sprijinirea cercetării și inovării, creșterea competitivității IMM-urilor, îmbunătățirea eficienței energetice, modernizarea serviciilor publice de ocupare a forței de muncă, dezvoltarea competențelor și promovarea învățării pe tot parcursul vieții, precum și prin susținerea echilibrului dintre viața profesională și cea privată și a egalității de șanse.</w:t>
      </w:r>
      <w:r w:rsidRPr="003D0413">
        <w:rPr>
          <w:noProof/>
          <w:color w:val="000000" w:themeColor="text1"/>
        </w:rPr>
        <w:t xml:space="preserve"> </w:t>
      </w:r>
    </w:p>
    <w:p w14:paraId="13D6B77B" w14:textId="77777777" w:rsidR="000F5A07" w:rsidRPr="003D0413" w:rsidRDefault="000F5A07" w:rsidP="009F0DD6">
      <w:pPr>
        <w:rPr>
          <w:noProof/>
        </w:rPr>
      </w:pPr>
    </w:p>
    <w:p w14:paraId="5CF84788" w14:textId="10EB0C37" w:rsidR="003C562C" w:rsidRPr="003D0413" w:rsidRDefault="003C562C" w:rsidP="003C562C">
      <w:pPr>
        <w:numPr>
          <w:ilvl w:val="0"/>
          <w:numId w:val="1"/>
        </w:numPr>
        <w:ind w:left="567" w:hanging="567"/>
        <w:rPr>
          <w:b/>
          <w:bCs/>
          <w:noProof/>
        </w:rPr>
      </w:pPr>
      <w:r w:rsidRPr="003D0413">
        <w:rPr>
          <w:b/>
          <w:noProof/>
        </w:rPr>
        <w:t>UNGARIA</w:t>
      </w:r>
    </w:p>
    <w:p w14:paraId="11683222" w14:textId="2AB2D40B" w:rsidR="00BE229E" w:rsidRPr="003D0413" w:rsidRDefault="1E1CCAE5" w:rsidP="52A3362B">
      <w:pPr>
        <w:ind w:left="567"/>
        <w:rPr>
          <w:rFonts w:eastAsia="EC Square Sans Pro" w:cs="EC Square Sans Pro"/>
          <w:b/>
          <w:bCs/>
          <w:noProof/>
          <w:color w:val="000000" w:themeColor="text1"/>
          <w:szCs w:val="20"/>
        </w:rPr>
      </w:pPr>
      <w:r w:rsidRPr="003D0413">
        <w:rPr>
          <w:b/>
          <w:noProof/>
          <w:color w:val="000000" w:themeColor="text1"/>
        </w:rPr>
        <w:t>Având în vedere evaluarea privind compatibilitatea juridică și îndeplinirea criteriilor de convergență și luând în considerare factorii relevanți suplimentari, Comisia consideră că Ungaria nu îndeplinește condițiile pentru adoptarea monedei euro.</w:t>
      </w:r>
    </w:p>
    <w:p w14:paraId="6F525D64" w14:textId="7CA55CA3" w:rsidR="1E1CCAE5" w:rsidRPr="003D0413" w:rsidRDefault="1E1CCAE5" w:rsidP="004B2463">
      <w:pPr>
        <w:ind w:left="567"/>
        <w:rPr>
          <w:rFonts w:eastAsia="EC Square Sans Pro" w:cs="EC Square Sans Pro"/>
          <w:noProof/>
          <w:color w:val="000000" w:themeColor="text1"/>
        </w:rPr>
      </w:pPr>
      <w:r w:rsidRPr="003D0413">
        <w:rPr>
          <w:b/>
          <w:noProof/>
          <w:color w:val="000000" w:themeColor="text1"/>
        </w:rPr>
        <w:t>Legislația din Ungaria,</w:t>
      </w:r>
      <w:r w:rsidRPr="003D0413">
        <w:rPr>
          <w:noProof/>
          <w:color w:val="000000" w:themeColor="text1"/>
        </w:rPr>
        <w:t xml:space="preserve"> în special Legea privind Banca Națională a Ungariei (</w:t>
      </w:r>
      <w:r w:rsidRPr="003D0413">
        <w:rPr>
          <w:i/>
          <w:iCs/>
          <w:noProof/>
          <w:color w:val="000000" w:themeColor="text1"/>
        </w:rPr>
        <w:t>Magyar Nemzeti Bank</w:t>
      </w:r>
      <w:r w:rsidRPr="003D0413">
        <w:rPr>
          <w:noProof/>
          <w:color w:val="000000" w:themeColor="text1"/>
        </w:rPr>
        <w:t xml:space="preserve">, MNB), </w:t>
      </w:r>
      <w:r w:rsidRPr="003D0413">
        <w:rPr>
          <w:b/>
          <w:noProof/>
          <w:color w:val="000000" w:themeColor="text1"/>
        </w:rPr>
        <w:t>nu este pe deplin compatibilă</w:t>
      </w:r>
      <w:r w:rsidRPr="003D0413">
        <w:rPr>
          <w:noProof/>
          <w:color w:val="000000" w:themeColor="text1"/>
        </w:rPr>
        <w:t xml:space="preserve"> cu cerințele prevăzute la articolul 131 din TFUE. Incompatibilitățile vizează în special independența MNB, interzicerea finanțării monetare și integrarea băncii centrale în Eurosistem în ceea ce privește misiunile SEBC/BCE prevăzute la articolul 127 alineatul (1) și alineatul (2) din TFUE și la articolele 2 și 3 din statutul SEBC/BCE. În plus, Legea privind MNB include imperfecțiuni legate de independența MNB și de integrarea sa în Eurosistem.</w:t>
      </w:r>
    </w:p>
    <w:p w14:paraId="2AFE0462" w14:textId="0DAC9CE3" w:rsidR="001D5865" w:rsidRPr="003D0413" w:rsidRDefault="1E1CCAE5" w:rsidP="001D5865">
      <w:pPr>
        <w:ind w:left="567"/>
        <w:rPr>
          <w:noProof/>
          <w:color w:val="000000" w:themeColor="text1"/>
        </w:rPr>
      </w:pPr>
      <w:r w:rsidRPr="003D0413">
        <w:rPr>
          <w:b/>
          <w:noProof/>
          <w:color w:val="000000" w:themeColor="text1"/>
        </w:rPr>
        <w:t>Ungaria nu îndeplinește criteriul stabilității prețurilor.</w:t>
      </w:r>
      <w:r w:rsidRPr="003D0413">
        <w:rPr>
          <w:noProof/>
          <w:color w:val="000000" w:themeColor="text1"/>
        </w:rPr>
        <w:t xml:space="preserve"> În Ungaria, rata medie a inflației pe parcursul perioadei de 12 luni care s-a încheiat în mai 2026 a fost de 3,3 %, peste valoarea de referință de 2,7 %. Se preconizează că inflația va scădea și va ajunge sub valoarea de referință până la sfârșitul anului 2026. Potrivit estimărilor, aceasta va crește peste valoarea de referință în prima jumătate a anului 2027, dar va scădea sub acest nivel până la sfârșitul anului respectiv.</w:t>
      </w:r>
    </w:p>
    <w:p w14:paraId="3E708E26" w14:textId="171CDD6B" w:rsidR="1E1CCAE5" w:rsidRPr="003D0413" w:rsidRDefault="00993E97" w:rsidP="000E6CFF">
      <w:pPr>
        <w:ind w:left="567"/>
        <w:jc w:val="center"/>
        <w:rPr>
          <w:rFonts w:eastAsia="EC Square Sans Pro" w:cs="EC Square Sans Pro"/>
          <w:noProof/>
          <w:color w:val="000000" w:themeColor="text1"/>
          <w:szCs w:val="20"/>
        </w:rPr>
      </w:pPr>
      <w:r w:rsidRPr="00993E97">
        <w:rPr>
          <w:rFonts w:eastAsia="EC Square Sans Pro" w:cs="EC Square Sans Pro"/>
          <w:noProof/>
          <w:color w:val="000000" w:themeColor="text1"/>
          <w:szCs w:val="20"/>
          <w:lang w:val="en-GB" w:eastAsia="en-GB"/>
        </w:rPr>
        <w:drawing>
          <wp:inline distT="0" distB="0" distL="0" distR="0" wp14:anchorId="49671947" wp14:editId="340F6C20">
            <wp:extent cx="3952875" cy="3238844"/>
            <wp:effectExtent l="0" t="0" r="0" b="0"/>
            <wp:docPr id="1123091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91782" name=""/>
                    <pic:cNvPicPr/>
                  </pic:nvPicPr>
                  <pic:blipFill>
                    <a:blip r:embed="rId17"/>
                    <a:stretch>
                      <a:fillRect/>
                    </a:stretch>
                  </pic:blipFill>
                  <pic:spPr>
                    <a:xfrm>
                      <a:off x="0" y="0"/>
                      <a:ext cx="3955134" cy="3240695"/>
                    </a:xfrm>
                    <a:prstGeom prst="rect">
                      <a:avLst/>
                    </a:prstGeom>
                  </pic:spPr>
                </pic:pic>
              </a:graphicData>
            </a:graphic>
          </wp:inline>
        </w:drawing>
      </w:r>
    </w:p>
    <w:p w14:paraId="54376244" w14:textId="33684426" w:rsidR="1E1CCAE5" w:rsidRPr="003D0413" w:rsidRDefault="1E1CCAE5" w:rsidP="0004215E">
      <w:pPr>
        <w:ind w:left="567"/>
        <w:rPr>
          <w:rFonts w:eastAsia="EC Square Sans Pro" w:cs="EC Square Sans Pro"/>
          <w:noProof/>
          <w:color w:val="000000" w:themeColor="text1"/>
          <w:szCs w:val="20"/>
        </w:rPr>
      </w:pPr>
      <w:r w:rsidRPr="003D0413">
        <w:rPr>
          <w:noProof/>
          <w:color w:val="000000" w:themeColor="text1"/>
        </w:rPr>
        <w:t xml:space="preserve">Inflația anuală IAPC în Ungaria a încetinit în 2024, dar a crescut din nou în 2025, situându-se în medie la 3,7 % și, respectiv, 4,4 %. Inflația anuală IAPC a crescut de la 3,9 % în mai 2024 la 5,7 % în ianuarie și februarie 2025. Creșterea inflației în 2024 și la începutul anului 2025 a fost determinată în principal de inflația ridicată în sectorul serviciilor, alimentată de cererea puternică a consumatorilor, de creșterea accentuată a salariilor și de majorările impozitelor specifice sectorului, chiar dacă prețurile administrate au avut un efect moderator în 2024. Ulterior, inflația totală a încetinit, ajungând la 3,3 % în decembrie 2025, în principal din cauza scăderii inflației în sectorul energetic. Aceasta a continuat să scadă la începutul anului 2026, atingând un nivel minim de 1,6 % în luna februarie, înainte de a crește treptat în lunile următoare. </w:t>
      </w:r>
      <w:r w:rsidRPr="003D0413">
        <w:rPr>
          <w:noProof/>
        </w:rPr>
        <w:t>Inflația IAPC</w:t>
      </w:r>
      <w:r w:rsidRPr="003D0413">
        <w:rPr>
          <w:noProof/>
          <w:color w:val="000000" w:themeColor="text1"/>
        </w:rPr>
        <w:t xml:space="preserve"> s-a situat la 2,3 % în luna mai 2026, ca urmare a scăderii inflației prețurilor la produsele alimentare, a reevaluării modeste a prețurilor în sectorul serviciilor și a reglementării prețurilor combustibililor pentru a limita impactul creșterii prețurilor petrolului ca urmare a conflictului din Orientul Mijlociu. Ratele anuale ale inflației IAPC în Ungaria în anii 2024 și 2025 au fost, în medie, mai ridicate decât cele din zona euro în ansamblu.</w:t>
      </w:r>
    </w:p>
    <w:p w14:paraId="1D16E7F3" w14:textId="0814A40C" w:rsidR="1E1CCAE5" w:rsidRPr="003D0413" w:rsidRDefault="1E1CCAE5" w:rsidP="00962466">
      <w:pPr>
        <w:ind w:left="567"/>
        <w:rPr>
          <w:rFonts w:eastAsia="EC Square Sans Pro" w:cs="EC Square Sans Pro"/>
          <w:noProof/>
          <w:color w:val="000000" w:themeColor="text1"/>
        </w:rPr>
      </w:pPr>
      <w:r w:rsidRPr="003D0413">
        <w:rPr>
          <w:noProof/>
          <w:color w:val="000000" w:themeColor="text1"/>
        </w:rPr>
        <w:t>Previziunile economice ale Comisiei din primăvara anului 2026 estimează că inflația anuală IAPC va scădea la 3,2 % în 2026 și la 3,1 % în 2027, urmând ca aprecierea monedei în 2026 să modereze inflația. Nivelul prețurilor de consum din Ungaria a fost de aproximativ 70 % din media zonei euro în 2024, indicând în continuare un potențial de convergență suplimentară a nivelului prețurilor pe termen lung.</w:t>
      </w:r>
      <w:r w:rsidRPr="003D0413">
        <w:rPr>
          <w:noProof/>
        </w:rPr>
        <w:t xml:space="preserve"> </w:t>
      </w:r>
    </w:p>
    <w:p w14:paraId="2AD9157D" w14:textId="5076ED80" w:rsidR="00E40A43" w:rsidRPr="003D0413" w:rsidRDefault="1D6A1A2D" w:rsidP="00E40A43">
      <w:pPr>
        <w:ind w:left="540"/>
        <w:rPr>
          <w:rFonts w:eastAsia="EC Square Sans Pro" w:cs="EC Square Sans Pro"/>
          <w:noProof/>
          <w:color w:val="000000" w:themeColor="text1"/>
        </w:rPr>
      </w:pPr>
      <w:r w:rsidRPr="003D0413">
        <w:rPr>
          <w:b/>
          <w:noProof/>
          <w:color w:val="000000" w:themeColor="text1"/>
        </w:rPr>
        <w:t>Ungaria nu îndeplinește criteriul privind finanțele publice.</w:t>
      </w:r>
      <w:r w:rsidRPr="003D0413">
        <w:rPr>
          <w:noProof/>
          <w:color w:val="000000" w:themeColor="text1"/>
        </w:rPr>
        <w:t xml:space="preserve"> Ungaria face obiectul unei decizii a Consiliului privind existența unui deficit excesiv. Din 2020, deficitul public al Ungariei a rămas peste valoarea de referință de 3 % din PIB prevăzută în tratat. Deficitul public a scăzut de la 5,1 % din PIB în 2024 la 4,7 % din PIB în 2025, dar a rămas în continuare peste valoarea de referință de 3 % din PIB. Scăderea din 2025 s-a datorat creșterii veniturilor într-un ritm superior celui al cheltuielilor, pe fondul majorării semnificative a încasărilor din TVA, susținute de consumul solid, al creșterilor salariale consistente are au condus la o creștere a contribuțiilor la asigurările sociale și al reducerilor semnificative ale investițiilor publice. Previziunile economice ale Comisiei din primăvara anului 2026 estimează că deficitul public va crește la 6,2 % din PIB în 2026, printre altele, din cauza reducerilor impozitului pe venitul persoanelor fizice, a creșterii salariilor din sectorul public, precum și a primelor și a depășirii plafoanelor de cheltuieli. În 2027, se preconizează că ponderea deficitului public va scădea la 5,8 %.</w:t>
      </w:r>
    </w:p>
    <w:p w14:paraId="4AAFB4BD" w14:textId="078A52A6" w:rsidR="00085BE8" w:rsidRPr="003D0413" w:rsidRDefault="00FF3F7D" w:rsidP="00492002">
      <w:pPr>
        <w:ind w:left="540"/>
        <w:rPr>
          <w:rFonts w:eastAsia="EC Square Sans Pro" w:cs="EC Square Sans Pro"/>
          <w:noProof/>
        </w:rPr>
      </w:pPr>
      <w:r w:rsidRPr="003D0413">
        <w:rPr>
          <w:noProof/>
          <w:color w:val="000000" w:themeColor="text1"/>
        </w:rPr>
        <w:t>La 18 februarie 2025, Consiliul a aprobat planul bugetar-structural național pe termen mediu al Ungariei. Planul stabilește o traiectorie de ajustare bugetară pe o perioadă de patru ani, cu o creștere maximă a cheltuielilor nete de 4,3 % în 2025, de 4,0 % în 2026, de 3,9 % în 2027 și de 3,7 % în 2028.</w:t>
      </w:r>
      <w:r w:rsidRPr="003D0413">
        <w:rPr>
          <w:noProof/>
        </w:rPr>
        <w:t xml:space="preserve"> </w:t>
      </w:r>
      <w:r w:rsidRPr="003D0413">
        <w:rPr>
          <w:noProof/>
          <w:color w:val="000000" w:themeColor="text1"/>
        </w:rPr>
        <w:t>De asemenea, Consiliul a adoptat o recomandare în vederea încetării situației de deficit excesiv. Ratele maxime recomandate de creștere a cheltuielilor nete în cadrul procedurii aplicabile deficitelor excesive (PDE) au fost în concordanță cu cele stabilite în planul bugetar-structural pe termen mediu. Acestea sunt în concordanță cu o ajustare structurală anuală minimă de cel puțin 0,5 % din PIB ca valoare de referință prevăzută în cadrul unei proceduri aplicabile deficitelor excesive. Termenul pentru efectuarea corecțiilor în cadrul PDE este 2026, dată până la care planul prevede un deficit de 2,5 % din PIB.</w:t>
      </w:r>
      <w:r w:rsidRPr="003D0413">
        <w:rPr>
          <w:noProof/>
          <w:sz w:val="24"/>
        </w:rPr>
        <w:t xml:space="preserve"> </w:t>
      </w:r>
      <w:r w:rsidRPr="003D0413">
        <w:rPr>
          <w:noProof/>
        </w:rPr>
        <w:t xml:space="preserve">În iulie 2025, Consiliul a activat clauza derogatorie națională pentru creșterea cheltuielilor pentru apărare ale Ungariei, permițând Ungariei să se abată de la traiectoria de corecție din cadrul PDE și de la traiectoria cheltuielilor nete din planul bugetar-structural pe termen mediu și să o depășească. </w:t>
      </w:r>
    </w:p>
    <w:p w14:paraId="7A0DEB00" w14:textId="58DD2132" w:rsidR="002F19E2" w:rsidRPr="003D0413" w:rsidRDefault="00085BE8" w:rsidP="00492002">
      <w:pPr>
        <w:ind w:left="540"/>
        <w:rPr>
          <w:rFonts w:eastAsia="EC Square Sans Pro" w:cs="EC Square Sans Pro"/>
          <w:noProof/>
          <w:color w:val="auto"/>
        </w:rPr>
      </w:pPr>
      <w:r w:rsidRPr="003D0413">
        <w:rPr>
          <w:noProof/>
        </w:rPr>
        <w:t xml:space="preserve">Potrivit estimărilor, cheltuielile nete vor crește cu 9,7 % în 2026, depășind creșterea recomandată de 4,0 %. Abaterea care depășește valoarea maximă recomandată este echivalentă cu o abatere anuală de 2,3 % din PIB și cu o abatere cumulată de 3,0 % din PIB. </w:t>
      </w:r>
      <w:r w:rsidRPr="003D0413">
        <w:rPr>
          <w:noProof/>
          <w:color w:val="000000" w:themeColor="text1"/>
        </w:rPr>
        <w:t xml:space="preserve">La 3 iunie 2026, în urma evaluării efectuate, Comisia a concluzionat că, </w:t>
      </w:r>
      <w:r w:rsidRPr="003D0413">
        <w:rPr>
          <w:noProof/>
          <w:color w:val="auto"/>
        </w:rPr>
        <w:t xml:space="preserve">după luarea în considerare a flexibilității oferite de clauza derogatorie națională, Ungaria respectă rata maximă de creștere recomandată a cheltuielilor nete în 2025, deși se preconizează că va fi expusă unui risc semnificativ de neconformitate în 2026. Totuși, în această etapă, Comisia consideră că Ungaria a luat măsuri eficace în 2025. Prin urmare, PDE este suspendată. </w:t>
      </w:r>
    </w:p>
    <w:p w14:paraId="09A4008F" w14:textId="420B3754" w:rsidR="1E1CCAE5" w:rsidRPr="003D0413" w:rsidRDefault="00B74B7F" w:rsidP="2D686018">
      <w:pPr>
        <w:ind w:left="540"/>
        <w:rPr>
          <w:rFonts w:eastAsia="EC Square Sans Pro" w:cs="EC Square Sans Pro"/>
          <w:noProof/>
          <w:color w:val="000000" w:themeColor="text1"/>
        </w:rPr>
      </w:pPr>
      <w:r w:rsidRPr="003D0413">
        <w:rPr>
          <w:noProof/>
          <w:color w:val="000000" w:themeColor="text1"/>
        </w:rPr>
        <w:t>Ponderea datoriei publice în PIB a crescut de la 73,5 % în 2024 la 74,6 % în 2025. Se preconizează că aceasta va crește la 75,1 % în 2026 și la 76,8 % în 2027,</w:t>
      </w:r>
      <w:r w:rsidRPr="003D0413">
        <w:rPr>
          <w:noProof/>
        </w:rPr>
        <w:t xml:space="preserve"> </w:t>
      </w:r>
      <w:r w:rsidRPr="003D0413">
        <w:rPr>
          <w:noProof/>
          <w:color w:val="000000" w:themeColor="text1"/>
        </w:rPr>
        <w:t>ca urmare a unui deficit primar ridicat și a cheltuielilor ridicate cu dobânzile. Riscurile legate de sustenabilitatea datoriei pentru Ungaria par a fi ridicate pe termen mediu, preconizându-se că datoria publică va crește de la aproximativ 75 % în 2025 la aproximativ 103 % din PIB în 2036. Deși cadrul bugetar al țării a fost aliniat treptat la cerințele legale ale UE,</w:t>
      </w:r>
      <w:r w:rsidRPr="003D0413">
        <w:rPr>
          <w:noProof/>
        </w:rPr>
        <w:t xml:space="preserve"> </w:t>
      </w:r>
      <w:r w:rsidRPr="003D0413">
        <w:rPr>
          <w:noProof/>
          <w:color w:val="000000" w:themeColor="text1"/>
        </w:rPr>
        <w:t>acesta nu a promovat transparența și o orientare bugetară prudentă. Instituirea unui cadru bugetar național pe termen mediu realist și stabil ar spori credibilitatea și eficacitatea politicii bugetare a țării. În plus, rolul și independența Consiliului bugetar ar putea fi consolidate.</w:t>
      </w:r>
    </w:p>
    <w:p w14:paraId="412D9F25" w14:textId="736EE682" w:rsidR="1E1CCAE5" w:rsidRPr="003D0413" w:rsidRDefault="005274AE" w:rsidP="004B2463">
      <w:pPr>
        <w:ind w:left="567"/>
        <w:jc w:val="center"/>
        <w:rPr>
          <w:noProof/>
        </w:rPr>
      </w:pPr>
      <w:r w:rsidRPr="005274AE">
        <w:rPr>
          <w:noProof/>
          <w:lang w:val="en-GB" w:eastAsia="en-GB"/>
        </w:rPr>
        <w:drawing>
          <wp:inline distT="0" distB="0" distL="0" distR="0" wp14:anchorId="2D402B6E" wp14:editId="34065EC8">
            <wp:extent cx="3895725" cy="2314575"/>
            <wp:effectExtent l="0" t="0" r="9525" b="9525"/>
            <wp:docPr id="1983542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95725" cy="2314575"/>
                    </a:xfrm>
                    <a:prstGeom prst="rect">
                      <a:avLst/>
                    </a:prstGeom>
                    <a:noFill/>
                    <a:ln>
                      <a:noFill/>
                    </a:ln>
                  </pic:spPr>
                </pic:pic>
              </a:graphicData>
            </a:graphic>
          </wp:inline>
        </w:drawing>
      </w:r>
    </w:p>
    <w:p w14:paraId="39AC2768" w14:textId="38AD02BE" w:rsidR="1E1CCAE5" w:rsidRPr="003D0413" w:rsidRDefault="37207CDC" w:rsidP="004B2463">
      <w:pPr>
        <w:ind w:left="567"/>
        <w:rPr>
          <w:rFonts w:eastAsia="EC Square Sans Pro" w:cs="EC Square Sans Pro"/>
          <w:noProof/>
          <w:color w:val="000000" w:themeColor="text1"/>
        </w:rPr>
      </w:pPr>
      <w:r w:rsidRPr="003D0413">
        <w:rPr>
          <w:b/>
          <w:noProof/>
          <w:color w:val="000000" w:themeColor="text1"/>
        </w:rPr>
        <w:t>Ungaria nu îndeplinește criteriul cursului de schimb.</w:t>
      </w:r>
      <w:r w:rsidRPr="003D0413">
        <w:rPr>
          <w:noProof/>
          <w:color w:val="000000" w:themeColor="text1"/>
        </w:rPr>
        <w:t xml:space="preserve"> Forintul maghiar nu participă la mecanismul cursului de schimb II. Ungaria aplică un regim de flotare a cursului de schimb, care permite băncii centrale să intervină pe piața valutară. Forintul s-a depreciat față de euro în 2024, dar s-a apreciat în cursul anului 2025 până la sfârșitul lunii februarie 2026. Acest lucru a reflectat diferențele dintre politicile monetare ale MNB și BCE, diferențele dintre traiectoriile ratelor inflației și gradul sporit de incertitudine pe parcursul perioadei. În martie 2026, incertitudinea cauzată de conflictul din Orientul Mijlociu a determinat deprecierea temporară a forintului. Cu toate acestea, întrucât inflația s-a apropiat de media zonei euro și în urma rezultatelor alegerilor naționale din aprilie, forintul s-a apreciat din nou. În mai 2026, forintul a fost cu aproximativ 8 % mai puternic față de euro, comparativ cu nivelul înregistrat cu doi ani înainte. Diferențialul ratelor dobânzilor pe termen scurt în raport cu zona euro a scăzut în anul 2024 la un minim de 299 de puncte de bază în luna august, MNB reducându-și rata dobânzii de politică monetară mult mai rapid decât BCE. Spreadul pe termen scurt a crescut apoi în 2025, pe fondul menținerii neschimbate a ratei dobânzii de politică monetară de către MNB, în timp ce BCE și-a continuat procesul de relaxare a politicii monetare. Spreadul pe termen scurt a scăzut din nou ușor în anul 2026, ajungând la 390 de puncte de bază în luna mai, MNB reducându-și rata dobânzii de politică monetară în luna februarie 2026, în timp ce BCE a menținut ratele dobânzilor la același nivel. Ratele dobânzilor pe termen scurt au scăzut, de asemenea, în urma alegerilor din luna aprilie. </w:t>
      </w:r>
    </w:p>
    <w:p w14:paraId="456810BA" w14:textId="6A66B4EC" w:rsidR="1E1CCAE5" w:rsidRPr="003D0413" w:rsidRDefault="5C6CFEDB" w:rsidP="7755A97F">
      <w:pPr>
        <w:ind w:left="567"/>
        <w:rPr>
          <w:rFonts w:eastAsia="EC Square Sans Pro" w:cs="EC Square Sans Pro"/>
          <w:noProof/>
          <w:color w:val="000000" w:themeColor="text1"/>
        </w:rPr>
      </w:pPr>
      <w:r w:rsidRPr="003D0413">
        <w:rPr>
          <w:b/>
          <w:noProof/>
          <w:color w:val="000000" w:themeColor="text1"/>
        </w:rPr>
        <w:t>Ungaria nu îndeplinește criteriul de convergență a ratelor dobânzii pe termen lung.</w:t>
      </w:r>
      <w:r w:rsidRPr="003D0413">
        <w:rPr>
          <w:noProof/>
          <w:color w:val="000000" w:themeColor="text1"/>
        </w:rPr>
        <w:t xml:space="preserve"> În perioada de douăsprezece luni care s-a încheiat în mai 2026, rata medie a dobânzii pe termen lung a fost de 6,7 %, mult peste valoarea de referință de 5,1 %. Rata dobânzii pe termen lung a Ungariei a fost relativ stabilă de la raportul anterior, înregistrând doar unele mici modificări ale ratei dobânzii de politică monetară și o inflație destul de stabilă. </w:t>
      </w:r>
      <w:bookmarkStart w:id="6" w:name="_Hlk232445258"/>
      <w:r w:rsidRPr="003D0413">
        <w:rPr>
          <w:noProof/>
          <w:color w:val="000000" w:themeColor="text1"/>
        </w:rPr>
        <w:t xml:space="preserve">Reducerea ratei dobânzii de politică monetară în februarie și scăderea bruscă a inflației la începutul anului 2026 au determinat scăderea ratei dobânzii pe termen lung în Ungaria. Cu toate acestea, riscurile sporite cauzate de războiul din Orientul Mijlociu au determinat creșterea temporară a valorii la 7,1 % în luna martie, cel mai ridicat nivel din 2023. Rezultatele alegerilor din aprilie au determinat revenirea ratei dobânzii pe termen lung pe o traiectorie descendentă, aceasta ajungând la 5,7 % în mai 2026. </w:t>
      </w:r>
      <w:bookmarkEnd w:id="6"/>
      <w:r w:rsidRPr="003D0413">
        <w:rPr>
          <w:noProof/>
          <w:color w:val="000000" w:themeColor="text1"/>
        </w:rPr>
        <w:t>Spreadul ratei dobânzii pe termen lung în raport cu Germania a fost relativ stabil în 2025 și apoi a scăzut în 2026, ca urmare a scăderii ratei dobânzii pe termen lung. Spreadul pe termen lung în raport cu obligațiunea germană de referință a fost de 260 de puncte de bază în mai 2026.</w:t>
      </w:r>
    </w:p>
    <w:p w14:paraId="5C9FCB92" w14:textId="364CEE51" w:rsidR="1E1CCAE5" w:rsidRPr="003D0413" w:rsidRDefault="5C6CFEDB" w:rsidP="004B2463">
      <w:pPr>
        <w:ind w:left="567"/>
        <w:rPr>
          <w:rFonts w:eastAsia="EC Square Sans Pro" w:cs="EC Square Sans Pro"/>
          <w:noProof/>
          <w:color w:val="000000" w:themeColor="text1"/>
        </w:rPr>
      </w:pPr>
      <w:r w:rsidRPr="003D0413">
        <w:rPr>
          <w:noProof/>
          <w:color w:val="000000" w:themeColor="text1"/>
        </w:rPr>
        <w:t xml:space="preserve">Comisia a examinat și </w:t>
      </w:r>
      <w:r w:rsidRPr="003D0413">
        <w:rPr>
          <w:b/>
          <w:noProof/>
          <w:color w:val="000000" w:themeColor="text1"/>
        </w:rPr>
        <w:t>alți factori</w:t>
      </w:r>
      <w:r w:rsidRPr="003D0413">
        <w:rPr>
          <w:noProof/>
          <w:color w:val="000000" w:themeColor="text1"/>
        </w:rPr>
        <w:t xml:space="preserve">, inclusiv evoluția balanței de plăți, integrarea piețelor și mediul internațional. Balanța externă a Ungariei (și anume contul curent și contul de capital combinate) s-a îmbunătățit, ajungând la 2,2 % din PIB în 2024, în principal datorită unei îmbunătățiri a balanței comerciale. Aceasta a rămas la 2,2 % din PIB în 2025, întrucât deficitul comercial în creștere în comerțul cu mărfuri a fost compensat de creșterea excedentului comercial din sectorul serviciilor. Economia Ungariei este foarte bine integrată cu zona euro, datorită schimburilor comerciale și investițiilor. Indicatorii selectați privind mediul instituțional arată că Ungaria înregistrează rezultate mai slabe decât multe dintre statele membre din zona euro în această privință. Ungaria se confruntă cu provocări în domenii precum calitatea reglementării și controlul corupției. De asemenea, Ungaria înregistrează rezultate mai slabe decât media zonei euro în ceea ce privește eficacitatea administrației publice și statul de drept. Sistemul financiar al Ungariei se caracterizează printr-o prezență masivă a holdingurilor străine care nu realizează nicio intermediere financiară în economia națională. Cu excepția acestora, sistemul financiar al Ungariei este mai puțin dezvoltat decât media zonei euro. Sectorul bancar din Ungaria are o pondere mare și relativ stabilă în sectorul financiar și este bine integrat în sistemul financiar al zonei euro datorită unei ponderi relativ ridicate a participațiilor investitorilor străini. Piețele titlurilor de capital și datoriilor sunt mici și relativ mai puțin dezvoltate. În contextul procedurii privind dezechilibrele macroeconomice, Comisia a concluzionat, în Raportul său privind mecanismul de alertă pentru 2026, că un bilanț aprofundat este justificat în cazul Ungariei. Bilanțul aprofundat a concluzionat că Ungaria se confruntă cu vulnerabilități legate de nivelul ridicat al datoriei sale publice și de nevoile sale de finanțare publică, de competitivitatea costurilor și de prețurile locuințelor. </w:t>
      </w:r>
      <w:r w:rsidRPr="003D0413">
        <w:rPr>
          <w:noProof/>
        </w:rPr>
        <w:t>Ținând seama de această evaluare din bilanțul aprofundat, Comisia, în comunicarea sa referitoare la pachetul de primăvară al semestrului european 2026, consideră că Ungaria continuă să se confrunte cu dezechilibre macroeconomice.</w:t>
      </w:r>
    </w:p>
    <w:p w14:paraId="741597F9" w14:textId="281811EA" w:rsidR="52A3362B" w:rsidRPr="003D0413" w:rsidRDefault="00F96617" w:rsidP="11E801D1">
      <w:pPr>
        <w:ind w:left="567"/>
        <w:rPr>
          <w:rFonts w:eastAsia="EC Square Sans Pro" w:cs="EC Square Sans Pro"/>
          <w:noProof/>
          <w:color w:val="000000" w:themeColor="text1"/>
        </w:rPr>
      </w:pPr>
      <w:r w:rsidRPr="003D0413">
        <w:rPr>
          <w:noProof/>
        </w:rPr>
        <w:t xml:space="preserve">Planul de redresare și reziliență (PRR) al Ungariei include măsuri menite să abordeze o serie de provocări structurale, în sinergie cu alte fonduri ale UE, inclusiv cu fondurile politicii de coeziune, pentru a stimula competitivitatea și creșterea durabilă, precum și pentru a reduce disparitățile teritoriale și sociale din țară. Ungaria beneficiază de finanțare din cadrul MRR în valoare de 10 miliarde EUR pentru perioada 2021-2026. </w:t>
      </w:r>
      <w:r w:rsidRPr="003D0413">
        <w:rPr>
          <w:noProof/>
          <w:color w:val="000000" w:themeColor="text1"/>
        </w:rPr>
        <w:t>Printre reformele majore din planul de redresare și reziliență al Ungariei se numără cele din domeniul statului de drept</w:t>
      </w:r>
      <w:r w:rsidRPr="003D0413">
        <w:rPr>
          <w:noProof/>
        </w:rPr>
        <w:t xml:space="preserve"> </w:t>
      </w:r>
      <w:r w:rsidRPr="003D0413">
        <w:rPr>
          <w:noProof/>
          <w:color w:val="000000" w:themeColor="text1"/>
        </w:rPr>
        <w:t xml:space="preserve">(de exemplu, sistemul judiciar, combaterea corupției, achizițiile publice), al transportului durabil, al energiei, al gestionării apei și al economiei circulare, al impozitării și al cadrului bugetar. </w:t>
      </w:r>
      <w:r w:rsidRPr="003D0413">
        <w:rPr>
          <w:noProof/>
        </w:rPr>
        <w:t>În plus, pentru perioada 2021-2027, Ungaria beneficiază de finanțare din partea politicii de coeziune în valoare de 23,7 miliarde EUR. Finanțarea politicii de coeziune urmărește să sprijine în continuare competitivitatea Ungariei, inclusiv prin inovare și adoptarea tehnologiilor avansate, tranziția verde și convergența socială ascendentă, abordând, printre altele, combaterea sărăciei și dezvoltarea sistemelor de educație și a competențelor. Deși Ungaria a înregistrat progrese în ceea ce privește punerea în aplicare a politicii de coeziune, există în continuare provocări și persistă unele disparități sociale și regionale semnificative</w:t>
      </w:r>
      <w:r w:rsidRPr="003D0413">
        <w:rPr>
          <w:noProof/>
          <w:color w:val="000000" w:themeColor="text1"/>
        </w:rPr>
        <w:t>.</w:t>
      </w:r>
    </w:p>
    <w:p w14:paraId="04B6DE89" w14:textId="77777777" w:rsidR="00303E27" w:rsidRPr="003D0413" w:rsidRDefault="00303E27" w:rsidP="009F0DD6">
      <w:pPr>
        <w:rPr>
          <w:b/>
          <w:bCs/>
          <w:noProof/>
        </w:rPr>
      </w:pPr>
    </w:p>
    <w:p w14:paraId="52FC46C2" w14:textId="57CD1792" w:rsidR="003C562C" w:rsidRPr="003D0413" w:rsidRDefault="003C562C" w:rsidP="003C562C">
      <w:pPr>
        <w:numPr>
          <w:ilvl w:val="0"/>
          <w:numId w:val="1"/>
        </w:numPr>
        <w:ind w:left="567" w:hanging="567"/>
        <w:rPr>
          <w:b/>
          <w:bCs/>
          <w:noProof/>
        </w:rPr>
      </w:pPr>
      <w:r w:rsidRPr="003D0413">
        <w:rPr>
          <w:b/>
          <w:noProof/>
        </w:rPr>
        <w:t xml:space="preserve">POLONIA </w:t>
      </w:r>
    </w:p>
    <w:p w14:paraId="7E57616E" w14:textId="6D3ECE6A" w:rsidR="003C562C" w:rsidRPr="003D0413" w:rsidRDefault="3C399B44" w:rsidP="2C28BDD6">
      <w:pPr>
        <w:ind w:left="567"/>
        <w:rPr>
          <w:b/>
          <w:bCs/>
          <w:noProof/>
        </w:rPr>
      </w:pPr>
      <w:r w:rsidRPr="003D0413">
        <w:rPr>
          <w:b/>
          <w:noProof/>
        </w:rPr>
        <w:t>Având în vedere evaluarea sa privind compatibilitatea juridică și îndeplinirea criteriilor de convergență și luând în considerare factorii relevanți suplimentari, Comisia consideră că Polonia nu îndeplinește condițiile pentru adoptarea monedei euro.</w:t>
      </w:r>
    </w:p>
    <w:p w14:paraId="1F8AF5D0" w14:textId="4C6F6A33" w:rsidR="00E01E11" w:rsidRPr="003D0413" w:rsidRDefault="26288E5A" w:rsidP="2C28BDD6">
      <w:pPr>
        <w:ind w:left="567"/>
        <w:rPr>
          <w:noProof/>
        </w:rPr>
      </w:pPr>
      <w:r w:rsidRPr="003D0413">
        <w:rPr>
          <w:b/>
          <w:noProof/>
        </w:rPr>
        <w:t>Legislația din Polonia</w:t>
      </w:r>
      <w:r w:rsidRPr="003D0413">
        <w:rPr>
          <w:noProof/>
        </w:rPr>
        <w:t xml:space="preserve">, în special Legea privind </w:t>
      </w:r>
      <w:r w:rsidRPr="003D0413">
        <w:rPr>
          <w:i/>
          <w:iCs/>
          <w:noProof/>
        </w:rPr>
        <w:t>Narodowy Bank Po</w:t>
      </w:r>
      <w:r w:rsidRPr="003D0413">
        <w:rPr>
          <w:noProof/>
        </w:rPr>
        <w:t xml:space="preserve">lsk (Legea privind NBP) și Constituția Republicii Polone, </w:t>
      </w:r>
      <w:r w:rsidRPr="003D0413">
        <w:rPr>
          <w:b/>
          <w:noProof/>
        </w:rPr>
        <w:t>nu este pe deplin compatibilă</w:t>
      </w:r>
      <w:r w:rsidRPr="003D0413">
        <w:rPr>
          <w:noProof/>
        </w:rPr>
        <w:t xml:space="preserve"> cu cerințele prevăzute la articolul 131 din TFUE. Incompatibilitățile vizează independența băncii centrale, interzicerea finanțării monetare și integrarea băncii centrale în Eurosistem. În plus, Legea NBP include și anumite imperfecțiuni legate de independența NBP și de integrarea NBP în Eurosistem în ceea ce privește misiunile SEBC/BCE prevăzute la articolul 127 alineatul (2) din TFUE și la articolul 3 din statutul SEBC/BCE.</w:t>
      </w:r>
    </w:p>
    <w:p w14:paraId="67B5C6FE" w14:textId="58EABF31" w:rsidR="2E0D7BD1" w:rsidRPr="003D0413" w:rsidRDefault="090B982B" w:rsidP="4D65903E">
      <w:pPr>
        <w:ind w:left="567"/>
        <w:rPr>
          <w:noProof/>
          <w:color w:val="000000" w:themeColor="text1"/>
        </w:rPr>
      </w:pPr>
      <w:r w:rsidRPr="003D0413">
        <w:rPr>
          <w:b/>
          <w:noProof/>
          <w:color w:val="000000" w:themeColor="text1"/>
        </w:rPr>
        <w:t>Polonia nu îndeplinește criteriul stabilității prețurilor.</w:t>
      </w:r>
      <w:r w:rsidRPr="003D0413">
        <w:rPr>
          <w:noProof/>
          <w:color w:val="000000" w:themeColor="text1"/>
        </w:rPr>
        <w:t xml:space="preserve"> În Polonia, rata medie a inflației pe parcursul perioadei de 12 luni care s-a încheiat în mai 2026 a fost de 2,9 %, ușor peste valoarea de referință de 2,7 %. Se preconizează că până la sfârșitul anului 2026 aceasta va crește și va rămâne peste valoarea de referință. Cu toate acestea, potrivit estimărilor, rata medie a inflației va scădea în cea mai mare parte a anului 2027 și va ajunge sub valoarea de referință până la sfârșitul anului respectiv.</w:t>
      </w:r>
      <w:r w:rsidR="003D0413">
        <w:rPr>
          <w:noProof/>
          <w:color w:val="000000" w:themeColor="text1"/>
        </w:rPr>
        <w:t xml:space="preserve"> </w:t>
      </w:r>
    </w:p>
    <w:p w14:paraId="5C5F2DCE" w14:textId="2228FFFC" w:rsidR="0059245A" w:rsidRPr="003D0413" w:rsidRDefault="00993E97" w:rsidP="000D4AFA">
      <w:pPr>
        <w:ind w:left="567"/>
        <w:jc w:val="center"/>
        <w:rPr>
          <w:noProof/>
          <w:color w:val="000000" w:themeColor="text1"/>
        </w:rPr>
      </w:pPr>
      <w:r w:rsidRPr="00993E97">
        <w:rPr>
          <w:noProof/>
          <w:color w:val="000000" w:themeColor="text1"/>
          <w:lang w:val="en-GB" w:eastAsia="en-GB"/>
        </w:rPr>
        <w:drawing>
          <wp:inline distT="0" distB="0" distL="0" distR="0" wp14:anchorId="19F136A6" wp14:editId="732755D3">
            <wp:extent cx="3371850" cy="3242163"/>
            <wp:effectExtent l="0" t="0" r="0" b="0"/>
            <wp:docPr id="643683806"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83806" name="Picture 1" descr="A graph with numbers and a line&#10;&#10;AI-generated content may be incorrect."/>
                    <pic:cNvPicPr/>
                  </pic:nvPicPr>
                  <pic:blipFill>
                    <a:blip r:embed="rId19"/>
                    <a:stretch>
                      <a:fillRect/>
                    </a:stretch>
                  </pic:blipFill>
                  <pic:spPr>
                    <a:xfrm>
                      <a:off x="0" y="0"/>
                      <a:ext cx="3375479" cy="3245653"/>
                    </a:xfrm>
                    <a:prstGeom prst="rect">
                      <a:avLst/>
                    </a:prstGeom>
                  </pic:spPr>
                </pic:pic>
              </a:graphicData>
            </a:graphic>
          </wp:inline>
        </w:drawing>
      </w:r>
    </w:p>
    <w:p w14:paraId="28270791" w14:textId="59A43EE0" w:rsidR="6DFC07CC" w:rsidRPr="003D0413" w:rsidRDefault="21C75418" w:rsidP="004A57FE">
      <w:pPr>
        <w:ind w:left="567"/>
        <w:rPr>
          <w:rFonts w:eastAsia="EC Square Sans Pro" w:cs="EC Square Sans Pro"/>
          <w:noProof/>
          <w:color w:val="000000" w:themeColor="text1"/>
        </w:rPr>
      </w:pPr>
      <w:r w:rsidRPr="003D0413">
        <w:rPr>
          <w:noProof/>
          <w:color w:val="000000" w:themeColor="text1"/>
        </w:rPr>
        <w:t xml:space="preserve">Inflația totală a scăzut substanțial de la 10,8 % în 2023 la o valoare medie de 3,7 % în 2024 și de 3,3 % în 2025. Majoritatea componentelor inflației, cu excepția serviciilor și a alimentelor prelucrate, au contribuit la această reducere. Prețurile alimentelor au fost afectate de eliminarea treptată a cotei zero temporare de TVA pentru produsele alimentare de bază la sfârșitul lunii martie 2024. În 2025, a încetat, de asemenea, aplicarea măsurii de plafonare a prețurilor gazelor și energiei electrice pentru gospodării. </w:t>
      </w:r>
      <w:r w:rsidRPr="003D0413">
        <w:rPr>
          <w:noProof/>
          <w:color w:val="auto"/>
        </w:rPr>
        <w:t xml:space="preserve">După ce s-a moderat la 2,5 % în ianuarie și februarie 2026, inflația IAPC a crescut în următoarele trei luni, ajungând la 3,3 % în mai 2026, ca urmare a creșterii prețurilor materiilor prime la nivel mondial pe fondul conflictului din Orientul Mijlociu, dar a fost atenuată de o reducere temporară a impozitelor pe combustibili și de un plafon zilnic al prețurilor introdus la sfârșitul lunii martie 2026. </w:t>
      </w:r>
      <w:r w:rsidRPr="003D0413">
        <w:rPr>
          <w:noProof/>
          <w:color w:val="000000" w:themeColor="text1"/>
        </w:rPr>
        <w:t>În anii 2024 și 2025, rata anuală a inflației IAPC în Polonia a fost, în medie, mai ridicată decât cea din zona euro în ansamblu.</w:t>
      </w:r>
    </w:p>
    <w:p w14:paraId="199636C6" w14:textId="1379DA79" w:rsidR="6DFC07CC" w:rsidRPr="003D0413" w:rsidRDefault="2AEA9FDB" w:rsidP="29A56CAE">
      <w:pPr>
        <w:ind w:left="567"/>
        <w:rPr>
          <w:rFonts w:eastAsia="EC Square Sans Pro" w:cs="EC Square Sans Pro"/>
          <w:noProof/>
          <w:color w:val="000000" w:themeColor="text1"/>
        </w:rPr>
      </w:pPr>
      <w:r w:rsidRPr="003D0413">
        <w:rPr>
          <w:noProof/>
          <w:color w:val="000000" w:themeColor="text1"/>
        </w:rPr>
        <w:t>Privind în perspectivă, se preconizează că inflația va crește în 2026, dar apoi va scădea în 2027, rămânând însă peste media zonei euro în ambii ani. Potrivit previziunilor economice ale Comisiei din primăvara anului 2026, inflația anuală IAPC va fi, în medie, de 3,6 % în 2026 și de 2,9 % în 2027. Perspectivele inflației rămân incerte din cauza riscurilor legate de prețurile materiilor prime la nivel mondial și de situația geopolitică. Nivelul prețurilor de consum din Polonia a fost de aproximativ 69 % din media zonei euro în 2024, indicând în continuare un potențial de convergență suplimentară a nivelului prețurilor pe termen lung.</w:t>
      </w:r>
    </w:p>
    <w:p w14:paraId="12DE7102" w14:textId="5CCFABE2" w:rsidR="00B74B7F" w:rsidRPr="003D0413" w:rsidRDefault="6E302684" w:rsidP="00B74B7F">
      <w:pPr>
        <w:ind w:left="567"/>
        <w:rPr>
          <w:rFonts w:eastAsia="EC Square Sans Pro" w:cs="EC Square Sans Pro"/>
          <w:noProof/>
          <w:color w:val="000000" w:themeColor="text1"/>
        </w:rPr>
      </w:pPr>
      <w:r w:rsidRPr="003D0413">
        <w:rPr>
          <w:b/>
          <w:noProof/>
          <w:color w:val="000000" w:themeColor="text1"/>
        </w:rPr>
        <w:t>Polonia nu îndeplinește criteriul privind finanțele publice.</w:t>
      </w:r>
      <w:r w:rsidRPr="003D0413">
        <w:rPr>
          <w:noProof/>
          <w:color w:val="000000" w:themeColor="text1"/>
        </w:rPr>
        <w:t xml:space="preserve"> Polonia face obiectul unei decizii a Consiliului privind existența unui deficit excesiv. Din 2022, deficitul public al Poloniei a rămas peste valoarea de referință de 3 % din PIB prevăzută în tratat, crescând de la 3,4 % din PIB în 2022 la 6,4 % din PIB în 2024 și la 7,3 % din PIB în 2025. Acest lucru se datorează creșterii cheltuielilor publice determinate de investiții substanțiale în domeniul apărării, creșterii prestațiilor sociale (inclusiv indexarea pensiilor și, de asemenea, noile programe pentru facilitarea revenirii părinților pe piața muncii și pensiile de soț supraviețuitor), creșterii costurilor de administrare a datoriei publice, creșterii salariilor în sectorul public și creșterii cheltuielilor cu asistența medicală. Previziunile economice ale Comisiei din primăvara anului 2026 estimează că deficitul public va scădea la 6,5 % din PIB în 2026, ca urmare a limitării cheltuielilor finanțate la nivel național și a măsurilor discreționare adoptate în materie de venituri. În 2027, se preconizează că ponderea deficitului public va fi de 6,3 %. </w:t>
      </w:r>
    </w:p>
    <w:p w14:paraId="2E87A3F4" w14:textId="330C65C8" w:rsidR="1A91F675" w:rsidRPr="003D0413" w:rsidRDefault="1A91F675" w:rsidP="43D0759F">
      <w:pPr>
        <w:ind w:left="567"/>
        <w:rPr>
          <w:rFonts w:eastAsia="EC Square Sans Pro" w:cs="EC Square Sans Pro"/>
          <w:noProof/>
          <w:color w:val="000000" w:themeColor="text1"/>
        </w:rPr>
      </w:pPr>
      <w:r w:rsidRPr="003D0413">
        <w:rPr>
          <w:noProof/>
          <w:color w:val="000000" w:themeColor="text1"/>
        </w:rPr>
        <w:t xml:space="preserve">La 21 ianuarie 2025, Consiliul a adoptat o recomandare de aprobare a planului bugetar-structural național pe termen mediu al Poloniei. Planul stabilește o traiectorie de ajustare bugetară pe o perioadă de patru ani, cu o creștere maximă a cheltuielilor nete de 6,3 % în 2025, de 4,4 % în 2026, de 4,0 % în 2027 și de 3,5 % în 2028. De asemenea, Consiliul a adoptat o recomandare în vederea încetării situației de deficit excesiv. Ratele maxime recomandate de creștere a cheltuielilor nete în cadrul PDE au fost în concordanță cu cele stabilite în planul bugetar-structural pe termen mediu. Acestea sunt în concordanță cu o ajustare structurală anuală minimă de cel puțin 0,5 % din PIB ca valoare de referință prevăzută în cadrul unei PDE. Termenul pentru efectuarea corecțiilor în cadrul PDE este 2028, dată până la care planul prevede un deficit de 2,9 % din PIB. În iulie 2025, Consiliul a activat clauza derogatorie națională pentru creșterea cheltuielilor pentru apărare ale Poloniei, permițând Poloniei să se abată de la traiectoria de corecție din cadrul PDE și de la traiectoria cheltuielilor nete din planul bugetar-structural pe termen mediu și să o depășească. </w:t>
      </w:r>
      <w:r w:rsidRPr="003D0413">
        <w:rPr>
          <w:noProof/>
        </w:rPr>
        <w:t>La 3 iunie 2026, Comisia a concluzionat că, pe baza evaluării măsurilor eficace, procedura aplicabilă deficitelor excesive pentru Polonia este suspendată.</w:t>
      </w:r>
    </w:p>
    <w:p w14:paraId="4FAF4E17" w14:textId="3173EA99" w:rsidR="002A5DD3" w:rsidRPr="003D0413" w:rsidRDefault="7BE7F982">
      <w:pPr>
        <w:ind w:left="567"/>
        <w:rPr>
          <w:noProof/>
        </w:rPr>
      </w:pPr>
      <w:r w:rsidRPr="003D0413">
        <w:rPr>
          <w:noProof/>
          <w:color w:val="000000" w:themeColor="text1"/>
        </w:rPr>
        <w:t xml:space="preserve">Potrivit estimărilor, cheltuielile nete vor crește cu 4,0 % în 2026, situându-se sub creșterea recomandată de 4,4 %. Abaterea cumulată </w:t>
      </w:r>
      <w:r w:rsidRPr="003D0413">
        <w:rPr>
          <w:noProof/>
          <w:color w:val="auto"/>
        </w:rPr>
        <w:t xml:space="preserve">de la valoarea maximă recomandată este echivalentă cu 1,0 % din PIB. Cu toate acestea, abaterea preconizată se încadrează în flexibilitatea clauzei derogatorii naționale pe baza proiecțiilor actuale privind cheltuielile pentru apărare. </w:t>
      </w:r>
    </w:p>
    <w:p w14:paraId="398DFD64" w14:textId="1427C5D1" w:rsidR="23E6F968" w:rsidRPr="003D0413" w:rsidRDefault="2D5FEF4D" w:rsidP="7D817C09">
      <w:pPr>
        <w:ind w:left="567"/>
        <w:rPr>
          <w:rFonts w:eastAsia="EC Square Sans Pro" w:cs="EC Square Sans Pro"/>
          <w:noProof/>
          <w:color w:val="000000" w:themeColor="text1"/>
        </w:rPr>
      </w:pPr>
      <w:r w:rsidRPr="003D0413">
        <w:rPr>
          <w:noProof/>
          <w:color w:val="000000" w:themeColor="text1"/>
        </w:rPr>
        <w:t xml:space="preserve">Ponderea datoriei publice în PIB a crescut de la 54,8 % în 2024 la 59,7 % în 2025 și se preconizează că va crește în continuare la 64,5 % în 2026 și la 68,3 % în 2027. Acest lucru este determinat de un deficit primar ridicat, de cheltuielile ridicate cu dobânzile și de ajustările datorie-deficit ascendente. Riscurile legate de sustenabilitatea datoriei Poloniei par a fi ridicate pe termen mediu, preconizându-se că datoria publică va crește constant de la aproximativ 60 % în 2025 la aproximativ 107 % din PIB în 2036. Cadrul bugetar din Polonia a făcut obiectul a două reforme semnificative în 2024, care au consolidat disciplina bugetară și sustenabilitatea finanțelor publice din Polonia prin introducerea unui mecanism de corecție </w:t>
      </w:r>
      <w:r w:rsidRPr="003D0413">
        <w:rPr>
          <w:i/>
          <w:noProof/>
          <w:color w:val="000000" w:themeColor="text1"/>
        </w:rPr>
        <w:t>ex ante</w:t>
      </w:r>
      <w:r w:rsidRPr="003D0413">
        <w:rPr>
          <w:noProof/>
          <w:color w:val="000000" w:themeColor="text1"/>
        </w:rPr>
        <w:t xml:space="preserve"> în norma națională în materie de cheltuieli pentru a asigura coerența cu cerințele bugetare ale UE și a unui mandat cuprinzător de monitorizare a politicii bugetare pentru Consiliul bugetar.</w:t>
      </w:r>
      <w:r w:rsidR="003D0413">
        <w:rPr>
          <w:noProof/>
          <w:color w:val="000000" w:themeColor="text1"/>
        </w:rPr>
        <w:t xml:space="preserve"> </w:t>
      </w:r>
    </w:p>
    <w:p w14:paraId="396AB193" w14:textId="6A458FB0" w:rsidR="00B436C7" w:rsidRPr="003D0413" w:rsidRDefault="005274AE" w:rsidP="00B436C7">
      <w:pPr>
        <w:ind w:left="567"/>
        <w:jc w:val="center"/>
        <w:rPr>
          <w:noProof/>
        </w:rPr>
      </w:pPr>
      <w:r w:rsidRPr="005274AE">
        <w:rPr>
          <w:noProof/>
          <w:lang w:val="en-GB" w:eastAsia="en-GB"/>
        </w:rPr>
        <w:drawing>
          <wp:inline distT="0" distB="0" distL="0" distR="0" wp14:anchorId="2CC1F46C" wp14:editId="14CBD20A">
            <wp:extent cx="3990975" cy="2552700"/>
            <wp:effectExtent l="0" t="0" r="9525" b="0"/>
            <wp:docPr id="2026437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90975" cy="2552700"/>
                    </a:xfrm>
                    <a:prstGeom prst="rect">
                      <a:avLst/>
                    </a:prstGeom>
                    <a:noFill/>
                    <a:ln>
                      <a:noFill/>
                    </a:ln>
                  </pic:spPr>
                </pic:pic>
              </a:graphicData>
            </a:graphic>
          </wp:inline>
        </w:drawing>
      </w:r>
    </w:p>
    <w:p w14:paraId="17CDF6CF" w14:textId="7E9A5A4F" w:rsidR="0045714E" w:rsidRPr="003D0413" w:rsidRDefault="2ABF2AE3" w:rsidP="009A7AD3">
      <w:pPr>
        <w:ind w:left="567"/>
        <w:rPr>
          <w:rFonts w:eastAsia="EC Square Sans Pro" w:cs="EC Square Sans Pro"/>
          <w:noProof/>
          <w:color w:val="000000" w:themeColor="text1"/>
        </w:rPr>
      </w:pPr>
      <w:r w:rsidRPr="003D0413">
        <w:rPr>
          <w:b/>
          <w:noProof/>
        </w:rPr>
        <w:t>Polonia nu îndeplinește criteriul cursului de schimb</w:t>
      </w:r>
      <w:r w:rsidRPr="003D0413">
        <w:rPr>
          <w:noProof/>
        </w:rPr>
        <w:t>.</w:t>
      </w:r>
      <w:r w:rsidRPr="003D0413">
        <w:rPr>
          <w:b/>
          <w:noProof/>
        </w:rPr>
        <w:t xml:space="preserve"> </w:t>
      </w:r>
      <w:r w:rsidRPr="003D0413">
        <w:rPr>
          <w:noProof/>
          <w:color w:val="000000" w:themeColor="text1"/>
        </w:rPr>
        <w:t>Zlotul polonez nu participă la mecanismul cursului de schimb II. Din aprilie 2000, Polonia aplică un regim de flotare liberă a cursului de schimb, care permite băncii centrale să intervină pe piața valutară, în cazul în care consideră necesar acest lucru, pentru a realiza ținta de inflație. Pe parcursul anului 2024, zlotul a rămas relativ stabil, cu o medie de aproximativ 4,31 PLN/EUR. În perioada ianuarie-martie 2025, acesta s-a consolidat ușor, de la 4,25 PLN/EUR la aproximativ 4,18 PLN/EUR. A urmat apoi o depreciere rapidă și o perioadă de fluctuații relativ minore la nivelul de aproximativ 4,24 PLN/EUR. În perioada cuprinsă între luna mai 2025 și sfârșitul anului, cursul de schimb s-a menținut aproape de 4,25 PLN/EUR. În luna mai 2026, cursul de schimb al zlotului față de euro a fost, în medie, de 4,25 PLN/EUR. Zlotul a fost cu aproximativ 1 % mai puternic față de euro, comparativ cu nivelul înregistrat cu doi ani înainte.</w:t>
      </w:r>
    </w:p>
    <w:p w14:paraId="724350A0" w14:textId="4371DFE6" w:rsidR="0045714E" w:rsidRPr="003D0413" w:rsidRDefault="6BC54327" w:rsidP="2EEA064F">
      <w:pPr>
        <w:ind w:left="567"/>
        <w:rPr>
          <w:noProof/>
          <w:color w:val="000000" w:themeColor="text1"/>
        </w:rPr>
      </w:pPr>
      <w:r w:rsidRPr="003D0413">
        <w:rPr>
          <w:noProof/>
          <w:color w:val="000000" w:themeColor="text1"/>
        </w:rPr>
        <w:t>Diferențialul ratei dobânzii pe termen scurt în raport cu zona euro a crescut continuu în cursul anului 2024 și în primele trei luni ale anului 2025, ajungând la 341 de puncte de bază în martie 2025. În această perioadă, în concordanță cu relaxarea ratei dobânzii de politică monetară a BCE, rata dobânzii pe termen scurt în zona euro a continuat să scadă, în timp ce rata dobânzii pe trei luni în Polonia a rămas stabilă. Începând cu luna mai 2025, NBP s-a angajat într-un ciclu de relaxare care a condus la o reducere substanțială a diferențialului ratei dobânzii la 200 de puncte de bază în luna decembrie. Această tendință a continuat în anul 2026, diferențialul ratei dobânzii atingând 162 de puncte de bază în luna mai.</w:t>
      </w:r>
    </w:p>
    <w:p w14:paraId="74E498E7" w14:textId="75BA5D26" w:rsidR="0045714E" w:rsidRPr="003D0413" w:rsidRDefault="0CC8EAC1" w:rsidP="2EEA064F">
      <w:pPr>
        <w:ind w:left="567"/>
        <w:rPr>
          <w:noProof/>
          <w:color w:val="000000" w:themeColor="text1"/>
        </w:rPr>
      </w:pPr>
      <w:r w:rsidRPr="003D0413">
        <w:rPr>
          <w:b/>
          <w:noProof/>
          <w:color w:val="000000" w:themeColor="text1"/>
        </w:rPr>
        <w:t>Polonia nu îndeplinește criteriul de convergență a ratelor dobânzii pe termen lung.</w:t>
      </w:r>
      <w:r w:rsidRPr="003D0413">
        <w:rPr>
          <w:noProof/>
          <w:color w:val="000000" w:themeColor="text1"/>
        </w:rPr>
        <w:t xml:space="preserve"> În perioada de 12 luni care s-a încheiat în mai 2026, rata medie a dobânzii pe termen lung a fost de 5,4 %, ușor peste valoarea de referință de 5,1 %. Rata dobânzii pe termen lung a Poloniei a crescut inițial ușor în 2024, atingând un nivel maxim de 5,7 % în iunie 2024, în contextul unei politici monetare restrictive și al unui deficit bugetar ridicat. În această perioadă, spreadul ratei dobânzii pe termen lung în raport cu obligațiunea germană de referință a rămas relativ stabil, înainte de a crește de la 319 puncte de bază în iulie 2024 la o valoare de vârf de 355 de puncte de bază în decembrie 2024. Începând din ianuarie 2025, rata dobânzii pe termen lung a scăzut treptat, înregistrând însă unele fluctuații pe măsură ce politica monetară s-a relaxat, și a ajuns la 5,7 % în mai 2026. Prin urmare, spreadul ratei dobânzii pe termen lung în raport cu obligațiunea germană de referință s-a redus constant la aproximativ 269 de puncte de bază în cursul lunii mai 2026.</w:t>
      </w:r>
    </w:p>
    <w:p w14:paraId="3B6C3229" w14:textId="058FB07B" w:rsidR="0045714E" w:rsidRPr="003D0413" w:rsidRDefault="26806A35" w:rsidP="2C28BDD6">
      <w:pPr>
        <w:ind w:left="567"/>
        <w:rPr>
          <w:noProof/>
        </w:rPr>
      </w:pPr>
      <w:r w:rsidRPr="003D0413">
        <w:rPr>
          <w:noProof/>
        </w:rPr>
        <w:t xml:space="preserve">Comisia a examinat și </w:t>
      </w:r>
      <w:r w:rsidRPr="003D0413">
        <w:rPr>
          <w:b/>
          <w:noProof/>
        </w:rPr>
        <w:t>alți factori</w:t>
      </w:r>
      <w:r w:rsidRPr="003D0413">
        <w:rPr>
          <w:noProof/>
        </w:rPr>
        <w:t xml:space="preserve">, inclusiv evoluția balanței de plăți, integrarea piețelor și mediul internațional. </w:t>
      </w:r>
      <w:r w:rsidRPr="003D0413">
        <w:rPr>
          <w:noProof/>
          <w:color w:val="000000" w:themeColor="text1"/>
        </w:rPr>
        <w:t xml:space="preserve">Balanța externă a Poloniei (și anume contul curent și contul de capital combinate) s-a deteriorat atât în 2024, cât și în 2025, în mare parte ca urmare a unei scăderi a contului curent, deoarece prețurile de export au scăzut mai rapid decât prețurile de import. </w:t>
      </w:r>
      <w:r w:rsidRPr="003D0413">
        <w:rPr>
          <w:noProof/>
        </w:rPr>
        <w:t xml:space="preserve">Soldul extern a trecut de la un excedent în 2024 (0,6 % din PIB) la o poziție neutră în 2025. </w:t>
      </w:r>
      <w:r w:rsidRPr="003D0413">
        <w:rPr>
          <w:noProof/>
          <w:color w:val="000000" w:themeColor="text1"/>
        </w:rPr>
        <w:t xml:space="preserve">Economia Poloniei este bine integrată cu zona euro, datorită schimburilor comerciale și investițiilor deopotrivă. Pe baza indicatorilor selectați privind mediul instituțional, Polonia înregistrează rezultate sub media statelor membre din zona euro în această privință. </w:t>
      </w:r>
      <w:bookmarkStart w:id="7" w:name="_Hlk227311494"/>
      <w:bookmarkEnd w:id="7"/>
      <w:r w:rsidRPr="003D0413">
        <w:rPr>
          <w:noProof/>
        </w:rPr>
        <w:t>Sectorul financiar din Polonia este mai mic și mai puțin dezvoltat decât în zona euro. Acesta este dominat de bănci, care sunt bine integrate în sistemul financiar din zona euro datorită ponderii ridicate a participațiilor investitorilor străini. Finanțarea bazată pe piață este mai puțin dezvoltată decât în zona euro, astfel cum se reflectă în piețele foarte mici ale titlurilor de capital și datoriei sectorului privat. În contextul procedurii privind dezechilibrele macroeconomice, Comisia a concluzionat, în Raportul său privind mecanismul de alertă pentru 2026,</w:t>
      </w:r>
      <w:r w:rsidRPr="003D0413">
        <w:rPr>
          <w:noProof/>
          <w:color w:val="000000" w:themeColor="text1"/>
        </w:rPr>
        <w:t xml:space="preserve"> </w:t>
      </w:r>
      <w:r w:rsidRPr="003D0413">
        <w:rPr>
          <w:noProof/>
        </w:rPr>
        <w:t>că nu este justificat un bilanț aprofundat</w:t>
      </w:r>
      <w:r w:rsidRPr="003D0413">
        <w:rPr>
          <w:noProof/>
          <w:color w:val="000000" w:themeColor="text1"/>
        </w:rPr>
        <w:t xml:space="preserve"> în cazul Poloniei</w:t>
      </w:r>
      <w:r w:rsidRPr="003D0413">
        <w:rPr>
          <w:noProof/>
        </w:rPr>
        <w:t>.</w:t>
      </w:r>
    </w:p>
    <w:p w14:paraId="68B3CE9F" w14:textId="7269B57B" w:rsidR="0045714E" w:rsidRPr="003D0413" w:rsidRDefault="00D77FB1" w:rsidP="009F0DD6">
      <w:pPr>
        <w:spacing w:after="0"/>
        <w:ind w:left="567"/>
        <w:rPr>
          <w:rFonts w:eastAsia="EC Square Sans Pro" w:cs="EC Square Sans Pro"/>
          <w:noProof/>
          <w:color w:val="000000" w:themeColor="text1"/>
        </w:rPr>
      </w:pPr>
      <w:r w:rsidRPr="003D0413">
        <w:rPr>
          <w:noProof/>
          <w:color w:val="000000" w:themeColor="text1"/>
        </w:rPr>
        <w:t>Planul de redresare și reziliență (PRR) al Poloniei include măsuri menite să abordeze o serie de provocări structurale, în sinergie cu alte fonduri ale UE, inclusiv cu fondurile politicii de coeziune, pentru a stimula competitivitatea și creșterea durabilă, precum și pentru a reduce disparitățile teritoriale și sociale din țară. Polonia beneficiază de finanțare sub formă de granturi și împrumuturi în cadrul MRR în valoare de 54,7 miliarde EUR pentru perioada 2021-2026. Planul de redresare și reziliență al Poloniei este în curs de implementare, cu o plată totală de 34,15 miliarde EUR (sau 62,4 % din suma totală) la sfârșitul lunii iunie 2026. Printre reformele majore din planul de redresare și reziliență al Poloniei se numără cele din domeniul decarbonizării economiei poloneze, al facilitării dezvoltării infrastructurii de rețea pentru a asigura accesul universal la internet și al reformării sectorului sănătății și a instituțiilor pieței forței de muncă. În plus, pentru perioada 2021-2027, Polonia beneficiază de finanțare din partea politicii de coeziune în valoare de 80,6 miliarde EUR. Finanțarea din cadrul politicii de coeziune urmărește în special să sprijine în continuare competitivitatea Poloniei, durabilitatea mediului, precum și competențele și echitatea socială. Deși Polonia a înregistrat progrese în ceea ce privește punerea în aplicare a politicii de coeziune, există în continuare provocări, disparitățile regionale dintre regiunile estice și restul țării continuând să se accentueze.</w:t>
      </w:r>
    </w:p>
    <w:p w14:paraId="393F5560" w14:textId="77777777" w:rsidR="00A97E17" w:rsidRPr="003D0413" w:rsidRDefault="00A97E17" w:rsidP="2C28BDD6">
      <w:pPr>
        <w:rPr>
          <w:noProof/>
        </w:rPr>
      </w:pPr>
    </w:p>
    <w:p w14:paraId="014DECDB" w14:textId="40A58569" w:rsidR="003C562C" w:rsidRPr="003D0413" w:rsidRDefault="003C562C" w:rsidP="003C562C">
      <w:pPr>
        <w:numPr>
          <w:ilvl w:val="0"/>
          <w:numId w:val="1"/>
        </w:numPr>
        <w:ind w:left="567" w:hanging="567"/>
        <w:rPr>
          <w:b/>
          <w:bCs/>
          <w:noProof/>
        </w:rPr>
      </w:pPr>
      <w:r w:rsidRPr="003D0413">
        <w:rPr>
          <w:b/>
          <w:noProof/>
        </w:rPr>
        <w:t>ROMÂNIA</w:t>
      </w:r>
    </w:p>
    <w:p w14:paraId="2C0E0325" w14:textId="5C6423AC" w:rsidR="003C562C" w:rsidRPr="003D0413" w:rsidRDefault="0017458C" w:rsidP="005E11EB">
      <w:pPr>
        <w:ind w:left="567"/>
        <w:rPr>
          <w:b/>
          <w:bCs/>
          <w:noProof/>
        </w:rPr>
      </w:pPr>
      <w:r w:rsidRPr="003D0413">
        <w:rPr>
          <w:b/>
          <w:noProof/>
        </w:rPr>
        <w:t>Având în vedere evaluarea privind compatibilitatea juridică și îndeplinirea criteriilor de convergență și luând în considerare factorii relevanți suplimentari, Comisia consideră că România nu îndeplinește condițiile pentru adoptarea monedei euro.</w:t>
      </w:r>
    </w:p>
    <w:p w14:paraId="39FF0844" w14:textId="0E58BB80" w:rsidR="009A28D7" w:rsidRPr="003D0413" w:rsidRDefault="009A28D7" w:rsidP="00A345CC">
      <w:pPr>
        <w:ind w:left="567"/>
        <w:rPr>
          <w:noProof/>
        </w:rPr>
      </w:pPr>
      <w:r w:rsidRPr="003D0413">
        <w:rPr>
          <w:b/>
          <w:noProof/>
        </w:rPr>
        <w:t>Legislația din România</w:t>
      </w:r>
      <w:r w:rsidRPr="003D0413">
        <w:rPr>
          <w:noProof/>
        </w:rPr>
        <w:t>, în special Legea nr. 312 din 28 iunie 2004 privind Statutul Băncii Naționale a României (Legea</w:t>
      </w:r>
      <w:r w:rsidR="009877A4" w:rsidRPr="003D0413">
        <w:rPr>
          <w:noProof/>
        </w:rPr>
        <w:t xml:space="preserve"> privind</w:t>
      </w:r>
      <w:r w:rsidRPr="003D0413">
        <w:rPr>
          <w:noProof/>
        </w:rPr>
        <w:t xml:space="preserve"> BNR), </w:t>
      </w:r>
      <w:r w:rsidRPr="003D0413">
        <w:rPr>
          <w:b/>
          <w:noProof/>
        </w:rPr>
        <w:t>nu este pe deplin compatibilă</w:t>
      </w:r>
      <w:r w:rsidRPr="003D0413">
        <w:rPr>
          <w:noProof/>
        </w:rPr>
        <w:t xml:space="preserve"> cu obligațiile prevăzute la articolul 131 din TFUE. Incompatibilitățile vizează independența băncii centrale, interzicerea finanțării monetare și integrarea băncii centrale în Eurosistem. În plus, Legea BNR conține imperfecțiuni legate de independența BNR și de integrarea sa în Eurosistem în ceea ce privește misiunile SEBC/BCE prevăzute la articolul 127 alineatul (2) din TFUE și la articolul 3 din statutul SEBC/BCE.</w:t>
      </w:r>
    </w:p>
    <w:p w14:paraId="0014EC95" w14:textId="445783DB" w:rsidR="003A705A" w:rsidRPr="003D0413" w:rsidRDefault="17C4E04A" w:rsidP="00F94D3B">
      <w:pPr>
        <w:ind w:left="567"/>
        <w:rPr>
          <w:noProof/>
        </w:rPr>
      </w:pPr>
      <w:r w:rsidRPr="003D0413">
        <w:rPr>
          <w:b/>
          <w:noProof/>
        </w:rPr>
        <w:t>România nu îndeplinește criteriul stabilității prețurilor</w:t>
      </w:r>
      <w:r w:rsidRPr="003D0413">
        <w:rPr>
          <w:noProof/>
        </w:rPr>
        <w:t>.</w:t>
      </w:r>
      <w:r w:rsidRPr="003D0413">
        <w:rPr>
          <w:bCs/>
          <w:noProof/>
        </w:rPr>
        <w:t xml:space="preserve"> </w:t>
      </w:r>
      <w:r w:rsidRPr="003D0413">
        <w:rPr>
          <w:noProof/>
        </w:rPr>
        <w:t xml:space="preserve">În România, rata medie a inflației pe parcursul perioadei de 12 luni care s-a încheiat în mai 2026 a fost de 8,4 %, mult peste valoarea de referință de 2,7 %. Se preconizează că aceasta va scădea în a doua jumătate a anului 2026, dar va rămâne cu mult peste valoarea de referință până la sfârșitul anului 2026. Potrivit estimărilor, rata medie a inflației va continua să scadă în 2027, dar va rămâne peste valoarea de referință până la sfârșitul anului respectiv. </w:t>
      </w:r>
    </w:p>
    <w:p w14:paraId="038CA1F5" w14:textId="06E24A51" w:rsidR="00F24393" w:rsidRPr="003D0413" w:rsidRDefault="72D52CC4" w:rsidP="00F94D3B">
      <w:pPr>
        <w:ind w:left="567"/>
        <w:rPr>
          <w:noProof/>
        </w:rPr>
      </w:pPr>
      <w:r w:rsidRPr="003D0413">
        <w:rPr>
          <w:noProof/>
        </w:rPr>
        <w:t xml:space="preserve">Inflația anuală IAPC din România a crescut la 6,8 % în 2025, de la 5,8 % în 2024. Dezinflația, care a urmat șocului prețurilor energiei din 2022, a stagnat și ulterior s-a inversat la jumătatea anului 2025. Rata anuală a inflației IAPC a scăzut de la 7,3 % în ianuarie 2024 la 4,9 % în aprilie 2025, după care a crescut în mod constant și semnificativ la 8,6 % în septembrie și a rămas la acest nivel în decembrie 2025. Creșterea prețurilor la alimente și energie a fost principalul factor care a contribuit la creșterea inflației totale. Creșterea inflației în a doua jumătate a anului 2025 a fost determinată în mare măsură de eliminarea, în iulie 2025, a plafonării prețurilor energiei electrice pentru consumatorii casnici, coroborată cu majorări ale cotei TVA și ale accizelor. Prețurile alimentelor neprelucrate au crescut ca urmare a impactului condițiilor meteorologice nefavorabile asupra agriculturii, în timp ce inflația în sectorul serviciilor a rămas la un nivel ridicat constant, din cauza creșterii puternice, dar în curs de moderare din în 2025, în urma unei înghețări a salariilor din sectorul public. Creșterea prețurilor energiei provocată de conflictul din Orientul Mijlociu a determinat creșterea inflației totale la 9,7 % în mai 2026, de la 8,3 % în februarie 2026. Ratele anuale ale inflației IAPC în România în anii 2024 și 2025 au fost, în medie, mai ridicate decât cele din zona euro în ansamblu. </w:t>
      </w:r>
    </w:p>
    <w:p w14:paraId="243751EE" w14:textId="1937D022" w:rsidR="005E11EB" w:rsidRPr="003D0413" w:rsidRDefault="00A345CC" w:rsidP="00A345CC">
      <w:pPr>
        <w:ind w:left="567"/>
        <w:rPr>
          <w:noProof/>
        </w:rPr>
      </w:pPr>
      <w:r w:rsidRPr="003D0413">
        <w:rPr>
          <w:noProof/>
        </w:rPr>
        <w:t>Potrivit previziunilor economice ale Comisiei din primăvara anului 2026, rata medie anuală a inflației va crește ușor la 7,0 % în 2026 și apoi va scădea la 3,7 % în 2027. Se preconizează că procesul de dezinflația pe parcursul perioadei de previzionare va fi susținut de moderarea accentuată a creșterii salariilor, în timp ce majorarea prețurilor energiei îi va încetini ritmul. Nivelul relativ scăzut al prețurilor din România, care era de aproximativ 61 % din media zonei euro în 2024, indică un potențial de convergență a nivelului prețurilor pe termen lung.</w:t>
      </w:r>
    </w:p>
    <w:p w14:paraId="60FCBE0F" w14:textId="50D12F9C" w:rsidR="005865F4" w:rsidRPr="003D0413" w:rsidRDefault="00993E97" w:rsidP="00FE48D9">
      <w:pPr>
        <w:ind w:left="567"/>
        <w:jc w:val="center"/>
        <w:rPr>
          <w:b/>
          <w:bCs/>
          <w:noProof/>
        </w:rPr>
      </w:pPr>
      <w:r w:rsidRPr="00993E97">
        <w:rPr>
          <w:b/>
          <w:bCs/>
          <w:noProof/>
          <w:lang w:val="en-GB" w:eastAsia="en-GB"/>
        </w:rPr>
        <w:drawing>
          <wp:inline distT="0" distB="0" distL="0" distR="0" wp14:anchorId="041C4C17" wp14:editId="645AA0A8">
            <wp:extent cx="3371850" cy="3015262"/>
            <wp:effectExtent l="0" t="0" r="0" b="0"/>
            <wp:docPr id="1177299260" name="Picture 1" descr="A graph with blue lines and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99260" name="Picture 1" descr="A graph with blue lines and orange dots&#10;&#10;AI-generated content may be incorrect."/>
                    <pic:cNvPicPr/>
                  </pic:nvPicPr>
                  <pic:blipFill>
                    <a:blip r:embed="rId21"/>
                    <a:stretch>
                      <a:fillRect/>
                    </a:stretch>
                  </pic:blipFill>
                  <pic:spPr>
                    <a:xfrm>
                      <a:off x="0" y="0"/>
                      <a:ext cx="3375025" cy="3018101"/>
                    </a:xfrm>
                    <a:prstGeom prst="rect">
                      <a:avLst/>
                    </a:prstGeom>
                  </pic:spPr>
                </pic:pic>
              </a:graphicData>
            </a:graphic>
          </wp:inline>
        </w:drawing>
      </w:r>
    </w:p>
    <w:p w14:paraId="5C935E50" w14:textId="473EE4DF" w:rsidR="00DF3C6F" w:rsidRPr="003D0413" w:rsidRDefault="7B44B56D" w:rsidP="00070E58">
      <w:pPr>
        <w:ind w:left="567"/>
        <w:rPr>
          <w:noProof/>
        </w:rPr>
      </w:pPr>
      <w:r w:rsidRPr="003D0413">
        <w:rPr>
          <w:b/>
          <w:noProof/>
        </w:rPr>
        <w:t>România nu îndeplinește criteriul privind finanțele publice</w:t>
      </w:r>
      <w:r w:rsidRPr="003D0413">
        <w:rPr>
          <w:noProof/>
        </w:rPr>
        <w:t>.</w:t>
      </w:r>
      <w:r w:rsidRPr="003D0413">
        <w:rPr>
          <w:bCs/>
          <w:noProof/>
        </w:rPr>
        <w:t xml:space="preserve"> </w:t>
      </w:r>
      <w:r w:rsidRPr="003D0413">
        <w:rPr>
          <w:noProof/>
        </w:rPr>
        <w:t>România face obiectul unei decizii a Consiliului privind existența unui deficit excesiv. Deficitul public s-a îmbunătățit de la 9,3 % din PIB în 2024 la 7,9 % în 2025, dar a rămas cu mult peste valoarea de referință de 3 % din PIB prevăzută în tratat. Această îmbunătățire s-a datorat unei mai bune colectări a impozitelor și punerii în aplicare a două pachete majore de consolidare fiscală în 2025, cu un randament cumulat estimat de aproximativ 3,7 puncte procentuale din PIB, rezultat atât din majorarea veniturilor, cât și din reducerea cheltuielilor. Previziunile economice ale Comisiei din primăvara anului 2026 estimează că deficitul public va scădea la 6,2 % din PIB în 2026, reflectând un efect pe întreg parcursul anului al pachetelor de ajustare bugetară din 2025, precum și veniturile suplimentare din 2026, obținute prin creșterea TVA-ului și a accizelor, creșterea impozitului pe dividende, modificări ale impozitului pe proprietate și majorarea bazei de calcul a contribuției la asigurările de sănătate, alături de controale mai stricte ale cheltuielilor curente. În 2027, se preconizează că ponderea deficitului public va fi de 5,8 %.</w:t>
      </w:r>
    </w:p>
    <w:p w14:paraId="1144688C" w14:textId="1B0991A1" w:rsidR="00264A46" w:rsidRPr="003D0413" w:rsidRDefault="673E61DB" w:rsidP="00D567A3">
      <w:pPr>
        <w:ind w:left="567"/>
        <w:rPr>
          <w:noProof/>
        </w:rPr>
      </w:pPr>
      <w:r w:rsidRPr="003D0413">
        <w:rPr>
          <w:noProof/>
        </w:rPr>
        <w:t xml:space="preserve">La 20 iunie 2025, Consiliul a adoptat o decizie, în temeiul articolului 126 alineatul (8) din TFUE, stabilind că România nu a luat măsuri eficace pentru a-și corecta deficitul excesiv. La 8 iulie 2025, Consiliul a revizuit apoi traiectoria de ajustare bugetară a României în cadrul PDE, potrivit căreia România trebuie să mențină creșterea cheltuielilor nete nominale la niveluri care să nu depășească 2,8 % în 2025, 2,6 % în 2026, 4,6 % în 2027, 4,4 % în 2028, 4,2 % în 2029 și 4,0 % în 2030. Aceste rate maxime de creștere a cheltuielilor nete echivalează cu o ajustare anuală de aproximativ 2 puncte procentuale pe an în 2025 și 2026 și ulterior de aproximativ 1 punct procentual, peste </w:t>
      </w:r>
      <w:r w:rsidRPr="003D0413">
        <w:rPr>
          <w:noProof/>
          <w:color w:val="000000" w:themeColor="text1"/>
        </w:rPr>
        <w:t>ajustarea structurală anuală minimă de cel puțin 0,5 % din PIB ca valoare de referință prevăzută în cadrul unei PDE</w:t>
      </w:r>
      <w:r w:rsidRPr="003D0413">
        <w:rPr>
          <w:noProof/>
        </w:rPr>
        <w:t xml:space="preserve">. Termenul prevăzut pentru efectuarea corecțiilor în cadrul PDE este 2030, dată la care recomandarea revizuită din iulie 2025 în temeiul articolului 126 alineatul (7) din TFUE prevede un deficit de 2,8 % din PIB. Recomandarea revizuită din iulie 2025 a înlocuit traiectoria inițială a cheltuielilor nete din planul bugetar-structural pe termen mediu al României, devenind criteriul de referință operativ pentru monitorizarea PDE, în timp ce reformele și investițiile care stau la baza perioadei prelungite de ajustare a planului rămân în vigoare și continuă să facă obiectul monitorizării de către Comisie. La 3 iunie 2026, Comisia a concluzionat că România a luat măsuri eficace ca răspuns la recomandarea Consiliului și, prin urmare, procedura aplicabilă deficitelor excesive a fost suspendată. Potrivit estimărilor, cheltuielile nete vor crește în 2026 cu 1,8 %, situându-se sub plafonul recomandat de Consiliu de 2,6 % pentru 2026, iar creșterea cumulată a cheltuielilor nete până în 2026 se va menține în limitele plafonului cumulat recomandat de 5,5 %. </w:t>
      </w:r>
    </w:p>
    <w:p w14:paraId="4D8E7BB1" w14:textId="23D1DAF3" w:rsidR="00E94D44" w:rsidRPr="003D0413" w:rsidRDefault="00264A46" w:rsidP="00D567A3">
      <w:pPr>
        <w:ind w:left="567"/>
        <w:rPr>
          <w:noProof/>
        </w:rPr>
      </w:pPr>
      <w:r w:rsidRPr="003D0413">
        <w:rPr>
          <w:noProof/>
        </w:rPr>
        <w:t xml:space="preserve">Ponderea datoriei publice în PIB a crescut de la 54,8 % din PIB în 2024 la 59,3 % în 2025 și se preconizează că va crește în continuare la 61,6 % în 2026 și la 63,4 % în 2027, ca urmare a unui deficit primar ridicat și a creșterii plăților reprezentând dobânzi. Riscurile legate de sustenabilitatea datoriei pentru România par a fi ridicate pe termen mediu, în special deoarece se preconizează că datoria publică va crește rapid, ajungând la aproximativ 90 % din PIB în 2036. În ceea ce privește cadrul bugetar al României, </w:t>
      </w:r>
      <w:bookmarkStart w:id="8" w:name="_Hlk227083429"/>
      <w:r w:rsidRPr="003D0413">
        <w:rPr>
          <w:noProof/>
        </w:rPr>
        <w:t xml:space="preserve">persistă deficiențe grave în ceea ce privește recrutarea pentru Consiliul bugetar și gestionarea investițiilor publice. </w:t>
      </w:r>
    </w:p>
    <w:bookmarkEnd w:id="8"/>
    <w:p w14:paraId="4E75A418" w14:textId="7DC42A27" w:rsidR="00DF1265" w:rsidRPr="003D0413" w:rsidRDefault="005274AE" w:rsidP="00E408C4">
      <w:pPr>
        <w:ind w:left="567"/>
        <w:jc w:val="center"/>
        <w:rPr>
          <w:noProof/>
        </w:rPr>
      </w:pPr>
      <w:r w:rsidRPr="005274AE">
        <w:rPr>
          <w:noProof/>
          <w:lang w:val="en-GB" w:eastAsia="en-GB"/>
        </w:rPr>
        <w:drawing>
          <wp:inline distT="0" distB="0" distL="0" distR="0" wp14:anchorId="76D1A718" wp14:editId="1569252F">
            <wp:extent cx="3781425" cy="2314575"/>
            <wp:effectExtent l="0" t="0" r="9525" b="9525"/>
            <wp:docPr id="14132832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81425" cy="2314575"/>
                    </a:xfrm>
                    <a:prstGeom prst="rect">
                      <a:avLst/>
                    </a:prstGeom>
                    <a:noFill/>
                    <a:ln>
                      <a:noFill/>
                    </a:ln>
                  </pic:spPr>
                </pic:pic>
              </a:graphicData>
            </a:graphic>
          </wp:inline>
        </w:drawing>
      </w:r>
    </w:p>
    <w:p w14:paraId="3B2E6387" w14:textId="57A6B2B2" w:rsidR="005865F4" w:rsidRPr="003D0413" w:rsidRDefault="7B44B56D" w:rsidP="005865F4">
      <w:pPr>
        <w:ind w:left="567"/>
        <w:rPr>
          <w:noProof/>
        </w:rPr>
      </w:pPr>
      <w:r w:rsidRPr="003D0413">
        <w:rPr>
          <w:b/>
          <w:noProof/>
        </w:rPr>
        <w:t>România nu îndeplinește criteriul cursului de schimb</w:t>
      </w:r>
      <w:r w:rsidRPr="003D0413">
        <w:rPr>
          <w:noProof/>
        </w:rPr>
        <w:t xml:space="preserve">. Leul românesc nu participă la mecanismul cursului de schimb II. România aplică un regim valutar de tip „crawl” (curs de schimb cu ancoră moale) care permite băncii centrale să intervină pe piața valutară. Stabilitatea cursului de schimb a fost utilizată de BNR ca un mecanism important de asigurare a stabilității financiare și de ancorare a anticipărilor inflației. Leul a fost relativ stabil față de euro în 2024 și s-a depreciat în 2025. În mai 2025, presiunile asupra ieșirilor de capital în contextul incertitudinii politice sporite au declanșat un episod puternic de depreciere, cu pierderi față de moneda euro de 2 % comparativ cu luna anterioară. Deprecierea a fost urmată de o perioadă de volatilitate moderată în a doua jumătate a anului. În mai 2026, leul era cu aproximativ 5 % mai slab față de euro, comparativ cu nivelul înregistrat cu doi ani înainte. Spreadul ratei dobânzii pe termen scurt în raport cu zona euro a crescut substanțial (cu aproximativ 300 de puncte de bază) în perioada august 2024-iunie 2025, reflectând stagnarea ratei dobânzii de politică monetară a BNR de la jumătatea anului 2024 și ciclul de relaxare a politicii monetare în zona euro. Spreadul s-a accentuat și mai mult în contextul presiunii exercitate asupra pieței monetare din România la sfârșitul primăverii, atingând un nivel maxim de aproximativ 515 puncte de bază în iunie 2025. Ulterior, acesta a scăzut constant în a doua jumătate a anului 2025 și la începutul anului 2026, reflectând îmbunătățirea condițiilor de lichiditate pe piața monetară din România. Spreadul a atins 362 de puncte de bază în mai 2026. </w:t>
      </w:r>
    </w:p>
    <w:p w14:paraId="7DAD104D" w14:textId="1573B3B3" w:rsidR="005865F4" w:rsidRPr="003D0413" w:rsidRDefault="4629D3B0" w:rsidP="005865F4">
      <w:pPr>
        <w:ind w:left="567"/>
        <w:rPr>
          <w:noProof/>
        </w:rPr>
      </w:pPr>
      <w:r w:rsidRPr="003D0413">
        <w:rPr>
          <w:b/>
          <w:noProof/>
        </w:rPr>
        <w:t>România nu îndeplinește criteriul de convergență a ratelor dobânzii pe termen lung</w:t>
      </w:r>
      <w:r w:rsidRPr="003D0413">
        <w:rPr>
          <w:noProof/>
        </w:rPr>
        <w:t>.</w:t>
      </w:r>
      <w:r w:rsidRPr="003D0413">
        <w:rPr>
          <w:b/>
          <w:noProof/>
        </w:rPr>
        <w:t xml:space="preserve"> </w:t>
      </w:r>
      <w:r w:rsidRPr="003D0413">
        <w:rPr>
          <w:noProof/>
        </w:rPr>
        <w:t xml:space="preserve">În perioada de 12 luni care s-a încheiat în mai 2026, rata medie a dobânzii pe termen lung a fost de 6,7 %, cu mult peste valoarea de referință de 5,1 %. Rata dobânzii pe termen lung din România a crescut treptat pe parcursul anului 2024, ajungând la 7,1 % în ianuarie 2025. După o ușoară scădere în primele luni ale anului 2025, aceasta a început să crească din nou în luna aprilie, alimentată de aversiunea crescută față de riscul de piață pe fondul adâncirii deficitului bugetar și al preocupărilor investitorilor cu privire la perspectivele consolidării fiscale. Ulterior, rata dobânzii pe termen lung a scăzut constant în a doua jumătate a anului 2025, ca urmare a adoptării de către guvern a măsurilor de consolidare bugetară. </w:t>
      </w:r>
      <w:bookmarkStart w:id="9" w:name="_Hlk162022491"/>
      <w:r w:rsidRPr="003D0413">
        <w:rPr>
          <w:noProof/>
        </w:rPr>
        <w:t>În primele cinci luni ale anului 2026, rata dobânzii pe termen lung în România a fost în linii mari stabilă, situându-se la 6,2 % în mai 2026. Spreadul pe termen lung în raport cu obligațiunea germană de referință a fost de 312 puncte de bază în mai 2026, în scădere față de nivelul de vârf de 485 de puncte de bază înregistrat în iunie 2025.</w:t>
      </w:r>
    </w:p>
    <w:bookmarkEnd w:id="9"/>
    <w:p w14:paraId="73574724" w14:textId="16C18944" w:rsidR="005865F4" w:rsidRPr="003D0413" w:rsidRDefault="7B44B56D" w:rsidP="00857958">
      <w:pPr>
        <w:ind w:left="567"/>
        <w:rPr>
          <w:noProof/>
        </w:rPr>
      </w:pPr>
      <w:r w:rsidRPr="003D0413">
        <w:rPr>
          <w:noProof/>
        </w:rPr>
        <w:t xml:space="preserve">Comisia a examinat și </w:t>
      </w:r>
      <w:r w:rsidRPr="003D0413">
        <w:rPr>
          <w:b/>
          <w:noProof/>
        </w:rPr>
        <w:t>alți factori</w:t>
      </w:r>
      <w:r w:rsidRPr="003D0413">
        <w:rPr>
          <w:noProof/>
        </w:rPr>
        <w:t xml:space="preserve">, inclusiv evoluția balanței de plăți, integrarea piețelor și mediul internațional. Balanța externă a României (și anume contul curent și contul de capital combinate) s-a îmbunătățit ușor, de la -6,7 % din PIB în 2024 la -6,0 % în 2025, în principal datorită unei creșteri a excedentului contului de capital ca urmare a unei absorbții mai mari a fondurilor UE. Deficitul de cont curent al României a rămas considerabil, situându-se la 7,9 % din PIB în 2025, în pofida unei scăderi marginale în a doua jumătate a anului, pe fondul consolidării bugetare și al scăderii cererii interne. Economia României este bine integrată cu zona euro datorită schimburilor comerciale și investițiilor. Conform unei selecții de indicatori privind mediul instituțional, România înregistrează rezultate mai slabe decât multe dintre statele membre din zona euro în această privință. România se confruntă cu provocări în domenii precum controlul corupției. Sectorul financiar din România este mai mic și mai puțin dezvoltat decât în zona euro. Sectorul bancar din România este bine integrat în sistemul financiar al zonei euro, în special datorită ponderii ridicate a participațiilor investitorilor străini în sistemul său bancar. Cu toate acestea, finanțarea bazată pe piață este mai puțin dezvoltată decât în zona euro, astfel cum se reflectă în piețele foarte mici ale titlurilor de capital și datoriei sectorului privat. </w:t>
      </w:r>
      <w:bookmarkStart w:id="10" w:name="_Hlk161993249"/>
      <w:r w:rsidRPr="003D0413">
        <w:rPr>
          <w:noProof/>
        </w:rPr>
        <w:t>În contextul procedurii privind dezechilibrele macroeconomice, Comisia a concluzionat, în Raportul privind mecanismul de alertă pentru 2026, că un bilanț aprofundat este justificat în cazul României. Bilanțul aprofundat a concluzionat că România continuă să se confrunte cu vulnerabilități legate de nivelul ridicat al deficitului bugetar și al deficitului extern, în pofida ameliorării acestora începând cu a doua jumătate a anului 2025. În același timp, presiunile asupra salariilor și costurilor s-au temperat, cu un potențial impact pozitiv asupra competitivității costurilor. Deficitul public ridicat al României a fost un factor determinant cheie al deficitelor externe mari și al nevoilor ridicate de împrumuturi externe. Procesul de consolidare bugetară inițiat în 2025 contribuie la reducerea vulnerabilităților României și se preconizează că el va continua. Ținând cont de această evaluare din bilanțul aprofundat, în comunicarea sa referitoare la pachetul de primăvară al semestrului european 2026, Comisia consideră că România continuă să se confrunte cu dezechilibre macroeconomice excesive.</w:t>
      </w:r>
    </w:p>
    <w:bookmarkEnd w:id="10"/>
    <w:p w14:paraId="16007571" w14:textId="4BF157A1" w:rsidR="00B064F5" w:rsidRPr="003D0413" w:rsidRDefault="00F62737" w:rsidP="009F0DD6">
      <w:pPr>
        <w:ind w:left="567"/>
        <w:rPr>
          <w:noProof/>
        </w:rPr>
      </w:pPr>
      <w:r w:rsidRPr="003D0413">
        <w:rPr>
          <w:noProof/>
        </w:rPr>
        <w:t>Planul de redresare și reziliență (PRR) al României include măsuri menite să abordeze o serie de provocări structurale, în sinergie cu alte fonduri ale UE, inclusiv cu fondurile politicii de coeziune, pentru a stimula competitivitatea și creșterea durabilă, precum și pentru a reduce disparitățile teritoriale și sociale din țară. În urma revizuirii din 2025 a planului său de redresare și reziliență, pachetul financiar al României din cadrul MRR se ridică la aproximativ 21,4 miliarde EUR pentru perioada 2021-2026, din care 13,5 miliarde EUR sub formă de granturi și 7,8 miliarde EUR sub formă de împrumuturi. Planul revizuit a redus substanțial componenta de împrumut, de la 14,9 miliarde EUR la 7,8 miliarde EUR, din cauza întârzierilor în implementare și a reducerii amplorii măsurilor considerate a nu mai fi pe deplin realizabile. România a depus patru cereri de plată până la sfârșitul anului 2025. Până în iunie 2026, plățile totale se ridicau la aproximativ 60 % din pachetul financiar total. Principalele reforme din planul de redresare și reziliență al României vizează pensiile, decarbonizarea/eliminarea treptată a producției de energie pe bază de cărbune și lignit, întreprinderile de stat, administrația fiscală și reforma fiscală, precum și asistența socială și medicală. În plus, pentru perioada 2021-2027, România beneficiază de finanțare din partea politicii de coeziune în valoare de</w:t>
      </w:r>
      <w:r w:rsidRPr="003D0413">
        <w:rPr>
          <w:rFonts w:ascii="Arial" w:hAnsi="Arial"/>
          <w:noProof/>
        </w:rPr>
        <w:t xml:space="preserve"> </w:t>
      </w:r>
      <w:r w:rsidRPr="003D0413">
        <w:rPr>
          <w:noProof/>
        </w:rPr>
        <w:t>33,7 miliarde</w:t>
      </w:r>
      <w:r w:rsidRPr="003D0413">
        <w:rPr>
          <w:rFonts w:ascii="Arial" w:hAnsi="Arial"/>
          <w:noProof/>
        </w:rPr>
        <w:t xml:space="preserve"> </w:t>
      </w:r>
      <w:r w:rsidRPr="003D0413">
        <w:rPr>
          <w:noProof/>
        </w:rPr>
        <w:t xml:space="preserve">EUR. Finanțarea din cadrul politicii de coeziune urmărește să sprijine în continuare competitivitatea și convergența socială ascendentă a României, inclusiv prin investiții în cercetare, inovare și competitivitatea IMM-urilor, tranziția verde și justă, modernizarea instituțiilor de pe piața muncii, dezvoltarea competențelor și creșterea calității și a caracterului incluziv al educației și formării, precum și reducerea sărăciei. Deși România a înregistrat progrese în ceea ce privește punerea în aplicare a politicii de coeziune, există în continuare provocări, cum ar fi disparitățile teritoriale semnificative în materie de investiții și ocupare a forței de muncă între regiunea-capitală și alte regiuni, precum și între zonele urbane și cele rurale. </w:t>
      </w:r>
    </w:p>
    <w:p w14:paraId="62F0F636" w14:textId="77777777" w:rsidR="00574760" w:rsidRPr="003D0413" w:rsidRDefault="00574760" w:rsidP="00574760">
      <w:pPr>
        <w:ind w:left="567"/>
        <w:rPr>
          <w:noProof/>
        </w:rPr>
      </w:pPr>
    </w:p>
    <w:p w14:paraId="63CE77E7" w14:textId="718937EF" w:rsidR="00B33FB6" w:rsidRPr="003D0413" w:rsidRDefault="003C562C" w:rsidP="003D0413">
      <w:pPr>
        <w:keepNext/>
        <w:keepLines/>
        <w:numPr>
          <w:ilvl w:val="0"/>
          <w:numId w:val="1"/>
        </w:numPr>
        <w:ind w:left="567" w:hanging="567"/>
        <w:rPr>
          <w:b/>
          <w:bCs/>
          <w:noProof/>
        </w:rPr>
      </w:pPr>
      <w:r w:rsidRPr="003D0413">
        <w:rPr>
          <w:b/>
          <w:noProof/>
        </w:rPr>
        <w:t>SUEDIA</w:t>
      </w:r>
    </w:p>
    <w:p w14:paraId="0B1EF0DB" w14:textId="04BB910F" w:rsidR="00B33FB6" w:rsidRPr="003D0413" w:rsidRDefault="18C99602">
      <w:pPr>
        <w:spacing w:after="0"/>
        <w:ind w:left="555"/>
        <w:rPr>
          <w:rFonts w:ascii="Calibri" w:eastAsia="Calibri" w:hAnsi="Calibri" w:cs="Calibri"/>
          <w:noProof/>
          <w:color w:val="000000" w:themeColor="text1"/>
          <w:szCs w:val="20"/>
        </w:rPr>
      </w:pPr>
      <w:r w:rsidRPr="003D0413">
        <w:rPr>
          <w:b/>
          <w:noProof/>
        </w:rPr>
        <w:t>Având în vedere evaluarea privind compatibilitatea juridică și îndeplinirea criteriilor de convergență și luând în considerare factorii relevanți suplimentari, Comisia consideră că Suedia nu îndeplinește condițiile pentru adoptarea monedei euro.</w:t>
      </w:r>
      <w:r w:rsidRPr="003D0413">
        <w:rPr>
          <w:rFonts w:ascii="Calibri" w:hAnsi="Calibri"/>
          <w:noProof/>
          <w:color w:val="000000" w:themeColor="text1"/>
        </w:rPr>
        <w:t xml:space="preserve"> </w:t>
      </w:r>
    </w:p>
    <w:p w14:paraId="6EF44F8E" w14:textId="77777777" w:rsidR="00716992" w:rsidRPr="003D0413" w:rsidRDefault="00716992" w:rsidP="00790336">
      <w:pPr>
        <w:spacing w:after="0"/>
        <w:ind w:left="555"/>
        <w:rPr>
          <w:rFonts w:ascii="Calibri" w:eastAsia="Calibri" w:hAnsi="Calibri" w:cs="Calibri"/>
          <w:noProof/>
          <w:color w:val="000000" w:themeColor="text1"/>
          <w:szCs w:val="20"/>
        </w:rPr>
      </w:pPr>
    </w:p>
    <w:p w14:paraId="3F096AF4" w14:textId="313E103F" w:rsidR="00B33FB6" w:rsidRPr="003D0413" w:rsidRDefault="18C99602" w:rsidP="5BEF577F">
      <w:pPr>
        <w:spacing w:after="0"/>
        <w:ind w:left="555"/>
        <w:rPr>
          <w:rFonts w:eastAsia="EC Square Sans Pro" w:cs="EC Square Sans Pro"/>
          <w:noProof/>
          <w:color w:val="000000" w:themeColor="text1"/>
        </w:rPr>
      </w:pPr>
      <w:r w:rsidRPr="003D0413">
        <w:rPr>
          <w:b/>
          <w:noProof/>
          <w:color w:val="000000" w:themeColor="text1"/>
        </w:rPr>
        <w:t>Legislația din Suedia</w:t>
      </w:r>
      <w:r w:rsidRPr="003D0413">
        <w:rPr>
          <w:noProof/>
          <w:color w:val="000000" w:themeColor="text1"/>
        </w:rPr>
        <w:t xml:space="preserve">, în special Legea privind </w:t>
      </w:r>
      <w:r w:rsidRPr="003D0413">
        <w:rPr>
          <w:i/>
          <w:iCs/>
          <w:noProof/>
          <w:color w:val="000000" w:themeColor="text1"/>
        </w:rPr>
        <w:t>Riksbank</w:t>
      </w:r>
      <w:r w:rsidRPr="003D0413">
        <w:rPr>
          <w:noProof/>
          <w:color w:val="000000" w:themeColor="text1"/>
        </w:rPr>
        <w:t xml:space="preserve">, </w:t>
      </w:r>
      <w:r w:rsidRPr="003D0413">
        <w:rPr>
          <w:b/>
          <w:noProof/>
          <w:color w:val="000000" w:themeColor="text1"/>
        </w:rPr>
        <w:t>nu este pe deplin compatibilă</w:t>
      </w:r>
      <w:r w:rsidRPr="003D0413">
        <w:rPr>
          <w:noProof/>
          <w:color w:val="000000" w:themeColor="text1"/>
        </w:rPr>
        <w:t xml:space="preserve"> cu cerințele prevăzute la articolul 131 din TFUE. Persistă incompatibilități și imperfecțiuni care vizează independența băncii centrale, interzicerea finanțării monetare și integrarea băncii centrale în Eurosistem în ceea ce privește obiectivele Riksbank și misiunile SEBC/BCE prevăzute la articolul 127 alineatul (1) și alineatul (2) din TFUE și la articolele 2 și 3 din statutul SEBC/BCE.</w:t>
      </w:r>
    </w:p>
    <w:p w14:paraId="0DE92A2C" w14:textId="77777777" w:rsidR="00716992" w:rsidRPr="003D0413" w:rsidRDefault="00716992" w:rsidP="00790336">
      <w:pPr>
        <w:spacing w:after="0"/>
        <w:ind w:left="555"/>
        <w:rPr>
          <w:rFonts w:eastAsia="EC Square Sans Pro" w:cs="EC Square Sans Pro"/>
          <w:noProof/>
          <w:color w:val="000000" w:themeColor="text1"/>
          <w:szCs w:val="20"/>
        </w:rPr>
      </w:pPr>
    </w:p>
    <w:p w14:paraId="0EF24A35" w14:textId="13F48804" w:rsidR="0081542C" w:rsidRPr="003D0413" w:rsidRDefault="18C99602" w:rsidP="0008445A">
      <w:pPr>
        <w:spacing w:after="0"/>
        <w:ind w:left="555"/>
        <w:rPr>
          <w:rFonts w:eastAsia="EC Square Sans Pro" w:cs="EC Square Sans Pro"/>
          <w:noProof/>
        </w:rPr>
      </w:pPr>
      <w:r w:rsidRPr="003D0413">
        <w:rPr>
          <w:b/>
          <w:noProof/>
        </w:rPr>
        <w:t>Suedia</w:t>
      </w:r>
      <w:r w:rsidRPr="003D0413">
        <w:rPr>
          <w:rFonts w:ascii="Calibri" w:hAnsi="Calibri"/>
          <w:b/>
          <w:noProof/>
        </w:rPr>
        <w:t xml:space="preserve"> </w:t>
      </w:r>
      <w:r w:rsidRPr="003D0413">
        <w:rPr>
          <w:b/>
          <w:noProof/>
        </w:rPr>
        <w:t>îndeplinește</w:t>
      </w:r>
      <w:r w:rsidRPr="003D0413">
        <w:rPr>
          <w:rFonts w:ascii="Calibri" w:hAnsi="Calibri"/>
          <w:b/>
          <w:noProof/>
        </w:rPr>
        <w:t xml:space="preserve"> </w:t>
      </w:r>
      <w:r w:rsidRPr="003D0413">
        <w:rPr>
          <w:b/>
          <w:noProof/>
        </w:rPr>
        <w:t>criteriul stabilității prețurilor.</w:t>
      </w:r>
      <w:r w:rsidRPr="003D0413">
        <w:rPr>
          <w:rFonts w:ascii="Calibri" w:hAnsi="Calibri"/>
          <w:noProof/>
        </w:rPr>
        <w:t xml:space="preserve"> </w:t>
      </w:r>
      <w:r w:rsidRPr="003D0413">
        <w:rPr>
          <w:noProof/>
        </w:rPr>
        <w:t>Rata medie a inflației în Suedia pe parcursul perioadei de 12 luni care s-a încheiat în mai 2026 a fost de 2,2 %, sub valoarea de referință de 2,7 %. Se preconizează că aceasta va scădea până la sfârșitul anului 2026, după care va crește ușor în 2027, dar ar trebui să rămână sub valoarea de referință în ambii ani.</w:t>
      </w:r>
    </w:p>
    <w:p w14:paraId="1A36086E" w14:textId="30B31A5D" w:rsidR="00B33FB6" w:rsidRPr="003D0413" w:rsidRDefault="003D0413" w:rsidP="0008445A">
      <w:pPr>
        <w:spacing w:after="0"/>
        <w:ind w:left="555"/>
        <w:rPr>
          <w:rFonts w:eastAsia="EC Square Sans Pro" w:cs="EC Square Sans Pro"/>
          <w:noProof/>
          <w:szCs w:val="20"/>
        </w:rPr>
      </w:pPr>
      <w:r>
        <w:rPr>
          <w:noProof/>
        </w:rPr>
        <w:t xml:space="preserve"> </w:t>
      </w:r>
    </w:p>
    <w:p w14:paraId="780EE280" w14:textId="070D04AC" w:rsidR="00B33FB6" w:rsidRPr="003D0413" w:rsidRDefault="00993E97" w:rsidP="00790336">
      <w:pPr>
        <w:spacing w:after="0"/>
        <w:ind w:left="555"/>
        <w:jc w:val="center"/>
        <w:rPr>
          <w:noProof/>
        </w:rPr>
      </w:pPr>
      <w:r w:rsidRPr="00993E97">
        <w:rPr>
          <w:noProof/>
          <w:lang w:val="en-GB" w:eastAsia="en-GB"/>
        </w:rPr>
        <w:drawing>
          <wp:inline distT="0" distB="0" distL="0" distR="0" wp14:anchorId="1978F741" wp14:editId="1EE520FD">
            <wp:extent cx="3543300" cy="2920132"/>
            <wp:effectExtent l="0" t="0" r="0" b="0"/>
            <wp:docPr id="1599171336" name="Picture 1" descr="A graph with number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71336" name="Picture 1" descr="A graph with numbers and dots&#10;&#10;AI-generated content may be incorrect."/>
                    <pic:cNvPicPr/>
                  </pic:nvPicPr>
                  <pic:blipFill>
                    <a:blip r:embed="rId23"/>
                    <a:stretch>
                      <a:fillRect/>
                    </a:stretch>
                  </pic:blipFill>
                  <pic:spPr>
                    <a:xfrm>
                      <a:off x="0" y="0"/>
                      <a:ext cx="3548222" cy="2924189"/>
                    </a:xfrm>
                    <a:prstGeom prst="rect">
                      <a:avLst/>
                    </a:prstGeom>
                  </pic:spPr>
                </pic:pic>
              </a:graphicData>
            </a:graphic>
          </wp:inline>
        </w:drawing>
      </w:r>
    </w:p>
    <w:p w14:paraId="76F3C17B" w14:textId="77777777" w:rsidR="000248FD" w:rsidRPr="003D0413" w:rsidRDefault="000248FD">
      <w:pPr>
        <w:spacing w:after="0"/>
        <w:ind w:left="555"/>
        <w:rPr>
          <w:rFonts w:eastAsia="EC Square Sans Pro" w:cs="EC Square Sans Pro"/>
          <w:noProof/>
          <w:szCs w:val="20"/>
        </w:rPr>
      </w:pPr>
    </w:p>
    <w:p w14:paraId="2D4EACF0" w14:textId="4EA4AD22" w:rsidR="00B33FB6" w:rsidRPr="003D0413" w:rsidRDefault="0074798B">
      <w:pPr>
        <w:spacing w:after="0"/>
        <w:ind w:left="555"/>
        <w:rPr>
          <w:rFonts w:eastAsia="EC Square Sans Pro" w:cs="EC Square Sans Pro"/>
          <w:noProof/>
        </w:rPr>
      </w:pPr>
      <w:r w:rsidRPr="003D0413">
        <w:rPr>
          <w:noProof/>
        </w:rPr>
        <w:t>Rata anuală a inflației IAPC în Suedia a fost, în medie, de 2,0 % în 2024 și a crescut la 2,6 % în 2025. Aceste rate ale inflației au fost, în linii mari, în concordanță cu cele din zona euro. Scăderea prețurilor la energie, efectele de bază și creșterea moderată a salariilor pe fondul unor acorduri salariale multianuale moderate au contribuit la dezinflație în ambii ani. Reducerea puternică a prețurilor alimentelor în 2024 și relaxarea pronunțată a creșterii prețurilor produselor industriale neenergetice în ambii ani au contribuit, de asemenea, la scăderea inflației totale, în timp ce inflația serviciilor a rămas ridicată, dar a scăzut de la 4,9 % în 2024 la 3,8 % în 2025. În 2025, creșterea relativ mai accentuată a prețurilor alimentelor și energiei a determinat o scădere a inflației totale. Impactul întârziat al cursului de schimb efectiv mai puternic al coroanei în 2024 a contribuit la atenuarea creșterilor de prețuri pentru bunurile și serviciile importate. Inflația IAPC a scăzut în primele luni ale anului 2026, deoarece efectele conflictului din Orientul Mijlociu au fost contrabalansate începând cu luna aprilie de scăderi substanțiale ale impozitelor indirecte pe alimente și combustibili, combinate cu o inflație subiacentă scăzută.</w:t>
      </w:r>
    </w:p>
    <w:p w14:paraId="2E6FD91E" w14:textId="77777777" w:rsidR="006522B0" w:rsidRPr="003D0413" w:rsidRDefault="006522B0" w:rsidP="00790336">
      <w:pPr>
        <w:spacing w:after="0"/>
        <w:ind w:left="555"/>
        <w:rPr>
          <w:rFonts w:eastAsia="EC Square Sans Pro" w:cs="EC Square Sans Pro"/>
          <w:noProof/>
          <w:szCs w:val="20"/>
        </w:rPr>
      </w:pPr>
    </w:p>
    <w:p w14:paraId="5A03842F" w14:textId="0B27A95A" w:rsidR="00B33FB6" w:rsidRPr="003D0413" w:rsidRDefault="007F0F03">
      <w:pPr>
        <w:spacing w:after="0"/>
        <w:ind w:left="555"/>
        <w:rPr>
          <w:rFonts w:eastAsia="EC Square Sans Pro" w:cs="EC Square Sans Pro"/>
          <w:noProof/>
        </w:rPr>
      </w:pPr>
      <w:r w:rsidRPr="003D0413">
        <w:rPr>
          <w:noProof/>
        </w:rPr>
        <w:t>Potrivit previziunile economice ale Comisiei din primăvara anului 2026, inflația medie anuală va scădea la aproximativ 1,5 % în 2026, după care va crește ușor la 1,8 % în 2027. Evoluțiile inflației din 2026 reflectă impactul creșterii prețurilor de import, în special pentru produsele petroliere, compensat parțial de reducerile cotei de TVA și ale accizelor, de creșterile salariale moderate și de impactul întârziat al unei coroane mai puternice, factorii speciali urmând să se estompeze în 2027. Nivelul prețurilor din Suedia este relativ ridicat, situându-se la aproximativ 110 % din media zonei euro în 2024.</w:t>
      </w:r>
    </w:p>
    <w:p w14:paraId="1CFB0E52" w14:textId="77777777" w:rsidR="006522B0" w:rsidRPr="003D0413" w:rsidRDefault="006522B0" w:rsidP="00790336">
      <w:pPr>
        <w:spacing w:after="0"/>
        <w:ind w:left="555"/>
        <w:rPr>
          <w:rFonts w:eastAsia="EC Square Sans Pro" w:cs="EC Square Sans Pro"/>
          <w:noProof/>
          <w:szCs w:val="20"/>
        </w:rPr>
      </w:pPr>
    </w:p>
    <w:p w14:paraId="6BFD1C1D" w14:textId="177234DF" w:rsidR="002F7DB2" w:rsidRPr="003D0413" w:rsidRDefault="18C99602" w:rsidP="003D0413">
      <w:pPr>
        <w:keepNext/>
        <w:keepLines/>
        <w:ind w:left="555"/>
        <w:rPr>
          <w:rFonts w:eastAsia="EC Square Sans Pro" w:cs="EC Square Sans Pro"/>
          <w:noProof/>
        </w:rPr>
      </w:pPr>
      <w:r w:rsidRPr="003D0413">
        <w:rPr>
          <w:b/>
          <w:noProof/>
        </w:rPr>
        <w:t>Suedia îndeplinește criteriul privind finanțele publice</w:t>
      </w:r>
      <w:r w:rsidRPr="003D0413">
        <w:rPr>
          <w:noProof/>
        </w:rPr>
        <w:t>.</w:t>
      </w:r>
      <w:r w:rsidRPr="003D0413">
        <w:rPr>
          <w:rFonts w:ascii="Calibri" w:hAnsi="Calibri"/>
          <w:noProof/>
        </w:rPr>
        <w:t xml:space="preserve"> </w:t>
      </w:r>
      <w:bookmarkStart w:id="11" w:name="_Hlk225944620"/>
      <w:r w:rsidRPr="003D0413">
        <w:rPr>
          <w:noProof/>
        </w:rPr>
        <w:t>Suedia nu face obiectul unei decizii a Consiliului privind existența unui deficit excesiv. Deficitul public s-a îmbunătățit ușor, de la 1,5 % din PIB în 2024 la 1,3 % din PIB în 2025, reflectând o creștere economică lentă. Potrivit previziunilor economice ale Comisiei din primăvara anului 2026, se preconizează că deficitul public va ajunge la 2,8 % din PIB în 2026 din cauza scăderii veniturilor totale. În 2027, se preconizează că ponderea deficitului public va fi de 2,5 %.</w:t>
      </w:r>
    </w:p>
    <w:p w14:paraId="22B1AFDD" w14:textId="13630C88" w:rsidR="0005765E" w:rsidRPr="003D0413" w:rsidRDefault="00E45E80" w:rsidP="00790336">
      <w:pPr>
        <w:spacing w:after="0"/>
        <w:ind w:left="555"/>
        <w:rPr>
          <w:rFonts w:eastAsia="EC Square Sans Pro" w:cs="EC Square Sans Pro"/>
          <w:noProof/>
        </w:rPr>
      </w:pPr>
      <w:r w:rsidRPr="003D0413">
        <w:rPr>
          <w:noProof/>
        </w:rPr>
        <w:t xml:space="preserve">La 21 ianuarie 2025, Consiliul a adoptat o recomandare de aprobare a planului bugetar-structural național pe termen mediu al Suediei. Planul vizează perioada 2025-2028 și stabilește o limită superioară pentru creșterea cheltuielilor nete pe o perioadă de patru ani, cu rate maxime de creștere a cheltuielilor nete de 4,0 % în 2025, 4,4 % în 2026, 4,4 % în 2027 și 4,6 % în 2028. La 3 iunie 2026, Comisia a concluzionat că </w:t>
      </w:r>
      <w:r w:rsidRPr="003D0413">
        <w:rPr>
          <w:noProof/>
          <w:color w:val="auto"/>
        </w:rPr>
        <w:t xml:space="preserve">se preconizează o creștere a cheltuielilor nete cu 6,5 % în 2026, care va depăși creșterea recomandată de 4,4 %. Abaterea care depășește valoarea maximă recomandată este echivalentă cu o abatere anuală de 1,0 % din PIB. Cu toate acestea, dacă se iau în considerare împreună anii 2024, 2025 și 2026, rata proiectată de creștere cumulată a cheltuielilor nete este inferioară ratei maxime de creștere recomandate. </w:t>
      </w:r>
      <w:r w:rsidRPr="003D0413">
        <w:rPr>
          <w:noProof/>
        </w:rPr>
        <w:t xml:space="preserve">Potrivit estimărilor, cheltuielile nete în 2026 vor crește cu 6,5 %, situându-se peste plafonul recomandat de Consiliu de 4,4 % pentru 2026, iar creșterea cumulată a cheltuielilor nete până în 2026 se va menține în limitele plafonului cumulat recomandat de 15,5 %. </w:t>
      </w:r>
      <w:bookmarkEnd w:id="11"/>
    </w:p>
    <w:p w14:paraId="77292B88" w14:textId="77777777" w:rsidR="00D24D56" w:rsidRPr="003D0413" w:rsidRDefault="00D24D56" w:rsidP="00790336">
      <w:pPr>
        <w:spacing w:after="0"/>
        <w:ind w:left="555"/>
        <w:rPr>
          <w:rFonts w:eastAsia="EC Square Sans Pro" w:cs="EC Square Sans Pro"/>
          <w:noProof/>
        </w:rPr>
      </w:pPr>
    </w:p>
    <w:p w14:paraId="0C33E84D" w14:textId="437F2594" w:rsidR="00B33FB6" w:rsidRPr="003D0413" w:rsidRDefault="0005765E" w:rsidP="00790336">
      <w:pPr>
        <w:spacing w:after="0"/>
        <w:ind w:left="555"/>
        <w:rPr>
          <w:rFonts w:eastAsia="EC Square Sans Pro" w:cs="EC Square Sans Pro"/>
          <w:noProof/>
        </w:rPr>
      </w:pPr>
      <w:r w:rsidRPr="003D0413">
        <w:rPr>
          <w:noProof/>
        </w:rPr>
        <w:t>Ponderea datoriei publice în PIB a crescut de la</w:t>
      </w:r>
      <w:r w:rsidRPr="003D0413">
        <w:rPr>
          <w:rFonts w:ascii="Calibri" w:hAnsi="Calibri"/>
          <w:noProof/>
        </w:rPr>
        <w:t xml:space="preserve"> </w:t>
      </w:r>
      <w:r w:rsidRPr="003D0413">
        <w:rPr>
          <w:noProof/>
        </w:rPr>
        <w:t>34,1 % în 2024</w:t>
      </w:r>
      <w:r w:rsidRPr="003D0413">
        <w:rPr>
          <w:rFonts w:ascii="Calibri" w:hAnsi="Calibri"/>
          <w:noProof/>
        </w:rPr>
        <w:t xml:space="preserve"> </w:t>
      </w:r>
      <w:r w:rsidRPr="003D0413">
        <w:rPr>
          <w:noProof/>
        </w:rPr>
        <w:t>la 35,1 % în 2025 și se preconizează că va crește în continuare la</w:t>
      </w:r>
      <w:r w:rsidRPr="003D0413">
        <w:rPr>
          <w:rFonts w:ascii="Calibri" w:hAnsi="Calibri"/>
          <w:noProof/>
        </w:rPr>
        <w:t xml:space="preserve"> </w:t>
      </w:r>
      <w:r w:rsidRPr="003D0413">
        <w:rPr>
          <w:noProof/>
        </w:rPr>
        <w:t>36,5 % din PIB în 2026 și</w:t>
      </w:r>
      <w:r w:rsidRPr="003D0413">
        <w:rPr>
          <w:rFonts w:ascii="Calibri" w:hAnsi="Calibri"/>
          <w:noProof/>
        </w:rPr>
        <w:t xml:space="preserve"> </w:t>
      </w:r>
      <w:r w:rsidRPr="003D0413">
        <w:rPr>
          <w:noProof/>
        </w:rPr>
        <w:t>apoi la 37,7 %</w:t>
      </w:r>
      <w:r w:rsidRPr="003D0413">
        <w:rPr>
          <w:rFonts w:ascii="Calibri" w:hAnsi="Calibri"/>
          <w:noProof/>
        </w:rPr>
        <w:t xml:space="preserve"> </w:t>
      </w:r>
      <w:r w:rsidRPr="003D0413">
        <w:rPr>
          <w:noProof/>
        </w:rPr>
        <w:t>din PIB în 2027, ca urmare a unui deficit primar mai ridicat.</w:t>
      </w:r>
      <w:r w:rsidRPr="003D0413">
        <w:rPr>
          <w:rFonts w:ascii="Calibri" w:hAnsi="Calibri"/>
          <w:noProof/>
        </w:rPr>
        <w:t xml:space="preserve"> </w:t>
      </w:r>
      <w:r w:rsidRPr="003D0413">
        <w:rPr>
          <w:noProof/>
        </w:rPr>
        <w:t>Riscurile legate de sustenabilitatea datoriei pentru Suedia par a fi scăzute pe termen mediu, chiar dacă se preconizează că datoria publică va crește la aproximativ 44 % din PIB până în 2036.</w:t>
      </w:r>
      <w:r w:rsidRPr="003D0413">
        <w:rPr>
          <w:rFonts w:ascii="Calibri" w:hAnsi="Calibri"/>
          <w:noProof/>
        </w:rPr>
        <w:t xml:space="preserve"> </w:t>
      </w:r>
      <w:r w:rsidRPr="003D0413">
        <w:rPr>
          <w:noProof/>
        </w:rPr>
        <w:t>Suedia dispune de un cadru bugetar solid,</w:t>
      </w:r>
      <w:r w:rsidRPr="003D0413">
        <w:rPr>
          <w:rFonts w:ascii="Calibri" w:hAnsi="Calibri"/>
          <w:noProof/>
        </w:rPr>
        <w:t xml:space="preserve"> </w:t>
      </w:r>
      <w:r w:rsidRPr="003D0413">
        <w:rPr>
          <w:noProof/>
        </w:rPr>
        <w:t>cu norme clare și o orientare pe termen mediu, care menține ancora datoriei la 35 % din PIB.</w:t>
      </w:r>
    </w:p>
    <w:p w14:paraId="51D2F86D" w14:textId="77777777" w:rsidR="008839EE" w:rsidRPr="003D0413" w:rsidRDefault="008839EE" w:rsidP="00790336">
      <w:pPr>
        <w:spacing w:after="0"/>
        <w:ind w:left="555"/>
        <w:rPr>
          <w:rFonts w:eastAsia="EC Square Sans Pro" w:cs="EC Square Sans Pro"/>
          <w:noProof/>
        </w:rPr>
      </w:pPr>
    </w:p>
    <w:p w14:paraId="09B0ADFC" w14:textId="149C856B" w:rsidR="00B33FB6" w:rsidRPr="003D0413" w:rsidRDefault="005274AE" w:rsidP="00790336">
      <w:pPr>
        <w:spacing w:after="0"/>
        <w:ind w:left="555"/>
        <w:jc w:val="center"/>
        <w:rPr>
          <w:noProof/>
        </w:rPr>
      </w:pPr>
      <w:r w:rsidRPr="005274AE">
        <w:rPr>
          <w:noProof/>
          <w:lang w:val="en-GB" w:eastAsia="en-GB"/>
        </w:rPr>
        <w:drawing>
          <wp:inline distT="0" distB="0" distL="0" distR="0" wp14:anchorId="5296983D" wp14:editId="7E4ABF5E">
            <wp:extent cx="4324350" cy="2705100"/>
            <wp:effectExtent l="0" t="0" r="0" b="0"/>
            <wp:docPr id="150336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4350" cy="2705100"/>
                    </a:xfrm>
                    <a:prstGeom prst="rect">
                      <a:avLst/>
                    </a:prstGeom>
                    <a:noFill/>
                    <a:ln>
                      <a:noFill/>
                    </a:ln>
                  </pic:spPr>
                </pic:pic>
              </a:graphicData>
            </a:graphic>
          </wp:inline>
        </w:drawing>
      </w:r>
    </w:p>
    <w:p w14:paraId="48BDBF03" w14:textId="77777777" w:rsidR="00AB2F7D" w:rsidRPr="003D0413" w:rsidRDefault="00AB2F7D">
      <w:pPr>
        <w:spacing w:after="0"/>
        <w:ind w:left="555"/>
        <w:rPr>
          <w:rFonts w:eastAsia="EC Square Sans Pro" w:cs="EC Square Sans Pro"/>
          <w:b/>
          <w:bCs/>
          <w:noProof/>
          <w:szCs w:val="20"/>
        </w:rPr>
      </w:pPr>
    </w:p>
    <w:p w14:paraId="32B8C0A6" w14:textId="13B39213" w:rsidR="00B33FB6" w:rsidRPr="003D0413" w:rsidRDefault="18C99602">
      <w:pPr>
        <w:spacing w:after="0"/>
        <w:ind w:left="555"/>
        <w:rPr>
          <w:rFonts w:ascii="Calibri" w:eastAsia="Calibri" w:hAnsi="Calibri" w:cs="Calibri"/>
          <w:noProof/>
          <w:color w:val="000000" w:themeColor="text1"/>
        </w:rPr>
      </w:pPr>
      <w:r w:rsidRPr="003D0413">
        <w:rPr>
          <w:b/>
          <w:noProof/>
        </w:rPr>
        <w:t>Suedia nu îndeplinește criteriul cursului de schimb</w:t>
      </w:r>
      <w:r w:rsidRPr="003D0413">
        <w:rPr>
          <w:noProof/>
        </w:rPr>
        <w:t>.</w:t>
      </w:r>
      <w:r w:rsidRPr="003D0413">
        <w:rPr>
          <w:rFonts w:ascii="Calibri" w:hAnsi="Calibri"/>
          <w:noProof/>
        </w:rPr>
        <w:t xml:space="preserve"> </w:t>
      </w:r>
      <w:r w:rsidRPr="003D0413">
        <w:rPr>
          <w:noProof/>
        </w:rPr>
        <w:t>Coroana suedeză nu participă la mecanismul cursului de schimb II. Suedia aplică un regim de flotare liberă a cursului de schimb, care permite băncii centrale să intervină pe piața valutară. După ce coroana a înregistrat o perioadă lungă de depreciere față de euro, scăzând de la 8,3 SEK/EUR în august 2012 la 11,8 SEK/EUR în septembrie 2023, aceasta s-a redresat într-o oarecare măsură în 2024 și 2025, ajungând la 10,6 SEK la EUR în februarie 2026, înainte de o nouă scădere ușoară. Spreadul STIBOR-Euribor la trei luni a fost volatil în ultimii ani. După o creștere ușoară, dar puternică în 2022, acesta a scăzut ulterior, devenind negativ în a doua jumătate a anului 2024. De atunci, spreadul a fluctuat între -20 și 20 de puncte de bază, adică cu mult sub nivelul din anii anteriori anului 2022 (aproximativ 50 de puncte de bază). În luna mai 2026, spreadul era de -21 de puncte de bază, iar cursul de schimb era de 10,9 SEK/EUR, cu 7 % mai puternic față de euro decât fusese cu doi ani înainte.</w:t>
      </w:r>
      <w:r w:rsidRPr="003D0413">
        <w:rPr>
          <w:rFonts w:ascii="Calibri" w:hAnsi="Calibri"/>
          <w:noProof/>
          <w:color w:val="000000" w:themeColor="text1"/>
        </w:rPr>
        <w:t xml:space="preserve"> </w:t>
      </w:r>
    </w:p>
    <w:p w14:paraId="494D72C5" w14:textId="77777777" w:rsidR="006522B0" w:rsidRPr="003D0413" w:rsidRDefault="006522B0" w:rsidP="00790336">
      <w:pPr>
        <w:spacing w:after="0"/>
        <w:ind w:left="555"/>
        <w:rPr>
          <w:rFonts w:ascii="Calibri" w:eastAsia="Calibri" w:hAnsi="Calibri" w:cs="Calibri"/>
          <w:noProof/>
          <w:color w:val="000000" w:themeColor="text1"/>
          <w:szCs w:val="20"/>
        </w:rPr>
      </w:pPr>
    </w:p>
    <w:p w14:paraId="025F6052" w14:textId="4ED408E8" w:rsidR="00B33FB6" w:rsidRPr="003D0413" w:rsidRDefault="18C99602">
      <w:pPr>
        <w:spacing w:after="0"/>
        <w:ind w:left="555"/>
        <w:rPr>
          <w:rFonts w:eastAsia="EC Square Sans Pro" w:cs="EC Square Sans Pro"/>
          <w:noProof/>
        </w:rPr>
      </w:pPr>
      <w:r w:rsidRPr="003D0413">
        <w:rPr>
          <w:b/>
          <w:noProof/>
        </w:rPr>
        <w:t>Suedia îndeplinește criteriul de convergență a ratelor dobânzii pe termen lung</w:t>
      </w:r>
      <w:r w:rsidRPr="003D0413">
        <w:rPr>
          <w:noProof/>
        </w:rPr>
        <w:t>.</w:t>
      </w:r>
      <w:r w:rsidRPr="003D0413">
        <w:rPr>
          <w:rFonts w:ascii="Calibri" w:hAnsi="Calibri"/>
          <w:noProof/>
        </w:rPr>
        <w:t xml:space="preserve"> </w:t>
      </w:r>
      <w:r w:rsidRPr="003D0413">
        <w:rPr>
          <w:noProof/>
        </w:rPr>
        <w:t>În perioada de 12 luni care s-a încheiat în mai 2026, rata medie a dobânzii pe termen lung în Suedia a fost de 2,6 %, cu mult sub valoarea de referință de 5,1 %. După ce au crescut considerabil în 2022 și 2023, ratele dobânzilor pe termen lung din Suedia au scăzut în 2024, după care, în 2025, au revenit la nivelurile din 2023. De la începutul anului 2024, rata dobânzii pe termen lung a fluctuat între 2,2 % și 2,8 %. Spreadul în raport cu obligațiunea germană de referință a rămas relativ mic, înregistrând o oarecare volatilitate în 2024 și 2025. În general, spreadul a scăzut în ultimii ani și a devenit ușor negativ în 2024, ajungând la -34 de puncte de bază în iulie 2024. Ulterior, aceasta a crescut ușor până în ianuarie 2026, după care a scăzut treptat la -31 de puncte de bază în mai 2026.</w:t>
      </w:r>
    </w:p>
    <w:p w14:paraId="51606EF8" w14:textId="77777777" w:rsidR="006522B0" w:rsidRPr="003D0413" w:rsidRDefault="006522B0" w:rsidP="00790336">
      <w:pPr>
        <w:spacing w:after="0"/>
        <w:ind w:left="555"/>
        <w:rPr>
          <w:rFonts w:eastAsia="EC Square Sans Pro" w:cs="EC Square Sans Pro"/>
          <w:noProof/>
          <w:szCs w:val="20"/>
        </w:rPr>
      </w:pPr>
    </w:p>
    <w:p w14:paraId="39087171" w14:textId="645DDDBD" w:rsidR="006522B0" w:rsidRPr="003D0413" w:rsidRDefault="18C99602" w:rsidP="002D7C6C">
      <w:pPr>
        <w:ind w:left="567"/>
        <w:rPr>
          <w:rFonts w:eastAsia="EC Square Sans Pro" w:cs="EC Square Sans Pro"/>
          <w:noProof/>
          <w:szCs w:val="20"/>
        </w:rPr>
      </w:pPr>
      <w:r w:rsidRPr="003D0413">
        <w:rPr>
          <w:noProof/>
        </w:rPr>
        <w:t xml:space="preserve">Comisia a examinat și </w:t>
      </w:r>
      <w:r w:rsidRPr="003D0413">
        <w:rPr>
          <w:b/>
          <w:bCs/>
          <w:noProof/>
        </w:rPr>
        <w:t>alți factori</w:t>
      </w:r>
      <w:r w:rsidRPr="003D0413">
        <w:rPr>
          <w:noProof/>
        </w:rPr>
        <w:t>, inclusiv evoluția balanței de plăți, integrarea piețelor și mediul internațional. Balanța externă a Suediei (și anume contul curent și contul de capital combinate) a rămas excedentară, la 7,0 % din PIB în 2024 și la 6,2 % în 2025. Economia Suediei este bine integrată cu zona euro datorită schimburilor comerciale și investițiilor.</w:t>
      </w:r>
      <w:r w:rsidRPr="003D0413">
        <w:rPr>
          <w:rFonts w:ascii="Calibri" w:hAnsi="Calibri"/>
          <w:noProof/>
        </w:rPr>
        <w:t xml:space="preserve"> </w:t>
      </w:r>
      <w:r w:rsidRPr="003D0413">
        <w:rPr>
          <w:noProof/>
        </w:rPr>
        <w:t>Indicatorii selectați privind mediul instituțional arată că Suedia înregistrează rezultate mai bune decât majoritatea statelor membre din zona euro în această privință. Sectorul financiar din Suedia este foarte dezvoltat și bine integrat în</w:t>
      </w:r>
      <w:r w:rsidRPr="003D0413">
        <w:rPr>
          <w:rFonts w:ascii="Calibri" w:hAnsi="Calibri"/>
          <w:noProof/>
        </w:rPr>
        <w:t xml:space="preserve"> </w:t>
      </w:r>
      <w:r w:rsidRPr="003D0413">
        <w:rPr>
          <w:noProof/>
        </w:rPr>
        <w:t>sectorul</w:t>
      </w:r>
      <w:r w:rsidRPr="003D0413">
        <w:rPr>
          <w:rFonts w:ascii="Calibri" w:hAnsi="Calibri"/>
          <w:noProof/>
        </w:rPr>
        <w:t xml:space="preserve"> </w:t>
      </w:r>
      <w:r w:rsidRPr="003D0413">
        <w:rPr>
          <w:noProof/>
        </w:rPr>
        <w:t>financiar</w:t>
      </w:r>
      <w:r w:rsidRPr="003D0413">
        <w:rPr>
          <w:rFonts w:ascii="Calibri" w:hAnsi="Calibri"/>
          <w:noProof/>
        </w:rPr>
        <w:t xml:space="preserve"> </w:t>
      </w:r>
      <w:r w:rsidRPr="003D0413">
        <w:rPr>
          <w:noProof/>
        </w:rPr>
        <w:t>din zona euro. Sectorul bancar domină sectorul financiar, deși fondurile de asigurări și de pensii reprezintă, de asemenea, o parte importantă a acestuia. În plus, Suedia se numără printre cele mai avansate piețe de credit și de titluri de capital din UE, iar nivelul de finanțare bazată pe piață este printre cele mai ridicate din UE. În contextul procedurii privind dezechilibrele macroeconomice, Comisia a concluzionat, în Raportul său privind mecanismul de alertă pentru 2026, că un bilanț aprofundat este justificat în cazul Suediei.</w:t>
      </w:r>
      <w:r w:rsidRPr="003D0413">
        <w:rPr>
          <w:rFonts w:ascii="Calibri" w:hAnsi="Calibri"/>
          <w:noProof/>
        </w:rPr>
        <w:t xml:space="preserve"> </w:t>
      </w:r>
      <w:r w:rsidRPr="003D0413">
        <w:rPr>
          <w:noProof/>
        </w:rPr>
        <w:t>În urma bilanțului aprofundat, s-a concluzionat că Suedia se confruntă cu vulnerabilități legate de piața sa imobiliară și de nivelul ridicat al datoriei private. Deși prețurile locuințelor s-au moderat într-o oarecare măsură față de nivelurile din 2022 și 2023, gradul de îndatorare a gospodăriilor rămâne ridicat și se preconizează că va continua să crească. Deși sectorul financiar este foarte expus la sectorul imobiliar, acesta este profitabil, cu amortizoare considerabile de capital împotriva evoluțiilor negative. Există în continuare rigidități în ceea ce privește oferta de locuințe, piața închirierilor a cunoscut o reformă limitată, ceea ce a dus la liste lungi de așteptare și la o rată scăzută a locuințelor vacante comparativ cu alte țări din UE. Ținând seama de această evaluare din bilanțul aprofundat, Comisia, în comunicarea sa referitoare la pachetul de primăvară al semestrului european 2026, consideră că Suedia nu se mai confruntă cu dezechilibre macroeconomice.</w:t>
      </w:r>
    </w:p>
    <w:p w14:paraId="18BB4049" w14:textId="7D429902" w:rsidR="00B33FB6" w:rsidRPr="003D0413" w:rsidRDefault="18C99602" w:rsidP="009F0DD6">
      <w:pPr>
        <w:spacing w:after="0"/>
        <w:ind w:left="555"/>
        <w:rPr>
          <w:rFonts w:eastAsia="EC Square Sans Pro" w:cs="EC Square Sans Pro"/>
          <w:noProof/>
        </w:rPr>
      </w:pPr>
      <w:r w:rsidRPr="003D0413">
        <w:rPr>
          <w:noProof/>
        </w:rPr>
        <w:t>Planul de redresare și reziliență (PRR) al Suediei include măsuri menite să abordeze o serie de provocări structurale, în sinergie cu alte fonduri ale UE, inclusiv cu fondurile politicii de coeziune, pentru a reduce disparitățile teritoriale și sociale din țară. Suedia beneficiază de finanțare din cadrul MRR în valoare de 3,4 miliarde EUR pentru perioada 2021-2026. Suedia și-a prezentat a doua cerere de plată în ianuarie 2026. Printre principalele investiții și reforme din planul de redresare și reziliență al Suediei se numără cele din domeniul finanțării tehnologiilor și infrastructurii de reducere a emisiilor de gaze cu efect de seră, al izolării locuințelor, al formării pentru îngrijirea persoanelor în vârstă și al introducerii benzii largi în zonele slab populate. O primă rambursare din MRR a avut loc în iulie 2025, restul plăților fiind în curs de evaluare pentru 2026. În plus, pentru perioada 2021-2027, Suedia beneficiază de finanțare din partea politicii de coeziune în valoare de</w:t>
      </w:r>
      <w:r w:rsidRPr="003D0413">
        <w:rPr>
          <w:rFonts w:ascii="Calibri" w:hAnsi="Calibri"/>
          <w:noProof/>
        </w:rPr>
        <w:t xml:space="preserve"> </w:t>
      </w:r>
      <w:r w:rsidRPr="003D0413">
        <w:rPr>
          <w:noProof/>
        </w:rPr>
        <w:t>2,4 miliarde</w:t>
      </w:r>
      <w:r w:rsidRPr="003D0413">
        <w:rPr>
          <w:rFonts w:ascii="Calibri" w:hAnsi="Calibri"/>
          <w:noProof/>
        </w:rPr>
        <w:t xml:space="preserve"> </w:t>
      </w:r>
      <w:r w:rsidRPr="003D0413">
        <w:rPr>
          <w:noProof/>
        </w:rPr>
        <w:t>EUR. Finanțarea din cadrul politicii de coeziune vizează în special îmbunătățirea în continuare a condițiilor pentru cercetare și inovare, crearea de oportunități pentru antreprenoriat și transformarea industrială și sprijinirea digitalizării, a internaționalizării și a</w:t>
      </w:r>
      <w:r w:rsidRPr="003D0413">
        <w:rPr>
          <w:rFonts w:ascii="Calibri" w:hAnsi="Calibri"/>
          <w:noProof/>
        </w:rPr>
        <w:t xml:space="preserve"> </w:t>
      </w:r>
      <w:r w:rsidRPr="003D0413">
        <w:rPr>
          <w:noProof/>
        </w:rPr>
        <w:t>competitivității. Deși Suedia a înregistrat progrese în ceea ce privește punerea în aplicare</w:t>
      </w:r>
      <w:r w:rsidRPr="003D0413">
        <w:rPr>
          <w:rFonts w:ascii="Calibri" w:hAnsi="Calibri"/>
          <w:noProof/>
        </w:rPr>
        <w:t xml:space="preserve"> </w:t>
      </w:r>
      <w:r w:rsidRPr="003D0413">
        <w:rPr>
          <w:noProof/>
        </w:rPr>
        <w:t>a</w:t>
      </w:r>
      <w:r w:rsidRPr="003D0413">
        <w:rPr>
          <w:rFonts w:ascii="Calibri" w:hAnsi="Calibri"/>
          <w:noProof/>
        </w:rPr>
        <w:t xml:space="preserve"> </w:t>
      </w:r>
      <w:r w:rsidRPr="003D0413">
        <w:rPr>
          <w:noProof/>
        </w:rPr>
        <w:t>politicii de coeziune, există în continuare provocări, cu disparități persistente între regiunea-capitală și restul țării.</w:t>
      </w:r>
      <w:r w:rsidRPr="003D0413">
        <w:rPr>
          <w:b/>
          <w:noProof/>
        </w:rPr>
        <w:t xml:space="preserve"> </w:t>
      </w:r>
    </w:p>
    <w:p w14:paraId="3DDA5709" w14:textId="77777777" w:rsidR="00E408C4" w:rsidRPr="003D0413" w:rsidRDefault="00E408C4" w:rsidP="00E408C4">
      <w:pPr>
        <w:pStyle w:val="Text1"/>
        <w:ind w:left="567"/>
        <w:rPr>
          <w:rFonts w:ascii="EC Square Sans Pro" w:hAnsi="EC Square Sans Pro"/>
          <w:b/>
          <w:bCs/>
          <w:noProof/>
          <w:color w:val="000000"/>
          <w:sz w:val="20"/>
          <w:szCs w:val="24"/>
          <w:lang w:eastAsia="en-US"/>
        </w:rPr>
      </w:pPr>
    </w:p>
    <w:p w14:paraId="54903814" w14:textId="77777777" w:rsidR="009331D7" w:rsidRPr="003D0413" w:rsidRDefault="009331D7" w:rsidP="00D85738">
      <w:pPr>
        <w:rPr>
          <w:noProof/>
        </w:rPr>
      </w:pPr>
    </w:p>
    <w:p w14:paraId="71B37DEF" w14:textId="77777777" w:rsidR="009331D7" w:rsidRPr="003D0413" w:rsidRDefault="009331D7" w:rsidP="00D85738">
      <w:pPr>
        <w:rPr>
          <w:noProof/>
        </w:rPr>
      </w:pPr>
    </w:p>
    <w:bookmarkEnd w:id="0"/>
    <w:p w14:paraId="448AACF2" w14:textId="77777777" w:rsidR="009331D7" w:rsidRPr="003D0413" w:rsidRDefault="009331D7" w:rsidP="00D85738">
      <w:pPr>
        <w:rPr>
          <w:noProof/>
        </w:rPr>
      </w:pPr>
    </w:p>
    <w:sectPr w:rsidR="009331D7" w:rsidRPr="003D0413" w:rsidSect="00E46E5E">
      <w:headerReference w:type="even" r:id="rId25"/>
      <w:headerReference w:type="default" r:id="rId26"/>
      <w:footerReference w:type="even" r:id="rId27"/>
      <w:footerReference w:type="default" r:id="rId28"/>
      <w:headerReference w:type="first" r:id="rId29"/>
      <w:footerReference w:type="first" r:id="rId30"/>
      <w:footnotePr>
        <w:pos w:val="beneathText"/>
      </w:footnotePr>
      <w:pgSz w:w="11907" w:h="16839"/>
      <w:pgMar w:top="1417" w:right="1417" w:bottom="1417" w:left="141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F8817" w14:textId="77777777" w:rsidR="007F4182" w:rsidRPr="003D0413" w:rsidRDefault="007F4182" w:rsidP="00F64EC0">
      <w:pPr>
        <w:spacing w:after="0" w:line="240" w:lineRule="auto"/>
      </w:pPr>
      <w:r w:rsidRPr="003D0413">
        <w:separator/>
      </w:r>
    </w:p>
  </w:endnote>
  <w:endnote w:type="continuationSeparator" w:id="0">
    <w:p w14:paraId="4089FC6E" w14:textId="77777777" w:rsidR="007F4182" w:rsidRPr="003D0413" w:rsidRDefault="007F4182" w:rsidP="00F64EC0">
      <w:pPr>
        <w:spacing w:after="0" w:line="240" w:lineRule="auto"/>
      </w:pPr>
      <w:r w:rsidRPr="003D0413">
        <w:continuationSeparator/>
      </w:r>
    </w:p>
  </w:endnote>
  <w:endnote w:type="continuationNotice" w:id="1">
    <w:p w14:paraId="5C368547" w14:textId="77777777" w:rsidR="007F4182" w:rsidRPr="003D0413" w:rsidRDefault="007F4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EC Square Sans Pro Thin">
    <w:charset w:val="00"/>
    <w:family w:val="swiss"/>
    <w:pitch w:val="variable"/>
    <w:sig w:usb0="2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EC Square Sans Pro Medium">
    <w:charset w:val="00"/>
    <w:family w:val="swiss"/>
    <w:pitch w:val="variable"/>
    <w:sig w:usb0="2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F165C" w14:textId="45950FB9" w:rsidR="003D2F00" w:rsidRPr="003D2F00" w:rsidRDefault="003D2F00" w:rsidP="003D2F00">
    <w:pPr>
      <w:pStyle w:val="FooterCoverPage"/>
      <w:rPr>
        <w:rFonts w:ascii="Arial" w:hAnsi="Arial" w:cs="Arial"/>
        <w:b/>
        <w:sz w:val="48"/>
      </w:rPr>
    </w:pPr>
    <w:r w:rsidRPr="003D2F00">
      <w:rPr>
        <w:rFonts w:ascii="Arial" w:hAnsi="Arial" w:cs="Arial"/>
        <w:b/>
        <w:sz w:val="48"/>
      </w:rPr>
      <w:t>RO</w:t>
    </w:r>
    <w:r w:rsidRPr="003D2F00">
      <w:rPr>
        <w:rFonts w:ascii="Arial" w:hAnsi="Arial" w:cs="Arial"/>
        <w:b/>
        <w:sz w:val="48"/>
      </w:rPr>
      <w:tab/>
    </w:r>
    <w:r w:rsidRPr="003D2F00">
      <w:rPr>
        <w:rFonts w:ascii="Arial" w:hAnsi="Arial" w:cs="Arial"/>
        <w:b/>
        <w:sz w:val="48"/>
      </w:rPr>
      <w:tab/>
    </w:r>
    <w:r w:rsidRPr="003D2F00">
      <w:tab/>
    </w:r>
    <w:r w:rsidRPr="003D2F0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96A7C" w14:textId="37D34189" w:rsidR="003D2F00" w:rsidRPr="003D2F00" w:rsidRDefault="003D2F00" w:rsidP="003D2F00">
    <w:pPr>
      <w:pStyle w:val="FooterCoverPage"/>
      <w:rPr>
        <w:rFonts w:ascii="Arial" w:hAnsi="Arial" w:cs="Arial"/>
        <w:b/>
        <w:sz w:val="48"/>
      </w:rPr>
    </w:pPr>
    <w:r w:rsidRPr="003D2F00">
      <w:rPr>
        <w:rFonts w:ascii="Arial" w:hAnsi="Arial" w:cs="Arial"/>
        <w:b/>
        <w:sz w:val="48"/>
      </w:rPr>
      <w:t>RO</w:t>
    </w:r>
    <w:r w:rsidRPr="003D2F00">
      <w:rPr>
        <w:rFonts w:ascii="Arial" w:hAnsi="Arial" w:cs="Arial"/>
        <w:b/>
        <w:sz w:val="48"/>
      </w:rPr>
      <w:tab/>
    </w:r>
    <w:r w:rsidRPr="003D2F00">
      <w:rPr>
        <w:rFonts w:ascii="Arial" w:hAnsi="Arial" w:cs="Arial"/>
        <w:b/>
        <w:sz w:val="48"/>
      </w:rPr>
      <w:tab/>
    </w:r>
    <w:r w:rsidRPr="003D2F00">
      <w:tab/>
    </w:r>
    <w:r w:rsidRPr="003D2F0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4CCF9" w14:textId="77777777" w:rsidR="003D2F00" w:rsidRPr="003D2F00" w:rsidRDefault="003D2F00" w:rsidP="003D2F0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8BD96" w14:textId="18E39311" w:rsidR="00E46E5E" w:rsidRPr="003D0413" w:rsidRDefault="00E46E5E" w:rsidP="00F64EC0">
    <w:pPr>
      <w:pStyle w:val="FooterPageNumber30"/>
      <w:framePr w:wrap="around"/>
    </w:pPr>
    <w:r w:rsidRPr="003D0413">
      <w:fldChar w:fldCharType="begin"/>
    </w:r>
    <w:r w:rsidRPr="003D0413">
      <w:instrText xml:space="preserve"> PAGE </w:instrText>
    </w:r>
    <w:r w:rsidRPr="003D0413">
      <w:fldChar w:fldCharType="separate"/>
    </w:r>
    <w:r w:rsidR="00051ABF">
      <w:rPr>
        <w:noProof/>
      </w:rPr>
      <w:t>18</w:t>
    </w:r>
    <w:r w:rsidRPr="003D041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2E5D" w14:textId="6F445D5C" w:rsidR="00E46E5E" w:rsidRPr="003D0413" w:rsidRDefault="00E46E5E" w:rsidP="00F64EC0">
    <w:pPr>
      <w:pStyle w:val="FooterPageNumber30"/>
      <w:framePr w:wrap="around"/>
    </w:pPr>
    <w:r w:rsidRPr="003D0413">
      <w:fldChar w:fldCharType="begin"/>
    </w:r>
    <w:r w:rsidRPr="003D0413">
      <w:instrText xml:space="preserve"> PAGE </w:instrText>
    </w:r>
    <w:r w:rsidRPr="003D0413">
      <w:fldChar w:fldCharType="separate"/>
    </w:r>
    <w:r w:rsidR="003D2F00">
      <w:rPr>
        <w:noProof/>
      </w:rPr>
      <w:t>18</w:t>
    </w:r>
    <w:r w:rsidRPr="003D041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792F2" w14:textId="6A99A6F4" w:rsidR="00E46E5E" w:rsidRPr="003D0413" w:rsidRDefault="00E46E5E" w:rsidP="00F64EC0">
    <w:pPr>
      <w:pStyle w:val="FooterPageNumber30"/>
      <w:framePr w:wrap="around"/>
    </w:pPr>
    <w:r w:rsidRPr="003D0413">
      <w:fldChar w:fldCharType="begin"/>
    </w:r>
    <w:r w:rsidRPr="003D0413">
      <w:instrText xml:space="preserve"> PAGE </w:instrText>
    </w:r>
    <w:r w:rsidRPr="003D0413">
      <w:fldChar w:fldCharType="separate"/>
    </w:r>
    <w:r w:rsidR="003D2F00">
      <w:rPr>
        <w:noProof/>
      </w:rPr>
      <w:t>1</w:t>
    </w:r>
    <w:r w:rsidRPr="003D04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7ED3C" w14:textId="77777777" w:rsidR="007F4182" w:rsidRPr="003D0413" w:rsidRDefault="007F4182" w:rsidP="00F64EC0">
      <w:pPr>
        <w:spacing w:after="0" w:line="240" w:lineRule="auto"/>
      </w:pPr>
      <w:r w:rsidRPr="003D0413">
        <w:separator/>
      </w:r>
    </w:p>
  </w:footnote>
  <w:footnote w:type="continuationSeparator" w:id="0">
    <w:p w14:paraId="02CFAC0C" w14:textId="77777777" w:rsidR="007F4182" w:rsidRPr="003D0413" w:rsidRDefault="007F4182" w:rsidP="00F64EC0">
      <w:pPr>
        <w:spacing w:after="0" w:line="240" w:lineRule="auto"/>
      </w:pPr>
      <w:r w:rsidRPr="003D0413">
        <w:continuationSeparator/>
      </w:r>
    </w:p>
  </w:footnote>
  <w:footnote w:type="continuationNotice" w:id="1">
    <w:p w14:paraId="6F2D2B3F" w14:textId="77777777" w:rsidR="007F4182" w:rsidRPr="003D0413" w:rsidRDefault="007F4182" w:rsidP="00F64EC0">
      <w:pPr>
        <w:spacing w:after="0" w:line="240" w:lineRule="auto"/>
      </w:pPr>
    </w:p>
  </w:footnote>
  <w:footnote w:id="2">
    <w:p w14:paraId="48B7E7CC" w14:textId="7EF4E17A" w:rsidR="00F410AB" w:rsidRPr="003D0413" w:rsidRDefault="00F410AB" w:rsidP="00F410AB">
      <w:pPr>
        <w:pStyle w:val="FootnoteText"/>
      </w:pPr>
      <w:r w:rsidRPr="003D0413">
        <w:rPr>
          <w:rStyle w:val="FootnoteReference"/>
        </w:rPr>
        <w:footnoteRef/>
      </w:r>
      <w:r w:rsidRPr="003D0413">
        <w:t xml:space="preserve"> </w:t>
      </w:r>
      <w:r w:rsidRPr="003D0413">
        <w:tab/>
        <w:t>Statele membre care încă nu au îndeplinit condițiile necesare pentru adoptarea monedei euro sunt denumite „state membre care fac obiectul unei derogări”. Danemarca a negociat o clauză de neparticipare înainte de adoptarea Tratatului de la Maastricht și nu participă la a treia etapă a uniunii economice și monetare.</w:t>
      </w:r>
    </w:p>
  </w:footnote>
  <w:footnote w:id="3">
    <w:p w14:paraId="32B998E1" w14:textId="4721E98A" w:rsidR="00052DDE" w:rsidRPr="003D0413" w:rsidRDefault="00052DDE">
      <w:pPr>
        <w:pStyle w:val="FootnoteText"/>
      </w:pPr>
      <w:r w:rsidRPr="003D0413">
        <w:rPr>
          <w:rStyle w:val="FootnoteReference"/>
        </w:rPr>
        <w:footnoteRef/>
      </w:r>
      <w:r w:rsidRPr="003D0413">
        <w:t xml:space="preserve"> </w:t>
      </w:r>
      <w:r w:rsidRPr="003D0413">
        <w:tab/>
        <w:t>Decizia (UE) 2025/1407 a Consiliului din 8 iulie 2025 privind adoptarea de către Bulgaria a monedei euro la 1 ianuarie 2026 (JO</w:t>
      </w:r>
      <w:r w:rsidR="003D0413">
        <w:rPr>
          <w:rFonts w:ascii="Calibri" w:hAnsi="Calibri" w:cs="Calibri"/>
        </w:rPr>
        <w:t> </w:t>
      </w:r>
      <w:r w:rsidRPr="003D0413">
        <w:t>L 1407, 14.7.2025, p. 1).</w:t>
      </w:r>
    </w:p>
  </w:footnote>
  <w:footnote w:id="4">
    <w:p w14:paraId="524469D4" w14:textId="6FD50B57" w:rsidR="00F410AB" w:rsidRPr="003D0413" w:rsidRDefault="00F410AB" w:rsidP="00F410AB">
      <w:pPr>
        <w:pStyle w:val="FootnoteText"/>
      </w:pPr>
      <w:r w:rsidRPr="003D0413">
        <w:rPr>
          <w:rStyle w:val="FootnoteReference"/>
        </w:rPr>
        <w:footnoteRef/>
      </w:r>
      <w:r w:rsidRPr="003D0413">
        <w:t xml:space="preserve"> </w:t>
      </w:r>
      <w:r w:rsidRPr="003D0413">
        <w:tab/>
        <w:t>În temeiul Protocolului nr. 16 la tratate privind anumite dispoziții referitoare la Danemarca, pentru acest stat este prevăzută o excepție în ceea ce privește moneda unică, iar procedura menționată la articolul 140 din TFUE poate fi inițiată numai la cererea sa. Danemarca nu a formulat această cerere și, prin urmare, nu este inclusă în evaluare.</w:t>
      </w:r>
    </w:p>
  </w:footnote>
  <w:footnote w:id="5">
    <w:p w14:paraId="259CD95C" w14:textId="1BB531E2" w:rsidR="00F410AB" w:rsidRPr="003D0413" w:rsidRDefault="00F410AB" w:rsidP="00F410AB">
      <w:pPr>
        <w:pStyle w:val="FootnoteText"/>
      </w:pPr>
      <w:r w:rsidRPr="003D0413">
        <w:rPr>
          <w:rStyle w:val="FootnoteReference"/>
        </w:rPr>
        <w:footnoteRef/>
      </w:r>
      <w:r w:rsidRPr="003D0413">
        <w:t xml:space="preserve"> </w:t>
      </w:r>
      <w:r w:rsidRPr="003D0413">
        <w:tab/>
        <w:t>Data-limită pentru datele utilizate în prezentul raport este 17 iunie 2026. Evaluarea convergenței se bazează pe o gamă de indicatori lunari de convergență calculați până în mai 2026.</w:t>
      </w:r>
    </w:p>
  </w:footnote>
  <w:footnote w:id="6">
    <w:p w14:paraId="6F4B9465" w14:textId="32221A00" w:rsidR="00300C8F" w:rsidRPr="003D0413" w:rsidRDefault="00300C8F">
      <w:pPr>
        <w:pStyle w:val="FootnoteText"/>
      </w:pPr>
      <w:r w:rsidRPr="003D0413">
        <w:rPr>
          <w:rStyle w:val="FootnoteReference"/>
        </w:rPr>
        <w:footnoteRef/>
      </w:r>
      <w:r w:rsidRPr="003D0413">
        <w:t xml:space="preserve"> </w:t>
      </w:r>
      <w:r w:rsidRPr="003D0413">
        <w:tab/>
        <w:t>Examinarea compatibilității legislației naționale se bazează pe legislația în vigoare până la sfârșitul lunii aprilie 2026.</w:t>
      </w:r>
    </w:p>
  </w:footnote>
  <w:footnote w:id="7">
    <w:p w14:paraId="221F0102" w14:textId="77777777" w:rsidR="001B33BE" w:rsidRPr="003D0413" w:rsidRDefault="001B33BE" w:rsidP="001B33BE">
      <w:pPr>
        <w:pStyle w:val="FootnoteText"/>
      </w:pPr>
      <w:r w:rsidRPr="003D0413">
        <w:rPr>
          <w:rStyle w:val="FootnoteReference"/>
        </w:rPr>
        <w:footnoteRef/>
      </w:r>
      <w:r w:rsidRPr="003D0413">
        <w:t xml:space="preserve"> </w:t>
      </w:r>
      <w:r w:rsidRPr="003D0413">
        <w:tab/>
        <w:t>În sensul criteriului stabilității prețurilor, inflația se măsoară prin indicele armonizat al prețurilor de consum (IAPC) definit în Regulamentul (UE) 2016/792.</w:t>
      </w:r>
    </w:p>
  </w:footnote>
  <w:footnote w:id="8">
    <w:p w14:paraId="1A766CF1" w14:textId="3D04EB74" w:rsidR="001B33BE" w:rsidRPr="003D0413" w:rsidRDefault="001B33BE" w:rsidP="001B33BE">
      <w:pPr>
        <w:pStyle w:val="FootnoteText"/>
      </w:pPr>
      <w:r w:rsidRPr="003D0413">
        <w:rPr>
          <w:rStyle w:val="FootnoteReference"/>
        </w:rPr>
        <w:footnoteRef/>
      </w:r>
      <w:r w:rsidRPr="003D0413">
        <w:t xml:space="preserve"> </w:t>
      </w:r>
      <w:r w:rsidRPr="003D0413">
        <w:tab/>
        <w:t>Toate previziunile privind inflația și alte variabile cuprinse în prezentul raport sunt preluate din previziunile economice ale Comisiei din primăvara anului 2026. Previziunile se bazează pe un set de ipoteze comune privind variabilele externe, precum și pe o ipoteză a menținerii politicilor curente, însă țin seama și de măsurile în legătură cu care se cunosc suficiente detalii.</w:t>
      </w:r>
    </w:p>
  </w:footnote>
  <w:footnote w:id="9">
    <w:p w14:paraId="4C3E0A67" w14:textId="17B7C902" w:rsidR="001B33BE" w:rsidRPr="003D0413" w:rsidRDefault="001B33BE" w:rsidP="001B33BE">
      <w:pPr>
        <w:pStyle w:val="FootnoteText"/>
      </w:pPr>
      <w:r w:rsidRPr="003D0413">
        <w:rPr>
          <w:rStyle w:val="FootnoteReference"/>
        </w:rPr>
        <w:footnoteRef/>
      </w:r>
      <w:r w:rsidRPr="003D0413">
        <w:t xml:space="preserve"> </w:t>
      </w:r>
      <w:r w:rsidRPr="003D0413">
        <w:tab/>
        <w:t>Ratele medii ale inflației pe 12 luni au fost de 0,9 %, 1,2 % și, respectiv 1,6 %.</w:t>
      </w:r>
    </w:p>
  </w:footnote>
  <w:footnote w:id="10">
    <w:p w14:paraId="0321FBBF" w14:textId="77777777" w:rsidR="001B33BE" w:rsidRPr="003D0413" w:rsidRDefault="001B33BE" w:rsidP="001B33BE">
      <w:pPr>
        <w:pStyle w:val="FootnoteText"/>
      </w:pPr>
      <w:r w:rsidRPr="003D0413">
        <w:rPr>
          <w:rStyle w:val="FootnoteReference"/>
        </w:rPr>
        <w:footnoteRef/>
      </w:r>
      <w:r w:rsidRPr="003D0413">
        <w:t xml:space="preserve"> </w:t>
      </w:r>
      <w:r w:rsidRPr="003D0413">
        <w:tab/>
        <w:t>Pentru a evalua respectarea criteriului referitor la cursul de schimb, Comisia examinează dacă cursul de schimb a rămas apropiat de cursul central al ERM II. În conformitate cu Declarația comună privind țările care aderă la UE și ERM2, adoptată de Consiliul ECOFIN în cadrul reuniunii informale desfășurate la 5 aprilie 2003 la Atena, pot fi luate în considerare motivele unei aprecieri.</w:t>
      </w:r>
    </w:p>
  </w:footnote>
  <w:footnote w:id="11">
    <w:p w14:paraId="49C37832" w14:textId="364D673B" w:rsidR="001B33BE" w:rsidRPr="003D0413" w:rsidRDefault="001B33BE" w:rsidP="001B33BE">
      <w:pPr>
        <w:pStyle w:val="FootnoteText"/>
      </w:pPr>
      <w:r w:rsidRPr="003D0413">
        <w:rPr>
          <w:rStyle w:val="FootnoteReference"/>
        </w:rPr>
        <w:footnoteRef/>
      </w:r>
      <w:r w:rsidRPr="003D0413">
        <w:t xml:space="preserve"> </w:t>
      </w:r>
      <w:r w:rsidRPr="003D0413">
        <w:tab/>
        <w:t>Valoarea de referință pentru luna mai 2026 a fost calculată ca media simplă a mediilor pe 12 luni ale ratelor dobânzilor pe termen lung din Cipru (3,1 %), Franța (3,5 %) și Danemarca (2,6 %), plus două puncte procentuale.</w:t>
      </w:r>
    </w:p>
  </w:footnote>
  <w:footnote w:id="12">
    <w:p w14:paraId="66852607" w14:textId="43D5BDD5" w:rsidR="00761BDF" w:rsidRDefault="00761BDF">
      <w:pPr>
        <w:pStyle w:val="FootnoteText"/>
      </w:pPr>
      <w:r w:rsidRPr="003D0413">
        <w:rPr>
          <w:rStyle w:val="FootnoteReference"/>
        </w:rPr>
        <w:footnoteRef/>
      </w:r>
      <w:r w:rsidRPr="003D0413">
        <w:t xml:space="preserve"> </w:t>
      </w:r>
      <w:r w:rsidRPr="003D0413">
        <w:tab/>
        <w:t>COM(2026) 200 final, 3.6.2026.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64E48" w14:textId="77777777" w:rsidR="003D2F00" w:rsidRPr="003D2F00" w:rsidRDefault="003D2F00" w:rsidP="003D2F0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D13A" w14:textId="77777777" w:rsidR="003D2F00" w:rsidRPr="003D2F00" w:rsidRDefault="003D2F00" w:rsidP="003D2F0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55A2B" w14:textId="77777777" w:rsidR="003D2F00" w:rsidRPr="003D2F00" w:rsidRDefault="003D2F00" w:rsidP="003D2F0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81595" w14:textId="77777777" w:rsidR="00E46E5E" w:rsidRPr="003D0413" w:rsidRDefault="00E46E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516C4" w14:textId="77777777" w:rsidR="00E46E5E" w:rsidRPr="003D0413" w:rsidRDefault="00E46E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88C73" w14:textId="77777777" w:rsidR="00E46E5E" w:rsidRPr="003D0413" w:rsidRDefault="00E46E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8D18DD"/>
    <w:multiLevelType w:val="hybridMultilevel"/>
    <w:tmpl w:val="C5DE80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2051"/>
  </w:hdrShapeDefaults>
  <w:footnotePr>
    <w:pos w:val="beneathText"/>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pylist_Path" w:val="\\at100\user\wovo\Project\CEC\ECFIN\EPKIT\Copylist\Templates"/>
    <w:docVar w:name="CrossReferenceInformation" w:val="&lt;?xml version=&quot;1.0&quot; encoding=&quot;utf-16&quot;?&gt;&lt;CrossReferenceInformation xmlns:xsd=&quot;http://www.w3.org/2001/XMLSchema&quot; xmlns:xsi=&quot;http://www.w3.org/2001/XMLSchema-instance&quot; Version=&quot;Version 1&quot;&gt;  &lt;Date&gt;2026-06-17T18:00:02.0090526+02:00&lt;/Date&gt;  &lt;CrossReferenceTargets /&gt;&lt;/CrossReferenceInformation&gt;"/>
    <w:docVar w:name="CrossReferenceInformation_V2" w:val="&lt;?xml version=&quot;1.0&quot; encoding=&quot;utf-16&quot;?&gt;&lt;CrossReferenceInformation xmlns:xsd=&quot;http://www.w3.org/2001/XMLSchema&quot; xmlns:xsi=&quot;http://www.w3.org/2001/XMLSchema-instance&quot; Version=&quot;Version 2&quot;&gt;  &lt;Date&gt;2026-06-17T18:00:02.018052+02:00&lt;/Date&gt;  &lt;CrossReferenceTargets /&gt;&lt;/CrossReferenceInformation&gt;"/>
    <w:docVar w:name="DocStatus" w:val="Green"/>
    <w:docVar w:name="DocumentGUID" w:val="{0C83FB94-D4D5-468D-AEDF-020B9CAAF142}"/>
    <w:docVar w:name="EPKit_DocumentHasBeenSaved" w:val="true"/>
    <w:docVar w:name="LW_CORRIGENDUM" w:val="&lt;UNUSED&gt;"/>
    <w:docVar w:name="LW_COVERPAGE_EXISTS" w:val="True"/>
    <w:docVar w:name="LW_COVERPAGE_GUID" w:val="C3F28F1D-993F-47E5-B2F7-6DF93D72368C"/>
    <w:docVar w:name="LW_COVERPAGE_TYPE" w:val="1"/>
    <w:docVar w:name="LW_CROSSREFERENCE" w:val="{SWD(2026) 585 final}"/>
    <w:docVar w:name="LW_DocType" w:val="EPEXTERNAL"/>
    <w:docVar w:name="LW_EMISSION" w:val="24.6.2026"/>
    <w:docVar w:name="LW_EMISSION_ISODATE" w:val="2026-06-2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UL DE CONVERGEN\u538?\u258? PE 2026_x000d__x000d__x000d__x000d__x000d__x000b__x000d__x000d__x000d__x000d__x000d__x000b__x000d__x000d__x000d__x000d__x000d__x000b_[&lt;FMT:Bold&gt;elaborat în conformitate cu articolul 140 alineatul (1) din Tratatul privind func\u539?ionarea Uniunii Europene&lt;/FMT&gt;]"/>
    <w:docVar w:name="LW_TYPE.DOC.CP" w:val="RAPORT AL COMISIEI C\u258?TRE PARLAMENTUL EUROPEAN \u536?I CONSILIU"/>
    <w:docVar w:name="LwApiVersions" w:val="LW4CoDe 1.24.5.0; LW 9.2, Build 20251112"/>
    <w:docVar w:name="PublicationXML" w:val="&lt;?xml version=&quot;1.0&quot;?&gt;&lt;ConvergenceReportPublication xmlns:xsi=&quot;http://www.w3.org/2001/XMLSchema-instance&quot; xsi:noNamespaceSchemaLocation=&quot;ConvergenceReport.xsd&quot;&gt;&lt;Meta&gt;&lt;Design&gt;&lt;GUID&gt;{53931CD1-282B-49CA-B62F-2E50B5C3BA1E}&lt;/GUID&gt;&lt;DisplayName&gt;2024&lt;/DisplayName&gt;&lt;/Design&gt;&lt;Create&gt;&lt;Creatable&gt;true&lt;/Creatable&gt;&lt;Template&gt;EPPublication.dot&lt;/Template&gt;&lt;/Create&gt;&lt;Version&gt;4.6.7&lt;/Version&gt;&lt;/Meta&gt;&lt;StyleDefinitions&gt;&lt;StyleDefinition&gt;&lt;Name&gt;Normal&lt;/Name&gt;&lt;Font&gt;&lt;Name&gt;EC Square Sans Pro&lt;/Name&gt;&lt;Size&gt;10&lt;/Size&gt;&lt;/Font&gt;&lt;ParagraphFormat&gt;&lt;Alignment&gt;3&lt;/Alignment&gt;&lt;SpaceAfter&gt;6&lt;/SpaceAfter&gt;&lt;/ParagraphFormat&gt;&lt;/StyleDefinition&gt;&lt;StyleDefinition&gt;&lt;Name&gt;SN Text&lt;/Name&gt;&lt;ParagraphFormat&gt;&lt;SpaceAfter&gt;6&lt;/SpaceAfter&gt;&lt;/ParagraphFormat&gt;&lt;/StyleDefinition&gt;&lt;StyleDefinition&gt;&lt;Name&gt;Side Note&lt;/Name&gt;&lt;Font&gt;&lt;Name&gt;EC Square Sans Pro&lt;/Name&gt;&lt;/Font&gt;&lt;/StyleDefinition&gt;&lt;StyleDefinition&gt;&lt;Name&gt;Section Title (Single Base)&lt;/Name&gt;&lt;Font&gt;&lt;Name&gt;EC Square Sans Pro&lt;/Name&gt;&lt;/Font&gt;&lt;/StyleDefinition&gt;&lt;StyleDefinition&gt;&lt;Name&gt;Institution&lt;/Name&gt;&lt;Font&gt;&lt;Name&gt;EC Square Sans Pro&lt;/Name&gt;&lt;/Font&gt;&lt;/StyleDefinition&gt;&lt;StyleDefinition&gt;&lt;Name&gt;Institution Subtitle&lt;/Name&gt;&lt;Font&gt;&lt;Name&gt;EC Square Sans Pro&lt;/Name&gt;&lt;/Font&gt;&lt;/StyleDefinition&gt;&lt;StyleDefinition&gt;&lt;Name&gt;Series&lt;/Name&gt;&lt;Font&gt;&lt;Name&gt;EC Square Sans Pro&lt;/Name&gt;&lt;/Font&gt;&lt;/StyleDefinition&gt;&lt;StyleDefinition&gt;&lt;Name&gt;HEADING TOC&lt;/Name&gt;&lt;Font&gt;&lt;Name&gt;EC Square Sans Pro&lt;/Name&gt;&lt;/Font&gt;&lt;/StyleDefinition&gt;&lt;StyleDefinition&gt;&lt;Name&gt;Footer PageNumber&lt;/Name&gt;&lt;Font&gt;&lt;Name&gt;EC Square Sans Pro&lt;/Name&gt;&lt;/Font&gt;&lt;/StyleDefinition&gt;&lt;StyleDefinition&gt;&lt;Name&gt;Footer PageNumber (15)&lt;/Name&gt;&lt;Font&gt;&lt;Name&gt;EC Square Sans Pro&lt;/Name&gt;&lt;/Font&gt;&lt;/StyleDefinition&gt;&lt;StyleDefinition&gt;&lt;Name&gt;Footer PageNumber (30)&lt;/Name&gt;&lt;Font&gt;&lt;Name&gt;EC Square Sans Pro&lt;/Name&gt;&lt;/Font&gt;&lt;/StyleDefinition&gt;&lt;StyleDefinition&gt;&lt;Name&gt;Footer PageNumber (45)&lt;/Name&gt;&lt;Font&gt;&lt;Name&gt;EC Square Sans Pro&lt;/Name&gt;&lt;/Font&gt;&lt;/StyleDefinition&gt;&lt;StyleDefinition&gt;&lt;Name&gt;Heading&lt;/Name&gt;&lt;Font&gt;&lt;Name&gt;EC Square Sans Pro Medium&lt;/Name&gt;&lt;Bold&gt;false&lt;/Bold&gt;&lt;Size&gt;10&lt;/Size&gt;&lt;/Font&gt;&lt;/StyleDefinition&gt;&lt;StyleDefinition&gt;&lt;Name&gt;SN Numbered Heading 1&lt;/Name&gt;&lt;Font&gt;&lt;Name&gt;EC Square Sans Pro&lt;/Name&gt;&lt;Bold&gt;false&lt;/Bold&gt;&lt;/Font&gt;&lt;/StyleDefinition&gt;&lt;StyleDefinition&gt;&lt;Name&gt;SN Numbered Heading 2&lt;/Name&gt;&lt;Font&gt;&lt;Name&gt;EC Square Sans Pro&lt;/Name&gt;&lt;Bold&gt;false&lt;/Bold&gt;&lt;/Font&gt;&lt;/StyleDefinition&gt;&lt;StyleDefinition&gt;&lt;Name&gt;Numbered Heading 1&lt;/Name&gt;&lt;Font&gt;&lt;Name&gt;EC Square Sans Pro Medium&lt;/Name&gt;&lt;Bold&gt;false&lt;/Bold&gt;&lt;Size&gt;10&lt;/Size&gt;&lt;/Font&gt;&lt;ParagraphFormat&gt;&lt;Alignment&gt;0&lt;/Alignment&gt;&lt;/ParagraphFormat&gt;&lt;/StyleDefinition&gt;&lt;StyleDefinition&gt;&lt;Name&gt;Numbered Heading 2&lt;/Name&gt;&lt;Font&gt;&lt;Name&gt;EC Square Sans Pro&lt;/Name&gt;&lt;Bold&gt;false&lt;/Bold&gt;&lt;Size&gt;10&lt;/Size&gt;&lt;/Font&gt;&lt;ParagraphFormat&gt;&lt;Alignment&gt;0&lt;/Alignment&gt;&lt;/ParagraphFormat&gt;&lt;/StyleDefinition&gt;&lt;StyleDefinition&gt;&lt;Name&gt;Numbered Heading 3&lt;/Name&gt;&lt;Font&gt;&lt;Name&gt;EC Square Sans Pro&lt;/Name&gt;&lt;Bold&gt;false&lt;/Bold&gt;&lt;Size&gt;9&lt;/Size&gt;&lt;/Font&gt;&lt;ParagraphFormat&gt;&lt;Alignment&gt;0&lt;/Alignment&gt;&lt;/ParagraphFormat&gt;&lt;/StyleDefinition&gt;&lt;StyleDefinition&gt;&lt;Name&gt;Part Title&lt;/Name&gt;&lt;Font&gt;&lt;Name&gt;EC Square Sans Pro&lt;/Name&gt;&lt;/Font&gt;&lt;/StyleDefinition&gt;&lt;StyleDefinition&gt;&lt;Name&gt;Part Subtitle&lt;/Name&gt;&lt;Font&gt;&lt;Name&gt;EC Square Sans Pro&lt;/Name&gt;&lt;/Font&gt;&lt;/StyleDefinition&gt;&lt;StyleDefinition&gt;&lt;Name&gt;Chapter Name&lt;/Name&gt;&lt;Font&gt;&lt;Name&gt;EC Square Sans Pro&lt;/Name&gt;&lt;/Font&gt;&lt;/StyleDefinition&gt;&lt;StyleDefinition&gt;&lt;Name&gt;Chapter Title&lt;/Name&gt;&lt;Font&gt;&lt;Name&gt;EC Square Sans Pro&lt;/Name&gt;&lt;/Font&gt;&lt;/StyleDefinition&gt;&lt;StyleDefinition&gt;&lt;Name&gt;Chapter Subtitle&lt;/Name&gt;&lt;BaseStyle&gt;Section Subtitle&lt;/BaseStyle&gt;&lt;ParagraphFormat&gt;&lt;LeftIndent&gt;0&lt;/LeftIndent&gt;&lt;FirstLineIndent&gt;0&lt;/FirstLineIndent&gt;&lt;/ParagraphFormat&gt;&lt;/StyleDefinition&gt;&lt;StyleDefinition&gt;&lt;Name&gt;Section Title (overview)&lt;/Name&gt;&lt;BaseStyle&gt;Section Title (two lines) (large)&lt;/BaseStyle&gt;&lt;ParagraphFormat&gt;&lt;LeftIndent&gt;4.0&lt;/LeftIndent&gt;&lt;FirstLineIndent&gt;-4.0&lt;/FirstLineIndent&gt;&lt;/ParagraphFormat&gt;&lt;/StyleDefinition&gt;&lt;StyleDefinition&gt;&lt;Name&gt;Section Subtitle (overview)&lt;/Name&gt;&lt;BaseStyle&gt;Section Subtitle&lt;/BaseStyle&gt;&lt;ParagraphFormat&gt;&lt;LeftIndent&gt;4.0&lt;/LeftIndent&gt;&lt;FirstLineIndent&gt;0&lt;/FirstLineIndent&gt;&lt;/ParagraphFormat&gt;&lt;/StyleDefinition&gt;&lt;StyleDefinition&gt;&lt;Name&gt;Section Number&lt;/Name&gt;&lt;Font&gt;&lt;Name&gt;EC Square Sans Pro&lt;/Name&gt;&lt;/Font&gt;&lt;/StyleDefinition&gt;&lt;StyleDefinition&gt;&lt;Name&gt;Subsection Title&lt;/Name&gt;&lt;Font&gt;&lt;Name&gt;EC Square Sans Pro&lt;/Name&gt;&lt;/Font&gt;&lt;/StyleDefinition&gt;&lt;StyleDefinition&gt;&lt;Name&gt;SN SideNote&lt;/Name&gt;&lt;Font&gt;&lt;Name&gt;EC Square Sans Pro&lt;/Name&gt;&lt;/Font&gt;&lt;ParagraphFormat&gt;&lt;SpaceAfter&gt;6&lt;/SpaceAfter&gt;&lt;/ParagraphFormat&gt;&lt;/StyleDefinition&gt;&lt;StyleDefinition&gt;&lt;Name&gt;SN Numbered Heading 1&lt;/Name&gt;&lt;Font&gt;&lt;Name&gt;EC Square Sans Pro&lt;/Name&gt;&lt;/Font&gt;&lt;/StyleDefinition&gt;&lt;StyleDefinition&gt;&lt;Name&gt;SN Numbered Heading 2&lt;/Name&gt;&lt;Font&gt;&lt;Name&gt;EC Square Sans Pro&lt;/Name&gt;&lt;/Font&gt;&lt;/StyleDefinition&gt;&lt;StyleDefinition&gt;&lt;Name&gt;Abstract&lt;/Name&gt;&lt;ParagraphFormat&gt;&lt;LeftIndent&gt;0.1&lt;/LeftIndent&gt;&lt;RightIndent&gt;0.1&lt;/RightIndent&gt;&lt;/ParagraphFormat&gt;&lt;Frame&gt;&lt;TextWrap&gt;true&lt;/TextWrap&gt;&lt;WidthRule&gt;0&lt;/WidthRule&gt;&lt;Width&gt;408.19&lt;/Width&gt;&lt;HeightRule&gt;0&lt;/HeightRule&gt;&lt;RelativeHorizontalPosition&gt;2&lt;/RelativeHorizontalPosition&gt;&lt;HorizontalPosition&gt;-999998&lt;/HorizontalPosition&gt;&lt;HorizontalDistanceFromText&gt;0&lt;/HorizontalDistanceFromText&gt;&lt;RelativeVerticalPosition&gt;2&lt;/RelativeVerticalPosition&gt;&lt;VerticalPosition&gt;0&lt;/VerticalPosition&gt;&lt;VerticalDistanceFromText&gt;0&lt;/VerticalDistanceFromText&gt;&lt;LockAnchor&gt;false&lt;/LockAnchor&gt;&lt;/Frame&gt;&lt;/StyleDefinition&gt;&lt;StyleDefinition&gt;&lt;Name&gt;Publication Supertitle&lt;/Name&gt;&lt;Font&gt;&lt;Name&gt;EC Square Sans Pro&lt;/Name&gt;&lt;/Font&gt;&lt;ParagraphFormat&gt;&lt;Alignment&gt;1&lt;/Alignment&gt;&lt;SpaceBefore&gt;132&lt;/SpaceBefore&gt;&lt;SpaceAfter&gt;12&lt;/SpaceAfter&gt;&lt;/ParagraphFormat&gt;&lt;/StyleDefinition&gt;&lt;StyleDefinition&gt;&lt;Name&gt;Publication Title&lt;/Name&gt;&lt;Font&gt;&lt;Name&gt;EC Square Sans Pro&lt;/Name&gt;&lt;/Font&gt;&lt;ParagraphFormat&gt;&lt;Alignment&gt;1&lt;/Alignment&gt;&lt;SpaceBefore&gt;0&lt;/SpaceBefore&gt;&lt;SpaceAfter&gt;12&lt;/SpaceAfter&gt;&lt;/ParagraphFormat&gt;&lt;/StyleDefinition&gt;&lt;StyleDefinition&gt;&lt;Name&gt;Publication Subtitle&lt;/Name&gt;&lt;Font&gt;&lt;Name&gt;EC Square Sans Pro&lt;/Name&gt;&lt;/Font&gt;&lt;ParagraphFormat&gt;&lt;Alignment&gt;1&lt;/Alignment&gt;&lt;SpaceBefore&gt;0&lt;/SpaceBefore&gt;&lt;SpaceAfter&gt;12&lt;/SpaceAfter&gt;&lt;/ParagraphFormat&gt;&lt;/StyleDefinition&gt;&lt;StyleDefinition&gt;&lt;Name&gt;Section Title (no number)&lt;/Name&gt;&lt;Font&gt;&lt;Name&gt;EC Square Sans Pro&lt;/Name&gt;&lt;Size&gt;16&lt;/Size&gt;&lt;Color&gt;10040115&lt;/Color&gt;&lt;AllCaps&gt;true&lt;/AllCaps&gt;&lt;/Font&gt;&lt;ParagraphFormat&gt;&lt;Alignment&gt;0&lt;/Alignment&gt;&lt;SpaceBefore&gt;54&lt;/SpaceBefore&gt;&lt;SpaceAfter&gt;2&lt;/SpaceAfter&gt;&lt;LineSpacingRule&gt;0&lt;/LineSpacingRule&gt;&lt;KeepWithNext&gt;true&lt;/KeepWithNext&gt;&lt;/ParagraphFormat&gt;&lt;/StyleDefinition&gt;&lt;StyleDefinition&gt;&lt;Name&gt;Box Continue Top&lt;/Name&gt;&lt;Font&gt;&lt;Name&gt;EC Square Sans Pro Thin&lt;/Name&gt;&lt;/Font&gt;&lt;/StyleDefinition&gt;&lt;StyleDefinition&gt;&lt;Name&gt;Box Continue Bottom&lt;/Name&gt;&lt;Font&gt;&lt;Name&gt;EC Square Sans Pro Thin&lt;/Name&gt;&lt;/Font&gt;&lt;/StyleDefinition&gt;&lt;StyleDefinition&gt;&lt;Name&gt;Table Continue Top&lt;/Name&gt;&lt;Font&gt;&lt;Name&gt;EC Square Sans Pro Thin&lt;/Name&gt;&lt;/Font&gt;&lt;/StyleDefinition&gt;&lt;StyleDefinition&gt;&lt;Name&gt;Table Continue Bottom&lt;/Name&gt;&lt;Font&gt;&lt;Name&gt;EC Square Sans Pro Thin&lt;/Name&gt;&lt;/Font&gt;&lt;/StyleDefinition&gt;&lt;StyleDefinition&gt;&lt;Name&gt;Toc 1&lt;/Name&gt;&lt;Font&gt;&lt;Name&gt;EC Square Sans Pro&lt;/Name&gt;&lt;/Font&gt;&lt;ParagraphFormat&gt;&lt;LeftIndent&gt;1.25&lt;/LeftIndent&gt;&lt;/ParagraphFormat&gt;&lt;TabStops&gt;&lt;TabStop&gt;&lt;Position&gt;1.25&lt;/Position&gt;&lt;/TabStop&gt;&lt;TabStop&gt;&lt;Position&gt;15&lt;/Position&gt;&lt;Alignment&gt;2&lt;/Alignment&gt;&lt;/TabStop&gt;&lt;/TabStops&gt;&lt;/StyleDefinition&gt;&lt;StyleDefinition&gt;&lt;Name&gt;Toc 2&lt;/Name&gt;&lt;Font&gt;&lt;Name&gt;EC Square Sans Pro&lt;/Name&gt;&lt;/Font&gt;&lt;ParagraphFormat&gt;&lt;LeftIndent&gt;3.15&lt;/LeftIndent&gt;&lt;FirstLineIndent&gt;-0.75&lt;/FirstLineIndent&gt;&lt;/ParagraphFormat&gt;&lt;TabStops&gt;&lt;TabStop&gt;&lt;Position&gt;3.15&lt;/Position&gt;&lt;/TabStop&gt;&lt;TabStop&gt;&lt;Position&gt;15&lt;/Position&gt;&lt;Alignment&gt;2&lt;/Alignment&gt;&lt;/TabStop&gt;&lt;/TabStops&gt;&lt;/StyleDefinition&gt;&lt;StyleDefinition&gt;&lt;Name&gt;Toc 3&lt;/Name&gt;&lt;Font&gt;&lt;Name&gt;EC Square Sans Pro&lt;/Name&gt;&lt;Size&gt;10&lt;/Size&gt;&lt;Color&gt;10040115&lt;/Color&gt;&lt;AllCaps&gt;true&lt;/AllCaps&gt;&lt;/Font&gt;&lt;ParagraphFormat&gt;&lt;LeftIndent&gt;2.4&lt;/LeftIndent&gt;&lt;FirstLineIndent&gt;-1.15&lt;/FirstLineIndent&gt;&lt;SpaceBefore&gt;2&lt;/SpaceBefore&gt;&lt;SpaceAfter&gt;2&lt;/SpaceAfter&gt;&lt;/ParagraphFormat&gt;&lt;TabStops&gt;&lt;TabStop&gt;&lt;Position&gt;2.4&lt;/Position&gt;&lt;/TabStop&gt;&lt;TabStop&gt;&lt;Position&gt;15&lt;/Position&gt;&lt;Alignment&gt;2&lt;/Alignment&gt;&lt;/TabStop&gt;&lt;/TabStops&gt;&lt;/StyleDefinition&gt;&lt;StyleDefinition&gt;&lt;Name&gt;Toc 4&lt;/Name&gt;&lt;Font&gt;&lt;Name&gt;EC Square Sans Pro&lt;/Name&gt;&lt;Size&gt;10&lt;/Size&gt;&lt;Color&gt;10040115&lt;/Color&gt;&lt;/Font&gt;&lt;ParagraphFormat&gt;&lt;LeftIndent&gt;3.9&lt;/LeftIndent&gt;&lt;FirstLineIndent&gt;-1.5&lt;/FirstLineIndent&gt;&lt;/ParagraphFormat&gt;&lt;TabStops&gt;&lt;TabStop&gt;&lt;Position&gt;3.9&lt;/Position&gt;&lt;/TabStop&gt;&lt;TabStop&gt;&lt;Position&gt;15&lt;/Position&gt;&lt;Alignment&gt;2&lt;/Alignment&gt;&lt;/TabStop&gt;&lt;/TabStops&gt;&lt;/StyleDefinition&gt;&lt;StyleDefinition&gt;&lt;Name&gt;Toc 5&lt;/Name&gt;&lt;Font&gt;&lt;Name&gt;EC Square Sans Pro&lt;/Name&gt;&lt;/Font&gt;&lt;TabStops&gt;&lt;TabStop&gt;&lt;Position&gt;3.9&lt;/Position&gt;&lt;/TabStop&gt;&lt;TabStop&gt;&lt;Position&gt;15&lt;/Position&gt;&lt;Alignment&gt;2&lt;/Alignment&gt;&lt;/TabStop&gt;&lt;/TabStops&gt;&lt;/StyleDefinition&gt;&lt;StyleDefinition&gt;&lt;Name&gt;Toc 6&lt;/Name&gt;&lt;Font&gt;&lt;Name&gt;EC Square Sans Pro&lt;/Name&gt;&lt;Size&gt;11&lt;/Size&gt;&lt;/Font&gt;&lt;ParagraphFormat&gt;&lt;SpaceBefore&gt;6&lt;/SpaceBefore&gt;&lt;SpaceAfter&gt;3&lt;/SpaceAfter&gt;&lt;KeepWithNext&gt;true&lt;/KeepWithNext&gt;&lt;/ParagraphFormat&gt;&lt;TabStops&gt;&lt;TabStop&gt;&lt;Position&gt;15&lt;/Position&gt;&lt;Alignment&gt;2&lt;/Alignment&gt;&lt;/TabStop&gt;&lt;/TabStops&gt;&lt;/StyleDefinition&gt;&lt;StyleDefinition&gt;&lt;Name&gt;Toc 7&lt;/Name&gt;&lt;Font&gt;&lt;Name&gt;EC Square Sans Pro&lt;/Name&gt;&lt;/Font&gt;&lt;TabStops&gt;&lt;TabStop&gt;&lt;Position&gt;15&lt;/Position&gt;&lt;Alignment&gt;2&lt;/Alignment&gt;&lt;/TabStop&gt;&lt;/TabStops&gt;&lt;/StyleDefinition&gt;&lt;StyleDefinition&gt;&lt;Name&gt;Header Title Left&lt;/Name&gt;&lt;Font&gt;&lt;Name&gt;EC Square Sans Pro Thin&lt;/Name&gt;&lt;/Font&gt;&lt;/StyleDefinition&gt;&lt;StyleDefinition&gt;&lt;Name&gt;Header Title Left (30)&lt;/Name&gt;&lt;Font&gt;&lt;Name&gt;EC Square Sans Pro Thin&lt;/Name&gt;&lt;/Font&gt;&lt;/StyleDefinition&gt;&lt;StyleDefinition&gt;&lt;Name&gt;Header Title Left (45)&lt;/Name&gt;&lt;Font&gt;&lt;Name&gt;EC Square Sans Pro Thin&lt;/Name&gt;&lt;/Font&gt;&lt;/StyleDefinition&gt;&lt;StyleDefinition&gt;&lt;Name&gt;Header Subtitle Left&lt;/Name&gt;&lt;Font&gt;&lt;Name&gt;EC Square Sans Pro Thin&lt;/Name&gt;&lt;/Font&gt;&lt;/StyleDefinition&gt;&lt;StyleDefinition&gt;&lt;Name&gt;Header Subtitle Left (15)&lt;/Name&gt;&lt;Font&gt;&lt;Name&gt;EC Square Sans Pro Thin&lt;/Name&gt;&lt;/Font&gt;&lt;/StyleDefinition&gt;&lt;StyleDefinition&gt;&lt;Name&gt;Header Subtitle Left (30)&lt;/Name&gt;&lt;Font&gt;&lt;Name&gt;EC Square Sans Pro Thin&lt;/Name&gt;&lt;/Font&gt;&lt;/StyleDefinition&gt;&lt;StyleDefinition&gt;&lt;Name&gt;Header Subtitle Left (45)&lt;/Name&gt;&lt;Font&gt;&lt;Name&gt;EC Square Sans Pro Thin&lt;/Name&gt;&lt;/Font&gt;&lt;/StyleDefinition&gt;&lt;StyleDefinition&gt;&lt;Name&gt;Header Title Left (15)&lt;/Name&gt;&lt;Font&gt;&lt;Name&gt;EC Square Sans Pro Thin&lt;/Name&gt;&lt;Size&gt;7&lt;/Size&gt;&lt;Color&gt;10040115&lt;/Color&gt;&lt;/Font&gt;&lt;ParagraphFormat&gt;&lt;SpaceBefore&gt;5&lt;/SpaceBefore&gt;&lt;SpaceAfter&gt;2&lt;/SpaceAfter&gt;&lt;/ParagraphFormat&gt;&lt;TabStops&gt;&lt;TabStop&gt;&lt;Position&gt;17.5&lt;/Position&gt;&lt;Alignment&gt;2&lt;/Alignment&gt;&lt;/TabStop&gt;&lt;/TabStops&gt;&lt;/StyleDefinition&gt;&lt;StyleDefinition&gt;&lt;Name&gt;Header Subitle Left (15)&lt;/Name&gt;&lt;Font&gt;&lt;Name&gt;EC Square Sans Pro Thin&lt;/Name&gt;&lt;Size&gt;7&lt;/Size&gt;&lt;Color&gt;10040115&lt;/Color&gt;&lt;/Font&gt;&lt;TabStops&gt;&lt;TabStop&gt;&lt;Position&gt;17.5&lt;/Position&gt;&lt;Alignment&gt;2&lt;/Alignment&gt;&lt;/TabStop&gt;&lt;/TabStops&gt;&lt;/StyleDefinition&gt;&lt;StyleDefinition&gt;&lt;Name&gt;Header Title Right&lt;/Name&gt;&lt;Font&gt;&lt;Name&gt;EC Square Sans Pro Thin&lt;/Name&gt;&lt;/Font&gt;&lt;/StyleDefinition&gt;&lt;StyleDefinition&gt;&lt;Name&gt;Header Title Right (30)&lt;/Name&gt;&lt;Font&gt;&lt;Name&gt;EC Square Sans Pro Thin&lt;/Name&gt;&lt;/Font&gt;&lt;/StyleDefinition&gt;&lt;StyleDefinition&gt;&lt;Name&gt;Header Title Right (45)&lt;/Name&gt;&lt;Font&gt;&lt;Name&gt;EC Square Sans Pro Thin&lt;/Name&gt;&lt;/Font&gt;&lt;/StyleDefinition&gt;&lt;StyleDefinition&gt;&lt;Name&gt;Header Subtitle Right&lt;/Name&gt;&lt;Font&gt;&lt;Name&gt;EC Square Sans Pro Thin&lt;/Name&gt;&lt;/Font&gt;&lt;/StyleDefinition&gt;&lt;StyleDefinition&gt;&lt;Name&gt;Header Subtitle Right (15)&lt;/Name&gt;&lt;Font&gt;&lt;Name&gt;EC Square Sans Pro Thin&lt;/Name&gt;&lt;/Font&gt;&lt;/StyleDefinition&gt;&lt;StyleDefinition&gt;&lt;Name&gt;Header Subtitle Right (30)&lt;/Name&gt;&lt;Font&gt;&lt;Name&gt;EC Square Sans Pro Thin&lt;/Name&gt;&lt;/Font&gt;&lt;/StyleDefinition&gt;&lt;StyleDefinition&gt;&lt;Name&gt;Header Subtitle Right (45)&lt;/Name&gt;&lt;Font&gt;&lt;Name&gt;EC Square Sans Pro Thin&lt;/Name&gt;&lt;/Font&gt;&lt;/StyleDefinition&gt;&lt;StyleDefinition&gt;&lt;Name&gt;Header Title Right (15)&lt;/Name&gt;&lt;Font&gt;&lt;Name&gt;EC Square Sans Pro Thin&lt;/Name&gt;&lt;Size&gt;7&lt;/Size&gt;&lt;Color&gt;10040115&lt;/Color&gt;&lt;/Font&gt;&lt;ParagraphFormat&gt;&lt;Alignment&gt;2&lt;/Alignment&gt;&lt;SpaceBefore&gt;5&lt;/SpaceBefore&gt;&lt;SpaceAfter&gt;2&lt;/SpaceAfter&gt;&lt;/ParagraphFormat&gt;&lt;/StyleDefinition&gt;&lt;StyleDefinition&gt;&lt;Name&gt;Header Subitle Right (15)&lt;/Name&gt;&lt;Font&gt;&lt;Name&gt;EC Square Sans Pro Thin&lt;/Name&gt;&lt;Size&gt;7&lt;/Size&gt;&lt;Color&gt;10040115&lt;/Color&gt;&lt;/Font&gt;&lt;ParagraphFormat&gt;&lt;Alignment&gt;2&lt;/Alignment&gt;&lt;/ParagraphFormat&gt;&lt;/StyleDefinition&gt;&lt;StyleDefinition&gt;&lt;Name&gt;Section Title&lt;/Name&gt;&lt;Font&gt;&lt;Name&gt;EC Square Sans Pro&lt;/Name&gt;&lt;/Font&gt;&lt;ParagraphFormat&gt;&lt;LeftIndent&gt;1&lt;/LeftIndent&gt;&lt;FirstLineIndent&gt;-1&lt;/FirstLineIndent&gt;&lt;/ParagraphFormat&gt;&lt;/StyleDefinition&gt;&lt;StyleDefinition&gt;&lt;Name&gt;Section Title (two lines)&lt;/Name&gt;&lt;Font&gt;&lt;Name&gt;EC Square Sans Pro&lt;/Name&gt;&lt;/Font&gt;&lt;ParagraphFormat&gt;&lt;LeftIndent&gt;1&lt;/LeftIndent&gt;&lt;FirstLineIndent&gt;-1&lt;/FirstLineIndent&gt;&lt;/ParagraphFormat&gt;&lt;/StyleDefinition&gt;&lt;StyleDefinition&gt;&lt;Name&gt;Section Title (large)&lt;/Name&gt;&lt;Font&gt;&lt;Name&gt;EC Square Sans Pro&lt;/Name&gt;&lt;/Font&gt;&lt;ParagraphFormat&gt;&lt;LeftIndent&gt;1&lt;/LeftIndent&gt;&lt;FirstLineIndent&gt;-1&lt;/FirstLineIndent&gt;&lt;/ParagraphFormat&gt;&lt;/StyleDefinition&gt;&lt;StyleDefinition&gt;&lt;Name&gt;Section Title (top)&lt;/Name&gt;&lt;BaseStyle&gt;Section Title (large)&lt;/BaseStyle&gt;&lt;Font&gt;&lt;Name&gt;EC Square Sans Pro&lt;/Name&gt;&lt;/Font&gt;&lt;ParagraphFormat&gt;&lt;SpaceBefore&gt;30&lt;/SpaceBefore&gt;&lt;SpaceAfter&gt;6&lt;/SpaceAfter&gt;&lt;/ParagraphFormat&gt;&lt;/StyleDefinition&gt;&lt;StyleDefinition&gt;&lt;Name&gt;Section Title (two lines) (large)&lt;/Name&gt;&lt;Font&gt;&lt;Name&gt;EC Square Sans Pro&lt;/Name&gt;&lt;/Font&gt;&lt;ParagraphFormat&gt;&lt;LeftIndent&gt;1&lt;/LeftIndent&gt;&lt;FirstLineIndent&gt;-1&lt;/FirstLineIndent&gt;&lt;/ParagraphFormat&gt;&lt;/StyleDefinition&gt;&lt;StyleDefinition&gt;&lt;Name&gt;Section Title (three lines) (large)&lt;/Name&gt;&lt;Font&gt;&lt;Name&gt;EC Square Sans Pro&lt;/Name&gt;&lt;/Font&gt;&lt;ParagraphFormat&gt;&lt;LeftIndent&gt;1&lt;/LeftIndent&gt;&lt;FirstLineIndent&gt;-1&lt;/FirstLineIndent&gt;&lt;/ParagraphFormat&gt;&lt;/StyleDefinition&gt;&lt;StyleDefinition&gt;&lt;Name&gt;Section Subtitle&lt;/Name&gt;&lt;Font&gt;&lt;Name&gt;EC Square Sans Pro&lt;/Name&gt;&lt;/Font&gt;&lt;ParagraphFormat&gt;&lt;LeftIndent&gt;1&lt;/LeftIndent&gt;&lt;/ParagraphFormat&gt;&lt;/StyleDefinition&gt;&lt;StyleDefinition&gt;&lt;Name&gt;Graph Title&lt;/Name&gt;&lt;ParagraphFormat&gt;&lt;SpaceAfter&gt;0&lt;/SpaceAfter&gt;&lt;/ParagraphFormat&gt;&lt;/StyleDefinition&gt;&lt;StyleDefinition&gt;&lt;Name&gt;Graph Title&lt;/Name&gt;&lt;ParagraphFormat&gt;&lt;SpaceAfter&gt;0&lt;/SpaceAfter&gt;&lt;/ParagraphFormat&gt;&lt;/StyleDefinition&gt;&lt;StyleDefinition&gt;&lt;Name&gt;Table Title&lt;/Name&gt;&lt;ParagraphFormat&gt;&lt;SpaceAfter&gt;0&lt;/SpaceAfter&gt;&lt;/ParagraphFormat&gt;&lt;/StyleDefinition&gt;&lt;StyleDefinition&gt;&lt;Name&gt;Map Title&lt;/Name&gt;&lt;ParagraphFormat&gt;&lt;SpaceAfter&gt;0&lt;/SpaceAfter&gt;&lt;/ParagraphFormat&gt;&lt;/StyleDefinition&gt;&lt;/StyleDefinitions&gt;&lt;TocDefinitions&gt;&lt;TableOfContents&gt;TOC \f \h \z \o&quot;3-4&quot; \t&quot;Subsection Title;3&quot;&lt;/TableOfContents&gt;&lt;/TocDefinitions&gt;&lt;Format&gt;&lt;PageSettings&gt;&lt;PageHeight&gt;841.95&lt;/PageHeight&gt;&lt;PageWidth&gt;595.35&lt;/PageWidth&gt;&lt;TopMargin&gt;99.21&lt;/TopMargin&gt;&lt;BottomMargin&gt;70.85&lt;/BottomMargin&gt;&lt;LeftMargin&gt;93.54&lt;/LeftMargin&gt;&lt;RightMargin&gt;93.54&lt;/RightMargin&gt;&lt;Gutter&gt;0&lt;/Gutter&gt;&lt;HeaderDistance&gt;35.45&lt;/HeaderDistance&gt;&lt;FooterDistance&gt;35.45&lt;/FooterDistance&gt;&lt;DifferentFirstPageHeaderFooter&gt;1&lt;/DifferentFirstPageHeaderFooter&gt;&lt;OddAndEvenPagesHeaderFooter&gt;1&lt;/OddAndEvenPagesHeaderFooter&gt;&lt;SectionStart&gt;2&lt;/SectionStart&gt;&lt;MirrorMargins&gt;true&lt;/MirrorMargins&gt;&lt;Orientation&gt;0&lt;/Orientation&gt;&lt;/PageSettings&gt;&lt;ColumnSettings&gt;&lt;SetCount&gt;1&lt;/SetCount&gt;&lt;Spacing&gt;14.2&lt;/Spacing&gt;&lt;EvenlySpaced&gt;true&lt;/EvenlySpaced&gt;&lt;LineBetween&gt;false&lt;/LineBetween&gt;&lt;/ColumnSettings&gt;&lt;CharacterFormats&gt;&lt;FontName&gt;false&lt;/FontName&gt;&lt;AllowedSpecialFonts&gt;;Wingdings;Symbol;&lt;/AllowedSpecialFonts&gt;&lt;FontColor&gt;false&lt;/FontColor&gt;&lt;FontSize&gt;false&lt;/FontSize&gt;&lt;Bold&gt;true&lt;/Bold&gt;&lt;Italic&gt;true&lt;/Italic&gt;&lt;Subscript&gt;false&lt;/Subscript&gt;&lt;Superscript&gt;true&lt;/Superscript&gt;&lt;Underline&gt;false&lt;/Underline&gt;&lt;AllCaps&gt;false&lt;/AllCaps&gt;&lt;SmallCaps&gt;false&lt;/SmallCaps&gt;&lt;StrikeThrough&gt;false&lt;/StrikeThrough&gt;&lt;DoubleStrikeThrough&gt;false&lt;/DoubleStrikeThrough&gt;&lt;Emboss&gt;false&lt;/Emboss&gt;&lt;Engrave&gt;false&lt;/Engrave&gt;&lt;Hidden&gt;false&lt;/Hidden&gt;&lt;Outline&gt;false&lt;/Outline&gt;&lt;Shadow&gt;false&lt;/Shadow&gt;&lt;/CharacterFormats&gt;&lt;Header&gt;&lt;Primary&gt;&lt;Active&gt;true&lt;/Active&gt;&lt;LinkToPrevious&gt;false&lt;/LinkToPrevious&gt;&lt;FirstLine&gt;&lt;Style&gt;Header Title Right (30)&lt;/Style&gt;&lt;Text&gt;%ChapterTitle% - %ChapterSubtitle%&lt;/Text&gt;&lt;/FirstLine&gt;&lt;SecondLine&gt;&lt;Style&gt;Header Subtitle Right (30)&lt;/Style&gt;&lt;Text&gt;%NameLevelTwo% %SectionNumber% - %SectionTitle%&lt;/Text&gt;&lt;/SecondLine&gt;&lt;/Primary&gt;&lt;FirstPage&gt;&lt;Active&gt;true&lt;/Active&gt;&lt;LinkToPrevious&gt;false&lt;/LinkToPrevious&gt;&lt;FirstLine&gt;&lt;Style&gt;Section Title (large)&lt;/Style&gt;&lt;TextWithCharacterStyle&gt;&lt;CharacterStyle&gt;&lt;/CharacterStyle&gt;&lt;TextPart&gt;%SectionNumber%.&lt;/TextPart&gt;&lt;/TextWithCharacterStyle&gt;&lt;TextWithCharacterStyle&gt;&lt;CharacterStyle&gt;&lt;/CharacterStyle&gt;&lt;TextPart&gt;_x0009_%SectionTitle%&lt;/TextPart&gt;&lt;/TextWithCharacterStyle&gt;&lt;/FirstLine&gt;&lt;/FirstPage&gt;&lt;EvenPages&gt;&lt;Active&gt;true&lt;/Active&gt;&lt;LinkToPrevious&gt;false&lt;/LinkToPrevious&gt;&lt;FirstLine&gt;&lt;Style&gt;Header Title Left (30)&lt;/Style&gt;&lt;Text&gt;European Commission&lt;/Text&gt;&lt;/FirstLine&gt;&lt;SecondLine&gt;&lt;Style&gt;Header Subtitle Left (30)&lt;/Style&gt;&lt;Text&gt;%PublicationTitle% %PublicationSubtitle%&lt;/Text&gt;&lt;/SecondLine&gt;&lt;/EvenPages&gt;&lt;/Header&gt;&lt;PageNumbers&gt;&lt;RestartNumberingAtSection&gt;false&lt;/RestartNumberingAtSection&gt;&lt;StartingNumber&gt;1&lt;/StartingNumber&gt;&lt;NumberStyle&gt;0&lt;/NumberStyle&gt;&lt;/PageNumbers&gt;&lt;Notes&gt;&lt;UsedNotesType&gt;Footnotes&lt;/UsedNotesType&gt;&lt;FootnotesNumberingRule&gt;0&lt;/FootnotesNumberingRule&gt;&lt;FootnotesNumberStyle&gt;0&lt;/FootnotesNumberStyle&gt;&lt;FootnotesLocation&gt;1&lt;/FootnotesLocation&gt;&lt;EndnotesNumberingRule&gt;1&lt;/EndnotesNumberingRule&gt;&lt;EndnotesNumberStyle&gt;0&lt;/EndnotesNumberStyle&gt;&lt;EndnotesLocation&gt;0&lt;/EndnotesLocation&gt;&lt;/Notes&gt;&lt;Footer&gt;&lt;Primary&gt;&lt;Active&gt;true&lt;/Active&gt;&lt;LinkToPrevious&gt;false&lt;/LinkToPrevious&gt;&lt;FirstLine&gt;&lt;Style&gt;Footer PageNumber (30)&lt;/Style&gt;&lt;Text&gt;%PageNumber%&lt;/Text&gt;&lt;/FirstLine&gt;&lt;/Primary&gt;&lt;FirstPage&gt;&lt;Active&gt;true&lt;/Active&gt;&lt;LinkToPrevious&gt;false&lt;/LinkToPrevious&gt;&lt;FirstLine&gt;&lt;Style&gt;Footer PageNumber (30)&lt;/Style&gt;&lt;Text&gt;%PageNumber%&lt;/Text&gt;&lt;/FirstLine&gt;&lt;/FirstPage&gt;&lt;EvenPages&gt;&lt;Active&gt;true&lt;/Active&gt;&lt;LinkToPrevious&gt;false&lt;/LinkToPrevious&gt;&lt;FirstLine&gt;&lt;Style&gt;Footer PageNumber (30)&lt;/Style&gt;&lt;Text&gt;%PageNumber%&lt;/Text&gt;&lt;/FirstLine&gt;&lt;/EvenPages&gt;&lt;/Footer&gt;&lt;AutoNumbering&gt;&lt;LevelOne&gt;&lt;Style&gt;Numbered Heading 1&lt;/Style&gt;&lt;Prefix&gt;%SectionNumber%.&lt;/Prefix&gt;&lt;/LevelOne&gt;&lt;LevelTwo&gt;&lt;Style&gt;Numbered Heading 2&lt;/Style&gt;&lt;Prefix&gt;%SectionNumber%.&lt;/Prefix&gt;&lt;/LevelTwo&gt;&lt;LevelThree&gt;&lt;Style&gt;Numbered Heading 3&lt;/Style&gt;&lt;Prefix&gt;%SectionNumber%.&lt;/Prefix&gt;&lt;/LevelThree&gt;&lt;/AutoNumbering&gt;&lt;SpecialNumbering&gt;&lt;Box&gt;%SectionNumber%.&lt;/Box&gt;&lt;Graph&gt;%SectionNumber%.&lt;/Graph&gt;&lt;Table&gt;%SectionNumber%.&lt;/Table&gt;&lt;Formula&gt;%SectionNumber%.&lt;/Formula&gt;&lt;/SpecialNumbering&gt;&lt;ToCFields&gt;&lt;Box&gt;&lt;Text&gt;%SectionNumber%.%EPShapeNumber%._x0009_%EPShapeTitle%&lt;/Text&gt;&lt;Name&gt;box&lt;/Name&gt;&lt;Level&gt;5&lt;/Level&gt;&lt;/Box&gt;&lt;Graph&gt;&lt;Text&gt;%SectionNumber%.%EPShapeNumber%._x0009_%EPShapeTitle%&lt;/Text&gt;&lt;Name&gt;graph&lt;/Name&gt;&lt;Level&gt;5&lt;/Level&gt;&lt;/Graph&gt;&lt;Table&gt;&lt;Text&gt;%SectionNumber%.%EPShapeNumber%._x0009_%EPShapeTitle%&lt;/Text&gt;&lt;Name&gt;table&lt;/Name&gt;&lt;Level&gt;5&lt;/Level&gt;&lt;/Table&gt;&lt;Map&gt;&lt;Text&gt;%SectionNumber%.%EPShapeNumber%._x0009_%EPShapeTitle%&lt;/Text&gt;&lt;Name&gt;map&lt;/Name&gt;&lt;Level&gt;5&lt;/Level&gt;&lt;/Map&gt;&lt;/ToCFields&gt;&lt;ShapeSettings&gt;&lt;NumberingInWord&gt;false&lt;/NumberingInWord&gt;&lt;ShapeInformation&gt;&lt;ShapeType&gt;BOX&lt;/ShapeType&gt;&lt;ShapePosition&gt;TOP&lt;/ShapePosition&gt;&lt;/ShapeInformation&gt;&lt;ShapeInformation&gt;&lt;ShapeType&gt;BOX&lt;/ShapeType&gt;&lt;ShapePosition&gt;BOTTOM_MAINTEXT&lt;/ShapePosition&gt;&lt;/ShapeInformation&gt;&lt;ShapeInformation&gt;&lt;ShapeType&gt;CLUSTEROFGRAPHS&lt;/ShapeType&gt;&lt;ShapePosition&gt;TOP&lt;/ShapePosition&gt;&lt;/ShapeInformation&gt;&lt;ShapeInformation&gt;&lt;ShapeType&gt;CLUSTEROFGRAPHS&lt;/ShapeType&gt;&lt;ShapePosition&gt;INLINE&lt;/ShapePosition&gt;&lt;/ShapeInformation&gt;&lt;ShapeInformation&gt;&lt;ShapeType&gt;CLUSTEROFGRAPHS&lt;/ShapeType&gt;&lt;ShapePosition&gt;INLINE_LEFT_TEXTWRAPPING&lt;/ShapePosition&gt;&lt;/ShapeInformation&gt;&lt;ShapeInformation&gt;&lt;ShapeType&gt;CLUSTEROFGRAPHS&lt;/ShapeType&gt;&lt;ShapePosition&gt;INLINE_RIGHT_TEXTWRAPPING&lt;/ShapePosition&gt;&lt;/ShapeInformation&gt;&lt;ShapeInformation&gt;&lt;ShapeType&gt;CLUSTEROFGRAPHS&lt;/ShapeType&gt;&lt;ShapePosition&gt;BOTTOM_MAINTEXT&lt;/ShapePosition&gt;&lt;/ShapeInformation&gt;&lt;ShapeInformation&gt;&lt;ShapeType&gt;GRAPH&lt;/ShapeType&gt;&lt;ShapePosition&gt;TOP&lt;/ShapePosition&gt;&lt;/ShapeInformation&gt;&lt;ShapeInformation&gt;&lt;ShapeType&gt;GRAPH&lt;/ShapeType&gt;&lt;ShapePosition&gt;INLINE&lt;/ShapePosition&gt;&lt;/ShapeInformation&gt;&lt;ShapeInformation&gt;&lt;ShapeType&gt;GRAPH&lt;/ShapeType&gt;&lt;ShapePosition&gt;INLINE_LEFT_TEXTWRAPPING&lt;/ShapePosition&gt;&lt;/ShapeInformation&gt;&lt;ShapeInformation&gt;&lt;ShapeType&gt;GRAPH&lt;/ShapeType&gt;&lt;ShapePosition&gt;INLINE_RIGHT_TEXTWRAPPING&lt;/ShapePosition&gt;&lt;/ShapeInformation&gt;&lt;ShapeInformation&gt;&lt;ShapeType&gt;GRAPH&lt;/ShapeType&gt;&lt;ShapePosition&gt;BOTTOM_MAINTEXT&lt;/ShapePosition&gt;&lt;/ShapeInformation&gt;&lt;ShapeInformation&gt;&lt;ShapeType&gt;MAP&lt;/ShapeType&gt;&lt;ShapePosition&gt;TOP&lt;/ShapePosition&gt;&lt;/ShapeInformation&gt;&lt;ShapeInformation&gt;&lt;ShapeType&gt;MAP&lt;/ShapeType&gt;&lt;ShapePosition&gt;INLINE&lt;/ShapePosition&gt;&lt;/ShapeInformation&gt;&lt;ShapeInformation&gt;&lt;ShapeType&gt;MAP&lt;/ShapeType&gt;&lt;ShapePosition&gt;INLINE_LEFT_TEXTWRAPPING&lt;/ShapePosition&gt;&lt;/ShapeInformation&gt;&lt;ShapeInformation&gt;&lt;ShapeType&gt;MAP&lt;/ShapeType&gt;&lt;ShapePosition&gt;INLINE_RIGHT_TEXTWRAPPING&lt;/ShapePosition&gt;&lt;/ShapeInformation&gt;&lt;ShapeInformation&gt;&lt;ShapeType&gt;MAP&lt;/ShapeType&gt;&lt;ShapePosition&gt;BOTTOM_MAINTEXT&lt;/ShapePosition&gt;&lt;/ShapeInformation&gt;&lt;ShapeInformation&gt;&lt;ShapeType&gt;TABLE&lt;/ShapeType&gt;&lt;ShapePosition&gt;TOP&lt;/ShapePosition&gt;&lt;/ShapeInformation&gt;&lt;ShapeInformation&gt;&lt;ShapeType&gt;TABLE&lt;/ShapeType&gt;&lt;ShapePosition&gt;INLINE&lt;/ShapePosition&gt;&lt;/ShapeInformation&gt;&lt;ShapeInformation&gt;&lt;ShapeType&gt;TABLE&lt;/ShapeType&gt;&lt;ShapePosition&gt;INLINE_LEFT_TEXTWRAPPING&lt;/ShapePosition&gt;&lt;/ShapeInformation&gt;&lt;ShapeInformation&gt;&lt;ShapeType&gt;TABLE&lt;/ShapeType&gt;&lt;ShapePosition&gt;INLINE_RIGHT_TEXTWRAPPING&lt;/ShapePosition&gt;&lt;/ShapeInformation&gt;&lt;ShapeInformation&gt;&lt;ShapeType&gt;TABLE&lt;/ShapeType&gt;&lt;ShapePosition&gt;MULTIPAGES_TOP&lt;/ShapePosition&gt;&lt;/ShapeInformation&gt;&lt;ShapeInformation&gt;&lt;ShapeType&gt;TABLE&lt;/ShapeType&gt;&lt;ShapePosition&gt;LANDSCAPE&lt;/ShapePosition&gt;&lt;/ShapeInformation&gt;&lt;ShapeInformation&gt;&lt;ShapeType&gt;TABLE&lt;/ShapeType&gt;&lt;ShapePosition&gt;BOTTOM_MAINTEXT&lt;/ShapePosition&gt;&lt;/ShapeInformation&gt;&lt;/ShapeSettings&gt;&lt;CleanupValidStyles&gt;;Normal;Normal Compact;Normal Left;Normal Right;Normal Centered;Normal Numbered;Normal Framed;Abstract;List Bullet;Heading;Numbered Heading 1;Numbered Heading 2;Numbered Heading 3;Side Note;Footnote Reference;Footnote Text;Endnote Reference;Endnote Text;List Bullet;Subsection Title;Section Title (Continuous);Footer;Footer PageNumber;Publication Supertitle;Publication Title;Publication Subtitle;Institution;Institution Subtitle;Series;Box Shape;Box Continue Top;Box Continue Bottom;Table Continue Top;Table Continue Bottom;Default Table;Bottom Table;Bottom Center Table;Bottom Table Restricted Shape;Graph Title;Graph Source;Graph Footnote;Graph Shape;Table Title;Table Source;Table Footnote;Table Shape;Slim Cell;TOC 1;TOC 2;TOC 3;TOC 4;TOC 5;TOC 6;TOC 7;TOC 8;TOC 9;TOC Heading;StatAnnex Table;SN Text;SN SideNote;SN Numbered Heading 1;SN Numbered Heading 2;Abbreviation;Numbered List;List Dash;&lt;/CleanupValidStyles&gt;&lt;/Format&gt;&lt;Content&gt;&lt;PublicationTitle Edit=&quot;true&quot; DisplayName=&quot;Publication Title&quot;&gt;Convergence Report&lt;/PublicationTitle&gt;&lt;PublicationSubtitle Edit=&quot;true&quot; DisplayName=&quot;Publication Subtitle&quot;&gt;2024&lt;/PublicationSubtitle&gt;&lt;NameLevelOne DisplayName=&quot;Name Level 1&quot;&gt;Part&lt;/NameLevelOne&gt;&lt;NameLevelTwo DisplayName=&quot;Name Level 2&quot;&gt;Chapter&lt;/NameLevelTwo&gt;&lt;SeriesNumber DisplayName=&quot;Series Number&quot;&gt;Institutional Paper XXX&lt;/SeriesNumber&gt;&lt;/Content&gt;&lt;Structure&gt;&lt;DocumentCoverPage&gt;&lt;Meta&gt;&lt;Design&gt;&lt;GUID&gt;{074BA9E9-F305-4AB9-9998-EC10B752C425}&lt;/GUID&gt;&lt;DisplayName&gt;Cover Page&lt;/DisplayName&gt;&lt;/Design&gt;&lt;Create&gt;&lt;Creatable&gt;false&lt;/Creatable&gt;&lt;Template&gt;EPPublicationCoverpage.dot&lt;/Template&gt;&lt;/Create&gt;&lt;/Meta&gt;&lt;Format&gt;&lt;PageSettings&gt;&lt;SectionStart&gt;4&lt;/SectionStart&gt;&lt;/PageSettings&gt;&lt;ColumnSettings&gt;&lt;SetCount&gt;1&lt;/SetCount&gt;&lt;/ColumnSettings&gt;&lt;Header&gt;&lt;Primary&gt;&lt;Active&gt;false&lt;/Active&gt;&lt;/Primary&gt;&lt;FirstPage&gt;&lt;Active&gt;false&lt;/Active&gt;&lt;/FirstPage&gt;&lt;EvenPages&gt;&lt;Active&gt;false&lt;/Active&gt;&lt;/EvenPages&gt;&lt;/Header&gt;&lt;PageNumbers&gt;&lt;RestartNumberingAtSection&gt;true&lt;/RestartNumberingAtSection&gt;&lt;StartingNumber&gt;1&lt;/StartingNumber&gt;&lt;NumberStyle&gt;2&lt;/NumberStyle&gt;&lt;/PageNumbers&gt;&lt;Footer&gt;&lt;Primary&gt;&lt;Active&gt;false&lt;/Active&gt;&lt;/Primary&gt;&lt;FirstPage&gt;&lt;Active&gt;false&lt;/Active&gt;&lt;/FirstPage&gt;&lt;EvenPages&gt;&lt;Active&gt;false&lt;/Active&gt;&lt;LinkToPrevious&gt;false&lt;/LinkToPrevious&gt;&lt;/EvenPages&gt;&lt;/Footer&gt;&lt;Variables&gt;&lt;Variable&gt;&lt;Name&gt;Institution&lt;/Name&gt;&lt;Value&gt;European Commission&lt;/Value&gt;&lt;Type&gt;BOOKMARK&lt;/Type&gt;&lt;/Variable&gt;&lt;Variable&gt;&lt;Name&gt;InstitutionSubtitle&lt;/Name&gt;&lt;Value&gt;Directorate-General for Economic and Financial Affairs&lt;/Value&gt;&lt;Type&gt;BOOKMARK&lt;/Type&gt;&lt;/Variable&gt;&lt;Variable&gt;&lt;Name&gt;PublicationTitle&lt;/Name&gt;&lt;Value&gt;%PublicationTitle%&lt;/Value&gt;&lt;Type&gt;BOOKMARK&lt;/Type&gt;&lt;/Variable&gt;&lt;Variable&gt;&lt;Name&gt;PublicationSubtitle&lt;/Name&gt;&lt;Value&gt;%PublicationSubtitle%&lt;/Value&gt;&lt;Type&gt;BOOKMARK&lt;/Type&gt;&lt;/Variable&gt;&lt;Variable&gt;&lt;Name&gt;SeriesName&lt;/Name&gt;&lt;Value&gt;EUROPEAN ECONOMY&lt;/Value&gt;&lt;Type&gt;BOOKMARK&lt;/Type&gt;&lt;/Variable&gt;&lt;Variable&gt;&lt;Name&gt;SeriesNumber&lt;/Name&gt;&lt;Value&gt;%SeriesNumber%&lt;/Value&gt;&lt;Type&gt;BOOKMARK&lt;/Type&gt;&lt;/Variable&gt;&lt;/Variables&gt;&lt;/Format&gt;&lt;Content&gt;&lt;Subtitle&gt;&lt;/Subtitle&gt;&lt;/Content&gt;&lt;/DocumentCoverPage&gt;&lt;Abbreviations characteristic=&quot;Abbreviations&quot;&gt;&lt;Meta&gt;&lt;Design&gt;&lt;GUID&gt;{7D9E54D2-BFF9-43CD-BDA4-4C0EE17470C6}&lt;/GUID&gt;&lt;DisplayName&gt;Abbreviations&lt;/DisplayName&gt;&lt;/Design&gt;&lt;Create&gt;&lt;Creatable&gt;true&lt;/Creatable&gt;&lt;Template&gt;EPSimpleSection.dot&lt;/Template&gt;&lt;/Create&gt;&lt;Manage&gt;&lt;Path&gt;U:\Convergence Report\2024\EP Kit\Abbreviations.docx&lt;/Path&gt;&lt;LastMerge&gt;2024-06-19T00:38:26&lt;/LastMerge&gt;&lt;ExternalSources&gt;*&lt;/ExternalSources&gt;&lt;/Manage&gt;&lt;/Meta&gt;&lt;Format&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Title%&lt;/Text&gt;&lt;/FirstLine&gt;&lt;/FirstPage&gt;&lt;EvenPages&gt;&lt;Active&gt;false&lt;/Active&gt;&lt;LinkToPrevious&gt;false&lt;/LinkToPrevious&gt;&lt;/EvenPages&gt;&lt;/Header&gt;&lt;PageNumbers&gt;&lt;NumberStyle&gt;2&lt;/NumberStyle&gt;&lt;/PageNumbers&gt;&lt;SpecialNumbering&gt;&lt;Box /&gt;&lt;Graph /&gt;&lt;Table /&gt;&lt;Formula /&gt;&lt;/SpecialNumbering&gt;&lt;HasCommands&gt;&lt;HasCommand&gt;&lt;Name&gt;epkitCommandInsertMap&lt;/Name&gt;&lt;Availability&gt;false&lt;/Availability&gt;&lt;/HasCommand&gt;&lt;/HasCommands&gt;&lt;PageSettings&gt;&lt;SectionStart&gt;4&lt;/SectionStart&gt;&lt;/PageSettings&gt;&lt;/Format&gt;&lt;Content&gt;&lt;Title&gt;Abbreviations&lt;/Title&gt;&lt;/Content&gt;&lt;/Abbreviations&gt;&lt;Acknowledgements&gt;&lt;Meta&gt;&lt;Design&gt;&lt;GUID&gt;{7A23AB19-138A-4415-86AE-292CA0282044}&lt;/GUID&gt;&lt;DisplayName&gt;Acknowledgements&lt;/DisplayName&gt;&lt;/Design&gt;&lt;Create&gt;&lt;Creatable&gt;true&lt;/Creatable&gt;&lt;Template&gt;EPSimpleSection.dot&lt;/Template&gt;&lt;/Create&gt;&lt;Manage&gt;&lt;Path&gt;U:\Convergence Report\2024\EP Kit\Acknowledgements.docx&lt;/Path&gt;&lt;LastMerge&gt;2024-06-19T00:38:30&lt;/LastMerge&gt;&lt;ExternalSources&gt;*&lt;/ExternalSources&gt;&lt;/Manage&gt;&lt;/Meta&gt;&lt;Format&gt;&lt;PageSettings&gt;&lt;SectionStart&gt;4&lt;/SectionStart&gt;&lt;/PageSettings&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Title%&lt;/Text&gt;&lt;/FirstLine&gt;&lt;/FirstPage&gt;&lt;EvenPages&gt;&lt;Active&gt;false&lt;/Active&gt;&lt;LinkToPrevious&gt;false&lt;/LinkToPrevious&gt;&lt;/EvenPages&gt;&lt;/Header&gt;&lt;PageNumbers&gt;&lt;NumberStyle&gt;2&lt;/NumberStyle&gt;&lt;/PageNumbers&gt;&lt;/Format&gt;&lt;Content&gt;&lt;Title&gt;Acknowledgements&lt;/Title&gt;&lt;/Content&gt;&lt;/Acknowledgements&gt;&lt;ToC&gt;&lt;Meta&gt;&lt;Design&gt;&lt;GUID&gt;{99FEBFFC-9617-4F6C-98D5-BB6A34B8B743}&lt;/GUID&gt;&lt;DisplayName&gt;Contents&lt;/DisplayName&gt;&lt;/Design&gt;&lt;Create&gt;&lt;Creatable&gt;false&lt;/Creatable&gt;&lt;Template&gt;EPContents.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Section Title&lt;/Style&gt;&lt;Text&gt;Contents&lt;/Text&gt;&lt;/FirstLine&gt;&lt;/FirstPage&gt;&lt;EvenPages&gt;&lt;Active&gt;false&lt;/Active&gt;&lt;/EvenPages&gt;&lt;/Header&gt;&lt;PageNumbers&gt;&lt;NumberStyle&gt;2&lt;/NumberStyle&gt;&lt;/PageNumbers&gt;&lt;/Format&gt;&lt;/ToC&gt;&lt;ConvergenceReport&gt;&lt;Meta&gt;&lt;Design&gt;&lt;GUID&gt;{352E6A9A-1CE3-4AA9-A609-439DB21A5EC3}&lt;/GUID&gt;&lt;DisplayName&gt;Report from the Commission&lt;/DisplayName&gt;&lt;/Design&gt;&lt;Create&gt;&lt;Creatable&gt;false&lt;/Creatable&gt;&lt;/Create&gt;&lt;/Meta&gt;&lt;Format&gt;&lt;ToCFields&gt;&lt;Start&gt;&lt;Text&gt;%SectionNumber%._x0009_%SectionTitle%&lt;/Text&gt;&lt;Name /&gt;&lt;Level&gt;1&lt;/Level&gt;&lt;/Start&gt;&lt;/ToCFields&gt;&lt;/Format&gt;&lt;Content&gt;&lt;ChapterNumber DisplayName=&quot;Level 1 Number&quot;&gt;1&lt;/ChapterNumber&gt;&lt;ChapterTitle DisplayName=&quot;Level 1 Title&quot;&gt;Convergence Report 2024&lt;/ChapterTitle&gt;&lt;ChapterSubtitle DisplayName=&quot;Level 1 Subtitle&quot;&gt;(prepared in accordance with Article 140(1) of the Treaty)&lt;/ChapterSubtitle&gt;&lt;/Content&gt;&lt;Structure&gt;&lt;LevelOneCoverPage&gt;&lt;Meta&gt;&lt;Design&gt;&lt;GUID&gt;{C28C8D72-17AF-41E7-A11C-B9C646BD279F}&lt;/GUID&gt;&lt;DisplayName&gt;Coverpage&lt;/DisplayName&gt;&lt;/Design&gt;&lt;Create&gt;&lt;Creatable&gt;false&lt;/Creatable&gt;&lt;Template&gt;EPGeneralSection.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Part Title&lt;/Style&gt;&lt;Text&gt;%ChapterTitle%&lt;/Text&gt;&lt;/FirstLine&gt;&lt;SecondLine&gt;&lt;Style&gt;Part Subtitle&lt;/Style&gt;&lt;Text&gt;%ChapterSubtitle%&lt;/Text&gt;&lt;/SecondLine&gt;&lt;/FirstPage&gt;&lt;EvenPages&gt;&lt;Active&gt;false&lt;/Active&gt;&lt;/EvenPages&gt;&lt;/Header&gt;&lt;PageNumbers&gt;&lt;RestartNumberingAtSection&gt;true&lt;/RestartNumberingAtSection&gt;&lt;StartingNumber&gt;1&lt;/StartingNumber&gt;&lt;/PageNumbers&gt;&lt;Footer&gt;&lt;Primary&gt;&lt;Active&gt;false&lt;/Active&gt;&lt;/Primary&gt;&lt;FirstPage&gt;&lt;Active&gt;false&lt;/Active&gt;&lt;/FirstPage&gt;&lt;EvenPages&gt;&lt;Active&gt;false&lt;/Active&gt;&lt;LinkToPrevious&gt;false&lt;/LinkToPrevious&gt;&lt;/EvenPages&gt;&lt;/Footer&gt;&lt;ToCFields&gt;&lt;Start&gt;&lt;Text&gt;%ChapterTitle%&lt;/Text&gt;&lt;Name /&gt;&lt;Level&gt;1&lt;/Level&gt;&lt;/Start&gt;&lt;/ToCFields&gt;&lt;/Format&gt;&lt;Content /&gt;&lt;/LevelOneCoverPage&gt;&lt;Report&gt;&lt;Meta&gt;&lt;Design&gt;&lt;GUID&gt;{0C83FB94-D4D5-468D-AEDF-020B9CAAF142}&lt;/GUID&gt;&lt;DisplayName&gt;Report&lt;/DisplayName&gt;&lt;/Design&gt;&lt;Create&gt;&lt;Creatable&gt;true&lt;/Creatable&gt;&lt;Template&gt;EPExternal.dot&lt;/Template&gt;&lt;/Create&gt;&lt;Manage&gt;&lt;Path&gt;&lt;/Path&gt;&lt;LastMerge&gt;0001-01-01T00:00:00&lt;/LastMerge&gt;&lt;ExternalSources&gt;*&lt;/ExternalSources&gt;&lt;/Manage&gt;&lt;/Meta&gt;&lt;Format&gt;&lt;PageSettings&gt;&lt;TopMargin&gt;70.87&lt;/TopMargin&gt;&lt;BottomMargin&gt;70.87&lt;/BottomMargin&gt;&lt;LeftMargin&gt;70.87&lt;/LeftMargin&gt;&lt;RightMargin&gt;70.87&lt;/RightMargin&gt;&lt;/PageSettings&gt;&lt;ColumnSettings&gt;&lt;SetCount&gt;1&lt;/SetCount&gt;&lt;/ColumnSettings&gt;&lt;Header&gt;&lt;Primary&gt;&lt;Active&gt;false&lt;/Active&gt;&lt;/Primary&gt;&lt;FirstPage&gt;&lt;Active&gt;false&lt;/Active&gt;&lt;/FirstPage&gt;&lt;EvenPages&gt;&lt;Active&gt;false&lt;/Active&gt;&lt;/EvenPages&gt;&lt;/Header&gt;&lt;ToCFields&gt;&lt;Start&gt;&lt;Text /&gt;&lt;Name /&gt;&lt;Level /&gt;&lt;/Start&gt;&lt;/ToCFields&gt;&lt;Cleanup&gt;ONLYPAGESETTINGS&lt;/Cleanup&gt;&lt;/Format&gt;&lt;Content /&gt;&lt;/Report&gt;&lt;/Structure&gt;&lt;/ConvergenceReport&gt;&lt;ConvergenceReportTechnicalAnnex&gt;&lt;Meta&gt;&lt;Design&gt;&lt;GUID&gt;{99F2FDAE-A4DC-4665-9232-7836DC1393EB}&lt;/GUID&gt;&lt;DisplayName&gt;Technical annex&lt;/DisplayName&gt;&lt;/Design&gt;&lt;Create&gt;&lt;Creatable&gt;false&lt;/Creatable&gt;&lt;/Create&gt;&lt;/Meta&gt;&lt;Format&gt;&lt;ToCFields&gt;&lt;Start&gt;&lt;Text&gt;%SectionNumber%._x0009_%SectionTitle%&lt;/Text&gt;&lt;Name /&gt;&lt;Level&gt;1&lt;/Level&gt;&lt;/Start&gt;&lt;/ToCFields&gt;&lt;/Format&gt;&lt;Content&gt;&lt;ChapterNumber DisplayName=&quot;Level 1 Number&quot;&gt;2&lt;/ChapterNumber&gt;&lt;ChapterTitle DisplayName=&quot;Level 1 Title&quot;&gt;Convergence Report 2024&lt;/ChapterTitle&gt;&lt;ChapterSubtitle DisplayName=&quot;Level 1 Subtitle&quot;&gt;Technical annex&lt;/ChapterSubtitle&gt;&lt;/Content&gt;&lt;Structure&gt;&lt;LevelOneCoverPage&gt;&lt;Meta&gt;&lt;Design&gt;&lt;GUID&gt;{461966DE-166E-49A6-9BC8-B5EE3A28F9A7}&lt;/GUID&gt;&lt;DisplayName&gt;Coverpage&lt;/DisplayName&gt;&lt;/Design&gt;&lt;Create&gt;&lt;Creatable&gt;false&lt;/Creatable&gt;&lt;Template&gt;EPGeneralSection.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Part Title&lt;/Style&gt;&lt;Text&gt;%ChapterTitle%&lt;/Text&gt;&lt;/FirstLine&gt;&lt;SecondLine&gt;&lt;Style&gt;Part Subtitle&lt;/Style&gt;&lt;Text&gt;%ChapterSubtitle%&lt;/Text&gt;&lt;/SecondLine&gt;&lt;/FirstPage&gt;&lt;EvenPages&gt;&lt;Active&gt;false&lt;/Active&gt;&lt;/EvenPages&gt;&lt;/Header&gt;&lt;Footer&gt;&lt;Primary&gt;&lt;Active&gt;false&lt;/Active&gt;&lt;/Primary&gt;&lt;FirstPage&gt;&lt;Active&gt;false&lt;/Active&gt;&lt;/FirstPage&gt;&lt;EvenPages&gt;&lt;Active&gt;false&lt;/Active&gt;&lt;LinkToPrevious&gt;false&lt;/LinkToPrevious&gt;&lt;/EvenPages&gt;&lt;/Footer&gt;&lt;ToCFields&gt;&lt;Start&gt;&lt;Text&gt;%ChapterTitle% - %ChapterSubtitle%&lt;/Text&gt;&lt;Name /&gt;&lt;Level&gt;1&lt;/Level&gt;&lt;/Start&gt;&lt;/ToCFields&gt;&lt;/Format&gt;&lt;Content /&gt;&lt;/LevelOneCoverPage&gt;&lt;ConvergenceReportCountrySection characteristic=&quot;Chapter&quot;&gt;&lt;Meta&gt;&lt;Design&gt;&lt;GUID&gt;{1D37FB13-94C8-4688-9E58-496AF182DF8D}&lt;/GUID&gt;&lt;DisplayName&gt;1. Introduction&lt;/DisplayName&gt;&lt;/Design&gt;&lt;Create&gt;&lt;Creatable&gt;true&lt;/Creatable&gt;&lt;Template&gt;EPGeneralSection.dot&lt;/Template&gt;&lt;/Create&gt;&lt;Manage&gt;&lt;Path&gt;U:\Convergence Report\2024\EP Kit\Technical annex\1 Introduction.docx&lt;/Path&gt;&lt;LastMerge&gt;2024-06-24T20:19:25&lt;/LastMerge&gt;&lt;ExternalSources&gt;*U:\Convergence Report\2024\EP Kit\Technical annex\Boxes\Box 1.1.docx*U:\Convergence Report\2024\EP Kit\Technical annex\Boxes\Box 1.2.docx*U:\Convergence Report\2024\EP Kit\Technical annex\Boxes\Box 1.3.docx*U:\Convergence Report\2024\EP Kit\Technical annex\Boxes\Box 1.4.docx*U:\Convergence Report\2024\EP Kit\Technical annex\Boxes\Box 1.5 ERM II.docx*U:\Convergence Report\2024\EP Kit\Technical annex\Boxes\Box 1.6.docx*U:\Convergence Report\2024\EP Kit\Technical annex\Boxes\Box 1.7.docx*&lt;/ExternalSources&gt;&lt;/Manage&gt;&lt;/Meta&gt;&lt;Format&gt;&lt;PageSettings&gt;&lt;SectionStart&gt;4&lt;/SectionStart&gt;&lt;/PageSettings&gt;&lt;/Format&gt;&lt;Content&gt;&lt;SectionNumber DisplayName=&quot;Level 2 Number&quot; Automatic=&quot;true&quot;&gt;1&lt;/SectionNumber&gt;&lt;SectionTitle DisplayName=&quot;Level 2 Title&quot;&gt;Introduction&lt;/SectionTitle&gt;&lt;/Content&gt;&lt;/ConvergenceReportCountrySection&gt;&lt;ConvergenceReportCountrySection characteristic=&quot;Chapter&quot;&gt;&lt;Meta&gt;&lt;Design&gt;&lt;GUID&gt;{5E0FB844-5798-4C98-9C41-0457963978E4}&lt;/GUID&gt;&lt;DisplayName&gt;2. Bulgaria&lt;/DisplayName&gt;&lt;/Design&gt;&lt;Create&gt;&lt;Creatable&gt;true&lt;/Creatable&gt;&lt;Template&gt;EPGeneralSection.dot&lt;/Template&gt;&lt;/Create&gt;&lt;Manage&gt;&lt;Path&gt;U:\Convergence Report\2024\EP Kit\Technical annex\2 Bulgaria.docx&lt;/Path&gt;&lt;LastMerge&gt;2024-06-24T20:19:48&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7) LT intr crit.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2&lt;/SectionNumber&gt;&lt;SectionTitle DisplayName=&quot;Level 2 Title&quot;&gt;Bulgaria&lt;/SectionTitle&gt;&lt;/Content&gt;&lt;/ConvergenceReportCountrySection&gt;&lt;ConvergenceReportCountrySection characteristic=&quot;Chapter&quot;&gt;&lt;Meta&gt;&lt;Design&gt;&lt;GUID&gt;{7905FB90-EE6C-4E60-815B-C88832A8E960}&lt;/GUID&gt;&lt;DisplayName&gt;3. Czechia&lt;/DisplayName&gt;&lt;/Design&gt;&lt;Create&gt;&lt;Creatable&gt;true&lt;/Creatable&gt;&lt;Template&gt;EPGeneralSection.dot&lt;/Template&gt;&lt;/Create&gt;&lt;Manage&gt;&lt;Path&gt;U:\Convergence Report\2024\EP Kit\Technical annex\3 Czechia.docx&lt;/Path&gt;&lt;LastMerge&gt;2024-06-24T20:20:14&lt;/LastMerge&gt;&lt;ExternalSources&gt;*U:\Convergence Report\2024\EP Kit\Technical annex\Charts and Tables\2024 - coupled chart.xlsx*U:\Convergence Report\2024\EP Kit\Technical annex\Charts and Tables\2024 - (CH 1) infl cri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3&lt;/SectionNumber&gt;&lt;SectionTitle DisplayName=&quot;Level 2 Title&quot;&gt;Czechia&lt;/SectionTitle&gt;&lt;/Content&gt;&lt;/ConvergenceReportCountrySection&gt;&lt;ConvergenceReportCountrySection characteristic=&quot;Chapter&quot;&gt;&lt;Meta&gt;&lt;Design&gt;&lt;GUID&gt;{D018BC17-C946-4239-AEE4-3F0BED0D77FE}&lt;/GUID&gt;&lt;DisplayName&gt;4. Hungary&lt;/DisplayName&gt;&lt;/Design&gt;&lt;Create&gt;&lt;Creatable&gt;true&lt;/Creatable&gt;&lt;Template&gt;EPGeneralSection.dot&lt;/Template&gt;&lt;/Create&gt;&lt;Manage&gt;&lt;Path&gt;U:\Convergence Report\2024\EP Kit\Technical annex\4 Hungary.docx&lt;/Path&gt;&lt;LastMerge&gt;2024-06-24T20:20:35&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4&lt;/SectionNumber&gt;&lt;SectionTitle DisplayName=&quot;Level 2 Title&quot;&gt;Hungary&lt;/SectionTitle&gt;&lt;/Content&gt;&lt;/ConvergenceReportCountrySection&gt;&lt;ConvergenceReportCountrySection characteristic=&quot;Chapter&quot;&gt;&lt;Meta&gt;&lt;Design&gt;&lt;GUID&gt;{BEB653BE-A832-4F3E-AE33-7D9CFAF9EB95}&lt;/GUID&gt;&lt;DisplayName&gt;5. Poland&lt;/DisplayName&gt;&lt;/Design&gt;&lt;Create&gt;&lt;Creatable&gt;true&lt;/Creatable&gt;&lt;Template&gt;EPGeneralSection.dot&lt;/Template&gt;&lt;/Create&gt;&lt;Manage&gt;&lt;Path&gt;U:\Convergence Report\2024\EP Kit\Technical annex\5 Poland.docx&lt;/Path&gt;&lt;LastMerge&gt;2024-06-24T20:20:57&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5&lt;/SectionNumber&gt;&lt;SectionTitle DisplayName=&quot;Level 2 Title&quot;&gt;Poland&lt;/SectionTitle&gt;&lt;/Content&gt;&lt;/ConvergenceReportCountrySection&gt;&lt;ConvergenceReportCountrySection characteristic=&quot;Chapter&quot;&gt;&lt;Meta&gt;&lt;Design&gt;&lt;GUID&gt;{0BB0CB04-8DA3-49C1-9795-381BE293C432}&lt;/GUID&gt;&lt;DisplayName&gt;6. Romania&lt;/DisplayName&gt;&lt;/Design&gt;&lt;Create&gt;&lt;Creatable&gt;true&lt;/Creatable&gt;&lt;Template&gt;EPGeneralSection.dot&lt;/Template&gt;&lt;/Create&gt;&lt;Manage&gt;&lt;Path&gt;U:\Convergence Report\2024\EP Kit\Technical annex\6 Romania.docx&lt;/Path&gt;&lt;LastMerge&gt;2024-06-24T20:21:20&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6&lt;/SectionNumber&gt;&lt;SectionTitle DisplayName=&quot;Level 2 Title&quot;&gt;Romania&lt;/SectionTitle&gt;&lt;/Content&gt;&lt;/ConvergenceReportCountrySection&gt;&lt;ConvergenceReportCountrySection characteristic=&quot;Chapter&quot;&gt;&lt;Meta&gt;&lt;Design&gt;&lt;GUID&gt;{81CA136B-AD42-4DF9-BAC0-346AF132FD6E}&lt;/GUID&gt;&lt;DisplayName&gt;7. Sweden&lt;/DisplayName&gt;&lt;/Design&gt;&lt;Create&gt;&lt;Creatable&gt;true&lt;/Creatable&gt;&lt;Template&gt;EPGeneralSection.dot&lt;/Template&gt;&lt;/Create&gt;&lt;Manage&gt;&lt;Path&gt;U:\Convergence Report\2024\EP Kit\Technical annex\7 Sweden.docx&lt;/Path&gt;&lt;LastMerge&gt;2024-06-24T20:21:40&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7&lt;/SectionNumber&gt;&lt;SectionTitle DisplayName=&quot;Level 2 Title&quot;&gt;Sweden&lt;/SectionTitle&gt;&lt;/Content&gt;&lt;/ConvergenceReportCountrySection&gt;&lt;/Structure&gt;&lt;/ConvergenceReportTechnicalAnnex&gt;&lt;/Structure&gt;&lt;/ConvergenceReportPublication&gt;"/>
    <w:docVar w:name="PublicationXMLFileName" w:val="\\net1.cec.eu.int\ECFIN\C\3\Convergence Report\2024\EP Kit\ConvergenceReport_2024.xml"/>
    <w:docVar w:name="VSSDB_IniPath" w:val="$/EPKIT/SRC/EPExternal"/>
    <w:docVar w:name="VSSDB_ProjectPath" w:val="$/EPKIT/SRC/EPExternal"/>
  </w:docVars>
  <w:rsids>
    <w:rsidRoot w:val="00F64EC0"/>
    <w:rsid w:val="000000D5"/>
    <w:rsid w:val="000001EC"/>
    <w:rsid w:val="00000206"/>
    <w:rsid w:val="000002D5"/>
    <w:rsid w:val="00000522"/>
    <w:rsid w:val="000006B4"/>
    <w:rsid w:val="000006D2"/>
    <w:rsid w:val="000007BE"/>
    <w:rsid w:val="00000979"/>
    <w:rsid w:val="000009CD"/>
    <w:rsid w:val="00000A19"/>
    <w:rsid w:val="00000B59"/>
    <w:rsid w:val="00000D8B"/>
    <w:rsid w:val="00000E64"/>
    <w:rsid w:val="00000EA1"/>
    <w:rsid w:val="00000F4F"/>
    <w:rsid w:val="0000107E"/>
    <w:rsid w:val="000013BD"/>
    <w:rsid w:val="000013C7"/>
    <w:rsid w:val="00001447"/>
    <w:rsid w:val="0000162B"/>
    <w:rsid w:val="00001690"/>
    <w:rsid w:val="00001A7B"/>
    <w:rsid w:val="00001BEA"/>
    <w:rsid w:val="00001BFF"/>
    <w:rsid w:val="00001F86"/>
    <w:rsid w:val="00002321"/>
    <w:rsid w:val="0000232A"/>
    <w:rsid w:val="000024C8"/>
    <w:rsid w:val="000027B0"/>
    <w:rsid w:val="0000283E"/>
    <w:rsid w:val="00002A87"/>
    <w:rsid w:val="00002B34"/>
    <w:rsid w:val="00002C48"/>
    <w:rsid w:val="00003233"/>
    <w:rsid w:val="000032C1"/>
    <w:rsid w:val="000032ED"/>
    <w:rsid w:val="00003317"/>
    <w:rsid w:val="000033E0"/>
    <w:rsid w:val="0000375A"/>
    <w:rsid w:val="0000379A"/>
    <w:rsid w:val="000038AA"/>
    <w:rsid w:val="00004494"/>
    <w:rsid w:val="000049B6"/>
    <w:rsid w:val="000049E1"/>
    <w:rsid w:val="00004D01"/>
    <w:rsid w:val="00005059"/>
    <w:rsid w:val="00005109"/>
    <w:rsid w:val="00005151"/>
    <w:rsid w:val="00005164"/>
    <w:rsid w:val="000051CD"/>
    <w:rsid w:val="000052FB"/>
    <w:rsid w:val="00005368"/>
    <w:rsid w:val="000054BC"/>
    <w:rsid w:val="000055DE"/>
    <w:rsid w:val="0000567F"/>
    <w:rsid w:val="000058BC"/>
    <w:rsid w:val="00005A2C"/>
    <w:rsid w:val="00005A8B"/>
    <w:rsid w:val="00005AC3"/>
    <w:rsid w:val="00005AE1"/>
    <w:rsid w:val="00005BE3"/>
    <w:rsid w:val="00005E15"/>
    <w:rsid w:val="0000605F"/>
    <w:rsid w:val="0000627B"/>
    <w:rsid w:val="00006397"/>
    <w:rsid w:val="00006470"/>
    <w:rsid w:val="000064BF"/>
    <w:rsid w:val="0000671A"/>
    <w:rsid w:val="00006889"/>
    <w:rsid w:val="000068D4"/>
    <w:rsid w:val="000068F6"/>
    <w:rsid w:val="00006AF8"/>
    <w:rsid w:val="00006AFA"/>
    <w:rsid w:val="00006B52"/>
    <w:rsid w:val="00006DD6"/>
    <w:rsid w:val="00006FEC"/>
    <w:rsid w:val="0000701D"/>
    <w:rsid w:val="000070AA"/>
    <w:rsid w:val="0000737F"/>
    <w:rsid w:val="00007387"/>
    <w:rsid w:val="00007577"/>
    <w:rsid w:val="00007739"/>
    <w:rsid w:val="000077FE"/>
    <w:rsid w:val="0000780B"/>
    <w:rsid w:val="0000789E"/>
    <w:rsid w:val="000078C5"/>
    <w:rsid w:val="000079EF"/>
    <w:rsid w:val="00007AA1"/>
    <w:rsid w:val="00007FF5"/>
    <w:rsid w:val="00010232"/>
    <w:rsid w:val="00010243"/>
    <w:rsid w:val="00010342"/>
    <w:rsid w:val="00010354"/>
    <w:rsid w:val="000105ED"/>
    <w:rsid w:val="00010629"/>
    <w:rsid w:val="00010647"/>
    <w:rsid w:val="00010761"/>
    <w:rsid w:val="000107F6"/>
    <w:rsid w:val="000109E2"/>
    <w:rsid w:val="00010B46"/>
    <w:rsid w:val="00010B89"/>
    <w:rsid w:val="00010BF4"/>
    <w:rsid w:val="00010CD5"/>
    <w:rsid w:val="000110F5"/>
    <w:rsid w:val="000113B3"/>
    <w:rsid w:val="00011475"/>
    <w:rsid w:val="000118E8"/>
    <w:rsid w:val="000119C8"/>
    <w:rsid w:val="00011A1F"/>
    <w:rsid w:val="00011AC6"/>
    <w:rsid w:val="00011B57"/>
    <w:rsid w:val="00011BB6"/>
    <w:rsid w:val="00011C03"/>
    <w:rsid w:val="00011CBD"/>
    <w:rsid w:val="00011DF5"/>
    <w:rsid w:val="00011E8E"/>
    <w:rsid w:val="000120F7"/>
    <w:rsid w:val="000123B1"/>
    <w:rsid w:val="000124EB"/>
    <w:rsid w:val="000126BE"/>
    <w:rsid w:val="00012990"/>
    <w:rsid w:val="00012B20"/>
    <w:rsid w:val="00012C1B"/>
    <w:rsid w:val="00012D44"/>
    <w:rsid w:val="00013100"/>
    <w:rsid w:val="000131C9"/>
    <w:rsid w:val="00013414"/>
    <w:rsid w:val="00013459"/>
    <w:rsid w:val="0001347A"/>
    <w:rsid w:val="00013756"/>
    <w:rsid w:val="0001381E"/>
    <w:rsid w:val="00013C05"/>
    <w:rsid w:val="00013D3D"/>
    <w:rsid w:val="00013EF9"/>
    <w:rsid w:val="00013FD1"/>
    <w:rsid w:val="00014017"/>
    <w:rsid w:val="000143E7"/>
    <w:rsid w:val="0001442D"/>
    <w:rsid w:val="00014522"/>
    <w:rsid w:val="000145E1"/>
    <w:rsid w:val="0001463F"/>
    <w:rsid w:val="00014760"/>
    <w:rsid w:val="00014775"/>
    <w:rsid w:val="00014A47"/>
    <w:rsid w:val="00014AE5"/>
    <w:rsid w:val="00014AFB"/>
    <w:rsid w:val="00014B7D"/>
    <w:rsid w:val="00014C6B"/>
    <w:rsid w:val="00014D43"/>
    <w:rsid w:val="00014D53"/>
    <w:rsid w:val="00014D5E"/>
    <w:rsid w:val="00014DAA"/>
    <w:rsid w:val="00014E90"/>
    <w:rsid w:val="000150BE"/>
    <w:rsid w:val="000151D6"/>
    <w:rsid w:val="00015703"/>
    <w:rsid w:val="00015759"/>
    <w:rsid w:val="00015A21"/>
    <w:rsid w:val="00015A82"/>
    <w:rsid w:val="00015B1A"/>
    <w:rsid w:val="00015BCE"/>
    <w:rsid w:val="00015D79"/>
    <w:rsid w:val="00015E33"/>
    <w:rsid w:val="00015E4B"/>
    <w:rsid w:val="00015F61"/>
    <w:rsid w:val="00015F70"/>
    <w:rsid w:val="00016075"/>
    <w:rsid w:val="000160B5"/>
    <w:rsid w:val="00016539"/>
    <w:rsid w:val="0001668A"/>
    <w:rsid w:val="00016795"/>
    <w:rsid w:val="00016916"/>
    <w:rsid w:val="00016B83"/>
    <w:rsid w:val="00016C23"/>
    <w:rsid w:val="00016D30"/>
    <w:rsid w:val="00016DA7"/>
    <w:rsid w:val="00016FA4"/>
    <w:rsid w:val="000173B4"/>
    <w:rsid w:val="00017482"/>
    <w:rsid w:val="000176C0"/>
    <w:rsid w:val="000179BB"/>
    <w:rsid w:val="00017C88"/>
    <w:rsid w:val="00017E26"/>
    <w:rsid w:val="00017E5C"/>
    <w:rsid w:val="0002002E"/>
    <w:rsid w:val="000201AA"/>
    <w:rsid w:val="00020201"/>
    <w:rsid w:val="00020205"/>
    <w:rsid w:val="0002022F"/>
    <w:rsid w:val="0002037B"/>
    <w:rsid w:val="00020473"/>
    <w:rsid w:val="00020639"/>
    <w:rsid w:val="000206F5"/>
    <w:rsid w:val="00020A57"/>
    <w:rsid w:val="00020D05"/>
    <w:rsid w:val="00020F2D"/>
    <w:rsid w:val="00020FF5"/>
    <w:rsid w:val="0002107E"/>
    <w:rsid w:val="000210E0"/>
    <w:rsid w:val="000210F6"/>
    <w:rsid w:val="0002110E"/>
    <w:rsid w:val="00021272"/>
    <w:rsid w:val="000214B4"/>
    <w:rsid w:val="000214C1"/>
    <w:rsid w:val="000215FB"/>
    <w:rsid w:val="0002187D"/>
    <w:rsid w:val="000219E6"/>
    <w:rsid w:val="00021A66"/>
    <w:rsid w:val="00021B28"/>
    <w:rsid w:val="00021CDC"/>
    <w:rsid w:val="00021CEF"/>
    <w:rsid w:val="00021EEB"/>
    <w:rsid w:val="00021F28"/>
    <w:rsid w:val="00021FB6"/>
    <w:rsid w:val="00022090"/>
    <w:rsid w:val="000222E7"/>
    <w:rsid w:val="00022342"/>
    <w:rsid w:val="0002240D"/>
    <w:rsid w:val="00022548"/>
    <w:rsid w:val="000225D7"/>
    <w:rsid w:val="0002260B"/>
    <w:rsid w:val="0002263A"/>
    <w:rsid w:val="00022812"/>
    <w:rsid w:val="00022D5E"/>
    <w:rsid w:val="00022D9F"/>
    <w:rsid w:val="00022DB6"/>
    <w:rsid w:val="00022DCA"/>
    <w:rsid w:val="000230E8"/>
    <w:rsid w:val="000234FE"/>
    <w:rsid w:val="00023987"/>
    <w:rsid w:val="000239EC"/>
    <w:rsid w:val="00023A88"/>
    <w:rsid w:val="00023C90"/>
    <w:rsid w:val="00023DC0"/>
    <w:rsid w:val="00023DE2"/>
    <w:rsid w:val="00023F0F"/>
    <w:rsid w:val="00024025"/>
    <w:rsid w:val="0002412F"/>
    <w:rsid w:val="000241E2"/>
    <w:rsid w:val="00024313"/>
    <w:rsid w:val="00024390"/>
    <w:rsid w:val="000243AC"/>
    <w:rsid w:val="0002447A"/>
    <w:rsid w:val="000244D5"/>
    <w:rsid w:val="0002451B"/>
    <w:rsid w:val="000246EE"/>
    <w:rsid w:val="000248FD"/>
    <w:rsid w:val="00024985"/>
    <w:rsid w:val="00024A05"/>
    <w:rsid w:val="00024C64"/>
    <w:rsid w:val="00024DD6"/>
    <w:rsid w:val="00024E85"/>
    <w:rsid w:val="00024EF6"/>
    <w:rsid w:val="00025094"/>
    <w:rsid w:val="000252DC"/>
    <w:rsid w:val="0002530F"/>
    <w:rsid w:val="00025314"/>
    <w:rsid w:val="000253C8"/>
    <w:rsid w:val="0002564D"/>
    <w:rsid w:val="000258EC"/>
    <w:rsid w:val="00025AFC"/>
    <w:rsid w:val="00025B4F"/>
    <w:rsid w:val="00025C28"/>
    <w:rsid w:val="00025DA8"/>
    <w:rsid w:val="00025E51"/>
    <w:rsid w:val="00025FD5"/>
    <w:rsid w:val="0002633F"/>
    <w:rsid w:val="00026342"/>
    <w:rsid w:val="0002645A"/>
    <w:rsid w:val="000268EA"/>
    <w:rsid w:val="0002697B"/>
    <w:rsid w:val="00026BCA"/>
    <w:rsid w:val="00026DDD"/>
    <w:rsid w:val="00026FA6"/>
    <w:rsid w:val="00026FD0"/>
    <w:rsid w:val="00027077"/>
    <w:rsid w:val="000270CE"/>
    <w:rsid w:val="0002714E"/>
    <w:rsid w:val="00027287"/>
    <w:rsid w:val="000272EA"/>
    <w:rsid w:val="000273FF"/>
    <w:rsid w:val="000275A1"/>
    <w:rsid w:val="0002761C"/>
    <w:rsid w:val="000278CF"/>
    <w:rsid w:val="00027B24"/>
    <w:rsid w:val="00027FA9"/>
    <w:rsid w:val="00027FD7"/>
    <w:rsid w:val="0003007E"/>
    <w:rsid w:val="00030191"/>
    <w:rsid w:val="000303A6"/>
    <w:rsid w:val="00030648"/>
    <w:rsid w:val="0003079C"/>
    <w:rsid w:val="000308F2"/>
    <w:rsid w:val="0003094C"/>
    <w:rsid w:val="00030BF0"/>
    <w:rsid w:val="00030E4C"/>
    <w:rsid w:val="00030EBA"/>
    <w:rsid w:val="0003111A"/>
    <w:rsid w:val="0003111C"/>
    <w:rsid w:val="00031429"/>
    <w:rsid w:val="0003158B"/>
    <w:rsid w:val="000315BC"/>
    <w:rsid w:val="0003175A"/>
    <w:rsid w:val="0003178A"/>
    <w:rsid w:val="000318D2"/>
    <w:rsid w:val="000319D6"/>
    <w:rsid w:val="00031AA3"/>
    <w:rsid w:val="00031B5B"/>
    <w:rsid w:val="00031FD7"/>
    <w:rsid w:val="000320DC"/>
    <w:rsid w:val="0003244E"/>
    <w:rsid w:val="00032457"/>
    <w:rsid w:val="00032500"/>
    <w:rsid w:val="0003272C"/>
    <w:rsid w:val="00032734"/>
    <w:rsid w:val="000327A1"/>
    <w:rsid w:val="00032968"/>
    <w:rsid w:val="00032B20"/>
    <w:rsid w:val="00032D2D"/>
    <w:rsid w:val="00032EA6"/>
    <w:rsid w:val="00032F33"/>
    <w:rsid w:val="000330D5"/>
    <w:rsid w:val="000331F4"/>
    <w:rsid w:val="00033290"/>
    <w:rsid w:val="0003357A"/>
    <w:rsid w:val="0003363A"/>
    <w:rsid w:val="0003378B"/>
    <w:rsid w:val="000338E0"/>
    <w:rsid w:val="000338E1"/>
    <w:rsid w:val="00033C0A"/>
    <w:rsid w:val="00033CE1"/>
    <w:rsid w:val="00033D06"/>
    <w:rsid w:val="00033DAF"/>
    <w:rsid w:val="00033E24"/>
    <w:rsid w:val="00033F2A"/>
    <w:rsid w:val="00033F8D"/>
    <w:rsid w:val="00033F9A"/>
    <w:rsid w:val="000343D4"/>
    <w:rsid w:val="000343DD"/>
    <w:rsid w:val="000343E9"/>
    <w:rsid w:val="0003445A"/>
    <w:rsid w:val="0003491F"/>
    <w:rsid w:val="00034935"/>
    <w:rsid w:val="0003496B"/>
    <w:rsid w:val="00034C70"/>
    <w:rsid w:val="00034CAB"/>
    <w:rsid w:val="00034EAF"/>
    <w:rsid w:val="00034FA9"/>
    <w:rsid w:val="0003523A"/>
    <w:rsid w:val="000354B4"/>
    <w:rsid w:val="000354C8"/>
    <w:rsid w:val="0003559C"/>
    <w:rsid w:val="00035700"/>
    <w:rsid w:val="00035780"/>
    <w:rsid w:val="000357C1"/>
    <w:rsid w:val="000358D5"/>
    <w:rsid w:val="000358F7"/>
    <w:rsid w:val="0003597E"/>
    <w:rsid w:val="00035B60"/>
    <w:rsid w:val="00035DFC"/>
    <w:rsid w:val="00035F76"/>
    <w:rsid w:val="00036087"/>
    <w:rsid w:val="000360F5"/>
    <w:rsid w:val="00036124"/>
    <w:rsid w:val="000362B6"/>
    <w:rsid w:val="00036303"/>
    <w:rsid w:val="000363E5"/>
    <w:rsid w:val="0003643B"/>
    <w:rsid w:val="00036795"/>
    <w:rsid w:val="000367F3"/>
    <w:rsid w:val="00036988"/>
    <w:rsid w:val="000369D4"/>
    <w:rsid w:val="00036B02"/>
    <w:rsid w:val="00036B87"/>
    <w:rsid w:val="00036BD9"/>
    <w:rsid w:val="00036C3B"/>
    <w:rsid w:val="00036CE2"/>
    <w:rsid w:val="00036E1A"/>
    <w:rsid w:val="00036F60"/>
    <w:rsid w:val="000370D4"/>
    <w:rsid w:val="00037106"/>
    <w:rsid w:val="00037107"/>
    <w:rsid w:val="0003718B"/>
    <w:rsid w:val="0003724F"/>
    <w:rsid w:val="000374BA"/>
    <w:rsid w:val="000375DF"/>
    <w:rsid w:val="00037658"/>
    <w:rsid w:val="000379BB"/>
    <w:rsid w:val="00037AB6"/>
    <w:rsid w:val="00037E33"/>
    <w:rsid w:val="00037ED9"/>
    <w:rsid w:val="00037F43"/>
    <w:rsid w:val="00040007"/>
    <w:rsid w:val="000400D8"/>
    <w:rsid w:val="000401A2"/>
    <w:rsid w:val="00040213"/>
    <w:rsid w:val="0004031C"/>
    <w:rsid w:val="00040320"/>
    <w:rsid w:val="00040451"/>
    <w:rsid w:val="00040726"/>
    <w:rsid w:val="00040746"/>
    <w:rsid w:val="00040800"/>
    <w:rsid w:val="00040836"/>
    <w:rsid w:val="00040849"/>
    <w:rsid w:val="0004088B"/>
    <w:rsid w:val="00040900"/>
    <w:rsid w:val="000409F8"/>
    <w:rsid w:val="00040CB6"/>
    <w:rsid w:val="00040E32"/>
    <w:rsid w:val="00040E35"/>
    <w:rsid w:val="00040E38"/>
    <w:rsid w:val="000411B8"/>
    <w:rsid w:val="000414AC"/>
    <w:rsid w:val="0004150A"/>
    <w:rsid w:val="00041878"/>
    <w:rsid w:val="00041891"/>
    <w:rsid w:val="000419BB"/>
    <w:rsid w:val="00041A9D"/>
    <w:rsid w:val="00041B77"/>
    <w:rsid w:val="00041B8D"/>
    <w:rsid w:val="00041D6A"/>
    <w:rsid w:val="00041EFE"/>
    <w:rsid w:val="00042048"/>
    <w:rsid w:val="0004215E"/>
    <w:rsid w:val="000423A4"/>
    <w:rsid w:val="000423F3"/>
    <w:rsid w:val="0004248F"/>
    <w:rsid w:val="00042749"/>
    <w:rsid w:val="00042815"/>
    <w:rsid w:val="00042862"/>
    <w:rsid w:val="0004289E"/>
    <w:rsid w:val="000429FD"/>
    <w:rsid w:val="00042B3F"/>
    <w:rsid w:val="00042C5A"/>
    <w:rsid w:val="00042CA6"/>
    <w:rsid w:val="0004309F"/>
    <w:rsid w:val="00043367"/>
    <w:rsid w:val="0004360E"/>
    <w:rsid w:val="000439FF"/>
    <w:rsid w:val="00043A0E"/>
    <w:rsid w:val="00043BA8"/>
    <w:rsid w:val="00044111"/>
    <w:rsid w:val="00044180"/>
    <w:rsid w:val="000442D9"/>
    <w:rsid w:val="000443B7"/>
    <w:rsid w:val="00044455"/>
    <w:rsid w:val="00044739"/>
    <w:rsid w:val="000447A1"/>
    <w:rsid w:val="000447A8"/>
    <w:rsid w:val="000447AE"/>
    <w:rsid w:val="00044861"/>
    <w:rsid w:val="00044864"/>
    <w:rsid w:val="000448E5"/>
    <w:rsid w:val="00044965"/>
    <w:rsid w:val="00044981"/>
    <w:rsid w:val="00044C01"/>
    <w:rsid w:val="00044CA8"/>
    <w:rsid w:val="00044E23"/>
    <w:rsid w:val="00044E63"/>
    <w:rsid w:val="00044EA6"/>
    <w:rsid w:val="00044F03"/>
    <w:rsid w:val="0004588F"/>
    <w:rsid w:val="00045CF8"/>
    <w:rsid w:val="00045ECC"/>
    <w:rsid w:val="00045F22"/>
    <w:rsid w:val="00045F75"/>
    <w:rsid w:val="00045F9A"/>
    <w:rsid w:val="00046059"/>
    <w:rsid w:val="0004611D"/>
    <w:rsid w:val="0004611E"/>
    <w:rsid w:val="0004652F"/>
    <w:rsid w:val="00046569"/>
    <w:rsid w:val="00046636"/>
    <w:rsid w:val="000466DC"/>
    <w:rsid w:val="000466FF"/>
    <w:rsid w:val="00046721"/>
    <w:rsid w:val="0004678A"/>
    <w:rsid w:val="000468B4"/>
    <w:rsid w:val="00046BCB"/>
    <w:rsid w:val="00046CC5"/>
    <w:rsid w:val="00046EC3"/>
    <w:rsid w:val="00046F1F"/>
    <w:rsid w:val="00046F57"/>
    <w:rsid w:val="00046F9A"/>
    <w:rsid w:val="00047048"/>
    <w:rsid w:val="0004704B"/>
    <w:rsid w:val="000470B7"/>
    <w:rsid w:val="00047126"/>
    <w:rsid w:val="000471A7"/>
    <w:rsid w:val="00047397"/>
    <w:rsid w:val="000475AB"/>
    <w:rsid w:val="000475D2"/>
    <w:rsid w:val="00047602"/>
    <w:rsid w:val="00047749"/>
    <w:rsid w:val="000479C5"/>
    <w:rsid w:val="00047AF1"/>
    <w:rsid w:val="00047B5A"/>
    <w:rsid w:val="00047D5C"/>
    <w:rsid w:val="00047D87"/>
    <w:rsid w:val="00047E17"/>
    <w:rsid w:val="00047EAA"/>
    <w:rsid w:val="00047EAE"/>
    <w:rsid w:val="00047F1F"/>
    <w:rsid w:val="000500BD"/>
    <w:rsid w:val="000501BC"/>
    <w:rsid w:val="00050283"/>
    <w:rsid w:val="000502D8"/>
    <w:rsid w:val="000502DD"/>
    <w:rsid w:val="0005038E"/>
    <w:rsid w:val="000504BD"/>
    <w:rsid w:val="0005080B"/>
    <w:rsid w:val="00050A63"/>
    <w:rsid w:val="00050AAA"/>
    <w:rsid w:val="00050D35"/>
    <w:rsid w:val="00050E69"/>
    <w:rsid w:val="00050EAB"/>
    <w:rsid w:val="00050FCD"/>
    <w:rsid w:val="000510F1"/>
    <w:rsid w:val="0005147B"/>
    <w:rsid w:val="0005162E"/>
    <w:rsid w:val="00051641"/>
    <w:rsid w:val="00051799"/>
    <w:rsid w:val="0005183C"/>
    <w:rsid w:val="0005183F"/>
    <w:rsid w:val="000518F3"/>
    <w:rsid w:val="00051ABF"/>
    <w:rsid w:val="00051B09"/>
    <w:rsid w:val="00051BBC"/>
    <w:rsid w:val="00051C7A"/>
    <w:rsid w:val="00051CB0"/>
    <w:rsid w:val="00051E73"/>
    <w:rsid w:val="00051FE1"/>
    <w:rsid w:val="00052014"/>
    <w:rsid w:val="000520F4"/>
    <w:rsid w:val="00052175"/>
    <w:rsid w:val="0005221C"/>
    <w:rsid w:val="000522D1"/>
    <w:rsid w:val="0005245E"/>
    <w:rsid w:val="00052461"/>
    <w:rsid w:val="0005253B"/>
    <w:rsid w:val="00052673"/>
    <w:rsid w:val="0005298B"/>
    <w:rsid w:val="000529CF"/>
    <w:rsid w:val="00052A66"/>
    <w:rsid w:val="00052BC2"/>
    <w:rsid w:val="00052BC8"/>
    <w:rsid w:val="00052D62"/>
    <w:rsid w:val="00052D6A"/>
    <w:rsid w:val="00052DDE"/>
    <w:rsid w:val="00052F59"/>
    <w:rsid w:val="00052FB7"/>
    <w:rsid w:val="00052FBB"/>
    <w:rsid w:val="000532A7"/>
    <w:rsid w:val="000533AF"/>
    <w:rsid w:val="0005362E"/>
    <w:rsid w:val="00053911"/>
    <w:rsid w:val="000539F5"/>
    <w:rsid w:val="00053B26"/>
    <w:rsid w:val="00053B56"/>
    <w:rsid w:val="00053C24"/>
    <w:rsid w:val="00053C52"/>
    <w:rsid w:val="00053C5B"/>
    <w:rsid w:val="00053C9D"/>
    <w:rsid w:val="00053D2D"/>
    <w:rsid w:val="00053FEE"/>
    <w:rsid w:val="00054068"/>
    <w:rsid w:val="0005423E"/>
    <w:rsid w:val="000543F8"/>
    <w:rsid w:val="000544C0"/>
    <w:rsid w:val="00054722"/>
    <w:rsid w:val="000547EA"/>
    <w:rsid w:val="000549B5"/>
    <w:rsid w:val="00054A5A"/>
    <w:rsid w:val="00054F60"/>
    <w:rsid w:val="0005502A"/>
    <w:rsid w:val="000550B0"/>
    <w:rsid w:val="00055283"/>
    <w:rsid w:val="000552ED"/>
    <w:rsid w:val="0005537B"/>
    <w:rsid w:val="00055436"/>
    <w:rsid w:val="000554D5"/>
    <w:rsid w:val="000554FA"/>
    <w:rsid w:val="0005550F"/>
    <w:rsid w:val="00055618"/>
    <w:rsid w:val="000558A8"/>
    <w:rsid w:val="00055A61"/>
    <w:rsid w:val="00055C36"/>
    <w:rsid w:val="00055D32"/>
    <w:rsid w:val="00055D56"/>
    <w:rsid w:val="00055D7E"/>
    <w:rsid w:val="00056105"/>
    <w:rsid w:val="0005614D"/>
    <w:rsid w:val="00056157"/>
    <w:rsid w:val="00056218"/>
    <w:rsid w:val="00056378"/>
    <w:rsid w:val="00056446"/>
    <w:rsid w:val="00056645"/>
    <w:rsid w:val="000566D0"/>
    <w:rsid w:val="00056792"/>
    <w:rsid w:val="00056D1A"/>
    <w:rsid w:val="00056DCD"/>
    <w:rsid w:val="00056DE5"/>
    <w:rsid w:val="0005702B"/>
    <w:rsid w:val="00057032"/>
    <w:rsid w:val="00057181"/>
    <w:rsid w:val="00057190"/>
    <w:rsid w:val="000572A6"/>
    <w:rsid w:val="000572CE"/>
    <w:rsid w:val="00057509"/>
    <w:rsid w:val="0005765E"/>
    <w:rsid w:val="00057665"/>
    <w:rsid w:val="000576AD"/>
    <w:rsid w:val="00057AD4"/>
    <w:rsid w:val="00057AE9"/>
    <w:rsid w:val="00057B8B"/>
    <w:rsid w:val="00057BAF"/>
    <w:rsid w:val="00057C6B"/>
    <w:rsid w:val="00057C6F"/>
    <w:rsid w:val="00057CC1"/>
    <w:rsid w:val="00057CFF"/>
    <w:rsid w:val="00057E35"/>
    <w:rsid w:val="00057ED7"/>
    <w:rsid w:val="0006028D"/>
    <w:rsid w:val="000602FD"/>
    <w:rsid w:val="00060377"/>
    <w:rsid w:val="0006082F"/>
    <w:rsid w:val="000608D5"/>
    <w:rsid w:val="000608ED"/>
    <w:rsid w:val="000609E2"/>
    <w:rsid w:val="00060BC0"/>
    <w:rsid w:val="00060DB9"/>
    <w:rsid w:val="00060E01"/>
    <w:rsid w:val="000610C6"/>
    <w:rsid w:val="00061171"/>
    <w:rsid w:val="000611A9"/>
    <w:rsid w:val="000613A0"/>
    <w:rsid w:val="00061750"/>
    <w:rsid w:val="0006188D"/>
    <w:rsid w:val="00061CEE"/>
    <w:rsid w:val="00061E87"/>
    <w:rsid w:val="00061F40"/>
    <w:rsid w:val="00062180"/>
    <w:rsid w:val="000623CA"/>
    <w:rsid w:val="00062401"/>
    <w:rsid w:val="00062633"/>
    <w:rsid w:val="0006286B"/>
    <w:rsid w:val="00062895"/>
    <w:rsid w:val="000628FE"/>
    <w:rsid w:val="0006294E"/>
    <w:rsid w:val="00062B18"/>
    <w:rsid w:val="00062B71"/>
    <w:rsid w:val="00062B85"/>
    <w:rsid w:val="00062C27"/>
    <w:rsid w:val="00062CE6"/>
    <w:rsid w:val="00062E5F"/>
    <w:rsid w:val="00062FEC"/>
    <w:rsid w:val="00063072"/>
    <w:rsid w:val="00063221"/>
    <w:rsid w:val="0006353D"/>
    <w:rsid w:val="0006357D"/>
    <w:rsid w:val="0006366D"/>
    <w:rsid w:val="000636E7"/>
    <w:rsid w:val="0006376C"/>
    <w:rsid w:val="00063876"/>
    <w:rsid w:val="000638C5"/>
    <w:rsid w:val="00063A8D"/>
    <w:rsid w:val="00063AAA"/>
    <w:rsid w:val="00063D22"/>
    <w:rsid w:val="00063FE0"/>
    <w:rsid w:val="000641CA"/>
    <w:rsid w:val="00064329"/>
    <w:rsid w:val="0006451A"/>
    <w:rsid w:val="00064599"/>
    <w:rsid w:val="000645D1"/>
    <w:rsid w:val="00064688"/>
    <w:rsid w:val="00064777"/>
    <w:rsid w:val="00064B3A"/>
    <w:rsid w:val="00064B5E"/>
    <w:rsid w:val="00064F63"/>
    <w:rsid w:val="00064FBC"/>
    <w:rsid w:val="0006504B"/>
    <w:rsid w:val="00065110"/>
    <w:rsid w:val="000651A7"/>
    <w:rsid w:val="0006539D"/>
    <w:rsid w:val="00065416"/>
    <w:rsid w:val="00065441"/>
    <w:rsid w:val="000654DE"/>
    <w:rsid w:val="000654F4"/>
    <w:rsid w:val="00065625"/>
    <w:rsid w:val="0006572C"/>
    <w:rsid w:val="000659A5"/>
    <w:rsid w:val="00065AFC"/>
    <w:rsid w:val="00065E28"/>
    <w:rsid w:val="00065E75"/>
    <w:rsid w:val="00065F3C"/>
    <w:rsid w:val="00066040"/>
    <w:rsid w:val="00066079"/>
    <w:rsid w:val="0006612A"/>
    <w:rsid w:val="0006612C"/>
    <w:rsid w:val="00066495"/>
    <w:rsid w:val="000665CA"/>
    <w:rsid w:val="0006686D"/>
    <w:rsid w:val="000668B7"/>
    <w:rsid w:val="000668DF"/>
    <w:rsid w:val="00066974"/>
    <w:rsid w:val="00066A4E"/>
    <w:rsid w:val="00066CD5"/>
    <w:rsid w:val="00066F05"/>
    <w:rsid w:val="00066FAC"/>
    <w:rsid w:val="00066FBA"/>
    <w:rsid w:val="00067081"/>
    <w:rsid w:val="000670B3"/>
    <w:rsid w:val="000673B1"/>
    <w:rsid w:val="0006756B"/>
    <w:rsid w:val="000676AA"/>
    <w:rsid w:val="00067782"/>
    <w:rsid w:val="000678F2"/>
    <w:rsid w:val="0006791F"/>
    <w:rsid w:val="0006794D"/>
    <w:rsid w:val="00067A72"/>
    <w:rsid w:val="00067A89"/>
    <w:rsid w:val="00067D04"/>
    <w:rsid w:val="00070131"/>
    <w:rsid w:val="000702EF"/>
    <w:rsid w:val="000705EA"/>
    <w:rsid w:val="0007066B"/>
    <w:rsid w:val="000706A7"/>
    <w:rsid w:val="000706FA"/>
    <w:rsid w:val="0007081F"/>
    <w:rsid w:val="00070ABD"/>
    <w:rsid w:val="00070B53"/>
    <w:rsid w:val="00070C30"/>
    <w:rsid w:val="00070E58"/>
    <w:rsid w:val="00070E77"/>
    <w:rsid w:val="00070F46"/>
    <w:rsid w:val="00071181"/>
    <w:rsid w:val="000711F7"/>
    <w:rsid w:val="000712E6"/>
    <w:rsid w:val="000713A4"/>
    <w:rsid w:val="00071510"/>
    <w:rsid w:val="0007157A"/>
    <w:rsid w:val="000715E3"/>
    <w:rsid w:val="00071857"/>
    <w:rsid w:val="00071A6F"/>
    <w:rsid w:val="00071C35"/>
    <w:rsid w:val="00071CCA"/>
    <w:rsid w:val="00071FC8"/>
    <w:rsid w:val="00071FD9"/>
    <w:rsid w:val="00072114"/>
    <w:rsid w:val="00072170"/>
    <w:rsid w:val="0007230A"/>
    <w:rsid w:val="000724E0"/>
    <w:rsid w:val="000725A4"/>
    <w:rsid w:val="000725DA"/>
    <w:rsid w:val="00072651"/>
    <w:rsid w:val="000726EB"/>
    <w:rsid w:val="00072716"/>
    <w:rsid w:val="00072982"/>
    <w:rsid w:val="00072BA9"/>
    <w:rsid w:val="00072C42"/>
    <w:rsid w:val="00072CEB"/>
    <w:rsid w:val="00072E99"/>
    <w:rsid w:val="00072F4C"/>
    <w:rsid w:val="0007301D"/>
    <w:rsid w:val="0007314F"/>
    <w:rsid w:val="000731F3"/>
    <w:rsid w:val="000732A2"/>
    <w:rsid w:val="000733FA"/>
    <w:rsid w:val="000735D2"/>
    <w:rsid w:val="0007366E"/>
    <w:rsid w:val="00073692"/>
    <w:rsid w:val="000736C0"/>
    <w:rsid w:val="000738AB"/>
    <w:rsid w:val="00073948"/>
    <w:rsid w:val="00073975"/>
    <w:rsid w:val="000739BE"/>
    <w:rsid w:val="00073A80"/>
    <w:rsid w:val="00073B26"/>
    <w:rsid w:val="00073C1B"/>
    <w:rsid w:val="00073D5D"/>
    <w:rsid w:val="00073E99"/>
    <w:rsid w:val="00074228"/>
    <w:rsid w:val="0007430B"/>
    <w:rsid w:val="00074322"/>
    <w:rsid w:val="00074602"/>
    <w:rsid w:val="0007476F"/>
    <w:rsid w:val="000748E0"/>
    <w:rsid w:val="00074B3B"/>
    <w:rsid w:val="00074BC3"/>
    <w:rsid w:val="00074C37"/>
    <w:rsid w:val="0007532B"/>
    <w:rsid w:val="0007544B"/>
    <w:rsid w:val="00075737"/>
    <w:rsid w:val="00075890"/>
    <w:rsid w:val="00075C74"/>
    <w:rsid w:val="00075E3A"/>
    <w:rsid w:val="000760B5"/>
    <w:rsid w:val="000764FA"/>
    <w:rsid w:val="000766B7"/>
    <w:rsid w:val="00076756"/>
    <w:rsid w:val="000767A7"/>
    <w:rsid w:val="000767FB"/>
    <w:rsid w:val="000768E1"/>
    <w:rsid w:val="00076939"/>
    <w:rsid w:val="0007694E"/>
    <w:rsid w:val="00076A49"/>
    <w:rsid w:val="00076A4B"/>
    <w:rsid w:val="00076B71"/>
    <w:rsid w:val="00076FD0"/>
    <w:rsid w:val="0007705C"/>
    <w:rsid w:val="000771C2"/>
    <w:rsid w:val="00077265"/>
    <w:rsid w:val="00077392"/>
    <w:rsid w:val="0007749F"/>
    <w:rsid w:val="000774B3"/>
    <w:rsid w:val="0007755D"/>
    <w:rsid w:val="0007774D"/>
    <w:rsid w:val="00077978"/>
    <w:rsid w:val="000779E6"/>
    <w:rsid w:val="00077A31"/>
    <w:rsid w:val="00077A74"/>
    <w:rsid w:val="00077AB1"/>
    <w:rsid w:val="00077B50"/>
    <w:rsid w:val="00077D65"/>
    <w:rsid w:val="00080307"/>
    <w:rsid w:val="0008037F"/>
    <w:rsid w:val="000804F7"/>
    <w:rsid w:val="00080553"/>
    <w:rsid w:val="0008076E"/>
    <w:rsid w:val="000809CA"/>
    <w:rsid w:val="00080AB4"/>
    <w:rsid w:val="00080B17"/>
    <w:rsid w:val="00080C7B"/>
    <w:rsid w:val="00080CF0"/>
    <w:rsid w:val="00080D91"/>
    <w:rsid w:val="00080E0A"/>
    <w:rsid w:val="00080E36"/>
    <w:rsid w:val="00080FB8"/>
    <w:rsid w:val="00081007"/>
    <w:rsid w:val="0008106E"/>
    <w:rsid w:val="000811EE"/>
    <w:rsid w:val="00081FBB"/>
    <w:rsid w:val="00082179"/>
    <w:rsid w:val="0008227F"/>
    <w:rsid w:val="00082352"/>
    <w:rsid w:val="00082614"/>
    <w:rsid w:val="0008265C"/>
    <w:rsid w:val="000826EE"/>
    <w:rsid w:val="00082CF3"/>
    <w:rsid w:val="00082DC3"/>
    <w:rsid w:val="00082DF4"/>
    <w:rsid w:val="00082F16"/>
    <w:rsid w:val="00082FA4"/>
    <w:rsid w:val="00083042"/>
    <w:rsid w:val="0008309B"/>
    <w:rsid w:val="00083113"/>
    <w:rsid w:val="0008343E"/>
    <w:rsid w:val="000835AA"/>
    <w:rsid w:val="0008365A"/>
    <w:rsid w:val="0008378E"/>
    <w:rsid w:val="00083794"/>
    <w:rsid w:val="00083BB1"/>
    <w:rsid w:val="00083C6A"/>
    <w:rsid w:val="000840B5"/>
    <w:rsid w:val="000840E8"/>
    <w:rsid w:val="00084164"/>
    <w:rsid w:val="00084299"/>
    <w:rsid w:val="0008441D"/>
    <w:rsid w:val="0008445A"/>
    <w:rsid w:val="000844FA"/>
    <w:rsid w:val="00084508"/>
    <w:rsid w:val="00084569"/>
    <w:rsid w:val="000845DA"/>
    <w:rsid w:val="00084643"/>
    <w:rsid w:val="000846F1"/>
    <w:rsid w:val="000848B3"/>
    <w:rsid w:val="00084ADB"/>
    <w:rsid w:val="00084AED"/>
    <w:rsid w:val="00084B10"/>
    <w:rsid w:val="00084B5A"/>
    <w:rsid w:val="00084BDC"/>
    <w:rsid w:val="00084E48"/>
    <w:rsid w:val="00084E53"/>
    <w:rsid w:val="00084E94"/>
    <w:rsid w:val="000854DA"/>
    <w:rsid w:val="0008553E"/>
    <w:rsid w:val="00085631"/>
    <w:rsid w:val="00085B60"/>
    <w:rsid w:val="00085BE8"/>
    <w:rsid w:val="00085D69"/>
    <w:rsid w:val="00085E54"/>
    <w:rsid w:val="00085F1B"/>
    <w:rsid w:val="00085F1F"/>
    <w:rsid w:val="00085F21"/>
    <w:rsid w:val="00086262"/>
    <w:rsid w:val="000863D8"/>
    <w:rsid w:val="000864B1"/>
    <w:rsid w:val="00086544"/>
    <w:rsid w:val="00086586"/>
    <w:rsid w:val="000866D6"/>
    <w:rsid w:val="00086787"/>
    <w:rsid w:val="000868BE"/>
    <w:rsid w:val="00086A5E"/>
    <w:rsid w:val="00086AC7"/>
    <w:rsid w:val="00086B27"/>
    <w:rsid w:val="00086B66"/>
    <w:rsid w:val="00086DD8"/>
    <w:rsid w:val="00086E78"/>
    <w:rsid w:val="00086EDA"/>
    <w:rsid w:val="00087207"/>
    <w:rsid w:val="000873B5"/>
    <w:rsid w:val="0008783D"/>
    <w:rsid w:val="0008796B"/>
    <w:rsid w:val="00087B2D"/>
    <w:rsid w:val="00087BB6"/>
    <w:rsid w:val="00087F45"/>
    <w:rsid w:val="00090206"/>
    <w:rsid w:val="0009032A"/>
    <w:rsid w:val="0009043F"/>
    <w:rsid w:val="000904C3"/>
    <w:rsid w:val="00090647"/>
    <w:rsid w:val="000907A6"/>
    <w:rsid w:val="000907BA"/>
    <w:rsid w:val="00090975"/>
    <w:rsid w:val="00090B01"/>
    <w:rsid w:val="00090DDA"/>
    <w:rsid w:val="00090E24"/>
    <w:rsid w:val="00090EB3"/>
    <w:rsid w:val="00090EF0"/>
    <w:rsid w:val="00090F1A"/>
    <w:rsid w:val="00091031"/>
    <w:rsid w:val="0009112E"/>
    <w:rsid w:val="0009113F"/>
    <w:rsid w:val="000913E5"/>
    <w:rsid w:val="0009147B"/>
    <w:rsid w:val="0009158B"/>
    <w:rsid w:val="000916AC"/>
    <w:rsid w:val="00091751"/>
    <w:rsid w:val="00091771"/>
    <w:rsid w:val="0009185F"/>
    <w:rsid w:val="000918E7"/>
    <w:rsid w:val="00091A2A"/>
    <w:rsid w:val="00091C2E"/>
    <w:rsid w:val="00091E0F"/>
    <w:rsid w:val="00092375"/>
    <w:rsid w:val="0009244A"/>
    <w:rsid w:val="000925B7"/>
    <w:rsid w:val="00092807"/>
    <w:rsid w:val="0009289A"/>
    <w:rsid w:val="00092BDD"/>
    <w:rsid w:val="00092C06"/>
    <w:rsid w:val="00092C1A"/>
    <w:rsid w:val="00092CF2"/>
    <w:rsid w:val="00092D5E"/>
    <w:rsid w:val="00092EE3"/>
    <w:rsid w:val="00092F31"/>
    <w:rsid w:val="00092FDD"/>
    <w:rsid w:val="00092FFC"/>
    <w:rsid w:val="0009305D"/>
    <w:rsid w:val="00093125"/>
    <w:rsid w:val="000932E5"/>
    <w:rsid w:val="000933D9"/>
    <w:rsid w:val="00093435"/>
    <w:rsid w:val="000938AC"/>
    <w:rsid w:val="000938C2"/>
    <w:rsid w:val="000939EB"/>
    <w:rsid w:val="00093B8D"/>
    <w:rsid w:val="00093C42"/>
    <w:rsid w:val="00093D0A"/>
    <w:rsid w:val="00093E3E"/>
    <w:rsid w:val="00093EF4"/>
    <w:rsid w:val="00093F69"/>
    <w:rsid w:val="000941E0"/>
    <w:rsid w:val="000943D1"/>
    <w:rsid w:val="00094451"/>
    <w:rsid w:val="000945AF"/>
    <w:rsid w:val="000946D3"/>
    <w:rsid w:val="000947AE"/>
    <w:rsid w:val="0009484F"/>
    <w:rsid w:val="000948AA"/>
    <w:rsid w:val="0009492D"/>
    <w:rsid w:val="00094D5A"/>
    <w:rsid w:val="00094D79"/>
    <w:rsid w:val="00094DB0"/>
    <w:rsid w:val="00094F59"/>
    <w:rsid w:val="0009513B"/>
    <w:rsid w:val="0009514E"/>
    <w:rsid w:val="000951ED"/>
    <w:rsid w:val="0009540F"/>
    <w:rsid w:val="00095510"/>
    <w:rsid w:val="0009551D"/>
    <w:rsid w:val="0009591E"/>
    <w:rsid w:val="00095A1F"/>
    <w:rsid w:val="00095B49"/>
    <w:rsid w:val="00095E17"/>
    <w:rsid w:val="00095E69"/>
    <w:rsid w:val="00095F29"/>
    <w:rsid w:val="0009609C"/>
    <w:rsid w:val="00096121"/>
    <w:rsid w:val="00096616"/>
    <w:rsid w:val="0009667B"/>
    <w:rsid w:val="000968D5"/>
    <w:rsid w:val="00096914"/>
    <w:rsid w:val="0009696C"/>
    <w:rsid w:val="00096B09"/>
    <w:rsid w:val="00096BD9"/>
    <w:rsid w:val="00096D5C"/>
    <w:rsid w:val="00096ED2"/>
    <w:rsid w:val="000970B0"/>
    <w:rsid w:val="000971E3"/>
    <w:rsid w:val="00097347"/>
    <w:rsid w:val="0009745B"/>
    <w:rsid w:val="0009757E"/>
    <w:rsid w:val="000975C1"/>
    <w:rsid w:val="0009764C"/>
    <w:rsid w:val="00097693"/>
    <w:rsid w:val="0009774E"/>
    <w:rsid w:val="00097810"/>
    <w:rsid w:val="00097A9F"/>
    <w:rsid w:val="00097EB7"/>
    <w:rsid w:val="00097FAF"/>
    <w:rsid w:val="00097FD9"/>
    <w:rsid w:val="000A0036"/>
    <w:rsid w:val="000A0054"/>
    <w:rsid w:val="000A024B"/>
    <w:rsid w:val="000A0382"/>
    <w:rsid w:val="000A051F"/>
    <w:rsid w:val="000A053D"/>
    <w:rsid w:val="000A09B2"/>
    <w:rsid w:val="000A0AD2"/>
    <w:rsid w:val="000A0ADE"/>
    <w:rsid w:val="000A0B3F"/>
    <w:rsid w:val="000A0B65"/>
    <w:rsid w:val="000A0BED"/>
    <w:rsid w:val="000A0D03"/>
    <w:rsid w:val="000A0D9A"/>
    <w:rsid w:val="000A0DFE"/>
    <w:rsid w:val="000A0FD9"/>
    <w:rsid w:val="000A1073"/>
    <w:rsid w:val="000A135E"/>
    <w:rsid w:val="000A13C8"/>
    <w:rsid w:val="000A1435"/>
    <w:rsid w:val="000A1C6B"/>
    <w:rsid w:val="000A1CBD"/>
    <w:rsid w:val="000A1DB7"/>
    <w:rsid w:val="000A1F81"/>
    <w:rsid w:val="000A2021"/>
    <w:rsid w:val="000A206D"/>
    <w:rsid w:val="000A2092"/>
    <w:rsid w:val="000A2096"/>
    <w:rsid w:val="000A21E0"/>
    <w:rsid w:val="000A22F9"/>
    <w:rsid w:val="000A2434"/>
    <w:rsid w:val="000A2691"/>
    <w:rsid w:val="000A2732"/>
    <w:rsid w:val="000A2942"/>
    <w:rsid w:val="000A2AFD"/>
    <w:rsid w:val="000A2B48"/>
    <w:rsid w:val="000A2C2E"/>
    <w:rsid w:val="000A2C7D"/>
    <w:rsid w:val="000A2DA0"/>
    <w:rsid w:val="000A2E66"/>
    <w:rsid w:val="000A2F7C"/>
    <w:rsid w:val="000A2F9B"/>
    <w:rsid w:val="000A30CA"/>
    <w:rsid w:val="000A3118"/>
    <w:rsid w:val="000A3847"/>
    <w:rsid w:val="000A3937"/>
    <w:rsid w:val="000A3A2B"/>
    <w:rsid w:val="000A3ABD"/>
    <w:rsid w:val="000A3B19"/>
    <w:rsid w:val="000A3C92"/>
    <w:rsid w:val="000A3CA0"/>
    <w:rsid w:val="000A400D"/>
    <w:rsid w:val="000A406E"/>
    <w:rsid w:val="000A425F"/>
    <w:rsid w:val="000A453C"/>
    <w:rsid w:val="000A475E"/>
    <w:rsid w:val="000A4767"/>
    <w:rsid w:val="000A48F3"/>
    <w:rsid w:val="000A49AB"/>
    <w:rsid w:val="000A4A9B"/>
    <w:rsid w:val="000A4B6A"/>
    <w:rsid w:val="000A4C82"/>
    <w:rsid w:val="000A4D47"/>
    <w:rsid w:val="000A4DBE"/>
    <w:rsid w:val="000A4E05"/>
    <w:rsid w:val="000A4E57"/>
    <w:rsid w:val="000A51CB"/>
    <w:rsid w:val="000A5304"/>
    <w:rsid w:val="000A553B"/>
    <w:rsid w:val="000A56CB"/>
    <w:rsid w:val="000A570A"/>
    <w:rsid w:val="000A5809"/>
    <w:rsid w:val="000A5986"/>
    <w:rsid w:val="000A5C4F"/>
    <w:rsid w:val="000A5C54"/>
    <w:rsid w:val="000A602D"/>
    <w:rsid w:val="000A60FA"/>
    <w:rsid w:val="000A67B8"/>
    <w:rsid w:val="000A67EA"/>
    <w:rsid w:val="000A6851"/>
    <w:rsid w:val="000A6B3F"/>
    <w:rsid w:val="000A6C23"/>
    <w:rsid w:val="000A6D87"/>
    <w:rsid w:val="000A6FDD"/>
    <w:rsid w:val="000A70FA"/>
    <w:rsid w:val="000A7316"/>
    <w:rsid w:val="000A745C"/>
    <w:rsid w:val="000A74B4"/>
    <w:rsid w:val="000A753A"/>
    <w:rsid w:val="000A762B"/>
    <w:rsid w:val="000A76CB"/>
    <w:rsid w:val="000A774A"/>
    <w:rsid w:val="000A781D"/>
    <w:rsid w:val="000A7A7E"/>
    <w:rsid w:val="000A7A81"/>
    <w:rsid w:val="000A7C85"/>
    <w:rsid w:val="000A7C8F"/>
    <w:rsid w:val="000A7D8A"/>
    <w:rsid w:val="000A7DFD"/>
    <w:rsid w:val="000A7DFE"/>
    <w:rsid w:val="000A7F73"/>
    <w:rsid w:val="000A7FA2"/>
    <w:rsid w:val="000A7FFC"/>
    <w:rsid w:val="000B015D"/>
    <w:rsid w:val="000B01D9"/>
    <w:rsid w:val="000B0376"/>
    <w:rsid w:val="000B0405"/>
    <w:rsid w:val="000B058C"/>
    <w:rsid w:val="000B06F3"/>
    <w:rsid w:val="000B07AE"/>
    <w:rsid w:val="000B0808"/>
    <w:rsid w:val="000B0920"/>
    <w:rsid w:val="000B0A00"/>
    <w:rsid w:val="000B0C3A"/>
    <w:rsid w:val="000B0C43"/>
    <w:rsid w:val="000B0D11"/>
    <w:rsid w:val="000B110B"/>
    <w:rsid w:val="000B111D"/>
    <w:rsid w:val="000B12BB"/>
    <w:rsid w:val="000B1351"/>
    <w:rsid w:val="000B13D4"/>
    <w:rsid w:val="000B148A"/>
    <w:rsid w:val="000B150A"/>
    <w:rsid w:val="000B150F"/>
    <w:rsid w:val="000B1680"/>
    <w:rsid w:val="000B18D7"/>
    <w:rsid w:val="000B1A66"/>
    <w:rsid w:val="000B1AAA"/>
    <w:rsid w:val="000B1B35"/>
    <w:rsid w:val="000B1CB5"/>
    <w:rsid w:val="000B1D4E"/>
    <w:rsid w:val="000B1DD7"/>
    <w:rsid w:val="000B1F8A"/>
    <w:rsid w:val="000B20B1"/>
    <w:rsid w:val="000B21D7"/>
    <w:rsid w:val="000B223D"/>
    <w:rsid w:val="000B22A2"/>
    <w:rsid w:val="000B2318"/>
    <w:rsid w:val="000B26CA"/>
    <w:rsid w:val="000B2729"/>
    <w:rsid w:val="000B2786"/>
    <w:rsid w:val="000B293C"/>
    <w:rsid w:val="000B2B08"/>
    <w:rsid w:val="000B2BF7"/>
    <w:rsid w:val="000B2C12"/>
    <w:rsid w:val="000B2C36"/>
    <w:rsid w:val="000B2EB3"/>
    <w:rsid w:val="000B2F69"/>
    <w:rsid w:val="000B2F9A"/>
    <w:rsid w:val="000B2FF1"/>
    <w:rsid w:val="000B306A"/>
    <w:rsid w:val="000B3099"/>
    <w:rsid w:val="000B3104"/>
    <w:rsid w:val="000B32F9"/>
    <w:rsid w:val="000B33E8"/>
    <w:rsid w:val="000B35BA"/>
    <w:rsid w:val="000B398E"/>
    <w:rsid w:val="000B399E"/>
    <w:rsid w:val="000B3A9D"/>
    <w:rsid w:val="000B3A9F"/>
    <w:rsid w:val="000B3DD8"/>
    <w:rsid w:val="000B3E11"/>
    <w:rsid w:val="000B3E26"/>
    <w:rsid w:val="000B3EB6"/>
    <w:rsid w:val="000B4011"/>
    <w:rsid w:val="000B42ED"/>
    <w:rsid w:val="000B4337"/>
    <w:rsid w:val="000B4461"/>
    <w:rsid w:val="000B45B0"/>
    <w:rsid w:val="000B4960"/>
    <w:rsid w:val="000B49A9"/>
    <w:rsid w:val="000B4B6A"/>
    <w:rsid w:val="000B4C28"/>
    <w:rsid w:val="000B4C8A"/>
    <w:rsid w:val="000B4D3D"/>
    <w:rsid w:val="000B4FE8"/>
    <w:rsid w:val="000B50AA"/>
    <w:rsid w:val="000B51E9"/>
    <w:rsid w:val="000B526F"/>
    <w:rsid w:val="000B5648"/>
    <w:rsid w:val="000B5651"/>
    <w:rsid w:val="000B570B"/>
    <w:rsid w:val="000B5752"/>
    <w:rsid w:val="000B5809"/>
    <w:rsid w:val="000B5950"/>
    <w:rsid w:val="000B5C4A"/>
    <w:rsid w:val="000B5CF7"/>
    <w:rsid w:val="000B5D1A"/>
    <w:rsid w:val="000B5DA7"/>
    <w:rsid w:val="000B5DD7"/>
    <w:rsid w:val="000B5E69"/>
    <w:rsid w:val="000B611F"/>
    <w:rsid w:val="000B62F5"/>
    <w:rsid w:val="000B638B"/>
    <w:rsid w:val="000B667B"/>
    <w:rsid w:val="000B6867"/>
    <w:rsid w:val="000B6977"/>
    <w:rsid w:val="000B7007"/>
    <w:rsid w:val="000B7037"/>
    <w:rsid w:val="000B734E"/>
    <w:rsid w:val="000B7490"/>
    <w:rsid w:val="000B7560"/>
    <w:rsid w:val="000B7603"/>
    <w:rsid w:val="000B7896"/>
    <w:rsid w:val="000B7BB9"/>
    <w:rsid w:val="000B7D14"/>
    <w:rsid w:val="000B7D44"/>
    <w:rsid w:val="000B7E59"/>
    <w:rsid w:val="000B7F06"/>
    <w:rsid w:val="000B7FE3"/>
    <w:rsid w:val="000C000F"/>
    <w:rsid w:val="000C0249"/>
    <w:rsid w:val="000C05EC"/>
    <w:rsid w:val="000C0607"/>
    <w:rsid w:val="000C06AA"/>
    <w:rsid w:val="000C090B"/>
    <w:rsid w:val="000C0950"/>
    <w:rsid w:val="000C0DAA"/>
    <w:rsid w:val="000C0DC1"/>
    <w:rsid w:val="000C0ED0"/>
    <w:rsid w:val="000C0F7F"/>
    <w:rsid w:val="000C15D3"/>
    <w:rsid w:val="000C1623"/>
    <w:rsid w:val="000C1682"/>
    <w:rsid w:val="000C1883"/>
    <w:rsid w:val="000C1C5C"/>
    <w:rsid w:val="000C1C6F"/>
    <w:rsid w:val="000C1CAF"/>
    <w:rsid w:val="000C1D33"/>
    <w:rsid w:val="000C20A5"/>
    <w:rsid w:val="000C20C9"/>
    <w:rsid w:val="000C2515"/>
    <w:rsid w:val="000C2783"/>
    <w:rsid w:val="000C2813"/>
    <w:rsid w:val="000C2891"/>
    <w:rsid w:val="000C29C9"/>
    <w:rsid w:val="000C2A48"/>
    <w:rsid w:val="000C2CAE"/>
    <w:rsid w:val="000C2CC0"/>
    <w:rsid w:val="000C2D7C"/>
    <w:rsid w:val="000C2EE6"/>
    <w:rsid w:val="000C30A7"/>
    <w:rsid w:val="000C30FA"/>
    <w:rsid w:val="000C312C"/>
    <w:rsid w:val="000C32B3"/>
    <w:rsid w:val="000C3471"/>
    <w:rsid w:val="000C34E3"/>
    <w:rsid w:val="000C35F6"/>
    <w:rsid w:val="000C375E"/>
    <w:rsid w:val="000C37DA"/>
    <w:rsid w:val="000C3834"/>
    <w:rsid w:val="000C397A"/>
    <w:rsid w:val="000C3A98"/>
    <w:rsid w:val="000C3C51"/>
    <w:rsid w:val="000C3D29"/>
    <w:rsid w:val="000C3DEF"/>
    <w:rsid w:val="000C3F1A"/>
    <w:rsid w:val="000C40E1"/>
    <w:rsid w:val="000C44C9"/>
    <w:rsid w:val="000C45D9"/>
    <w:rsid w:val="000C469C"/>
    <w:rsid w:val="000C476D"/>
    <w:rsid w:val="000C4797"/>
    <w:rsid w:val="000C4A25"/>
    <w:rsid w:val="000C4B4E"/>
    <w:rsid w:val="000C4C1B"/>
    <w:rsid w:val="000C4CFF"/>
    <w:rsid w:val="000C5348"/>
    <w:rsid w:val="000C535D"/>
    <w:rsid w:val="000C5569"/>
    <w:rsid w:val="000C55DC"/>
    <w:rsid w:val="000C57A0"/>
    <w:rsid w:val="000C57D4"/>
    <w:rsid w:val="000C5903"/>
    <w:rsid w:val="000C5BEC"/>
    <w:rsid w:val="000C5D0F"/>
    <w:rsid w:val="000C5E71"/>
    <w:rsid w:val="000C5EEA"/>
    <w:rsid w:val="000C600E"/>
    <w:rsid w:val="000C610C"/>
    <w:rsid w:val="000C61E1"/>
    <w:rsid w:val="000C642B"/>
    <w:rsid w:val="000C6590"/>
    <w:rsid w:val="000C6659"/>
    <w:rsid w:val="000C666F"/>
    <w:rsid w:val="000C67EE"/>
    <w:rsid w:val="000C6A71"/>
    <w:rsid w:val="000C6BFD"/>
    <w:rsid w:val="000C6CBF"/>
    <w:rsid w:val="000C6E09"/>
    <w:rsid w:val="000C7033"/>
    <w:rsid w:val="000C7119"/>
    <w:rsid w:val="000C732E"/>
    <w:rsid w:val="000C739C"/>
    <w:rsid w:val="000C73FF"/>
    <w:rsid w:val="000C77CA"/>
    <w:rsid w:val="000C77DA"/>
    <w:rsid w:val="000C7918"/>
    <w:rsid w:val="000C79B1"/>
    <w:rsid w:val="000C79E0"/>
    <w:rsid w:val="000C7CBC"/>
    <w:rsid w:val="000C7D7C"/>
    <w:rsid w:val="000C7F49"/>
    <w:rsid w:val="000D001F"/>
    <w:rsid w:val="000D0043"/>
    <w:rsid w:val="000D00B8"/>
    <w:rsid w:val="000D01B9"/>
    <w:rsid w:val="000D0238"/>
    <w:rsid w:val="000D0694"/>
    <w:rsid w:val="000D0698"/>
    <w:rsid w:val="000D069E"/>
    <w:rsid w:val="000D06AF"/>
    <w:rsid w:val="000D072C"/>
    <w:rsid w:val="000D0772"/>
    <w:rsid w:val="000D0921"/>
    <w:rsid w:val="000D0A5F"/>
    <w:rsid w:val="000D0C86"/>
    <w:rsid w:val="000D0D01"/>
    <w:rsid w:val="000D0D2F"/>
    <w:rsid w:val="000D0E40"/>
    <w:rsid w:val="000D1090"/>
    <w:rsid w:val="000D1239"/>
    <w:rsid w:val="000D14FA"/>
    <w:rsid w:val="000D1A4F"/>
    <w:rsid w:val="000D1B19"/>
    <w:rsid w:val="000D1B6C"/>
    <w:rsid w:val="000D1BB3"/>
    <w:rsid w:val="000D1BC2"/>
    <w:rsid w:val="000D1CDE"/>
    <w:rsid w:val="000D1CF5"/>
    <w:rsid w:val="000D1F73"/>
    <w:rsid w:val="000D216B"/>
    <w:rsid w:val="000D230A"/>
    <w:rsid w:val="000D2424"/>
    <w:rsid w:val="000D279D"/>
    <w:rsid w:val="000D280C"/>
    <w:rsid w:val="000D290E"/>
    <w:rsid w:val="000D2C5D"/>
    <w:rsid w:val="000D2E5B"/>
    <w:rsid w:val="000D2F8B"/>
    <w:rsid w:val="000D2FBA"/>
    <w:rsid w:val="000D2FD2"/>
    <w:rsid w:val="000D3115"/>
    <w:rsid w:val="000D3127"/>
    <w:rsid w:val="000D340A"/>
    <w:rsid w:val="000D35A7"/>
    <w:rsid w:val="000D35CE"/>
    <w:rsid w:val="000D3631"/>
    <w:rsid w:val="000D36CE"/>
    <w:rsid w:val="000D3737"/>
    <w:rsid w:val="000D37C6"/>
    <w:rsid w:val="000D383C"/>
    <w:rsid w:val="000D383F"/>
    <w:rsid w:val="000D38F4"/>
    <w:rsid w:val="000D39FC"/>
    <w:rsid w:val="000D3BB4"/>
    <w:rsid w:val="000D3E31"/>
    <w:rsid w:val="000D3E64"/>
    <w:rsid w:val="000D3EB7"/>
    <w:rsid w:val="000D41FF"/>
    <w:rsid w:val="000D427C"/>
    <w:rsid w:val="000D4450"/>
    <w:rsid w:val="000D44B1"/>
    <w:rsid w:val="000D4573"/>
    <w:rsid w:val="000D46DB"/>
    <w:rsid w:val="000D472B"/>
    <w:rsid w:val="000D4783"/>
    <w:rsid w:val="000D47A9"/>
    <w:rsid w:val="000D4AFA"/>
    <w:rsid w:val="000D4DBD"/>
    <w:rsid w:val="000D4EE0"/>
    <w:rsid w:val="000D5116"/>
    <w:rsid w:val="000D52A4"/>
    <w:rsid w:val="000D533F"/>
    <w:rsid w:val="000D5625"/>
    <w:rsid w:val="000D569B"/>
    <w:rsid w:val="000D5812"/>
    <w:rsid w:val="000D59B5"/>
    <w:rsid w:val="000D59E4"/>
    <w:rsid w:val="000D5ABA"/>
    <w:rsid w:val="000D5B0C"/>
    <w:rsid w:val="000D5B7C"/>
    <w:rsid w:val="000D5B89"/>
    <w:rsid w:val="000D5C4F"/>
    <w:rsid w:val="000D5D19"/>
    <w:rsid w:val="000D5F16"/>
    <w:rsid w:val="000D6008"/>
    <w:rsid w:val="000D608C"/>
    <w:rsid w:val="000D60ED"/>
    <w:rsid w:val="000D6358"/>
    <w:rsid w:val="000D647C"/>
    <w:rsid w:val="000D64CC"/>
    <w:rsid w:val="000D64ED"/>
    <w:rsid w:val="000D6612"/>
    <w:rsid w:val="000D68E2"/>
    <w:rsid w:val="000D6903"/>
    <w:rsid w:val="000D6A98"/>
    <w:rsid w:val="000D6C42"/>
    <w:rsid w:val="000D6C5A"/>
    <w:rsid w:val="000D6DA4"/>
    <w:rsid w:val="000D6E0A"/>
    <w:rsid w:val="000D6E37"/>
    <w:rsid w:val="000D6F26"/>
    <w:rsid w:val="000D6F85"/>
    <w:rsid w:val="000D707F"/>
    <w:rsid w:val="000D709D"/>
    <w:rsid w:val="000D70BD"/>
    <w:rsid w:val="000D7190"/>
    <w:rsid w:val="000D72EE"/>
    <w:rsid w:val="000D7480"/>
    <w:rsid w:val="000D7639"/>
    <w:rsid w:val="000D7CC1"/>
    <w:rsid w:val="000D7F13"/>
    <w:rsid w:val="000D7F33"/>
    <w:rsid w:val="000E0077"/>
    <w:rsid w:val="000E01C6"/>
    <w:rsid w:val="000E03C4"/>
    <w:rsid w:val="000E040E"/>
    <w:rsid w:val="000E04CF"/>
    <w:rsid w:val="000E0608"/>
    <w:rsid w:val="000E0651"/>
    <w:rsid w:val="000E082E"/>
    <w:rsid w:val="000E08A9"/>
    <w:rsid w:val="000E09F2"/>
    <w:rsid w:val="000E0A51"/>
    <w:rsid w:val="000E0AA2"/>
    <w:rsid w:val="000E0B67"/>
    <w:rsid w:val="000E0CBF"/>
    <w:rsid w:val="000E0DCE"/>
    <w:rsid w:val="000E0FD7"/>
    <w:rsid w:val="000E108A"/>
    <w:rsid w:val="000E1203"/>
    <w:rsid w:val="000E135F"/>
    <w:rsid w:val="000E13B2"/>
    <w:rsid w:val="000E1421"/>
    <w:rsid w:val="000E1587"/>
    <w:rsid w:val="000E15BD"/>
    <w:rsid w:val="000E167F"/>
    <w:rsid w:val="000E1682"/>
    <w:rsid w:val="000E185A"/>
    <w:rsid w:val="000E19B1"/>
    <w:rsid w:val="000E19B2"/>
    <w:rsid w:val="000E1CF6"/>
    <w:rsid w:val="000E1DD8"/>
    <w:rsid w:val="000E2187"/>
    <w:rsid w:val="000E2264"/>
    <w:rsid w:val="000E241F"/>
    <w:rsid w:val="000E2477"/>
    <w:rsid w:val="000E248C"/>
    <w:rsid w:val="000E24B1"/>
    <w:rsid w:val="000E25EE"/>
    <w:rsid w:val="000E264C"/>
    <w:rsid w:val="000E269F"/>
    <w:rsid w:val="000E293D"/>
    <w:rsid w:val="000E297D"/>
    <w:rsid w:val="000E2A59"/>
    <w:rsid w:val="000E2E9E"/>
    <w:rsid w:val="000E2F55"/>
    <w:rsid w:val="000E30E7"/>
    <w:rsid w:val="000E338D"/>
    <w:rsid w:val="000E33AD"/>
    <w:rsid w:val="000E380E"/>
    <w:rsid w:val="000E38D6"/>
    <w:rsid w:val="000E38E7"/>
    <w:rsid w:val="000E393F"/>
    <w:rsid w:val="000E3F26"/>
    <w:rsid w:val="000E3F59"/>
    <w:rsid w:val="000E400C"/>
    <w:rsid w:val="000E418E"/>
    <w:rsid w:val="000E41B9"/>
    <w:rsid w:val="000E47DE"/>
    <w:rsid w:val="000E4889"/>
    <w:rsid w:val="000E488E"/>
    <w:rsid w:val="000E4AA1"/>
    <w:rsid w:val="000E4D00"/>
    <w:rsid w:val="000E4DB5"/>
    <w:rsid w:val="000E4EFF"/>
    <w:rsid w:val="000E503C"/>
    <w:rsid w:val="000E50AD"/>
    <w:rsid w:val="000E5161"/>
    <w:rsid w:val="000E531D"/>
    <w:rsid w:val="000E536F"/>
    <w:rsid w:val="000E53C9"/>
    <w:rsid w:val="000E54FA"/>
    <w:rsid w:val="000E56BE"/>
    <w:rsid w:val="000E56D2"/>
    <w:rsid w:val="000E56F5"/>
    <w:rsid w:val="000E5748"/>
    <w:rsid w:val="000E5A5D"/>
    <w:rsid w:val="000E5CFA"/>
    <w:rsid w:val="000E5E05"/>
    <w:rsid w:val="000E602F"/>
    <w:rsid w:val="000E6251"/>
    <w:rsid w:val="000E62BF"/>
    <w:rsid w:val="000E63E7"/>
    <w:rsid w:val="000E641F"/>
    <w:rsid w:val="000E6599"/>
    <w:rsid w:val="000E6705"/>
    <w:rsid w:val="000E6862"/>
    <w:rsid w:val="000E6CFE"/>
    <w:rsid w:val="000E6CFF"/>
    <w:rsid w:val="000E6D9E"/>
    <w:rsid w:val="000E6DFA"/>
    <w:rsid w:val="000E6FA0"/>
    <w:rsid w:val="000E7209"/>
    <w:rsid w:val="000E7253"/>
    <w:rsid w:val="000E777D"/>
    <w:rsid w:val="000E77CA"/>
    <w:rsid w:val="000E791F"/>
    <w:rsid w:val="000E7A47"/>
    <w:rsid w:val="000E7B34"/>
    <w:rsid w:val="000E7C7B"/>
    <w:rsid w:val="000E7DC2"/>
    <w:rsid w:val="000E7EB5"/>
    <w:rsid w:val="000E7F2A"/>
    <w:rsid w:val="000F00A0"/>
    <w:rsid w:val="000F0288"/>
    <w:rsid w:val="000F029E"/>
    <w:rsid w:val="000F03A3"/>
    <w:rsid w:val="000F03AE"/>
    <w:rsid w:val="000F05B1"/>
    <w:rsid w:val="000F0726"/>
    <w:rsid w:val="000F07F5"/>
    <w:rsid w:val="000F0930"/>
    <w:rsid w:val="000F0A88"/>
    <w:rsid w:val="000F0C56"/>
    <w:rsid w:val="000F0E0D"/>
    <w:rsid w:val="000F0FF6"/>
    <w:rsid w:val="000F1179"/>
    <w:rsid w:val="000F117C"/>
    <w:rsid w:val="000F1296"/>
    <w:rsid w:val="000F12AC"/>
    <w:rsid w:val="000F13CB"/>
    <w:rsid w:val="000F1413"/>
    <w:rsid w:val="000F1460"/>
    <w:rsid w:val="000F16F3"/>
    <w:rsid w:val="000F1816"/>
    <w:rsid w:val="000F1863"/>
    <w:rsid w:val="000F18C6"/>
    <w:rsid w:val="000F195F"/>
    <w:rsid w:val="000F1A5A"/>
    <w:rsid w:val="000F1AEA"/>
    <w:rsid w:val="000F1B23"/>
    <w:rsid w:val="000F1D75"/>
    <w:rsid w:val="000F233F"/>
    <w:rsid w:val="000F2612"/>
    <w:rsid w:val="000F2668"/>
    <w:rsid w:val="000F2933"/>
    <w:rsid w:val="000F29EC"/>
    <w:rsid w:val="000F2B38"/>
    <w:rsid w:val="000F2C58"/>
    <w:rsid w:val="000F2F38"/>
    <w:rsid w:val="000F30E1"/>
    <w:rsid w:val="000F30FA"/>
    <w:rsid w:val="000F310F"/>
    <w:rsid w:val="000F315C"/>
    <w:rsid w:val="000F31D6"/>
    <w:rsid w:val="000F32AF"/>
    <w:rsid w:val="000F34D0"/>
    <w:rsid w:val="000F3609"/>
    <w:rsid w:val="000F372E"/>
    <w:rsid w:val="000F399C"/>
    <w:rsid w:val="000F3A11"/>
    <w:rsid w:val="000F3A75"/>
    <w:rsid w:val="000F3D2A"/>
    <w:rsid w:val="000F3DB8"/>
    <w:rsid w:val="000F3E8F"/>
    <w:rsid w:val="000F3FC1"/>
    <w:rsid w:val="000F4165"/>
    <w:rsid w:val="000F42CC"/>
    <w:rsid w:val="000F434D"/>
    <w:rsid w:val="000F4484"/>
    <w:rsid w:val="000F44B8"/>
    <w:rsid w:val="000F4666"/>
    <w:rsid w:val="000F4A36"/>
    <w:rsid w:val="000F4A9B"/>
    <w:rsid w:val="000F4E1A"/>
    <w:rsid w:val="000F4E97"/>
    <w:rsid w:val="000F4F65"/>
    <w:rsid w:val="000F5180"/>
    <w:rsid w:val="000F5366"/>
    <w:rsid w:val="000F537D"/>
    <w:rsid w:val="000F53DE"/>
    <w:rsid w:val="000F53E3"/>
    <w:rsid w:val="000F54C2"/>
    <w:rsid w:val="000F5698"/>
    <w:rsid w:val="000F58CA"/>
    <w:rsid w:val="000F5A07"/>
    <w:rsid w:val="000F5B8F"/>
    <w:rsid w:val="000F5B96"/>
    <w:rsid w:val="000F5C54"/>
    <w:rsid w:val="000F5C64"/>
    <w:rsid w:val="000F5C79"/>
    <w:rsid w:val="000F5CE1"/>
    <w:rsid w:val="000F5D92"/>
    <w:rsid w:val="000F5E5B"/>
    <w:rsid w:val="000F5EDD"/>
    <w:rsid w:val="000F5EEF"/>
    <w:rsid w:val="000F5F26"/>
    <w:rsid w:val="000F61C9"/>
    <w:rsid w:val="000F633B"/>
    <w:rsid w:val="000F6364"/>
    <w:rsid w:val="000F63C6"/>
    <w:rsid w:val="000F6484"/>
    <w:rsid w:val="000F6732"/>
    <w:rsid w:val="000F6974"/>
    <w:rsid w:val="000F6B31"/>
    <w:rsid w:val="000F6BB3"/>
    <w:rsid w:val="000F6C76"/>
    <w:rsid w:val="000F6C97"/>
    <w:rsid w:val="000F6CA8"/>
    <w:rsid w:val="000F6D74"/>
    <w:rsid w:val="000F6E5A"/>
    <w:rsid w:val="000F6F5E"/>
    <w:rsid w:val="000F7100"/>
    <w:rsid w:val="000F7649"/>
    <w:rsid w:val="000F7772"/>
    <w:rsid w:val="000F7946"/>
    <w:rsid w:val="000F7A73"/>
    <w:rsid w:val="000F7AF4"/>
    <w:rsid w:val="000F7BFC"/>
    <w:rsid w:val="000F7C50"/>
    <w:rsid w:val="000F7D55"/>
    <w:rsid w:val="000F7DEC"/>
    <w:rsid w:val="001000FE"/>
    <w:rsid w:val="001004B3"/>
    <w:rsid w:val="00100754"/>
    <w:rsid w:val="00100840"/>
    <w:rsid w:val="00100932"/>
    <w:rsid w:val="00100C6F"/>
    <w:rsid w:val="00100E3B"/>
    <w:rsid w:val="00100EDF"/>
    <w:rsid w:val="001010D1"/>
    <w:rsid w:val="00101637"/>
    <w:rsid w:val="001016D7"/>
    <w:rsid w:val="0010170C"/>
    <w:rsid w:val="0010184C"/>
    <w:rsid w:val="00101860"/>
    <w:rsid w:val="001018C5"/>
    <w:rsid w:val="001019CE"/>
    <w:rsid w:val="00101D97"/>
    <w:rsid w:val="00101E63"/>
    <w:rsid w:val="001020DC"/>
    <w:rsid w:val="00102110"/>
    <w:rsid w:val="001022B5"/>
    <w:rsid w:val="00102CDD"/>
    <w:rsid w:val="00102E91"/>
    <w:rsid w:val="001030E8"/>
    <w:rsid w:val="001038EC"/>
    <w:rsid w:val="001038FA"/>
    <w:rsid w:val="00103AC4"/>
    <w:rsid w:val="00103D31"/>
    <w:rsid w:val="00103E84"/>
    <w:rsid w:val="00103F7A"/>
    <w:rsid w:val="00103FCB"/>
    <w:rsid w:val="00104027"/>
    <w:rsid w:val="001041DA"/>
    <w:rsid w:val="001041F7"/>
    <w:rsid w:val="001042B1"/>
    <w:rsid w:val="00104451"/>
    <w:rsid w:val="00104C05"/>
    <w:rsid w:val="00104CC7"/>
    <w:rsid w:val="00104DA0"/>
    <w:rsid w:val="00104E3D"/>
    <w:rsid w:val="00104FAA"/>
    <w:rsid w:val="001052FD"/>
    <w:rsid w:val="00105362"/>
    <w:rsid w:val="00105422"/>
    <w:rsid w:val="00105438"/>
    <w:rsid w:val="001055FC"/>
    <w:rsid w:val="00105749"/>
    <w:rsid w:val="00105A8A"/>
    <w:rsid w:val="00105DBD"/>
    <w:rsid w:val="00105DCF"/>
    <w:rsid w:val="00106075"/>
    <w:rsid w:val="0010607C"/>
    <w:rsid w:val="0010612B"/>
    <w:rsid w:val="00106253"/>
    <w:rsid w:val="001063AA"/>
    <w:rsid w:val="0010686A"/>
    <w:rsid w:val="00106913"/>
    <w:rsid w:val="00106915"/>
    <w:rsid w:val="00106947"/>
    <w:rsid w:val="00106C2F"/>
    <w:rsid w:val="00106C37"/>
    <w:rsid w:val="00106E71"/>
    <w:rsid w:val="00107055"/>
    <w:rsid w:val="0010713A"/>
    <w:rsid w:val="001072CE"/>
    <w:rsid w:val="0010768B"/>
    <w:rsid w:val="00107800"/>
    <w:rsid w:val="00107895"/>
    <w:rsid w:val="001078B0"/>
    <w:rsid w:val="00107B6A"/>
    <w:rsid w:val="00107C4E"/>
    <w:rsid w:val="00107D52"/>
    <w:rsid w:val="00107E6C"/>
    <w:rsid w:val="00107EC8"/>
    <w:rsid w:val="00107FC0"/>
    <w:rsid w:val="0011002B"/>
    <w:rsid w:val="0011014B"/>
    <w:rsid w:val="00110207"/>
    <w:rsid w:val="00110289"/>
    <w:rsid w:val="0011034B"/>
    <w:rsid w:val="00110394"/>
    <w:rsid w:val="001103A1"/>
    <w:rsid w:val="001105DD"/>
    <w:rsid w:val="00110862"/>
    <w:rsid w:val="0011092C"/>
    <w:rsid w:val="001109F8"/>
    <w:rsid w:val="00110AB3"/>
    <w:rsid w:val="00110AFC"/>
    <w:rsid w:val="00110D64"/>
    <w:rsid w:val="00111017"/>
    <w:rsid w:val="001110A9"/>
    <w:rsid w:val="001110D5"/>
    <w:rsid w:val="0011111D"/>
    <w:rsid w:val="00111264"/>
    <w:rsid w:val="00111346"/>
    <w:rsid w:val="00111481"/>
    <w:rsid w:val="0011157E"/>
    <w:rsid w:val="00111646"/>
    <w:rsid w:val="001116B4"/>
    <w:rsid w:val="00111845"/>
    <w:rsid w:val="00111916"/>
    <w:rsid w:val="00111947"/>
    <w:rsid w:val="001119FB"/>
    <w:rsid w:val="00111E04"/>
    <w:rsid w:val="00111EE5"/>
    <w:rsid w:val="0011205D"/>
    <w:rsid w:val="00112255"/>
    <w:rsid w:val="001122C6"/>
    <w:rsid w:val="001124CE"/>
    <w:rsid w:val="001124EA"/>
    <w:rsid w:val="0011252E"/>
    <w:rsid w:val="001126B1"/>
    <w:rsid w:val="00112707"/>
    <w:rsid w:val="0011277C"/>
    <w:rsid w:val="001127BD"/>
    <w:rsid w:val="001128FE"/>
    <w:rsid w:val="00113119"/>
    <w:rsid w:val="00113224"/>
    <w:rsid w:val="00113344"/>
    <w:rsid w:val="00113377"/>
    <w:rsid w:val="001133B8"/>
    <w:rsid w:val="001134A1"/>
    <w:rsid w:val="00113666"/>
    <w:rsid w:val="00113823"/>
    <w:rsid w:val="00113A15"/>
    <w:rsid w:val="00113B5C"/>
    <w:rsid w:val="00113CA7"/>
    <w:rsid w:val="00113EC8"/>
    <w:rsid w:val="00113EDD"/>
    <w:rsid w:val="00113F7C"/>
    <w:rsid w:val="001140E1"/>
    <w:rsid w:val="0011447B"/>
    <w:rsid w:val="00114A13"/>
    <w:rsid w:val="00114A4E"/>
    <w:rsid w:val="00114AC6"/>
    <w:rsid w:val="00114D32"/>
    <w:rsid w:val="00115327"/>
    <w:rsid w:val="001156FF"/>
    <w:rsid w:val="001157C3"/>
    <w:rsid w:val="001157D0"/>
    <w:rsid w:val="001159B7"/>
    <w:rsid w:val="001159D2"/>
    <w:rsid w:val="00115A8E"/>
    <w:rsid w:val="00115AD8"/>
    <w:rsid w:val="00115B21"/>
    <w:rsid w:val="00115C12"/>
    <w:rsid w:val="00115DC8"/>
    <w:rsid w:val="00115F55"/>
    <w:rsid w:val="001164F3"/>
    <w:rsid w:val="00116954"/>
    <w:rsid w:val="00116A56"/>
    <w:rsid w:val="00116A9B"/>
    <w:rsid w:val="00116BF2"/>
    <w:rsid w:val="00116D51"/>
    <w:rsid w:val="00116E1E"/>
    <w:rsid w:val="00116E3C"/>
    <w:rsid w:val="00117106"/>
    <w:rsid w:val="00117270"/>
    <w:rsid w:val="0011734F"/>
    <w:rsid w:val="001175D0"/>
    <w:rsid w:val="00117675"/>
    <w:rsid w:val="00117997"/>
    <w:rsid w:val="00117AD4"/>
    <w:rsid w:val="00117AE5"/>
    <w:rsid w:val="00117B31"/>
    <w:rsid w:val="00117CBA"/>
    <w:rsid w:val="00117D24"/>
    <w:rsid w:val="00117FC4"/>
    <w:rsid w:val="00120235"/>
    <w:rsid w:val="001202A8"/>
    <w:rsid w:val="001202DB"/>
    <w:rsid w:val="0012033B"/>
    <w:rsid w:val="00120425"/>
    <w:rsid w:val="00120454"/>
    <w:rsid w:val="001204A2"/>
    <w:rsid w:val="0012068A"/>
    <w:rsid w:val="001206EF"/>
    <w:rsid w:val="0012098D"/>
    <w:rsid w:val="001209C7"/>
    <w:rsid w:val="00120A95"/>
    <w:rsid w:val="00120AEB"/>
    <w:rsid w:val="00120DA9"/>
    <w:rsid w:val="00120DFA"/>
    <w:rsid w:val="00120FAB"/>
    <w:rsid w:val="00121409"/>
    <w:rsid w:val="00121622"/>
    <w:rsid w:val="001217C7"/>
    <w:rsid w:val="00121A99"/>
    <w:rsid w:val="00121B52"/>
    <w:rsid w:val="00121C64"/>
    <w:rsid w:val="00121CCB"/>
    <w:rsid w:val="00121F0C"/>
    <w:rsid w:val="0012207C"/>
    <w:rsid w:val="001221BB"/>
    <w:rsid w:val="00122508"/>
    <w:rsid w:val="0012253E"/>
    <w:rsid w:val="0012253F"/>
    <w:rsid w:val="001225C2"/>
    <w:rsid w:val="00122663"/>
    <w:rsid w:val="001226B6"/>
    <w:rsid w:val="0012272B"/>
    <w:rsid w:val="001227CB"/>
    <w:rsid w:val="0012296C"/>
    <w:rsid w:val="00122D43"/>
    <w:rsid w:val="00122F70"/>
    <w:rsid w:val="00122F83"/>
    <w:rsid w:val="00122FB3"/>
    <w:rsid w:val="00122FCB"/>
    <w:rsid w:val="00123112"/>
    <w:rsid w:val="00123398"/>
    <w:rsid w:val="0012346C"/>
    <w:rsid w:val="001236D4"/>
    <w:rsid w:val="00123701"/>
    <w:rsid w:val="001239D4"/>
    <w:rsid w:val="00123B93"/>
    <w:rsid w:val="00123E5E"/>
    <w:rsid w:val="00124054"/>
    <w:rsid w:val="00124063"/>
    <w:rsid w:val="0012408F"/>
    <w:rsid w:val="00124238"/>
    <w:rsid w:val="0012425C"/>
    <w:rsid w:val="001242B4"/>
    <w:rsid w:val="001243C9"/>
    <w:rsid w:val="001245F1"/>
    <w:rsid w:val="0012481C"/>
    <w:rsid w:val="0012499D"/>
    <w:rsid w:val="00124B0D"/>
    <w:rsid w:val="00124BD9"/>
    <w:rsid w:val="00124D59"/>
    <w:rsid w:val="00125134"/>
    <w:rsid w:val="00125297"/>
    <w:rsid w:val="00125340"/>
    <w:rsid w:val="00125357"/>
    <w:rsid w:val="0012555B"/>
    <w:rsid w:val="00125792"/>
    <w:rsid w:val="00125864"/>
    <w:rsid w:val="00125954"/>
    <w:rsid w:val="001259A9"/>
    <w:rsid w:val="00125BE9"/>
    <w:rsid w:val="00125BFF"/>
    <w:rsid w:val="00125C32"/>
    <w:rsid w:val="00125F29"/>
    <w:rsid w:val="00125F72"/>
    <w:rsid w:val="00125F92"/>
    <w:rsid w:val="001261F7"/>
    <w:rsid w:val="00126483"/>
    <w:rsid w:val="0012670F"/>
    <w:rsid w:val="00126774"/>
    <w:rsid w:val="0012677E"/>
    <w:rsid w:val="001267BB"/>
    <w:rsid w:val="00126AEF"/>
    <w:rsid w:val="00126C0D"/>
    <w:rsid w:val="00126C4D"/>
    <w:rsid w:val="00126E88"/>
    <w:rsid w:val="00127021"/>
    <w:rsid w:val="001270AE"/>
    <w:rsid w:val="0012714B"/>
    <w:rsid w:val="00127166"/>
    <w:rsid w:val="001271E2"/>
    <w:rsid w:val="00127214"/>
    <w:rsid w:val="0012742F"/>
    <w:rsid w:val="00127836"/>
    <w:rsid w:val="00127900"/>
    <w:rsid w:val="00127912"/>
    <w:rsid w:val="0012796D"/>
    <w:rsid w:val="00127A9E"/>
    <w:rsid w:val="00127AAD"/>
    <w:rsid w:val="00127AAE"/>
    <w:rsid w:val="00127BB6"/>
    <w:rsid w:val="00127DC7"/>
    <w:rsid w:val="00127F1A"/>
    <w:rsid w:val="0013001A"/>
    <w:rsid w:val="00130497"/>
    <w:rsid w:val="001305D5"/>
    <w:rsid w:val="0013087F"/>
    <w:rsid w:val="00130AED"/>
    <w:rsid w:val="00131100"/>
    <w:rsid w:val="00131165"/>
    <w:rsid w:val="001311F2"/>
    <w:rsid w:val="00131316"/>
    <w:rsid w:val="001315E1"/>
    <w:rsid w:val="001317A3"/>
    <w:rsid w:val="001317EC"/>
    <w:rsid w:val="00131996"/>
    <w:rsid w:val="00131A41"/>
    <w:rsid w:val="00131B89"/>
    <w:rsid w:val="00131BBA"/>
    <w:rsid w:val="00131C77"/>
    <w:rsid w:val="00131D34"/>
    <w:rsid w:val="00131DEB"/>
    <w:rsid w:val="00131EDE"/>
    <w:rsid w:val="00132465"/>
    <w:rsid w:val="001327C0"/>
    <w:rsid w:val="00132919"/>
    <w:rsid w:val="00132938"/>
    <w:rsid w:val="00132973"/>
    <w:rsid w:val="00132ACF"/>
    <w:rsid w:val="00132AFD"/>
    <w:rsid w:val="00132B4F"/>
    <w:rsid w:val="00132C3C"/>
    <w:rsid w:val="00132DDE"/>
    <w:rsid w:val="001330F2"/>
    <w:rsid w:val="00133102"/>
    <w:rsid w:val="00133206"/>
    <w:rsid w:val="0013335F"/>
    <w:rsid w:val="00133457"/>
    <w:rsid w:val="00133470"/>
    <w:rsid w:val="001335BA"/>
    <w:rsid w:val="00133914"/>
    <w:rsid w:val="00133939"/>
    <w:rsid w:val="00133B78"/>
    <w:rsid w:val="00133DFE"/>
    <w:rsid w:val="00133E18"/>
    <w:rsid w:val="00133FBF"/>
    <w:rsid w:val="00134022"/>
    <w:rsid w:val="001340B3"/>
    <w:rsid w:val="001340F7"/>
    <w:rsid w:val="001341A6"/>
    <w:rsid w:val="0013422D"/>
    <w:rsid w:val="001343CF"/>
    <w:rsid w:val="001345D4"/>
    <w:rsid w:val="001347CE"/>
    <w:rsid w:val="001349B8"/>
    <w:rsid w:val="001349FB"/>
    <w:rsid w:val="00134ACF"/>
    <w:rsid w:val="00134C3A"/>
    <w:rsid w:val="00134C46"/>
    <w:rsid w:val="00134CB0"/>
    <w:rsid w:val="00134D71"/>
    <w:rsid w:val="00134FBE"/>
    <w:rsid w:val="00135089"/>
    <w:rsid w:val="001351C9"/>
    <w:rsid w:val="00135226"/>
    <w:rsid w:val="0013540E"/>
    <w:rsid w:val="00135431"/>
    <w:rsid w:val="00135454"/>
    <w:rsid w:val="001354B2"/>
    <w:rsid w:val="001356EF"/>
    <w:rsid w:val="0013571D"/>
    <w:rsid w:val="0013585B"/>
    <w:rsid w:val="001358A3"/>
    <w:rsid w:val="0013593B"/>
    <w:rsid w:val="00135B3B"/>
    <w:rsid w:val="00135B8A"/>
    <w:rsid w:val="00135C0E"/>
    <w:rsid w:val="00135C96"/>
    <w:rsid w:val="00135F1C"/>
    <w:rsid w:val="001361E3"/>
    <w:rsid w:val="0013625E"/>
    <w:rsid w:val="00136368"/>
    <w:rsid w:val="001366B9"/>
    <w:rsid w:val="001367D7"/>
    <w:rsid w:val="0013684D"/>
    <w:rsid w:val="00136A90"/>
    <w:rsid w:val="00136B89"/>
    <w:rsid w:val="00136CC9"/>
    <w:rsid w:val="00136D6F"/>
    <w:rsid w:val="00136D84"/>
    <w:rsid w:val="00136F02"/>
    <w:rsid w:val="00136F71"/>
    <w:rsid w:val="001371FE"/>
    <w:rsid w:val="0013724D"/>
    <w:rsid w:val="001372B7"/>
    <w:rsid w:val="001376A3"/>
    <w:rsid w:val="001378C6"/>
    <w:rsid w:val="00137C5C"/>
    <w:rsid w:val="00137E87"/>
    <w:rsid w:val="001400EB"/>
    <w:rsid w:val="0014017A"/>
    <w:rsid w:val="00140276"/>
    <w:rsid w:val="00140316"/>
    <w:rsid w:val="0014032F"/>
    <w:rsid w:val="0014069A"/>
    <w:rsid w:val="00140737"/>
    <w:rsid w:val="001407E6"/>
    <w:rsid w:val="001409B9"/>
    <w:rsid w:val="00140A32"/>
    <w:rsid w:val="00140EFF"/>
    <w:rsid w:val="00140F55"/>
    <w:rsid w:val="0014110B"/>
    <w:rsid w:val="00141297"/>
    <w:rsid w:val="001413D5"/>
    <w:rsid w:val="001413FD"/>
    <w:rsid w:val="00141580"/>
    <w:rsid w:val="00141982"/>
    <w:rsid w:val="00141A7E"/>
    <w:rsid w:val="00141D85"/>
    <w:rsid w:val="00141DC3"/>
    <w:rsid w:val="00141E54"/>
    <w:rsid w:val="00141EBF"/>
    <w:rsid w:val="0014201E"/>
    <w:rsid w:val="00142098"/>
    <w:rsid w:val="0014235C"/>
    <w:rsid w:val="001423EA"/>
    <w:rsid w:val="0014263D"/>
    <w:rsid w:val="0014264F"/>
    <w:rsid w:val="00142816"/>
    <w:rsid w:val="001428E2"/>
    <w:rsid w:val="001429EC"/>
    <w:rsid w:val="00142AB7"/>
    <w:rsid w:val="00142BD1"/>
    <w:rsid w:val="00142BFE"/>
    <w:rsid w:val="00142C6D"/>
    <w:rsid w:val="00142CB2"/>
    <w:rsid w:val="00142F0E"/>
    <w:rsid w:val="001431C1"/>
    <w:rsid w:val="001431F8"/>
    <w:rsid w:val="00143376"/>
    <w:rsid w:val="001434D7"/>
    <w:rsid w:val="00143672"/>
    <w:rsid w:val="00143799"/>
    <w:rsid w:val="00143C02"/>
    <w:rsid w:val="00143C7F"/>
    <w:rsid w:val="00143EBD"/>
    <w:rsid w:val="00143F09"/>
    <w:rsid w:val="00143FAA"/>
    <w:rsid w:val="001441BE"/>
    <w:rsid w:val="0014431C"/>
    <w:rsid w:val="0014431E"/>
    <w:rsid w:val="00144363"/>
    <w:rsid w:val="001443F0"/>
    <w:rsid w:val="0014449B"/>
    <w:rsid w:val="0014451C"/>
    <w:rsid w:val="00144657"/>
    <w:rsid w:val="00144710"/>
    <w:rsid w:val="0014472D"/>
    <w:rsid w:val="001449EC"/>
    <w:rsid w:val="00144ADE"/>
    <w:rsid w:val="00144BA1"/>
    <w:rsid w:val="00144C62"/>
    <w:rsid w:val="00144D09"/>
    <w:rsid w:val="00144E72"/>
    <w:rsid w:val="00144F58"/>
    <w:rsid w:val="00145438"/>
    <w:rsid w:val="001455F1"/>
    <w:rsid w:val="00145687"/>
    <w:rsid w:val="00145843"/>
    <w:rsid w:val="001458A3"/>
    <w:rsid w:val="00145939"/>
    <w:rsid w:val="001459EB"/>
    <w:rsid w:val="00145A42"/>
    <w:rsid w:val="00145ACF"/>
    <w:rsid w:val="00145CDC"/>
    <w:rsid w:val="0014608F"/>
    <w:rsid w:val="00146124"/>
    <w:rsid w:val="00146301"/>
    <w:rsid w:val="0014631F"/>
    <w:rsid w:val="00146466"/>
    <w:rsid w:val="00146580"/>
    <w:rsid w:val="0014658E"/>
    <w:rsid w:val="001465FC"/>
    <w:rsid w:val="0014662D"/>
    <w:rsid w:val="001467FB"/>
    <w:rsid w:val="00146860"/>
    <w:rsid w:val="00146912"/>
    <w:rsid w:val="001469A7"/>
    <w:rsid w:val="00146AED"/>
    <w:rsid w:val="00146E62"/>
    <w:rsid w:val="00146FEB"/>
    <w:rsid w:val="001470A2"/>
    <w:rsid w:val="00147186"/>
    <w:rsid w:val="001471D4"/>
    <w:rsid w:val="001472E9"/>
    <w:rsid w:val="0014738F"/>
    <w:rsid w:val="001473EC"/>
    <w:rsid w:val="0014758E"/>
    <w:rsid w:val="001475F8"/>
    <w:rsid w:val="00147B30"/>
    <w:rsid w:val="00147F2E"/>
    <w:rsid w:val="001501CA"/>
    <w:rsid w:val="001501D7"/>
    <w:rsid w:val="00150241"/>
    <w:rsid w:val="00150477"/>
    <w:rsid w:val="00150674"/>
    <w:rsid w:val="001506D4"/>
    <w:rsid w:val="001507D3"/>
    <w:rsid w:val="001507F6"/>
    <w:rsid w:val="0015090C"/>
    <w:rsid w:val="0015091C"/>
    <w:rsid w:val="00150966"/>
    <w:rsid w:val="001509D9"/>
    <w:rsid w:val="001509DF"/>
    <w:rsid w:val="00150CC1"/>
    <w:rsid w:val="00150E18"/>
    <w:rsid w:val="001510C8"/>
    <w:rsid w:val="00151179"/>
    <w:rsid w:val="001511C7"/>
    <w:rsid w:val="0015132A"/>
    <w:rsid w:val="00151659"/>
    <w:rsid w:val="00151688"/>
    <w:rsid w:val="001517A7"/>
    <w:rsid w:val="00151A67"/>
    <w:rsid w:val="00151D2A"/>
    <w:rsid w:val="0015203B"/>
    <w:rsid w:val="001521B7"/>
    <w:rsid w:val="00152225"/>
    <w:rsid w:val="0015278A"/>
    <w:rsid w:val="00152812"/>
    <w:rsid w:val="00152923"/>
    <w:rsid w:val="00152A1D"/>
    <w:rsid w:val="00152B55"/>
    <w:rsid w:val="00152E9D"/>
    <w:rsid w:val="00152F65"/>
    <w:rsid w:val="001530D5"/>
    <w:rsid w:val="00153465"/>
    <w:rsid w:val="0015346B"/>
    <w:rsid w:val="0015346E"/>
    <w:rsid w:val="00153512"/>
    <w:rsid w:val="00153544"/>
    <w:rsid w:val="0015382E"/>
    <w:rsid w:val="001538EF"/>
    <w:rsid w:val="0015395C"/>
    <w:rsid w:val="00153EF1"/>
    <w:rsid w:val="00154170"/>
    <w:rsid w:val="00154175"/>
    <w:rsid w:val="001541DF"/>
    <w:rsid w:val="00154275"/>
    <w:rsid w:val="001544DF"/>
    <w:rsid w:val="00154511"/>
    <w:rsid w:val="00154653"/>
    <w:rsid w:val="001546E2"/>
    <w:rsid w:val="00154864"/>
    <w:rsid w:val="00154870"/>
    <w:rsid w:val="00154915"/>
    <w:rsid w:val="00154A59"/>
    <w:rsid w:val="00154B04"/>
    <w:rsid w:val="00154C57"/>
    <w:rsid w:val="00155605"/>
    <w:rsid w:val="0015582C"/>
    <w:rsid w:val="00155900"/>
    <w:rsid w:val="00155905"/>
    <w:rsid w:val="0015596A"/>
    <w:rsid w:val="00155BC7"/>
    <w:rsid w:val="00155D90"/>
    <w:rsid w:val="00155E6C"/>
    <w:rsid w:val="00155F84"/>
    <w:rsid w:val="00155FA8"/>
    <w:rsid w:val="00156097"/>
    <w:rsid w:val="001561C0"/>
    <w:rsid w:val="00156222"/>
    <w:rsid w:val="001562D6"/>
    <w:rsid w:val="00156440"/>
    <w:rsid w:val="001564F7"/>
    <w:rsid w:val="0015652A"/>
    <w:rsid w:val="0015675A"/>
    <w:rsid w:val="001567C5"/>
    <w:rsid w:val="0015691B"/>
    <w:rsid w:val="00156AD3"/>
    <w:rsid w:val="00156F7E"/>
    <w:rsid w:val="00156FF7"/>
    <w:rsid w:val="00157142"/>
    <w:rsid w:val="001572AD"/>
    <w:rsid w:val="001573BD"/>
    <w:rsid w:val="001575F6"/>
    <w:rsid w:val="00157682"/>
    <w:rsid w:val="0015779B"/>
    <w:rsid w:val="0015779D"/>
    <w:rsid w:val="001577EE"/>
    <w:rsid w:val="00157874"/>
    <w:rsid w:val="00157946"/>
    <w:rsid w:val="0015795F"/>
    <w:rsid w:val="00157AD4"/>
    <w:rsid w:val="00157BE9"/>
    <w:rsid w:val="00157EEF"/>
    <w:rsid w:val="0016017F"/>
    <w:rsid w:val="001602E9"/>
    <w:rsid w:val="00160305"/>
    <w:rsid w:val="0016030D"/>
    <w:rsid w:val="0016083B"/>
    <w:rsid w:val="001609A7"/>
    <w:rsid w:val="001609D9"/>
    <w:rsid w:val="001609FF"/>
    <w:rsid w:val="00160C67"/>
    <w:rsid w:val="00160CDA"/>
    <w:rsid w:val="00160D7E"/>
    <w:rsid w:val="00160F75"/>
    <w:rsid w:val="001611B1"/>
    <w:rsid w:val="00161261"/>
    <w:rsid w:val="00161678"/>
    <w:rsid w:val="001616AD"/>
    <w:rsid w:val="001616DC"/>
    <w:rsid w:val="0016185F"/>
    <w:rsid w:val="001619AF"/>
    <w:rsid w:val="00161AB9"/>
    <w:rsid w:val="00161AEE"/>
    <w:rsid w:val="00161C55"/>
    <w:rsid w:val="00161CC3"/>
    <w:rsid w:val="00161F0C"/>
    <w:rsid w:val="0016218B"/>
    <w:rsid w:val="001621B6"/>
    <w:rsid w:val="00162333"/>
    <w:rsid w:val="001624B5"/>
    <w:rsid w:val="001625E8"/>
    <w:rsid w:val="00162622"/>
    <w:rsid w:val="00162769"/>
    <w:rsid w:val="00162781"/>
    <w:rsid w:val="001627A4"/>
    <w:rsid w:val="001627F2"/>
    <w:rsid w:val="001629D9"/>
    <w:rsid w:val="00162B1E"/>
    <w:rsid w:val="00162D18"/>
    <w:rsid w:val="00162DC6"/>
    <w:rsid w:val="00162F13"/>
    <w:rsid w:val="00162F66"/>
    <w:rsid w:val="00162F75"/>
    <w:rsid w:val="00163101"/>
    <w:rsid w:val="0016340E"/>
    <w:rsid w:val="0016361C"/>
    <w:rsid w:val="001636B2"/>
    <w:rsid w:val="001637DB"/>
    <w:rsid w:val="00163923"/>
    <w:rsid w:val="0016399B"/>
    <w:rsid w:val="00163B31"/>
    <w:rsid w:val="00163BBD"/>
    <w:rsid w:val="00163C42"/>
    <w:rsid w:val="00163C7A"/>
    <w:rsid w:val="00163CCC"/>
    <w:rsid w:val="00163D65"/>
    <w:rsid w:val="00163E01"/>
    <w:rsid w:val="00163E45"/>
    <w:rsid w:val="00163F9B"/>
    <w:rsid w:val="00163FB5"/>
    <w:rsid w:val="00164178"/>
    <w:rsid w:val="00164202"/>
    <w:rsid w:val="00164330"/>
    <w:rsid w:val="00164477"/>
    <w:rsid w:val="0016459C"/>
    <w:rsid w:val="0016464D"/>
    <w:rsid w:val="00164707"/>
    <w:rsid w:val="001649CB"/>
    <w:rsid w:val="00164AB8"/>
    <w:rsid w:val="00164C46"/>
    <w:rsid w:val="00164F5E"/>
    <w:rsid w:val="0016540A"/>
    <w:rsid w:val="0016561A"/>
    <w:rsid w:val="001656EF"/>
    <w:rsid w:val="00165A2C"/>
    <w:rsid w:val="00165C60"/>
    <w:rsid w:val="00165D31"/>
    <w:rsid w:val="00165DDB"/>
    <w:rsid w:val="00165E24"/>
    <w:rsid w:val="00165E49"/>
    <w:rsid w:val="001661A0"/>
    <w:rsid w:val="00166257"/>
    <w:rsid w:val="00166283"/>
    <w:rsid w:val="0016647E"/>
    <w:rsid w:val="00166512"/>
    <w:rsid w:val="001665F1"/>
    <w:rsid w:val="00166C77"/>
    <w:rsid w:val="00166DE8"/>
    <w:rsid w:val="00166F51"/>
    <w:rsid w:val="00167036"/>
    <w:rsid w:val="00167099"/>
    <w:rsid w:val="001670FA"/>
    <w:rsid w:val="001672A9"/>
    <w:rsid w:val="0016740C"/>
    <w:rsid w:val="00167426"/>
    <w:rsid w:val="001676DB"/>
    <w:rsid w:val="001679FF"/>
    <w:rsid w:val="00167C23"/>
    <w:rsid w:val="00167C92"/>
    <w:rsid w:val="00167C9A"/>
    <w:rsid w:val="00167EB4"/>
    <w:rsid w:val="00167FC1"/>
    <w:rsid w:val="00170065"/>
    <w:rsid w:val="001700B8"/>
    <w:rsid w:val="0017013D"/>
    <w:rsid w:val="00170328"/>
    <w:rsid w:val="001703CD"/>
    <w:rsid w:val="00170407"/>
    <w:rsid w:val="00170596"/>
    <w:rsid w:val="001705DD"/>
    <w:rsid w:val="001706DF"/>
    <w:rsid w:val="001707B7"/>
    <w:rsid w:val="001707EE"/>
    <w:rsid w:val="001708BC"/>
    <w:rsid w:val="00170954"/>
    <w:rsid w:val="00170B2F"/>
    <w:rsid w:val="00170BCA"/>
    <w:rsid w:val="00170C80"/>
    <w:rsid w:val="00170CCA"/>
    <w:rsid w:val="00170F49"/>
    <w:rsid w:val="00170F5F"/>
    <w:rsid w:val="00171081"/>
    <w:rsid w:val="0017126E"/>
    <w:rsid w:val="00171380"/>
    <w:rsid w:val="001713F2"/>
    <w:rsid w:val="00171403"/>
    <w:rsid w:val="00171509"/>
    <w:rsid w:val="001716B1"/>
    <w:rsid w:val="001716F8"/>
    <w:rsid w:val="001717CA"/>
    <w:rsid w:val="0017184F"/>
    <w:rsid w:val="00171A7D"/>
    <w:rsid w:val="00171C3F"/>
    <w:rsid w:val="00171D0B"/>
    <w:rsid w:val="00171D6E"/>
    <w:rsid w:val="00171E30"/>
    <w:rsid w:val="00171E59"/>
    <w:rsid w:val="00171FBF"/>
    <w:rsid w:val="001722B5"/>
    <w:rsid w:val="001722B7"/>
    <w:rsid w:val="0017252D"/>
    <w:rsid w:val="00172579"/>
    <w:rsid w:val="00172617"/>
    <w:rsid w:val="00172806"/>
    <w:rsid w:val="001728CE"/>
    <w:rsid w:val="001729F3"/>
    <w:rsid w:val="00172A67"/>
    <w:rsid w:val="00172AB2"/>
    <w:rsid w:val="00172B67"/>
    <w:rsid w:val="00172C69"/>
    <w:rsid w:val="00172DF3"/>
    <w:rsid w:val="00172E1E"/>
    <w:rsid w:val="00172F59"/>
    <w:rsid w:val="001731E9"/>
    <w:rsid w:val="00173250"/>
    <w:rsid w:val="001732F6"/>
    <w:rsid w:val="0017364C"/>
    <w:rsid w:val="0017378A"/>
    <w:rsid w:val="001737BC"/>
    <w:rsid w:val="001737F7"/>
    <w:rsid w:val="001737FE"/>
    <w:rsid w:val="00173815"/>
    <w:rsid w:val="0017387A"/>
    <w:rsid w:val="00173A5C"/>
    <w:rsid w:val="00173B1E"/>
    <w:rsid w:val="00173BEB"/>
    <w:rsid w:val="00173BF3"/>
    <w:rsid w:val="00173C7D"/>
    <w:rsid w:val="00173C9A"/>
    <w:rsid w:val="00173CA2"/>
    <w:rsid w:val="00173DB2"/>
    <w:rsid w:val="001740C3"/>
    <w:rsid w:val="00174128"/>
    <w:rsid w:val="00174177"/>
    <w:rsid w:val="0017432C"/>
    <w:rsid w:val="0017434E"/>
    <w:rsid w:val="0017458C"/>
    <w:rsid w:val="00174590"/>
    <w:rsid w:val="00174A0F"/>
    <w:rsid w:val="00174B6A"/>
    <w:rsid w:val="00174D60"/>
    <w:rsid w:val="00174FE3"/>
    <w:rsid w:val="0017503B"/>
    <w:rsid w:val="001754B2"/>
    <w:rsid w:val="00175523"/>
    <w:rsid w:val="001758D0"/>
    <w:rsid w:val="00175944"/>
    <w:rsid w:val="00175959"/>
    <w:rsid w:val="00175C9B"/>
    <w:rsid w:val="00175D7C"/>
    <w:rsid w:val="00175D8D"/>
    <w:rsid w:val="00175D93"/>
    <w:rsid w:val="00175EBB"/>
    <w:rsid w:val="00175F25"/>
    <w:rsid w:val="00175FF5"/>
    <w:rsid w:val="00176405"/>
    <w:rsid w:val="0017658A"/>
    <w:rsid w:val="001765D7"/>
    <w:rsid w:val="00176696"/>
    <w:rsid w:val="00176802"/>
    <w:rsid w:val="00176875"/>
    <w:rsid w:val="0017688F"/>
    <w:rsid w:val="001769C9"/>
    <w:rsid w:val="00176A83"/>
    <w:rsid w:val="00176D95"/>
    <w:rsid w:val="00176F09"/>
    <w:rsid w:val="00176FBD"/>
    <w:rsid w:val="00176FE7"/>
    <w:rsid w:val="00177110"/>
    <w:rsid w:val="00177450"/>
    <w:rsid w:val="00177599"/>
    <w:rsid w:val="001776CB"/>
    <w:rsid w:val="00177857"/>
    <w:rsid w:val="001778E2"/>
    <w:rsid w:val="00177A1B"/>
    <w:rsid w:val="00177A9E"/>
    <w:rsid w:val="00177AC7"/>
    <w:rsid w:val="00177AD5"/>
    <w:rsid w:val="00177B66"/>
    <w:rsid w:val="00177B76"/>
    <w:rsid w:val="00180089"/>
    <w:rsid w:val="001800B5"/>
    <w:rsid w:val="0018015B"/>
    <w:rsid w:val="001803E4"/>
    <w:rsid w:val="00180599"/>
    <w:rsid w:val="001806D9"/>
    <w:rsid w:val="0018075F"/>
    <w:rsid w:val="0018092C"/>
    <w:rsid w:val="00180B2A"/>
    <w:rsid w:val="00180B4F"/>
    <w:rsid w:val="00180B78"/>
    <w:rsid w:val="00180E03"/>
    <w:rsid w:val="00181238"/>
    <w:rsid w:val="0018141B"/>
    <w:rsid w:val="0018156F"/>
    <w:rsid w:val="001815A9"/>
    <w:rsid w:val="0018161B"/>
    <w:rsid w:val="0018168E"/>
    <w:rsid w:val="001817E5"/>
    <w:rsid w:val="00181A0B"/>
    <w:rsid w:val="00181AA9"/>
    <w:rsid w:val="001820BF"/>
    <w:rsid w:val="00182243"/>
    <w:rsid w:val="001824CE"/>
    <w:rsid w:val="0018253B"/>
    <w:rsid w:val="001828B9"/>
    <w:rsid w:val="001829F7"/>
    <w:rsid w:val="00182ADD"/>
    <w:rsid w:val="00182E73"/>
    <w:rsid w:val="00182E8E"/>
    <w:rsid w:val="00182F6A"/>
    <w:rsid w:val="00183055"/>
    <w:rsid w:val="001831C1"/>
    <w:rsid w:val="00183389"/>
    <w:rsid w:val="001833D3"/>
    <w:rsid w:val="001834AE"/>
    <w:rsid w:val="001834F2"/>
    <w:rsid w:val="001834FE"/>
    <w:rsid w:val="00183801"/>
    <w:rsid w:val="0018381E"/>
    <w:rsid w:val="0018383B"/>
    <w:rsid w:val="00183AFB"/>
    <w:rsid w:val="0018420D"/>
    <w:rsid w:val="00184253"/>
    <w:rsid w:val="00184344"/>
    <w:rsid w:val="001843A2"/>
    <w:rsid w:val="001843DA"/>
    <w:rsid w:val="0018451E"/>
    <w:rsid w:val="0018455F"/>
    <w:rsid w:val="001847D9"/>
    <w:rsid w:val="00184857"/>
    <w:rsid w:val="00184D43"/>
    <w:rsid w:val="00184E26"/>
    <w:rsid w:val="001853CD"/>
    <w:rsid w:val="001853D4"/>
    <w:rsid w:val="001854BB"/>
    <w:rsid w:val="0018552F"/>
    <w:rsid w:val="001855E9"/>
    <w:rsid w:val="001857D9"/>
    <w:rsid w:val="00185A98"/>
    <w:rsid w:val="00185BD9"/>
    <w:rsid w:val="00185C56"/>
    <w:rsid w:val="00185C82"/>
    <w:rsid w:val="00185D19"/>
    <w:rsid w:val="00185FD7"/>
    <w:rsid w:val="00186157"/>
    <w:rsid w:val="00186224"/>
    <w:rsid w:val="001862DE"/>
    <w:rsid w:val="00186326"/>
    <w:rsid w:val="001863CE"/>
    <w:rsid w:val="001866FB"/>
    <w:rsid w:val="00186750"/>
    <w:rsid w:val="00186EF8"/>
    <w:rsid w:val="00186F5F"/>
    <w:rsid w:val="00186FD7"/>
    <w:rsid w:val="0018702A"/>
    <w:rsid w:val="00187384"/>
    <w:rsid w:val="00187504"/>
    <w:rsid w:val="00187570"/>
    <w:rsid w:val="00187716"/>
    <w:rsid w:val="00187879"/>
    <w:rsid w:val="0018789D"/>
    <w:rsid w:val="00187940"/>
    <w:rsid w:val="00187CEC"/>
    <w:rsid w:val="00187DAD"/>
    <w:rsid w:val="00187EBA"/>
    <w:rsid w:val="00187F70"/>
    <w:rsid w:val="00187FCB"/>
    <w:rsid w:val="001902C2"/>
    <w:rsid w:val="00190477"/>
    <w:rsid w:val="001904F3"/>
    <w:rsid w:val="001905A4"/>
    <w:rsid w:val="00190785"/>
    <w:rsid w:val="00190890"/>
    <w:rsid w:val="00190942"/>
    <w:rsid w:val="001909FD"/>
    <w:rsid w:val="00190B7C"/>
    <w:rsid w:val="00190D66"/>
    <w:rsid w:val="00190EE0"/>
    <w:rsid w:val="00190F1F"/>
    <w:rsid w:val="00191006"/>
    <w:rsid w:val="0019107E"/>
    <w:rsid w:val="001911D7"/>
    <w:rsid w:val="001911F3"/>
    <w:rsid w:val="001915E9"/>
    <w:rsid w:val="001917D8"/>
    <w:rsid w:val="001918ED"/>
    <w:rsid w:val="00191D21"/>
    <w:rsid w:val="00191D25"/>
    <w:rsid w:val="00191DF9"/>
    <w:rsid w:val="00191EBF"/>
    <w:rsid w:val="00191F7D"/>
    <w:rsid w:val="0019210A"/>
    <w:rsid w:val="00192199"/>
    <w:rsid w:val="00192249"/>
    <w:rsid w:val="0019224B"/>
    <w:rsid w:val="001923F8"/>
    <w:rsid w:val="00192556"/>
    <w:rsid w:val="00192605"/>
    <w:rsid w:val="00192868"/>
    <w:rsid w:val="00192A4D"/>
    <w:rsid w:val="00192D99"/>
    <w:rsid w:val="00192EE1"/>
    <w:rsid w:val="00193162"/>
    <w:rsid w:val="001931D4"/>
    <w:rsid w:val="001932FE"/>
    <w:rsid w:val="001933B3"/>
    <w:rsid w:val="00193829"/>
    <w:rsid w:val="00193C86"/>
    <w:rsid w:val="00193D4B"/>
    <w:rsid w:val="00193DEA"/>
    <w:rsid w:val="001943D6"/>
    <w:rsid w:val="00194545"/>
    <w:rsid w:val="00194551"/>
    <w:rsid w:val="00194577"/>
    <w:rsid w:val="0019461A"/>
    <w:rsid w:val="001946FC"/>
    <w:rsid w:val="00194839"/>
    <w:rsid w:val="0019488C"/>
    <w:rsid w:val="001948C6"/>
    <w:rsid w:val="001949FD"/>
    <w:rsid w:val="00194E33"/>
    <w:rsid w:val="0019513E"/>
    <w:rsid w:val="0019517D"/>
    <w:rsid w:val="001954BA"/>
    <w:rsid w:val="001955E7"/>
    <w:rsid w:val="0019573F"/>
    <w:rsid w:val="00195958"/>
    <w:rsid w:val="00195C78"/>
    <w:rsid w:val="00195F9D"/>
    <w:rsid w:val="00195FFE"/>
    <w:rsid w:val="00196137"/>
    <w:rsid w:val="0019638C"/>
    <w:rsid w:val="00196707"/>
    <w:rsid w:val="0019671E"/>
    <w:rsid w:val="00196845"/>
    <w:rsid w:val="00196960"/>
    <w:rsid w:val="0019699B"/>
    <w:rsid w:val="00196AB7"/>
    <w:rsid w:val="00197098"/>
    <w:rsid w:val="00197322"/>
    <w:rsid w:val="00197349"/>
    <w:rsid w:val="001973DB"/>
    <w:rsid w:val="0019768D"/>
    <w:rsid w:val="00197760"/>
    <w:rsid w:val="001977B4"/>
    <w:rsid w:val="00197896"/>
    <w:rsid w:val="001978A8"/>
    <w:rsid w:val="001978C8"/>
    <w:rsid w:val="001979D6"/>
    <w:rsid w:val="001979E4"/>
    <w:rsid w:val="00197D18"/>
    <w:rsid w:val="00197D53"/>
    <w:rsid w:val="00197D75"/>
    <w:rsid w:val="00197FE4"/>
    <w:rsid w:val="001A02D5"/>
    <w:rsid w:val="001A02F8"/>
    <w:rsid w:val="001A0340"/>
    <w:rsid w:val="001A0763"/>
    <w:rsid w:val="001A07B1"/>
    <w:rsid w:val="001A0821"/>
    <w:rsid w:val="001A082C"/>
    <w:rsid w:val="001A0A48"/>
    <w:rsid w:val="001A0A76"/>
    <w:rsid w:val="001A0C4C"/>
    <w:rsid w:val="001A0CC1"/>
    <w:rsid w:val="001A0D08"/>
    <w:rsid w:val="001A0E53"/>
    <w:rsid w:val="001A0E93"/>
    <w:rsid w:val="001A0EC7"/>
    <w:rsid w:val="001A1373"/>
    <w:rsid w:val="001A13EA"/>
    <w:rsid w:val="001A1430"/>
    <w:rsid w:val="001A14F5"/>
    <w:rsid w:val="001A158F"/>
    <w:rsid w:val="001A1B3E"/>
    <w:rsid w:val="001A1C10"/>
    <w:rsid w:val="001A1CFA"/>
    <w:rsid w:val="001A20ED"/>
    <w:rsid w:val="001A20F3"/>
    <w:rsid w:val="001A227F"/>
    <w:rsid w:val="001A2317"/>
    <w:rsid w:val="001A2549"/>
    <w:rsid w:val="001A27A8"/>
    <w:rsid w:val="001A296A"/>
    <w:rsid w:val="001A2B12"/>
    <w:rsid w:val="001A2FAB"/>
    <w:rsid w:val="001A331D"/>
    <w:rsid w:val="001A3330"/>
    <w:rsid w:val="001A34B5"/>
    <w:rsid w:val="001A37FB"/>
    <w:rsid w:val="001A38AB"/>
    <w:rsid w:val="001A397E"/>
    <w:rsid w:val="001A3DB0"/>
    <w:rsid w:val="001A3DCA"/>
    <w:rsid w:val="001A3FDD"/>
    <w:rsid w:val="001A4059"/>
    <w:rsid w:val="001A42E9"/>
    <w:rsid w:val="001A457A"/>
    <w:rsid w:val="001A45D8"/>
    <w:rsid w:val="001A46A0"/>
    <w:rsid w:val="001A47F0"/>
    <w:rsid w:val="001A4A9B"/>
    <w:rsid w:val="001A4AB5"/>
    <w:rsid w:val="001A4C52"/>
    <w:rsid w:val="001A4C63"/>
    <w:rsid w:val="001A4CBB"/>
    <w:rsid w:val="001A529F"/>
    <w:rsid w:val="001A5471"/>
    <w:rsid w:val="001A54FC"/>
    <w:rsid w:val="001A569B"/>
    <w:rsid w:val="001A5700"/>
    <w:rsid w:val="001A58F9"/>
    <w:rsid w:val="001A5BDD"/>
    <w:rsid w:val="001A5CC6"/>
    <w:rsid w:val="001A5D89"/>
    <w:rsid w:val="001A5E4B"/>
    <w:rsid w:val="001A6080"/>
    <w:rsid w:val="001A6093"/>
    <w:rsid w:val="001A60DE"/>
    <w:rsid w:val="001A6121"/>
    <w:rsid w:val="001A6155"/>
    <w:rsid w:val="001A61EF"/>
    <w:rsid w:val="001A62E4"/>
    <w:rsid w:val="001A637F"/>
    <w:rsid w:val="001A63CE"/>
    <w:rsid w:val="001A6440"/>
    <w:rsid w:val="001A65DF"/>
    <w:rsid w:val="001A65F8"/>
    <w:rsid w:val="001A663A"/>
    <w:rsid w:val="001A674F"/>
    <w:rsid w:val="001A69B9"/>
    <w:rsid w:val="001A6B16"/>
    <w:rsid w:val="001A6BB5"/>
    <w:rsid w:val="001A6C12"/>
    <w:rsid w:val="001A6F73"/>
    <w:rsid w:val="001A70C4"/>
    <w:rsid w:val="001A728D"/>
    <w:rsid w:val="001A7368"/>
    <w:rsid w:val="001A75B0"/>
    <w:rsid w:val="001A7634"/>
    <w:rsid w:val="001A767E"/>
    <w:rsid w:val="001A769A"/>
    <w:rsid w:val="001A77A3"/>
    <w:rsid w:val="001A78B9"/>
    <w:rsid w:val="001A79E9"/>
    <w:rsid w:val="001A7B7D"/>
    <w:rsid w:val="001A7D5D"/>
    <w:rsid w:val="001A7EE7"/>
    <w:rsid w:val="001A7EFF"/>
    <w:rsid w:val="001A7FE2"/>
    <w:rsid w:val="001A7FE3"/>
    <w:rsid w:val="001B005A"/>
    <w:rsid w:val="001B0152"/>
    <w:rsid w:val="001B04B3"/>
    <w:rsid w:val="001B05D3"/>
    <w:rsid w:val="001B062B"/>
    <w:rsid w:val="001B092A"/>
    <w:rsid w:val="001B0966"/>
    <w:rsid w:val="001B0B03"/>
    <w:rsid w:val="001B0B4B"/>
    <w:rsid w:val="001B0BFC"/>
    <w:rsid w:val="001B0CFA"/>
    <w:rsid w:val="001B0D70"/>
    <w:rsid w:val="001B0EF0"/>
    <w:rsid w:val="001B1126"/>
    <w:rsid w:val="001B119C"/>
    <w:rsid w:val="001B11A7"/>
    <w:rsid w:val="001B120D"/>
    <w:rsid w:val="001B12B6"/>
    <w:rsid w:val="001B1495"/>
    <w:rsid w:val="001B14E0"/>
    <w:rsid w:val="001B1545"/>
    <w:rsid w:val="001B1729"/>
    <w:rsid w:val="001B1829"/>
    <w:rsid w:val="001B1925"/>
    <w:rsid w:val="001B1C4C"/>
    <w:rsid w:val="001B1C6D"/>
    <w:rsid w:val="001B1E17"/>
    <w:rsid w:val="001B1E36"/>
    <w:rsid w:val="001B1F47"/>
    <w:rsid w:val="001B20C2"/>
    <w:rsid w:val="001B218F"/>
    <w:rsid w:val="001B2291"/>
    <w:rsid w:val="001B2636"/>
    <w:rsid w:val="001B27BD"/>
    <w:rsid w:val="001B280C"/>
    <w:rsid w:val="001B290A"/>
    <w:rsid w:val="001B2C65"/>
    <w:rsid w:val="001B2DAA"/>
    <w:rsid w:val="001B2DE3"/>
    <w:rsid w:val="001B2E8C"/>
    <w:rsid w:val="001B31BA"/>
    <w:rsid w:val="001B3322"/>
    <w:rsid w:val="001B339E"/>
    <w:rsid w:val="001B33BE"/>
    <w:rsid w:val="001B33C1"/>
    <w:rsid w:val="001B36A3"/>
    <w:rsid w:val="001B3851"/>
    <w:rsid w:val="001B39ED"/>
    <w:rsid w:val="001B3DEB"/>
    <w:rsid w:val="001B3DF8"/>
    <w:rsid w:val="001B3F70"/>
    <w:rsid w:val="001B3F9F"/>
    <w:rsid w:val="001B405C"/>
    <w:rsid w:val="001B4060"/>
    <w:rsid w:val="001B41F0"/>
    <w:rsid w:val="001B4219"/>
    <w:rsid w:val="001B4414"/>
    <w:rsid w:val="001B44A1"/>
    <w:rsid w:val="001B45C6"/>
    <w:rsid w:val="001B4611"/>
    <w:rsid w:val="001B4960"/>
    <w:rsid w:val="001B49F0"/>
    <w:rsid w:val="001B4A02"/>
    <w:rsid w:val="001B4D44"/>
    <w:rsid w:val="001B5259"/>
    <w:rsid w:val="001B5261"/>
    <w:rsid w:val="001B54C3"/>
    <w:rsid w:val="001B54F8"/>
    <w:rsid w:val="001B5541"/>
    <w:rsid w:val="001B564B"/>
    <w:rsid w:val="001B57C1"/>
    <w:rsid w:val="001B5835"/>
    <w:rsid w:val="001B5841"/>
    <w:rsid w:val="001B58FA"/>
    <w:rsid w:val="001B5974"/>
    <w:rsid w:val="001B5A32"/>
    <w:rsid w:val="001B5A40"/>
    <w:rsid w:val="001B5C01"/>
    <w:rsid w:val="001B5F09"/>
    <w:rsid w:val="001B6154"/>
    <w:rsid w:val="001B6190"/>
    <w:rsid w:val="001B628F"/>
    <w:rsid w:val="001B62A8"/>
    <w:rsid w:val="001B6609"/>
    <w:rsid w:val="001B664A"/>
    <w:rsid w:val="001B6829"/>
    <w:rsid w:val="001B6AAF"/>
    <w:rsid w:val="001B6C5A"/>
    <w:rsid w:val="001B6D22"/>
    <w:rsid w:val="001B6F74"/>
    <w:rsid w:val="001B7061"/>
    <w:rsid w:val="001B75C8"/>
    <w:rsid w:val="001B7706"/>
    <w:rsid w:val="001B7A59"/>
    <w:rsid w:val="001B7C50"/>
    <w:rsid w:val="001B7C5C"/>
    <w:rsid w:val="001C026C"/>
    <w:rsid w:val="001C02CD"/>
    <w:rsid w:val="001C0467"/>
    <w:rsid w:val="001C05B0"/>
    <w:rsid w:val="001C05CC"/>
    <w:rsid w:val="001C05F4"/>
    <w:rsid w:val="001C0635"/>
    <w:rsid w:val="001C0794"/>
    <w:rsid w:val="001C0815"/>
    <w:rsid w:val="001C09FD"/>
    <w:rsid w:val="001C0B6E"/>
    <w:rsid w:val="001C0D1B"/>
    <w:rsid w:val="001C0D23"/>
    <w:rsid w:val="001C0E7A"/>
    <w:rsid w:val="001C0EE4"/>
    <w:rsid w:val="001C0F4E"/>
    <w:rsid w:val="001C1006"/>
    <w:rsid w:val="001C10FF"/>
    <w:rsid w:val="001C1298"/>
    <w:rsid w:val="001C14DA"/>
    <w:rsid w:val="001C15B7"/>
    <w:rsid w:val="001C177E"/>
    <w:rsid w:val="001C191B"/>
    <w:rsid w:val="001C1975"/>
    <w:rsid w:val="001C1C06"/>
    <w:rsid w:val="001C1C6B"/>
    <w:rsid w:val="001C1C73"/>
    <w:rsid w:val="001C1C9C"/>
    <w:rsid w:val="001C1CD3"/>
    <w:rsid w:val="001C1D5C"/>
    <w:rsid w:val="001C1E3E"/>
    <w:rsid w:val="001C1E84"/>
    <w:rsid w:val="001C1FBB"/>
    <w:rsid w:val="001C2119"/>
    <w:rsid w:val="001C211A"/>
    <w:rsid w:val="001C24D2"/>
    <w:rsid w:val="001C250C"/>
    <w:rsid w:val="001C25CA"/>
    <w:rsid w:val="001C27E2"/>
    <w:rsid w:val="001C2829"/>
    <w:rsid w:val="001C291A"/>
    <w:rsid w:val="001C2991"/>
    <w:rsid w:val="001C29A7"/>
    <w:rsid w:val="001C2C8F"/>
    <w:rsid w:val="001C2CB5"/>
    <w:rsid w:val="001C2EC5"/>
    <w:rsid w:val="001C2F15"/>
    <w:rsid w:val="001C3014"/>
    <w:rsid w:val="001C3162"/>
    <w:rsid w:val="001C318A"/>
    <w:rsid w:val="001C3448"/>
    <w:rsid w:val="001C382F"/>
    <w:rsid w:val="001C39B6"/>
    <w:rsid w:val="001C39DF"/>
    <w:rsid w:val="001C3A8D"/>
    <w:rsid w:val="001C3AAC"/>
    <w:rsid w:val="001C3BF5"/>
    <w:rsid w:val="001C3C6A"/>
    <w:rsid w:val="001C3C75"/>
    <w:rsid w:val="001C3D5F"/>
    <w:rsid w:val="001C3E26"/>
    <w:rsid w:val="001C4368"/>
    <w:rsid w:val="001C445F"/>
    <w:rsid w:val="001C44CA"/>
    <w:rsid w:val="001C457B"/>
    <w:rsid w:val="001C48D8"/>
    <w:rsid w:val="001C4929"/>
    <w:rsid w:val="001C4B17"/>
    <w:rsid w:val="001C4BCD"/>
    <w:rsid w:val="001C4BEF"/>
    <w:rsid w:val="001C4C2D"/>
    <w:rsid w:val="001C500B"/>
    <w:rsid w:val="001C556E"/>
    <w:rsid w:val="001C566C"/>
    <w:rsid w:val="001C5700"/>
    <w:rsid w:val="001C5738"/>
    <w:rsid w:val="001C5A9B"/>
    <w:rsid w:val="001C5C4B"/>
    <w:rsid w:val="001C5CED"/>
    <w:rsid w:val="001C5E07"/>
    <w:rsid w:val="001C5EEF"/>
    <w:rsid w:val="001C5FE3"/>
    <w:rsid w:val="001C5FFA"/>
    <w:rsid w:val="001C615C"/>
    <w:rsid w:val="001C6483"/>
    <w:rsid w:val="001C66F3"/>
    <w:rsid w:val="001C67F9"/>
    <w:rsid w:val="001C6D3A"/>
    <w:rsid w:val="001C7114"/>
    <w:rsid w:val="001C7250"/>
    <w:rsid w:val="001C775D"/>
    <w:rsid w:val="001C7833"/>
    <w:rsid w:val="001C7AC0"/>
    <w:rsid w:val="001C7D42"/>
    <w:rsid w:val="001C7D56"/>
    <w:rsid w:val="001C7DE2"/>
    <w:rsid w:val="001C7F06"/>
    <w:rsid w:val="001C7F9A"/>
    <w:rsid w:val="001C7FE7"/>
    <w:rsid w:val="001D007E"/>
    <w:rsid w:val="001D00EF"/>
    <w:rsid w:val="001D01D3"/>
    <w:rsid w:val="001D03BE"/>
    <w:rsid w:val="001D03FC"/>
    <w:rsid w:val="001D0442"/>
    <w:rsid w:val="001D05AE"/>
    <w:rsid w:val="001D0887"/>
    <w:rsid w:val="001D09F4"/>
    <w:rsid w:val="001D0DBB"/>
    <w:rsid w:val="001D0E08"/>
    <w:rsid w:val="001D0F3F"/>
    <w:rsid w:val="001D1000"/>
    <w:rsid w:val="001D10DF"/>
    <w:rsid w:val="001D1465"/>
    <w:rsid w:val="001D14DB"/>
    <w:rsid w:val="001D1565"/>
    <w:rsid w:val="001D162B"/>
    <w:rsid w:val="001D172E"/>
    <w:rsid w:val="001D190B"/>
    <w:rsid w:val="001D1D67"/>
    <w:rsid w:val="001D1D73"/>
    <w:rsid w:val="001D1D87"/>
    <w:rsid w:val="001D1F33"/>
    <w:rsid w:val="001D202D"/>
    <w:rsid w:val="001D212B"/>
    <w:rsid w:val="001D226D"/>
    <w:rsid w:val="001D233A"/>
    <w:rsid w:val="001D23DE"/>
    <w:rsid w:val="001D2516"/>
    <w:rsid w:val="001D263B"/>
    <w:rsid w:val="001D26D8"/>
    <w:rsid w:val="001D2850"/>
    <w:rsid w:val="001D2A8A"/>
    <w:rsid w:val="001D2BA6"/>
    <w:rsid w:val="001D2CBE"/>
    <w:rsid w:val="001D2D60"/>
    <w:rsid w:val="001D2D84"/>
    <w:rsid w:val="001D2E4F"/>
    <w:rsid w:val="001D2EC5"/>
    <w:rsid w:val="001D302F"/>
    <w:rsid w:val="001D3039"/>
    <w:rsid w:val="001D308C"/>
    <w:rsid w:val="001D346D"/>
    <w:rsid w:val="001D34E0"/>
    <w:rsid w:val="001D35E1"/>
    <w:rsid w:val="001D3663"/>
    <w:rsid w:val="001D372C"/>
    <w:rsid w:val="001D3957"/>
    <w:rsid w:val="001D3A76"/>
    <w:rsid w:val="001D3B5E"/>
    <w:rsid w:val="001D3BE8"/>
    <w:rsid w:val="001D3C11"/>
    <w:rsid w:val="001D3CDF"/>
    <w:rsid w:val="001D3F1A"/>
    <w:rsid w:val="001D3F7B"/>
    <w:rsid w:val="001D40F4"/>
    <w:rsid w:val="001D4217"/>
    <w:rsid w:val="001D445C"/>
    <w:rsid w:val="001D4482"/>
    <w:rsid w:val="001D45A6"/>
    <w:rsid w:val="001D485F"/>
    <w:rsid w:val="001D4874"/>
    <w:rsid w:val="001D4BE9"/>
    <w:rsid w:val="001D4CB8"/>
    <w:rsid w:val="001D4DDD"/>
    <w:rsid w:val="001D4E3C"/>
    <w:rsid w:val="001D4E3F"/>
    <w:rsid w:val="001D4EA5"/>
    <w:rsid w:val="001D500F"/>
    <w:rsid w:val="001D5123"/>
    <w:rsid w:val="001D520C"/>
    <w:rsid w:val="001D52C7"/>
    <w:rsid w:val="001D5477"/>
    <w:rsid w:val="001D5865"/>
    <w:rsid w:val="001D5908"/>
    <w:rsid w:val="001D5919"/>
    <w:rsid w:val="001D5B30"/>
    <w:rsid w:val="001D5BFA"/>
    <w:rsid w:val="001D5E86"/>
    <w:rsid w:val="001D5EF1"/>
    <w:rsid w:val="001D5FB8"/>
    <w:rsid w:val="001D634A"/>
    <w:rsid w:val="001D64BF"/>
    <w:rsid w:val="001D68C7"/>
    <w:rsid w:val="001D6A21"/>
    <w:rsid w:val="001D6A5F"/>
    <w:rsid w:val="001D6C66"/>
    <w:rsid w:val="001D7113"/>
    <w:rsid w:val="001D7115"/>
    <w:rsid w:val="001D713F"/>
    <w:rsid w:val="001D7339"/>
    <w:rsid w:val="001D739C"/>
    <w:rsid w:val="001D73E1"/>
    <w:rsid w:val="001D75DA"/>
    <w:rsid w:val="001D76C3"/>
    <w:rsid w:val="001D793D"/>
    <w:rsid w:val="001D7AA2"/>
    <w:rsid w:val="001D7EB9"/>
    <w:rsid w:val="001D7F01"/>
    <w:rsid w:val="001D7F24"/>
    <w:rsid w:val="001D7F34"/>
    <w:rsid w:val="001E0051"/>
    <w:rsid w:val="001E0199"/>
    <w:rsid w:val="001E023F"/>
    <w:rsid w:val="001E037D"/>
    <w:rsid w:val="001E0553"/>
    <w:rsid w:val="001E0585"/>
    <w:rsid w:val="001E06AB"/>
    <w:rsid w:val="001E08E5"/>
    <w:rsid w:val="001E0C18"/>
    <w:rsid w:val="001E0CA4"/>
    <w:rsid w:val="001E0E00"/>
    <w:rsid w:val="001E0E05"/>
    <w:rsid w:val="001E177D"/>
    <w:rsid w:val="001E17CB"/>
    <w:rsid w:val="001E18D2"/>
    <w:rsid w:val="001E195D"/>
    <w:rsid w:val="001E19C7"/>
    <w:rsid w:val="001E1B7C"/>
    <w:rsid w:val="001E1C1D"/>
    <w:rsid w:val="001E1D87"/>
    <w:rsid w:val="001E1EBF"/>
    <w:rsid w:val="001E224C"/>
    <w:rsid w:val="001E2372"/>
    <w:rsid w:val="001E2545"/>
    <w:rsid w:val="001E2559"/>
    <w:rsid w:val="001E2631"/>
    <w:rsid w:val="001E271D"/>
    <w:rsid w:val="001E27BF"/>
    <w:rsid w:val="001E2820"/>
    <w:rsid w:val="001E2AF1"/>
    <w:rsid w:val="001E2CA1"/>
    <w:rsid w:val="001E3049"/>
    <w:rsid w:val="001E3422"/>
    <w:rsid w:val="001E3497"/>
    <w:rsid w:val="001E360B"/>
    <w:rsid w:val="001E363F"/>
    <w:rsid w:val="001E36D2"/>
    <w:rsid w:val="001E3728"/>
    <w:rsid w:val="001E3957"/>
    <w:rsid w:val="001E3965"/>
    <w:rsid w:val="001E3C26"/>
    <w:rsid w:val="001E3CF8"/>
    <w:rsid w:val="001E3EC1"/>
    <w:rsid w:val="001E4541"/>
    <w:rsid w:val="001E455C"/>
    <w:rsid w:val="001E4966"/>
    <w:rsid w:val="001E4AEE"/>
    <w:rsid w:val="001E4C9A"/>
    <w:rsid w:val="001E4CC1"/>
    <w:rsid w:val="001E4F3E"/>
    <w:rsid w:val="001E4FFD"/>
    <w:rsid w:val="001E523A"/>
    <w:rsid w:val="001E52A8"/>
    <w:rsid w:val="001E54D8"/>
    <w:rsid w:val="001E5564"/>
    <w:rsid w:val="001E5629"/>
    <w:rsid w:val="001E576A"/>
    <w:rsid w:val="001E5AEB"/>
    <w:rsid w:val="001E5E73"/>
    <w:rsid w:val="001E5FCF"/>
    <w:rsid w:val="001E602D"/>
    <w:rsid w:val="001E613D"/>
    <w:rsid w:val="001E61C3"/>
    <w:rsid w:val="001E624F"/>
    <w:rsid w:val="001E6331"/>
    <w:rsid w:val="001E640E"/>
    <w:rsid w:val="001E65A8"/>
    <w:rsid w:val="001E65B4"/>
    <w:rsid w:val="001E69BA"/>
    <w:rsid w:val="001E6AD1"/>
    <w:rsid w:val="001E6B3B"/>
    <w:rsid w:val="001E6B5C"/>
    <w:rsid w:val="001E6BC3"/>
    <w:rsid w:val="001E7169"/>
    <w:rsid w:val="001E71A8"/>
    <w:rsid w:val="001E7228"/>
    <w:rsid w:val="001E7264"/>
    <w:rsid w:val="001E72CC"/>
    <w:rsid w:val="001E7432"/>
    <w:rsid w:val="001E76F2"/>
    <w:rsid w:val="001E7BEA"/>
    <w:rsid w:val="001E7C67"/>
    <w:rsid w:val="001F0046"/>
    <w:rsid w:val="001F017C"/>
    <w:rsid w:val="001F023A"/>
    <w:rsid w:val="001F03AA"/>
    <w:rsid w:val="001F0502"/>
    <w:rsid w:val="001F054A"/>
    <w:rsid w:val="001F0593"/>
    <w:rsid w:val="001F05CE"/>
    <w:rsid w:val="001F067C"/>
    <w:rsid w:val="001F070D"/>
    <w:rsid w:val="001F08C1"/>
    <w:rsid w:val="001F0A81"/>
    <w:rsid w:val="001F0DEF"/>
    <w:rsid w:val="001F0F1D"/>
    <w:rsid w:val="001F1054"/>
    <w:rsid w:val="001F1117"/>
    <w:rsid w:val="001F1489"/>
    <w:rsid w:val="001F148A"/>
    <w:rsid w:val="001F1609"/>
    <w:rsid w:val="001F174E"/>
    <w:rsid w:val="001F1768"/>
    <w:rsid w:val="001F1A67"/>
    <w:rsid w:val="001F1B70"/>
    <w:rsid w:val="001F1EFD"/>
    <w:rsid w:val="001F1F12"/>
    <w:rsid w:val="001F1FA0"/>
    <w:rsid w:val="001F2020"/>
    <w:rsid w:val="001F20C3"/>
    <w:rsid w:val="001F2100"/>
    <w:rsid w:val="001F2141"/>
    <w:rsid w:val="001F21E2"/>
    <w:rsid w:val="001F23B6"/>
    <w:rsid w:val="001F2536"/>
    <w:rsid w:val="001F2612"/>
    <w:rsid w:val="001F27BC"/>
    <w:rsid w:val="001F2886"/>
    <w:rsid w:val="001F28BC"/>
    <w:rsid w:val="001F2926"/>
    <w:rsid w:val="001F2D50"/>
    <w:rsid w:val="001F2DEC"/>
    <w:rsid w:val="001F2DF9"/>
    <w:rsid w:val="001F30A3"/>
    <w:rsid w:val="001F3122"/>
    <w:rsid w:val="001F3248"/>
    <w:rsid w:val="001F32B6"/>
    <w:rsid w:val="001F3491"/>
    <w:rsid w:val="001F34C2"/>
    <w:rsid w:val="001F35CF"/>
    <w:rsid w:val="001F380A"/>
    <w:rsid w:val="001F3950"/>
    <w:rsid w:val="001F3A14"/>
    <w:rsid w:val="001F3C5B"/>
    <w:rsid w:val="001F3C62"/>
    <w:rsid w:val="001F3D46"/>
    <w:rsid w:val="001F3DB3"/>
    <w:rsid w:val="001F3FBE"/>
    <w:rsid w:val="001F43E9"/>
    <w:rsid w:val="001F45A6"/>
    <w:rsid w:val="001F4634"/>
    <w:rsid w:val="001F465D"/>
    <w:rsid w:val="001F486C"/>
    <w:rsid w:val="001F4964"/>
    <w:rsid w:val="001F4ADD"/>
    <w:rsid w:val="001F4B72"/>
    <w:rsid w:val="001F4FE3"/>
    <w:rsid w:val="001F51AB"/>
    <w:rsid w:val="001F5321"/>
    <w:rsid w:val="001F53E2"/>
    <w:rsid w:val="001F544F"/>
    <w:rsid w:val="001F5478"/>
    <w:rsid w:val="001F5515"/>
    <w:rsid w:val="001F57E0"/>
    <w:rsid w:val="001F5852"/>
    <w:rsid w:val="001F5A8F"/>
    <w:rsid w:val="001F5B22"/>
    <w:rsid w:val="001F5F63"/>
    <w:rsid w:val="001F6191"/>
    <w:rsid w:val="001F6356"/>
    <w:rsid w:val="001F64F9"/>
    <w:rsid w:val="001F67CC"/>
    <w:rsid w:val="001F683C"/>
    <w:rsid w:val="001F6A9C"/>
    <w:rsid w:val="001F6BFA"/>
    <w:rsid w:val="001F6D43"/>
    <w:rsid w:val="001F6EF5"/>
    <w:rsid w:val="001F6F63"/>
    <w:rsid w:val="001F70C3"/>
    <w:rsid w:val="001F71A4"/>
    <w:rsid w:val="001F73D1"/>
    <w:rsid w:val="001F7466"/>
    <w:rsid w:val="001F74C4"/>
    <w:rsid w:val="001F7719"/>
    <w:rsid w:val="001F780D"/>
    <w:rsid w:val="001F786B"/>
    <w:rsid w:val="001F79B6"/>
    <w:rsid w:val="001F7B0A"/>
    <w:rsid w:val="001F7DDF"/>
    <w:rsid w:val="001F7E99"/>
    <w:rsid w:val="001F7E9E"/>
    <w:rsid w:val="001F7FE2"/>
    <w:rsid w:val="002000EE"/>
    <w:rsid w:val="00200461"/>
    <w:rsid w:val="00200560"/>
    <w:rsid w:val="0020056A"/>
    <w:rsid w:val="002008EB"/>
    <w:rsid w:val="00200B96"/>
    <w:rsid w:val="00200BD2"/>
    <w:rsid w:val="00200C13"/>
    <w:rsid w:val="00200C86"/>
    <w:rsid w:val="00200CBC"/>
    <w:rsid w:val="00200D78"/>
    <w:rsid w:val="00200DD8"/>
    <w:rsid w:val="00200E1A"/>
    <w:rsid w:val="00201240"/>
    <w:rsid w:val="00201283"/>
    <w:rsid w:val="002012D9"/>
    <w:rsid w:val="0020158F"/>
    <w:rsid w:val="00201632"/>
    <w:rsid w:val="00201673"/>
    <w:rsid w:val="00201796"/>
    <w:rsid w:val="002018D1"/>
    <w:rsid w:val="00201A2F"/>
    <w:rsid w:val="00201B91"/>
    <w:rsid w:val="00201FB3"/>
    <w:rsid w:val="00202300"/>
    <w:rsid w:val="00202324"/>
    <w:rsid w:val="00202557"/>
    <w:rsid w:val="00202906"/>
    <w:rsid w:val="00202B11"/>
    <w:rsid w:val="00202D04"/>
    <w:rsid w:val="00202EF8"/>
    <w:rsid w:val="00202F45"/>
    <w:rsid w:val="0020332B"/>
    <w:rsid w:val="0020347C"/>
    <w:rsid w:val="0020352E"/>
    <w:rsid w:val="00203553"/>
    <w:rsid w:val="00203702"/>
    <w:rsid w:val="00203871"/>
    <w:rsid w:val="00203C43"/>
    <w:rsid w:val="00203ECC"/>
    <w:rsid w:val="00203F4A"/>
    <w:rsid w:val="00204011"/>
    <w:rsid w:val="002041BD"/>
    <w:rsid w:val="00204252"/>
    <w:rsid w:val="002044A2"/>
    <w:rsid w:val="00204599"/>
    <w:rsid w:val="00204607"/>
    <w:rsid w:val="002049BC"/>
    <w:rsid w:val="00204B75"/>
    <w:rsid w:val="00204C59"/>
    <w:rsid w:val="00204C63"/>
    <w:rsid w:val="00204D01"/>
    <w:rsid w:val="00204D1C"/>
    <w:rsid w:val="00204E2F"/>
    <w:rsid w:val="00204E3F"/>
    <w:rsid w:val="00204EC4"/>
    <w:rsid w:val="00204FA7"/>
    <w:rsid w:val="00205078"/>
    <w:rsid w:val="00205225"/>
    <w:rsid w:val="0020528B"/>
    <w:rsid w:val="002055A0"/>
    <w:rsid w:val="002055CF"/>
    <w:rsid w:val="00205640"/>
    <w:rsid w:val="00205647"/>
    <w:rsid w:val="002056C2"/>
    <w:rsid w:val="002058A0"/>
    <w:rsid w:val="00205B2D"/>
    <w:rsid w:val="00205BF4"/>
    <w:rsid w:val="00205C41"/>
    <w:rsid w:val="00205D08"/>
    <w:rsid w:val="00205D0C"/>
    <w:rsid w:val="00205DDE"/>
    <w:rsid w:val="00205E72"/>
    <w:rsid w:val="00205F81"/>
    <w:rsid w:val="0020604E"/>
    <w:rsid w:val="002063CE"/>
    <w:rsid w:val="00206655"/>
    <w:rsid w:val="002067F6"/>
    <w:rsid w:val="002068E2"/>
    <w:rsid w:val="00206ABC"/>
    <w:rsid w:val="00206C02"/>
    <w:rsid w:val="00206D70"/>
    <w:rsid w:val="00206E13"/>
    <w:rsid w:val="002070A0"/>
    <w:rsid w:val="002070AC"/>
    <w:rsid w:val="00207200"/>
    <w:rsid w:val="0020735F"/>
    <w:rsid w:val="00207548"/>
    <w:rsid w:val="002075D8"/>
    <w:rsid w:val="00207A81"/>
    <w:rsid w:val="00207B30"/>
    <w:rsid w:val="00207C55"/>
    <w:rsid w:val="00207DD8"/>
    <w:rsid w:val="00207DEA"/>
    <w:rsid w:val="00207E02"/>
    <w:rsid w:val="00210174"/>
    <w:rsid w:val="0021018D"/>
    <w:rsid w:val="002101C7"/>
    <w:rsid w:val="002101F5"/>
    <w:rsid w:val="0021039D"/>
    <w:rsid w:val="002104FA"/>
    <w:rsid w:val="002108B9"/>
    <w:rsid w:val="00210BAE"/>
    <w:rsid w:val="00210CD2"/>
    <w:rsid w:val="00210E51"/>
    <w:rsid w:val="00210FE8"/>
    <w:rsid w:val="00211260"/>
    <w:rsid w:val="00211394"/>
    <w:rsid w:val="002113FC"/>
    <w:rsid w:val="0021152D"/>
    <w:rsid w:val="0021168F"/>
    <w:rsid w:val="002116A3"/>
    <w:rsid w:val="00211944"/>
    <w:rsid w:val="002120FF"/>
    <w:rsid w:val="00212117"/>
    <w:rsid w:val="002121FF"/>
    <w:rsid w:val="00212371"/>
    <w:rsid w:val="002124CB"/>
    <w:rsid w:val="0021268A"/>
    <w:rsid w:val="002128B1"/>
    <w:rsid w:val="002129B1"/>
    <w:rsid w:val="00212C14"/>
    <w:rsid w:val="00213035"/>
    <w:rsid w:val="002133C5"/>
    <w:rsid w:val="002133CA"/>
    <w:rsid w:val="00213546"/>
    <w:rsid w:val="00213759"/>
    <w:rsid w:val="00213C78"/>
    <w:rsid w:val="00213E3A"/>
    <w:rsid w:val="00213F86"/>
    <w:rsid w:val="00214190"/>
    <w:rsid w:val="002143B1"/>
    <w:rsid w:val="002143D7"/>
    <w:rsid w:val="00214480"/>
    <w:rsid w:val="00214559"/>
    <w:rsid w:val="00214647"/>
    <w:rsid w:val="002148FE"/>
    <w:rsid w:val="00214963"/>
    <w:rsid w:val="00214B46"/>
    <w:rsid w:val="00214C15"/>
    <w:rsid w:val="00214D95"/>
    <w:rsid w:val="00214E29"/>
    <w:rsid w:val="00214F0C"/>
    <w:rsid w:val="002150D8"/>
    <w:rsid w:val="00215251"/>
    <w:rsid w:val="00215290"/>
    <w:rsid w:val="0021554C"/>
    <w:rsid w:val="00215585"/>
    <w:rsid w:val="002155B6"/>
    <w:rsid w:val="002157D1"/>
    <w:rsid w:val="00215843"/>
    <w:rsid w:val="00215863"/>
    <w:rsid w:val="00215F2F"/>
    <w:rsid w:val="00215FBF"/>
    <w:rsid w:val="0021605D"/>
    <w:rsid w:val="002160BC"/>
    <w:rsid w:val="00216120"/>
    <w:rsid w:val="0021621D"/>
    <w:rsid w:val="00216505"/>
    <w:rsid w:val="002165A8"/>
    <w:rsid w:val="0021690F"/>
    <w:rsid w:val="00216A4D"/>
    <w:rsid w:val="00216ADB"/>
    <w:rsid w:val="00216B24"/>
    <w:rsid w:val="00216F30"/>
    <w:rsid w:val="0021700E"/>
    <w:rsid w:val="00217020"/>
    <w:rsid w:val="002170C3"/>
    <w:rsid w:val="002172A7"/>
    <w:rsid w:val="002172F7"/>
    <w:rsid w:val="002173C4"/>
    <w:rsid w:val="00217509"/>
    <w:rsid w:val="002175AE"/>
    <w:rsid w:val="00217984"/>
    <w:rsid w:val="00217A9A"/>
    <w:rsid w:val="00217BF0"/>
    <w:rsid w:val="00217DA4"/>
    <w:rsid w:val="00217EB1"/>
    <w:rsid w:val="00220290"/>
    <w:rsid w:val="00220358"/>
    <w:rsid w:val="002207D9"/>
    <w:rsid w:val="00220AA4"/>
    <w:rsid w:val="00220E7C"/>
    <w:rsid w:val="0022166C"/>
    <w:rsid w:val="002216C2"/>
    <w:rsid w:val="002218B1"/>
    <w:rsid w:val="0022197D"/>
    <w:rsid w:val="00221B0A"/>
    <w:rsid w:val="00221B76"/>
    <w:rsid w:val="00221B95"/>
    <w:rsid w:val="00221BF0"/>
    <w:rsid w:val="00221C34"/>
    <w:rsid w:val="00221C56"/>
    <w:rsid w:val="00221C8C"/>
    <w:rsid w:val="00221D95"/>
    <w:rsid w:val="00221EF2"/>
    <w:rsid w:val="00221F2B"/>
    <w:rsid w:val="0022203E"/>
    <w:rsid w:val="00222124"/>
    <w:rsid w:val="002221B4"/>
    <w:rsid w:val="00222209"/>
    <w:rsid w:val="0022221B"/>
    <w:rsid w:val="00222323"/>
    <w:rsid w:val="00222352"/>
    <w:rsid w:val="00222412"/>
    <w:rsid w:val="0022241B"/>
    <w:rsid w:val="0022242A"/>
    <w:rsid w:val="00222608"/>
    <w:rsid w:val="00222B2A"/>
    <w:rsid w:val="00222B89"/>
    <w:rsid w:val="00222EB8"/>
    <w:rsid w:val="00223097"/>
    <w:rsid w:val="00223139"/>
    <w:rsid w:val="002231C0"/>
    <w:rsid w:val="00223446"/>
    <w:rsid w:val="002234BA"/>
    <w:rsid w:val="00223835"/>
    <w:rsid w:val="00223868"/>
    <w:rsid w:val="002238C4"/>
    <w:rsid w:val="002238F1"/>
    <w:rsid w:val="00223A2B"/>
    <w:rsid w:val="00223AF7"/>
    <w:rsid w:val="00223B0F"/>
    <w:rsid w:val="00223DBF"/>
    <w:rsid w:val="00223F53"/>
    <w:rsid w:val="0022402C"/>
    <w:rsid w:val="00224468"/>
    <w:rsid w:val="00224588"/>
    <w:rsid w:val="002245F6"/>
    <w:rsid w:val="00224684"/>
    <w:rsid w:val="0022493C"/>
    <w:rsid w:val="00225087"/>
    <w:rsid w:val="002251B7"/>
    <w:rsid w:val="0022543F"/>
    <w:rsid w:val="00225467"/>
    <w:rsid w:val="0022555D"/>
    <w:rsid w:val="0022557A"/>
    <w:rsid w:val="0022565B"/>
    <w:rsid w:val="00225891"/>
    <w:rsid w:val="00225B7A"/>
    <w:rsid w:val="00225C03"/>
    <w:rsid w:val="00225C2C"/>
    <w:rsid w:val="00225C46"/>
    <w:rsid w:val="00225C8B"/>
    <w:rsid w:val="00225CB8"/>
    <w:rsid w:val="00225FB4"/>
    <w:rsid w:val="002260C0"/>
    <w:rsid w:val="0022612A"/>
    <w:rsid w:val="0022618A"/>
    <w:rsid w:val="0022668D"/>
    <w:rsid w:val="002266CA"/>
    <w:rsid w:val="002266D7"/>
    <w:rsid w:val="00226D6C"/>
    <w:rsid w:val="00226DAE"/>
    <w:rsid w:val="00226E01"/>
    <w:rsid w:val="0022713B"/>
    <w:rsid w:val="00227307"/>
    <w:rsid w:val="0022740D"/>
    <w:rsid w:val="00227433"/>
    <w:rsid w:val="0022754C"/>
    <w:rsid w:val="00227B5E"/>
    <w:rsid w:val="00227C71"/>
    <w:rsid w:val="00227DD8"/>
    <w:rsid w:val="002301C1"/>
    <w:rsid w:val="0023048D"/>
    <w:rsid w:val="00230721"/>
    <w:rsid w:val="002307F2"/>
    <w:rsid w:val="00230C0F"/>
    <w:rsid w:val="00230DEA"/>
    <w:rsid w:val="00230E00"/>
    <w:rsid w:val="00230F4D"/>
    <w:rsid w:val="0023114B"/>
    <w:rsid w:val="002316AB"/>
    <w:rsid w:val="00231703"/>
    <w:rsid w:val="0023171F"/>
    <w:rsid w:val="00231821"/>
    <w:rsid w:val="002318FD"/>
    <w:rsid w:val="00231C34"/>
    <w:rsid w:val="00231E9A"/>
    <w:rsid w:val="00231F01"/>
    <w:rsid w:val="00231FDD"/>
    <w:rsid w:val="00232374"/>
    <w:rsid w:val="002324A1"/>
    <w:rsid w:val="002324FE"/>
    <w:rsid w:val="00232510"/>
    <w:rsid w:val="002325B1"/>
    <w:rsid w:val="002326E5"/>
    <w:rsid w:val="0023279E"/>
    <w:rsid w:val="002327F6"/>
    <w:rsid w:val="002328C1"/>
    <w:rsid w:val="00232923"/>
    <w:rsid w:val="0023297B"/>
    <w:rsid w:val="00232A86"/>
    <w:rsid w:val="00232B67"/>
    <w:rsid w:val="00232BA8"/>
    <w:rsid w:val="00232C44"/>
    <w:rsid w:val="00232C49"/>
    <w:rsid w:val="00232DD0"/>
    <w:rsid w:val="002330B1"/>
    <w:rsid w:val="002330C4"/>
    <w:rsid w:val="0023318D"/>
    <w:rsid w:val="00233682"/>
    <w:rsid w:val="002337D3"/>
    <w:rsid w:val="0023389F"/>
    <w:rsid w:val="00233973"/>
    <w:rsid w:val="00233992"/>
    <w:rsid w:val="00233ABF"/>
    <w:rsid w:val="00233B14"/>
    <w:rsid w:val="00233D62"/>
    <w:rsid w:val="00233D68"/>
    <w:rsid w:val="00233F7C"/>
    <w:rsid w:val="0023441F"/>
    <w:rsid w:val="0023447E"/>
    <w:rsid w:val="00234535"/>
    <w:rsid w:val="00234656"/>
    <w:rsid w:val="002346BE"/>
    <w:rsid w:val="00234848"/>
    <w:rsid w:val="0023488D"/>
    <w:rsid w:val="00234B36"/>
    <w:rsid w:val="00234CAF"/>
    <w:rsid w:val="00234CDE"/>
    <w:rsid w:val="00234DA8"/>
    <w:rsid w:val="00234E5E"/>
    <w:rsid w:val="00234F5A"/>
    <w:rsid w:val="002351A9"/>
    <w:rsid w:val="002351D9"/>
    <w:rsid w:val="0023539A"/>
    <w:rsid w:val="0023568C"/>
    <w:rsid w:val="00235770"/>
    <w:rsid w:val="0023581A"/>
    <w:rsid w:val="002359B2"/>
    <w:rsid w:val="002359C8"/>
    <w:rsid w:val="00235A93"/>
    <w:rsid w:val="00235AA9"/>
    <w:rsid w:val="00235C35"/>
    <w:rsid w:val="00235E23"/>
    <w:rsid w:val="00235E56"/>
    <w:rsid w:val="00235F1A"/>
    <w:rsid w:val="00235F91"/>
    <w:rsid w:val="00235F95"/>
    <w:rsid w:val="00235FC3"/>
    <w:rsid w:val="002360F1"/>
    <w:rsid w:val="00236163"/>
    <w:rsid w:val="0023640A"/>
    <w:rsid w:val="0023660F"/>
    <w:rsid w:val="002366A9"/>
    <w:rsid w:val="0023699E"/>
    <w:rsid w:val="00236BF6"/>
    <w:rsid w:val="00236C20"/>
    <w:rsid w:val="00236E04"/>
    <w:rsid w:val="00236E20"/>
    <w:rsid w:val="00236E4F"/>
    <w:rsid w:val="00236FD1"/>
    <w:rsid w:val="002377B6"/>
    <w:rsid w:val="0023789F"/>
    <w:rsid w:val="00237900"/>
    <w:rsid w:val="002379A1"/>
    <w:rsid w:val="00237A90"/>
    <w:rsid w:val="00237AE2"/>
    <w:rsid w:val="00237EEB"/>
    <w:rsid w:val="00237FA6"/>
    <w:rsid w:val="00237FD3"/>
    <w:rsid w:val="00237FEB"/>
    <w:rsid w:val="002401C3"/>
    <w:rsid w:val="002402F7"/>
    <w:rsid w:val="00240553"/>
    <w:rsid w:val="0024081B"/>
    <w:rsid w:val="00240887"/>
    <w:rsid w:val="00240954"/>
    <w:rsid w:val="00240B6B"/>
    <w:rsid w:val="00240C97"/>
    <w:rsid w:val="00240F50"/>
    <w:rsid w:val="00241196"/>
    <w:rsid w:val="002412FA"/>
    <w:rsid w:val="00241532"/>
    <w:rsid w:val="002415A5"/>
    <w:rsid w:val="00241658"/>
    <w:rsid w:val="002417F3"/>
    <w:rsid w:val="002418D3"/>
    <w:rsid w:val="00241C40"/>
    <w:rsid w:val="00241C69"/>
    <w:rsid w:val="00241DC2"/>
    <w:rsid w:val="00241ECE"/>
    <w:rsid w:val="00241FCB"/>
    <w:rsid w:val="00241FEE"/>
    <w:rsid w:val="0024211C"/>
    <w:rsid w:val="002421C5"/>
    <w:rsid w:val="00242474"/>
    <w:rsid w:val="00242530"/>
    <w:rsid w:val="002427D1"/>
    <w:rsid w:val="002427FB"/>
    <w:rsid w:val="0024288E"/>
    <w:rsid w:val="002428BC"/>
    <w:rsid w:val="00242921"/>
    <w:rsid w:val="00242A5D"/>
    <w:rsid w:val="0024316F"/>
    <w:rsid w:val="002431DD"/>
    <w:rsid w:val="00243344"/>
    <w:rsid w:val="0024361F"/>
    <w:rsid w:val="00243705"/>
    <w:rsid w:val="002439CC"/>
    <w:rsid w:val="00243B97"/>
    <w:rsid w:val="00243BE0"/>
    <w:rsid w:val="00243BF1"/>
    <w:rsid w:val="00243CB3"/>
    <w:rsid w:val="00243F40"/>
    <w:rsid w:val="00244366"/>
    <w:rsid w:val="00244412"/>
    <w:rsid w:val="0024446F"/>
    <w:rsid w:val="002444E9"/>
    <w:rsid w:val="00244510"/>
    <w:rsid w:val="0024455E"/>
    <w:rsid w:val="00244996"/>
    <w:rsid w:val="00244C98"/>
    <w:rsid w:val="00244C9C"/>
    <w:rsid w:val="00244EEC"/>
    <w:rsid w:val="00244F8E"/>
    <w:rsid w:val="0024504A"/>
    <w:rsid w:val="0024504B"/>
    <w:rsid w:val="002450B6"/>
    <w:rsid w:val="002454B0"/>
    <w:rsid w:val="00245702"/>
    <w:rsid w:val="0024578D"/>
    <w:rsid w:val="0024582A"/>
    <w:rsid w:val="0024583A"/>
    <w:rsid w:val="00245A33"/>
    <w:rsid w:val="00245A5F"/>
    <w:rsid w:val="00245BB8"/>
    <w:rsid w:val="00245BE1"/>
    <w:rsid w:val="00245E0B"/>
    <w:rsid w:val="00245F50"/>
    <w:rsid w:val="002460E4"/>
    <w:rsid w:val="0024615C"/>
    <w:rsid w:val="00246407"/>
    <w:rsid w:val="00246462"/>
    <w:rsid w:val="002468AE"/>
    <w:rsid w:val="00246B6A"/>
    <w:rsid w:val="00246C2D"/>
    <w:rsid w:val="00246D84"/>
    <w:rsid w:val="00246DB8"/>
    <w:rsid w:val="00246EAD"/>
    <w:rsid w:val="00246EE2"/>
    <w:rsid w:val="00247129"/>
    <w:rsid w:val="0024712B"/>
    <w:rsid w:val="002471B3"/>
    <w:rsid w:val="002471D0"/>
    <w:rsid w:val="002472E0"/>
    <w:rsid w:val="002474CC"/>
    <w:rsid w:val="0024762C"/>
    <w:rsid w:val="00247712"/>
    <w:rsid w:val="002478D3"/>
    <w:rsid w:val="002478FC"/>
    <w:rsid w:val="00247914"/>
    <w:rsid w:val="002479F0"/>
    <w:rsid w:val="00247B82"/>
    <w:rsid w:val="00247C79"/>
    <w:rsid w:val="00247CA3"/>
    <w:rsid w:val="00247D1A"/>
    <w:rsid w:val="00247DFC"/>
    <w:rsid w:val="00247E3F"/>
    <w:rsid w:val="00247E84"/>
    <w:rsid w:val="00250043"/>
    <w:rsid w:val="002501B8"/>
    <w:rsid w:val="0025021F"/>
    <w:rsid w:val="00250384"/>
    <w:rsid w:val="002503B1"/>
    <w:rsid w:val="002504A1"/>
    <w:rsid w:val="002504C5"/>
    <w:rsid w:val="00250577"/>
    <w:rsid w:val="002505B4"/>
    <w:rsid w:val="00250821"/>
    <w:rsid w:val="00250ACA"/>
    <w:rsid w:val="00250B2E"/>
    <w:rsid w:val="00250B66"/>
    <w:rsid w:val="00250C26"/>
    <w:rsid w:val="00250CB4"/>
    <w:rsid w:val="00251114"/>
    <w:rsid w:val="00251223"/>
    <w:rsid w:val="002513A5"/>
    <w:rsid w:val="0025141B"/>
    <w:rsid w:val="0025158F"/>
    <w:rsid w:val="00251597"/>
    <w:rsid w:val="002515EB"/>
    <w:rsid w:val="002517E0"/>
    <w:rsid w:val="00251818"/>
    <w:rsid w:val="00251951"/>
    <w:rsid w:val="00251B7C"/>
    <w:rsid w:val="00251CC2"/>
    <w:rsid w:val="00251F21"/>
    <w:rsid w:val="00252205"/>
    <w:rsid w:val="00252270"/>
    <w:rsid w:val="002523A8"/>
    <w:rsid w:val="002523F0"/>
    <w:rsid w:val="002524A4"/>
    <w:rsid w:val="002525C5"/>
    <w:rsid w:val="0025271B"/>
    <w:rsid w:val="002527A8"/>
    <w:rsid w:val="002527C5"/>
    <w:rsid w:val="002528ED"/>
    <w:rsid w:val="00252909"/>
    <w:rsid w:val="002529C7"/>
    <w:rsid w:val="00252A70"/>
    <w:rsid w:val="00252AB4"/>
    <w:rsid w:val="00252EA6"/>
    <w:rsid w:val="002530AD"/>
    <w:rsid w:val="00253553"/>
    <w:rsid w:val="002535E8"/>
    <w:rsid w:val="002537E8"/>
    <w:rsid w:val="002539AF"/>
    <w:rsid w:val="00253CFE"/>
    <w:rsid w:val="00253D66"/>
    <w:rsid w:val="00253D6A"/>
    <w:rsid w:val="00253DB5"/>
    <w:rsid w:val="00253F30"/>
    <w:rsid w:val="00254077"/>
    <w:rsid w:val="0025411C"/>
    <w:rsid w:val="00254134"/>
    <w:rsid w:val="002541A9"/>
    <w:rsid w:val="00254502"/>
    <w:rsid w:val="00254590"/>
    <w:rsid w:val="002545F3"/>
    <w:rsid w:val="002546F9"/>
    <w:rsid w:val="00254724"/>
    <w:rsid w:val="00254801"/>
    <w:rsid w:val="002548AE"/>
    <w:rsid w:val="00254A12"/>
    <w:rsid w:val="00254A48"/>
    <w:rsid w:val="00254A94"/>
    <w:rsid w:val="00254AA4"/>
    <w:rsid w:val="00254B1B"/>
    <w:rsid w:val="00254B80"/>
    <w:rsid w:val="00254D0D"/>
    <w:rsid w:val="00254EFD"/>
    <w:rsid w:val="00254F08"/>
    <w:rsid w:val="00254F4E"/>
    <w:rsid w:val="00254F51"/>
    <w:rsid w:val="00254FB6"/>
    <w:rsid w:val="00255303"/>
    <w:rsid w:val="00255489"/>
    <w:rsid w:val="002556B7"/>
    <w:rsid w:val="0025573B"/>
    <w:rsid w:val="00255A4D"/>
    <w:rsid w:val="00255C49"/>
    <w:rsid w:val="00255C4B"/>
    <w:rsid w:val="00255DDF"/>
    <w:rsid w:val="00255E75"/>
    <w:rsid w:val="00255F47"/>
    <w:rsid w:val="00256005"/>
    <w:rsid w:val="00256392"/>
    <w:rsid w:val="00256492"/>
    <w:rsid w:val="002567FF"/>
    <w:rsid w:val="0025684A"/>
    <w:rsid w:val="002569A1"/>
    <w:rsid w:val="00256B21"/>
    <w:rsid w:val="00256BB7"/>
    <w:rsid w:val="00256CAA"/>
    <w:rsid w:val="00256DC6"/>
    <w:rsid w:val="00256E4E"/>
    <w:rsid w:val="00256F79"/>
    <w:rsid w:val="002570FB"/>
    <w:rsid w:val="00257408"/>
    <w:rsid w:val="0025741D"/>
    <w:rsid w:val="002574D8"/>
    <w:rsid w:val="00257904"/>
    <w:rsid w:val="0025795D"/>
    <w:rsid w:val="00257A0F"/>
    <w:rsid w:val="00257B1B"/>
    <w:rsid w:val="00257CF5"/>
    <w:rsid w:val="00257E0F"/>
    <w:rsid w:val="00257E61"/>
    <w:rsid w:val="00257FA8"/>
    <w:rsid w:val="00260087"/>
    <w:rsid w:val="00260299"/>
    <w:rsid w:val="002603DF"/>
    <w:rsid w:val="002603F3"/>
    <w:rsid w:val="00260522"/>
    <w:rsid w:val="00260701"/>
    <w:rsid w:val="00260BE0"/>
    <w:rsid w:val="00260F79"/>
    <w:rsid w:val="00260FC1"/>
    <w:rsid w:val="00261007"/>
    <w:rsid w:val="00261287"/>
    <w:rsid w:val="002614B7"/>
    <w:rsid w:val="00261507"/>
    <w:rsid w:val="00261563"/>
    <w:rsid w:val="0026159F"/>
    <w:rsid w:val="002619BA"/>
    <w:rsid w:val="00261A2A"/>
    <w:rsid w:val="00261AE7"/>
    <w:rsid w:val="00261BC5"/>
    <w:rsid w:val="00261C2F"/>
    <w:rsid w:val="00261D3C"/>
    <w:rsid w:val="00261E33"/>
    <w:rsid w:val="00261EA5"/>
    <w:rsid w:val="00261EDD"/>
    <w:rsid w:val="002620E2"/>
    <w:rsid w:val="00262178"/>
    <w:rsid w:val="00262291"/>
    <w:rsid w:val="0026238E"/>
    <w:rsid w:val="00262411"/>
    <w:rsid w:val="00262415"/>
    <w:rsid w:val="0026256D"/>
    <w:rsid w:val="002627AE"/>
    <w:rsid w:val="00262845"/>
    <w:rsid w:val="0026288A"/>
    <w:rsid w:val="00262A6B"/>
    <w:rsid w:val="00262B86"/>
    <w:rsid w:val="00262D57"/>
    <w:rsid w:val="00262E5D"/>
    <w:rsid w:val="00262E6E"/>
    <w:rsid w:val="00262EF9"/>
    <w:rsid w:val="002631A9"/>
    <w:rsid w:val="00263215"/>
    <w:rsid w:val="00263348"/>
    <w:rsid w:val="0026357C"/>
    <w:rsid w:val="0026368E"/>
    <w:rsid w:val="002636E0"/>
    <w:rsid w:val="0026372D"/>
    <w:rsid w:val="0026388C"/>
    <w:rsid w:val="0026395E"/>
    <w:rsid w:val="00263AE5"/>
    <w:rsid w:val="00263BAA"/>
    <w:rsid w:val="00263BDC"/>
    <w:rsid w:val="00263BF7"/>
    <w:rsid w:val="00263C2C"/>
    <w:rsid w:val="00263E7D"/>
    <w:rsid w:val="00264057"/>
    <w:rsid w:val="002640C1"/>
    <w:rsid w:val="0026416F"/>
    <w:rsid w:val="002641AA"/>
    <w:rsid w:val="002641CA"/>
    <w:rsid w:val="002641F2"/>
    <w:rsid w:val="0026421D"/>
    <w:rsid w:val="002642F0"/>
    <w:rsid w:val="002642F6"/>
    <w:rsid w:val="00264319"/>
    <w:rsid w:val="002643BD"/>
    <w:rsid w:val="0026445D"/>
    <w:rsid w:val="00264494"/>
    <w:rsid w:val="0026459D"/>
    <w:rsid w:val="002646ED"/>
    <w:rsid w:val="00264869"/>
    <w:rsid w:val="00264A46"/>
    <w:rsid w:val="00264B3D"/>
    <w:rsid w:val="00264C92"/>
    <w:rsid w:val="00264D1E"/>
    <w:rsid w:val="00264D2E"/>
    <w:rsid w:val="00264D87"/>
    <w:rsid w:val="00264FB4"/>
    <w:rsid w:val="00264FE8"/>
    <w:rsid w:val="00265063"/>
    <w:rsid w:val="002650B8"/>
    <w:rsid w:val="00265209"/>
    <w:rsid w:val="0026543D"/>
    <w:rsid w:val="00265516"/>
    <w:rsid w:val="002655DF"/>
    <w:rsid w:val="002655EA"/>
    <w:rsid w:val="002656F2"/>
    <w:rsid w:val="0026574F"/>
    <w:rsid w:val="00265884"/>
    <w:rsid w:val="002658AC"/>
    <w:rsid w:val="002659B7"/>
    <w:rsid w:val="00265ADB"/>
    <w:rsid w:val="00265AE5"/>
    <w:rsid w:val="00265BC1"/>
    <w:rsid w:val="00265C07"/>
    <w:rsid w:val="00265D36"/>
    <w:rsid w:val="00265D42"/>
    <w:rsid w:val="00265D47"/>
    <w:rsid w:val="00265DEA"/>
    <w:rsid w:val="002660A1"/>
    <w:rsid w:val="00266258"/>
    <w:rsid w:val="002663EB"/>
    <w:rsid w:val="00266416"/>
    <w:rsid w:val="0026650D"/>
    <w:rsid w:val="00266680"/>
    <w:rsid w:val="002666CD"/>
    <w:rsid w:val="00266736"/>
    <w:rsid w:val="0026678C"/>
    <w:rsid w:val="002668F7"/>
    <w:rsid w:val="00266948"/>
    <w:rsid w:val="00266B4E"/>
    <w:rsid w:val="00266B9E"/>
    <w:rsid w:val="00266C7F"/>
    <w:rsid w:val="00266CEB"/>
    <w:rsid w:val="00266CFA"/>
    <w:rsid w:val="00267037"/>
    <w:rsid w:val="00267074"/>
    <w:rsid w:val="002670B2"/>
    <w:rsid w:val="002671FB"/>
    <w:rsid w:val="002673D9"/>
    <w:rsid w:val="0026742B"/>
    <w:rsid w:val="0026744D"/>
    <w:rsid w:val="002675B0"/>
    <w:rsid w:val="002675C7"/>
    <w:rsid w:val="00267850"/>
    <w:rsid w:val="00267950"/>
    <w:rsid w:val="00267B57"/>
    <w:rsid w:val="00267DE6"/>
    <w:rsid w:val="00267E65"/>
    <w:rsid w:val="00267E99"/>
    <w:rsid w:val="00267ED9"/>
    <w:rsid w:val="00267F49"/>
    <w:rsid w:val="00267F7F"/>
    <w:rsid w:val="00267FCB"/>
    <w:rsid w:val="00267FDE"/>
    <w:rsid w:val="002700FD"/>
    <w:rsid w:val="0027015F"/>
    <w:rsid w:val="002702B4"/>
    <w:rsid w:val="00270342"/>
    <w:rsid w:val="0027037A"/>
    <w:rsid w:val="00270512"/>
    <w:rsid w:val="0027066C"/>
    <w:rsid w:val="0027078E"/>
    <w:rsid w:val="002707FE"/>
    <w:rsid w:val="0027082F"/>
    <w:rsid w:val="00270989"/>
    <w:rsid w:val="00270C1E"/>
    <w:rsid w:val="00270C3E"/>
    <w:rsid w:val="00270C77"/>
    <w:rsid w:val="00270C86"/>
    <w:rsid w:val="00270E79"/>
    <w:rsid w:val="0027102E"/>
    <w:rsid w:val="0027118A"/>
    <w:rsid w:val="00271314"/>
    <w:rsid w:val="002715BD"/>
    <w:rsid w:val="002716A0"/>
    <w:rsid w:val="002718A1"/>
    <w:rsid w:val="00271AA1"/>
    <w:rsid w:val="00271C00"/>
    <w:rsid w:val="00271D7C"/>
    <w:rsid w:val="00271F68"/>
    <w:rsid w:val="00271F82"/>
    <w:rsid w:val="0027205B"/>
    <w:rsid w:val="00272099"/>
    <w:rsid w:val="002720D2"/>
    <w:rsid w:val="002721D4"/>
    <w:rsid w:val="002722E4"/>
    <w:rsid w:val="00272355"/>
    <w:rsid w:val="00272428"/>
    <w:rsid w:val="0027258A"/>
    <w:rsid w:val="002727D8"/>
    <w:rsid w:val="0027298B"/>
    <w:rsid w:val="00272994"/>
    <w:rsid w:val="00272D91"/>
    <w:rsid w:val="00272E2F"/>
    <w:rsid w:val="00272E3E"/>
    <w:rsid w:val="00272E6E"/>
    <w:rsid w:val="00273024"/>
    <w:rsid w:val="0027337C"/>
    <w:rsid w:val="00273476"/>
    <w:rsid w:val="00273642"/>
    <w:rsid w:val="00273893"/>
    <w:rsid w:val="002739F2"/>
    <w:rsid w:val="00273A3A"/>
    <w:rsid w:val="00273A57"/>
    <w:rsid w:val="00273B0C"/>
    <w:rsid w:val="00273BBD"/>
    <w:rsid w:val="00273CAC"/>
    <w:rsid w:val="00273D4A"/>
    <w:rsid w:val="00273D6D"/>
    <w:rsid w:val="00273DE5"/>
    <w:rsid w:val="00273F4E"/>
    <w:rsid w:val="00273FB4"/>
    <w:rsid w:val="002740FA"/>
    <w:rsid w:val="002741A5"/>
    <w:rsid w:val="0027435E"/>
    <w:rsid w:val="002746B6"/>
    <w:rsid w:val="00274D2C"/>
    <w:rsid w:val="00274E25"/>
    <w:rsid w:val="00275831"/>
    <w:rsid w:val="0027593D"/>
    <w:rsid w:val="00275AAD"/>
    <w:rsid w:val="00275BE6"/>
    <w:rsid w:val="00275CF6"/>
    <w:rsid w:val="00275E35"/>
    <w:rsid w:val="00275F0B"/>
    <w:rsid w:val="00275F93"/>
    <w:rsid w:val="002761AC"/>
    <w:rsid w:val="002761B4"/>
    <w:rsid w:val="002761DD"/>
    <w:rsid w:val="0027645D"/>
    <w:rsid w:val="002765C0"/>
    <w:rsid w:val="002768E3"/>
    <w:rsid w:val="002768EE"/>
    <w:rsid w:val="00276AF4"/>
    <w:rsid w:val="00276BDD"/>
    <w:rsid w:val="00276CEB"/>
    <w:rsid w:val="00276D86"/>
    <w:rsid w:val="00276DB3"/>
    <w:rsid w:val="00277135"/>
    <w:rsid w:val="0027713F"/>
    <w:rsid w:val="00277226"/>
    <w:rsid w:val="00277272"/>
    <w:rsid w:val="002772AD"/>
    <w:rsid w:val="00277427"/>
    <w:rsid w:val="002775BF"/>
    <w:rsid w:val="00277720"/>
    <w:rsid w:val="002777F7"/>
    <w:rsid w:val="00277985"/>
    <w:rsid w:val="002779B1"/>
    <w:rsid w:val="00277AB0"/>
    <w:rsid w:val="00277B06"/>
    <w:rsid w:val="00277BC8"/>
    <w:rsid w:val="00277C46"/>
    <w:rsid w:val="00277C72"/>
    <w:rsid w:val="00277D5E"/>
    <w:rsid w:val="00277E9C"/>
    <w:rsid w:val="00277ECD"/>
    <w:rsid w:val="00277F69"/>
    <w:rsid w:val="00277FCC"/>
    <w:rsid w:val="00280122"/>
    <w:rsid w:val="00280225"/>
    <w:rsid w:val="0028022C"/>
    <w:rsid w:val="002802E9"/>
    <w:rsid w:val="00280426"/>
    <w:rsid w:val="00280577"/>
    <w:rsid w:val="00280659"/>
    <w:rsid w:val="0028098B"/>
    <w:rsid w:val="00280A34"/>
    <w:rsid w:val="00280A9B"/>
    <w:rsid w:val="00280DD1"/>
    <w:rsid w:val="00280E29"/>
    <w:rsid w:val="00280EC3"/>
    <w:rsid w:val="00280ECC"/>
    <w:rsid w:val="00280EDD"/>
    <w:rsid w:val="0028126B"/>
    <w:rsid w:val="002812A9"/>
    <w:rsid w:val="0028143A"/>
    <w:rsid w:val="002816E0"/>
    <w:rsid w:val="002819CD"/>
    <w:rsid w:val="00281E79"/>
    <w:rsid w:val="00282082"/>
    <w:rsid w:val="00282089"/>
    <w:rsid w:val="0028208C"/>
    <w:rsid w:val="00282176"/>
    <w:rsid w:val="002821D1"/>
    <w:rsid w:val="0028229B"/>
    <w:rsid w:val="0028236C"/>
    <w:rsid w:val="00282384"/>
    <w:rsid w:val="0028266C"/>
    <w:rsid w:val="00282843"/>
    <w:rsid w:val="00282855"/>
    <w:rsid w:val="0028292C"/>
    <w:rsid w:val="002829A6"/>
    <w:rsid w:val="00282CBA"/>
    <w:rsid w:val="00282F34"/>
    <w:rsid w:val="00282F40"/>
    <w:rsid w:val="00283153"/>
    <w:rsid w:val="00283178"/>
    <w:rsid w:val="00283284"/>
    <w:rsid w:val="0028332E"/>
    <w:rsid w:val="002833F8"/>
    <w:rsid w:val="002834C5"/>
    <w:rsid w:val="00283531"/>
    <w:rsid w:val="002838B2"/>
    <w:rsid w:val="00283E4A"/>
    <w:rsid w:val="00283F70"/>
    <w:rsid w:val="0028410C"/>
    <w:rsid w:val="00284376"/>
    <w:rsid w:val="002843B1"/>
    <w:rsid w:val="0028461B"/>
    <w:rsid w:val="0028467F"/>
    <w:rsid w:val="0028475A"/>
    <w:rsid w:val="0028492E"/>
    <w:rsid w:val="0028494A"/>
    <w:rsid w:val="002849B6"/>
    <w:rsid w:val="002849D7"/>
    <w:rsid w:val="00284A03"/>
    <w:rsid w:val="00284A9D"/>
    <w:rsid w:val="00284AB3"/>
    <w:rsid w:val="00284D75"/>
    <w:rsid w:val="00284DA7"/>
    <w:rsid w:val="00284DB4"/>
    <w:rsid w:val="00284E47"/>
    <w:rsid w:val="00284E6D"/>
    <w:rsid w:val="00284EFF"/>
    <w:rsid w:val="00284FD9"/>
    <w:rsid w:val="00285151"/>
    <w:rsid w:val="002851BD"/>
    <w:rsid w:val="002852AC"/>
    <w:rsid w:val="0028548D"/>
    <w:rsid w:val="002854A6"/>
    <w:rsid w:val="002854CD"/>
    <w:rsid w:val="0028572D"/>
    <w:rsid w:val="0028576F"/>
    <w:rsid w:val="0028583E"/>
    <w:rsid w:val="00285946"/>
    <w:rsid w:val="002859FE"/>
    <w:rsid w:val="00285C1F"/>
    <w:rsid w:val="00285C23"/>
    <w:rsid w:val="00285D2C"/>
    <w:rsid w:val="00286470"/>
    <w:rsid w:val="0028647F"/>
    <w:rsid w:val="002865AE"/>
    <w:rsid w:val="00286641"/>
    <w:rsid w:val="002867C4"/>
    <w:rsid w:val="0028692E"/>
    <w:rsid w:val="00286987"/>
    <w:rsid w:val="00286B5E"/>
    <w:rsid w:val="00286BD6"/>
    <w:rsid w:val="002871EC"/>
    <w:rsid w:val="0028738D"/>
    <w:rsid w:val="002873E8"/>
    <w:rsid w:val="0028761A"/>
    <w:rsid w:val="002877F1"/>
    <w:rsid w:val="00287B06"/>
    <w:rsid w:val="00287C1C"/>
    <w:rsid w:val="00287CFD"/>
    <w:rsid w:val="00287EF2"/>
    <w:rsid w:val="00290054"/>
    <w:rsid w:val="00290095"/>
    <w:rsid w:val="002901F5"/>
    <w:rsid w:val="00290201"/>
    <w:rsid w:val="0029020C"/>
    <w:rsid w:val="002902D8"/>
    <w:rsid w:val="002903B0"/>
    <w:rsid w:val="00290449"/>
    <w:rsid w:val="0029046E"/>
    <w:rsid w:val="002905A3"/>
    <w:rsid w:val="0029079F"/>
    <w:rsid w:val="002907A6"/>
    <w:rsid w:val="00290849"/>
    <w:rsid w:val="0029087E"/>
    <w:rsid w:val="00290997"/>
    <w:rsid w:val="00290AF8"/>
    <w:rsid w:val="00290BC6"/>
    <w:rsid w:val="00290D7B"/>
    <w:rsid w:val="002910B4"/>
    <w:rsid w:val="00291187"/>
    <w:rsid w:val="0029132C"/>
    <w:rsid w:val="00291507"/>
    <w:rsid w:val="00291559"/>
    <w:rsid w:val="0029156D"/>
    <w:rsid w:val="00291573"/>
    <w:rsid w:val="002916EF"/>
    <w:rsid w:val="00291714"/>
    <w:rsid w:val="00291826"/>
    <w:rsid w:val="00291A72"/>
    <w:rsid w:val="00291D64"/>
    <w:rsid w:val="00291EEB"/>
    <w:rsid w:val="00292111"/>
    <w:rsid w:val="0029229E"/>
    <w:rsid w:val="002922DB"/>
    <w:rsid w:val="00292477"/>
    <w:rsid w:val="002925B2"/>
    <w:rsid w:val="00292785"/>
    <w:rsid w:val="0029281D"/>
    <w:rsid w:val="002929D8"/>
    <w:rsid w:val="00292E24"/>
    <w:rsid w:val="00292E71"/>
    <w:rsid w:val="00292E85"/>
    <w:rsid w:val="00292F8A"/>
    <w:rsid w:val="00293732"/>
    <w:rsid w:val="00293A13"/>
    <w:rsid w:val="00293A19"/>
    <w:rsid w:val="00293A31"/>
    <w:rsid w:val="00293B3C"/>
    <w:rsid w:val="00293B8D"/>
    <w:rsid w:val="00293BBB"/>
    <w:rsid w:val="00293C5A"/>
    <w:rsid w:val="00293DA7"/>
    <w:rsid w:val="00294192"/>
    <w:rsid w:val="002941DA"/>
    <w:rsid w:val="00294222"/>
    <w:rsid w:val="00294251"/>
    <w:rsid w:val="00294255"/>
    <w:rsid w:val="0029440E"/>
    <w:rsid w:val="00294506"/>
    <w:rsid w:val="00294AA0"/>
    <w:rsid w:val="00294B62"/>
    <w:rsid w:val="00294BE1"/>
    <w:rsid w:val="00294BED"/>
    <w:rsid w:val="00294C19"/>
    <w:rsid w:val="00294D36"/>
    <w:rsid w:val="00294E55"/>
    <w:rsid w:val="00295017"/>
    <w:rsid w:val="00295079"/>
    <w:rsid w:val="002950DD"/>
    <w:rsid w:val="00295291"/>
    <w:rsid w:val="002953FB"/>
    <w:rsid w:val="0029563D"/>
    <w:rsid w:val="0029567F"/>
    <w:rsid w:val="0029569E"/>
    <w:rsid w:val="002957C2"/>
    <w:rsid w:val="002957EE"/>
    <w:rsid w:val="00295834"/>
    <w:rsid w:val="00295B5F"/>
    <w:rsid w:val="00295BB8"/>
    <w:rsid w:val="00295C0A"/>
    <w:rsid w:val="002961AC"/>
    <w:rsid w:val="002961F6"/>
    <w:rsid w:val="002961F7"/>
    <w:rsid w:val="00296227"/>
    <w:rsid w:val="00296272"/>
    <w:rsid w:val="00296332"/>
    <w:rsid w:val="0029643D"/>
    <w:rsid w:val="00296575"/>
    <w:rsid w:val="002966AA"/>
    <w:rsid w:val="002966B9"/>
    <w:rsid w:val="0029674A"/>
    <w:rsid w:val="002967AF"/>
    <w:rsid w:val="0029682B"/>
    <w:rsid w:val="00296D8D"/>
    <w:rsid w:val="00296E5E"/>
    <w:rsid w:val="00296F4C"/>
    <w:rsid w:val="00296F79"/>
    <w:rsid w:val="002970FC"/>
    <w:rsid w:val="0029711F"/>
    <w:rsid w:val="002972CC"/>
    <w:rsid w:val="0029736A"/>
    <w:rsid w:val="002973C9"/>
    <w:rsid w:val="0029750E"/>
    <w:rsid w:val="00297516"/>
    <w:rsid w:val="0029754F"/>
    <w:rsid w:val="002976FB"/>
    <w:rsid w:val="0029771B"/>
    <w:rsid w:val="0029780E"/>
    <w:rsid w:val="00297B0E"/>
    <w:rsid w:val="00297B4C"/>
    <w:rsid w:val="00297B78"/>
    <w:rsid w:val="00297BAE"/>
    <w:rsid w:val="00297C45"/>
    <w:rsid w:val="00297C8E"/>
    <w:rsid w:val="00297CB8"/>
    <w:rsid w:val="00297E11"/>
    <w:rsid w:val="00297ED4"/>
    <w:rsid w:val="00297F2D"/>
    <w:rsid w:val="00297FD7"/>
    <w:rsid w:val="002A0282"/>
    <w:rsid w:val="002A0510"/>
    <w:rsid w:val="002A0724"/>
    <w:rsid w:val="002A0BC3"/>
    <w:rsid w:val="002A0D7F"/>
    <w:rsid w:val="002A0FC1"/>
    <w:rsid w:val="002A100F"/>
    <w:rsid w:val="002A1076"/>
    <w:rsid w:val="002A10C8"/>
    <w:rsid w:val="002A1162"/>
    <w:rsid w:val="002A1176"/>
    <w:rsid w:val="002A1242"/>
    <w:rsid w:val="002A127A"/>
    <w:rsid w:val="002A13D1"/>
    <w:rsid w:val="002A15C7"/>
    <w:rsid w:val="002A1830"/>
    <w:rsid w:val="002A1849"/>
    <w:rsid w:val="002A1864"/>
    <w:rsid w:val="002A1A5B"/>
    <w:rsid w:val="002A1B91"/>
    <w:rsid w:val="002A1D0F"/>
    <w:rsid w:val="002A2465"/>
    <w:rsid w:val="002A25A6"/>
    <w:rsid w:val="002A27F4"/>
    <w:rsid w:val="002A2B01"/>
    <w:rsid w:val="002A2C6B"/>
    <w:rsid w:val="002A2E1D"/>
    <w:rsid w:val="002A3002"/>
    <w:rsid w:val="002A3172"/>
    <w:rsid w:val="002A31B7"/>
    <w:rsid w:val="002A3371"/>
    <w:rsid w:val="002A35AB"/>
    <w:rsid w:val="002A362C"/>
    <w:rsid w:val="002A3889"/>
    <w:rsid w:val="002A389A"/>
    <w:rsid w:val="002A3905"/>
    <w:rsid w:val="002A39D5"/>
    <w:rsid w:val="002A3AF3"/>
    <w:rsid w:val="002A3B41"/>
    <w:rsid w:val="002A3CDD"/>
    <w:rsid w:val="002A3EB5"/>
    <w:rsid w:val="002A3FE0"/>
    <w:rsid w:val="002A4059"/>
    <w:rsid w:val="002A444B"/>
    <w:rsid w:val="002A4643"/>
    <w:rsid w:val="002A4842"/>
    <w:rsid w:val="002A4890"/>
    <w:rsid w:val="002A48DC"/>
    <w:rsid w:val="002A49AF"/>
    <w:rsid w:val="002A4F1E"/>
    <w:rsid w:val="002A4F78"/>
    <w:rsid w:val="002A508E"/>
    <w:rsid w:val="002A52E1"/>
    <w:rsid w:val="002A53AB"/>
    <w:rsid w:val="002A5501"/>
    <w:rsid w:val="002A55FC"/>
    <w:rsid w:val="002A57B3"/>
    <w:rsid w:val="002A57FC"/>
    <w:rsid w:val="002A5A6F"/>
    <w:rsid w:val="002A5B53"/>
    <w:rsid w:val="002A5BB5"/>
    <w:rsid w:val="002A5CE1"/>
    <w:rsid w:val="002A5DB1"/>
    <w:rsid w:val="002A5DD3"/>
    <w:rsid w:val="002A5F8C"/>
    <w:rsid w:val="002A622E"/>
    <w:rsid w:val="002A6302"/>
    <w:rsid w:val="002A63B6"/>
    <w:rsid w:val="002A63C8"/>
    <w:rsid w:val="002A66D9"/>
    <w:rsid w:val="002A697A"/>
    <w:rsid w:val="002A6A39"/>
    <w:rsid w:val="002A6EEB"/>
    <w:rsid w:val="002A7030"/>
    <w:rsid w:val="002A715C"/>
    <w:rsid w:val="002A7165"/>
    <w:rsid w:val="002A718E"/>
    <w:rsid w:val="002A71AE"/>
    <w:rsid w:val="002A727D"/>
    <w:rsid w:val="002A7362"/>
    <w:rsid w:val="002A7515"/>
    <w:rsid w:val="002A75B3"/>
    <w:rsid w:val="002A764C"/>
    <w:rsid w:val="002A788C"/>
    <w:rsid w:val="002A7A88"/>
    <w:rsid w:val="002A7B37"/>
    <w:rsid w:val="002B0274"/>
    <w:rsid w:val="002B034A"/>
    <w:rsid w:val="002B03C7"/>
    <w:rsid w:val="002B07F5"/>
    <w:rsid w:val="002B0B2C"/>
    <w:rsid w:val="002B0B52"/>
    <w:rsid w:val="002B0C67"/>
    <w:rsid w:val="002B0D7B"/>
    <w:rsid w:val="002B0F02"/>
    <w:rsid w:val="002B0F53"/>
    <w:rsid w:val="002B11DC"/>
    <w:rsid w:val="002B170B"/>
    <w:rsid w:val="002B172B"/>
    <w:rsid w:val="002B1A8E"/>
    <w:rsid w:val="002B1B24"/>
    <w:rsid w:val="002B1EDC"/>
    <w:rsid w:val="002B1FD4"/>
    <w:rsid w:val="002B1FE8"/>
    <w:rsid w:val="002B21BD"/>
    <w:rsid w:val="002B243B"/>
    <w:rsid w:val="002B2899"/>
    <w:rsid w:val="002B2977"/>
    <w:rsid w:val="002B2A45"/>
    <w:rsid w:val="002B2AA9"/>
    <w:rsid w:val="002B2B43"/>
    <w:rsid w:val="002B2C08"/>
    <w:rsid w:val="002B2C5E"/>
    <w:rsid w:val="002B2C6A"/>
    <w:rsid w:val="002B2CAD"/>
    <w:rsid w:val="002B2F4F"/>
    <w:rsid w:val="002B303E"/>
    <w:rsid w:val="002B30B9"/>
    <w:rsid w:val="002B323B"/>
    <w:rsid w:val="002B3412"/>
    <w:rsid w:val="002B3603"/>
    <w:rsid w:val="002B3AD4"/>
    <w:rsid w:val="002B3F70"/>
    <w:rsid w:val="002B3F9F"/>
    <w:rsid w:val="002B4145"/>
    <w:rsid w:val="002B4157"/>
    <w:rsid w:val="002B4181"/>
    <w:rsid w:val="002B4356"/>
    <w:rsid w:val="002B43A1"/>
    <w:rsid w:val="002B4429"/>
    <w:rsid w:val="002B44D9"/>
    <w:rsid w:val="002B4571"/>
    <w:rsid w:val="002B45C5"/>
    <w:rsid w:val="002B4BA5"/>
    <w:rsid w:val="002B4C89"/>
    <w:rsid w:val="002B4D36"/>
    <w:rsid w:val="002B4DE5"/>
    <w:rsid w:val="002B4EB5"/>
    <w:rsid w:val="002B4ED3"/>
    <w:rsid w:val="002B4FAA"/>
    <w:rsid w:val="002B5062"/>
    <w:rsid w:val="002B50E4"/>
    <w:rsid w:val="002B521B"/>
    <w:rsid w:val="002B52CD"/>
    <w:rsid w:val="002B5326"/>
    <w:rsid w:val="002B53DF"/>
    <w:rsid w:val="002B5534"/>
    <w:rsid w:val="002B5741"/>
    <w:rsid w:val="002B596D"/>
    <w:rsid w:val="002B5AF8"/>
    <w:rsid w:val="002B5CE8"/>
    <w:rsid w:val="002B5EF6"/>
    <w:rsid w:val="002B5FBE"/>
    <w:rsid w:val="002B6292"/>
    <w:rsid w:val="002B62C4"/>
    <w:rsid w:val="002B648F"/>
    <w:rsid w:val="002B6504"/>
    <w:rsid w:val="002B66A3"/>
    <w:rsid w:val="002B671F"/>
    <w:rsid w:val="002B68AE"/>
    <w:rsid w:val="002B68C2"/>
    <w:rsid w:val="002B6928"/>
    <w:rsid w:val="002B6FDB"/>
    <w:rsid w:val="002B71A2"/>
    <w:rsid w:val="002B743E"/>
    <w:rsid w:val="002B75C2"/>
    <w:rsid w:val="002B779F"/>
    <w:rsid w:val="002B7A2C"/>
    <w:rsid w:val="002B7AAD"/>
    <w:rsid w:val="002B7B4A"/>
    <w:rsid w:val="002B7B5C"/>
    <w:rsid w:val="002B7B6A"/>
    <w:rsid w:val="002B7C05"/>
    <w:rsid w:val="002B7CD3"/>
    <w:rsid w:val="002B7E28"/>
    <w:rsid w:val="002B7EA4"/>
    <w:rsid w:val="002B7EF0"/>
    <w:rsid w:val="002C0024"/>
    <w:rsid w:val="002C0303"/>
    <w:rsid w:val="002C0354"/>
    <w:rsid w:val="002C039E"/>
    <w:rsid w:val="002C05AF"/>
    <w:rsid w:val="002C0611"/>
    <w:rsid w:val="002C063B"/>
    <w:rsid w:val="002C075E"/>
    <w:rsid w:val="002C0A43"/>
    <w:rsid w:val="002C0A7C"/>
    <w:rsid w:val="002C0A80"/>
    <w:rsid w:val="002C0C04"/>
    <w:rsid w:val="002C0C53"/>
    <w:rsid w:val="002C0EB0"/>
    <w:rsid w:val="002C10FD"/>
    <w:rsid w:val="002C1201"/>
    <w:rsid w:val="002C122F"/>
    <w:rsid w:val="002C16E5"/>
    <w:rsid w:val="002C1749"/>
    <w:rsid w:val="002C17B3"/>
    <w:rsid w:val="002C17C8"/>
    <w:rsid w:val="002C17E9"/>
    <w:rsid w:val="002C181B"/>
    <w:rsid w:val="002C1834"/>
    <w:rsid w:val="002C1ABB"/>
    <w:rsid w:val="002C1CD2"/>
    <w:rsid w:val="002C1DAA"/>
    <w:rsid w:val="002C1DD3"/>
    <w:rsid w:val="002C1E52"/>
    <w:rsid w:val="002C1FB8"/>
    <w:rsid w:val="002C2162"/>
    <w:rsid w:val="002C21E3"/>
    <w:rsid w:val="002C2282"/>
    <w:rsid w:val="002C22D6"/>
    <w:rsid w:val="002C2945"/>
    <w:rsid w:val="002C29FD"/>
    <w:rsid w:val="002C2B4E"/>
    <w:rsid w:val="002C2EAC"/>
    <w:rsid w:val="002C2EF7"/>
    <w:rsid w:val="002C2F70"/>
    <w:rsid w:val="002C2FDF"/>
    <w:rsid w:val="002C301F"/>
    <w:rsid w:val="002C30AA"/>
    <w:rsid w:val="002C30CD"/>
    <w:rsid w:val="002C3662"/>
    <w:rsid w:val="002C37DC"/>
    <w:rsid w:val="002C38DC"/>
    <w:rsid w:val="002C3984"/>
    <w:rsid w:val="002C3C0A"/>
    <w:rsid w:val="002C3C37"/>
    <w:rsid w:val="002C3D92"/>
    <w:rsid w:val="002C3E45"/>
    <w:rsid w:val="002C4135"/>
    <w:rsid w:val="002C41B4"/>
    <w:rsid w:val="002C4302"/>
    <w:rsid w:val="002C44D6"/>
    <w:rsid w:val="002C46D0"/>
    <w:rsid w:val="002C46EF"/>
    <w:rsid w:val="002C4719"/>
    <w:rsid w:val="002C4796"/>
    <w:rsid w:val="002C48D6"/>
    <w:rsid w:val="002C499F"/>
    <w:rsid w:val="002C4BB5"/>
    <w:rsid w:val="002C4BF6"/>
    <w:rsid w:val="002C4C9E"/>
    <w:rsid w:val="002C4CE5"/>
    <w:rsid w:val="002C537D"/>
    <w:rsid w:val="002C56B3"/>
    <w:rsid w:val="002C57B9"/>
    <w:rsid w:val="002C5822"/>
    <w:rsid w:val="002C59A2"/>
    <w:rsid w:val="002C59F9"/>
    <w:rsid w:val="002C5A5E"/>
    <w:rsid w:val="002C5C29"/>
    <w:rsid w:val="002C5E06"/>
    <w:rsid w:val="002C6112"/>
    <w:rsid w:val="002C6171"/>
    <w:rsid w:val="002C6363"/>
    <w:rsid w:val="002C63B2"/>
    <w:rsid w:val="002C6717"/>
    <w:rsid w:val="002C6769"/>
    <w:rsid w:val="002C68B7"/>
    <w:rsid w:val="002C6A46"/>
    <w:rsid w:val="002C6BF4"/>
    <w:rsid w:val="002C6E52"/>
    <w:rsid w:val="002C6EB2"/>
    <w:rsid w:val="002C6F94"/>
    <w:rsid w:val="002C70F8"/>
    <w:rsid w:val="002C71D6"/>
    <w:rsid w:val="002C7221"/>
    <w:rsid w:val="002C7401"/>
    <w:rsid w:val="002C7567"/>
    <w:rsid w:val="002C75E1"/>
    <w:rsid w:val="002C76A4"/>
    <w:rsid w:val="002C78B8"/>
    <w:rsid w:val="002C78EB"/>
    <w:rsid w:val="002C79B1"/>
    <w:rsid w:val="002C7C32"/>
    <w:rsid w:val="002C7D94"/>
    <w:rsid w:val="002D0049"/>
    <w:rsid w:val="002D01A9"/>
    <w:rsid w:val="002D0297"/>
    <w:rsid w:val="002D059F"/>
    <w:rsid w:val="002D0727"/>
    <w:rsid w:val="002D0797"/>
    <w:rsid w:val="002D0826"/>
    <w:rsid w:val="002D092A"/>
    <w:rsid w:val="002D0938"/>
    <w:rsid w:val="002D096D"/>
    <w:rsid w:val="002D09EA"/>
    <w:rsid w:val="002D0D34"/>
    <w:rsid w:val="002D0D48"/>
    <w:rsid w:val="002D0E3B"/>
    <w:rsid w:val="002D1317"/>
    <w:rsid w:val="002D1796"/>
    <w:rsid w:val="002D17D4"/>
    <w:rsid w:val="002D1822"/>
    <w:rsid w:val="002D18F2"/>
    <w:rsid w:val="002D19B2"/>
    <w:rsid w:val="002D1AA7"/>
    <w:rsid w:val="002D1B70"/>
    <w:rsid w:val="002D1E48"/>
    <w:rsid w:val="002D1FCA"/>
    <w:rsid w:val="002D246D"/>
    <w:rsid w:val="002D249F"/>
    <w:rsid w:val="002D2565"/>
    <w:rsid w:val="002D2622"/>
    <w:rsid w:val="002D265C"/>
    <w:rsid w:val="002D26ED"/>
    <w:rsid w:val="002D27C5"/>
    <w:rsid w:val="002D2860"/>
    <w:rsid w:val="002D2C31"/>
    <w:rsid w:val="002D2CD4"/>
    <w:rsid w:val="002D2EF4"/>
    <w:rsid w:val="002D2F45"/>
    <w:rsid w:val="002D2FBD"/>
    <w:rsid w:val="002D318D"/>
    <w:rsid w:val="002D31EA"/>
    <w:rsid w:val="002D32E3"/>
    <w:rsid w:val="002D34AF"/>
    <w:rsid w:val="002D3A2B"/>
    <w:rsid w:val="002D3DE6"/>
    <w:rsid w:val="002D3FED"/>
    <w:rsid w:val="002D41DD"/>
    <w:rsid w:val="002D42D8"/>
    <w:rsid w:val="002D4361"/>
    <w:rsid w:val="002D45A2"/>
    <w:rsid w:val="002D4B16"/>
    <w:rsid w:val="002D4C78"/>
    <w:rsid w:val="002D4F09"/>
    <w:rsid w:val="002D50CD"/>
    <w:rsid w:val="002D50D7"/>
    <w:rsid w:val="002D51DE"/>
    <w:rsid w:val="002D54D7"/>
    <w:rsid w:val="002D55B6"/>
    <w:rsid w:val="002D5626"/>
    <w:rsid w:val="002D5A8A"/>
    <w:rsid w:val="002D5B11"/>
    <w:rsid w:val="002D5BDE"/>
    <w:rsid w:val="002D5CAE"/>
    <w:rsid w:val="002D5D83"/>
    <w:rsid w:val="002D5E94"/>
    <w:rsid w:val="002D5EF9"/>
    <w:rsid w:val="002D60D0"/>
    <w:rsid w:val="002D6307"/>
    <w:rsid w:val="002D6349"/>
    <w:rsid w:val="002D6558"/>
    <w:rsid w:val="002D6634"/>
    <w:rsid w:val="002D66AC"/>
    <w:rsid w:val="002D6729"/>
    <w:rsid w:val="002D676F"/>
    <w:rsid w:val="002D6918"/>
    <w:rsid w:val="002D6A74"/>
    <w:rsid w:val="002D6C5F"/>
    <w:rsid w:val="002D6EE2"/>
    <w:rsid w:val="002D6F4F"/>
    <w:rsid w:val="002D700A"/>
    <w:rsid w:val="002D7024"/>
    <w:rsid w:val="002D7139"/>
    <w:rsid w:val="002D718E"/>
    <w:rsid w:val="002D71E8"/>
    <w:rsid w:val="002D7379"/>
    <w:rsid w:val="002D7516"/>
    <w:rsid w:val="002D76B2"/>
    <w:rsid w:val="002D76C1"/>
    <w:rsid w:val="002D779B"/>
    <w:rsid w:val="002D7917"/>
    <w:rsid w:val="002D7C6C"/>
    <w:rsid w:val="002D7E30"/>
    <w:rsid w:val="002D7E89"/>
    <w:rsid w:val="002E02D3"/>
    <w:rsid w:val="002E0670"/>
    <w:rsid w:val="002E0756"/>
    <w:rsid w:val="002E0836"/>
    <w:rsid w:val="002E08B2"/>
    <w:rsid w:val="002E0A78"/>
    <w:rsid w:val="002E0CA3"/>
    <w:rsid w:val="002E0DEB"/>
    <w:rsid w:val="002E0DFC"/>
    <w:rsid w:val="002E11B2"/>
    <w:rsid w:val="002E11DF"/>
    <w:rsid w:val="002E144E"/>
    <w:rsid w:val="002E145A"/>
    <w:rsid w:val="002E14E7"/>
    <w:rsid w:val="002E174E"/>
    <w:rsid w:val="002E18C7"/>
    <w:rsid w:val="002E1A6E"/>
    <w:rsid w:val="002E1B74"/>
    <w:rsid w:val="002E1BB5"/>
    <w:rsid w:val="002E1C2D"/>
    <w:rsid w:val="002E1C69"/>
    <w:rsid w:val="002E1E50"/>
    <w:rsid w:val="002E205D"/>
    <w:rsid w:val="002E2310"/>
    <w:rsid w:val="002E2371"/>
    <w:rsid w:val="002E27B7"/>
    <w:rsid w:val="002E28BA"/>
    <w:rsid w:val="002E29CF"/>
    <w:rsid w:val="002E2AAF"/>
    <w:rsid w:val="002E2AFF"/>
    <w:rsid w:val="002E2C4C"/>
    <w:rsid w:val="002E2DE0"/>
    <w:rsid w:val="002E2FB5"/>
    <w:rsid w:val="002E3091"/>
    <w:rsid w:val="002E31C8"/>
    <w:rsid w:val="002E3932"/>
    <w:rsid w:val="002E3998"/>
    <w:rsid w:val="002E3B73"/>
    <w:rsid w:val="002E3BCC"/>
    <w:rsid w:val="002E3D12"/>
    <w:rsid w:val="002E3D7A"/>
    <w:rsid w:val="002E3E42"/>
    <w:rsid w:val="002E401A"/>
    <w:rsid w:val="002E4196"/>
    <w:rsid w:val="002E41A8"/>
    <w:rsid w:val="002E41F5"/>
    <w:rsid w:val="002E425B"/>
    <w:rsid w:val="002E42A7"/>
    <w:rsid w:val="002E4369"/>
    <w:rsid w:val="002E4392"/>
    <w:rsid w:val="002E462E"/>
    <w:rsid w:val="002E4729"/>
    <w:rsid w:val="002E4966"/>
    <w:rsid w:val="002E4AC2"/>
    <w:rsid w:val="002E4D30"/>
    <w:rsid w:val="002E4DA8"/>
    <w:rsid w:val="002E4FF1"/>
    <w:rsid w:val="002E5083"/>
    <w:rsid w:val="002E50DA"/>
    <w:rsid w:val="002E51F5"/>
    <w:rsid w:val="002E530B"/>
    <w:rsid w:val="002E53F5"/>
    <w:rsid w:val="002E5636"/>
    <w:rsid w:val="002E56A1"/>
    <w:rsid w:val="002E59C7"/>
    <w:rsid w:val="002E59F1"/>
    <w:rsid w:val="002E5A8E"/>
    <w:rsid w:val="002E5B64"/>
    <w:rsid w:val="002E5D4F"/>
    <w:rsid w:val="002E5D93"/>
    <w:rsid w:val="002E5F6C"/>
    <w:rsid w:val="002E5F9C"/>
    <w:rsid w:val="002E5FEA"/>
    <w:rsid w:val="002E602D"/>
    <w:rsid w:val="002E60AD"/>
    <w:rsid w:val="002E64C1"/>
    <w:rsid w:val="002E6608"/>
    <w:rsid w:val="002E67B1"/>
    <w:rsid w:val="002E682B"/>
    <w:rsid w:val="002E6861"/>
    <w:rsid w:val="002E6C4B"/>
    <w:rsid w:val="002E7045"/>
    <w:rsid w:val="002E729F"/>
    <w:rsid w:val="002E764B"/>
    <w:rsid w:val="002E794A"/>
    <w:rsid w:val="002E7ADC"/>
    <w:rsid w:val="002E7B8A"/>
    <w:rsid w:val="002E7BA8"/>
    <w:rsid w:val="002E7BB0"/>
    <w:rsid w:val="002E7C4A"/>
    <w:rsid w:val="002E7C8D"/>
    <w:rsid w:val="002E7DDF"/>
    <w:rsid w:val="002E7E51"/>
    <w:rsid w:val="002E7F0A"/>
    <w:rsid w:val="002F003A"/>
    <w:rsid w:val="002F00CC"/>
    <w:rsid w:val="002F01D5"/>
    <w:rsid w:val="002F0201"/>
    <w:rsid w:val="002F0393"/>
    <w:rsid w:val="002F03AE"/>
    <w:rsid w:val="002F05D4"/>
    <w:rsid w:val="002F0665"/>
    <w:rsid w:val="002F0915"/>
    <w:rsid w:val="002F0961"/>
    <w:rsid w:val="002F09D9"/>
    <w:rsid w:val="002F0A52"/>
    <w:rsid w:val="002F0B5D"/>
    <w:rsid w:val="002F0CDB"/>
    <w:rsid w:val="002F0E3F"/>
    <w:rsid w:val="002F1089"/>
    <w:rsid w:val="002F11ED"/>
    <w:rsid w:val="002F1642"/>
    <w:rsid w:val="002F17DC"/>
    <w:rsid w:val="002F19E2"/>
    <w:rsid w:val="002F1B2E"/>
    <w:rsid w:val="002F1C32"/>
    <w:rsid w:val="002F1D41"/>
    <w:rsid w:val="002F1DF4"/>
    <w:rsid w:val="002F1FDA"/>
    <w:rsid w:val="002F20B6"/>
    <w:rsid w:val="002F2347"/>
    <w:rsid w:val="002F270D"/>
    <w:rsid w:val="002F2714"/>
    <w:rsid w:val="002F2A83"/>
    <w:rsid w:val="002F2AA2"/>
    <w:rsid w:val="002F2B62"/>
    <w:rsid w:val="002F2C7E"/>
    <w:rsid w:val="002F2CD8"/>
    <w:rsid w:val="002F2E80"/>
    <w:rsid w:val="002F2ECF"/>
    <w:rsid w:val="002F2EE0"/>
    <w:rsid w:val="002F2F63"/>
    <w:rsid w:val="002F301B"/>
    <w:rsid w:val="002F3202"/>
    <w:rsid w:val="002F34F4"/>
    <w:rsid w:val="002F3A19"/>
    <w:rsid w:val="002F3A6B"/>
    <w:rsid w:val="002F3AB7"/>
    <w:rsid w:val="002F3AE2"/>
    <w:rsid w:val="002F3B18"/>
    <w:rsid w:val="002F3B5E"/>
    <w:rsid w:val="002F3C92"/>
    <w:rsid w:val="002F4604"/>
    <w:rsid w:val="002F4745"/>
    <w:rsid w:val="002F47A1"/>
    <w:rsid w:val="002F48CB"/>
    <w:rsid w:val="002F48CE"/>
    <w:rsid w:val="002F4C4A"/>
    <w:rsid w:val="002F4E7E"/>
    <w:rsid w:val="002F5206"/>
    <w:rsid w:val="002F5397"/>
    <w:rsid w:val="002F54B4"/>
    <w:rsid w:val="002F54DB"/>
    <w:rsid w:val="002F55FB"/>
    <w:rsid w:val="002F56C7"/>
    <w:rsid w:val="002F5859"/>
    <w:rsid w:val="002F5968"/>
    <w:rsid w:val="002F5A73"/>
    <w:rsid w:val="002F5C29"/>
    <w:rsid w:val="002F5C2E"/>
    <w:rsid w:val="002F5CCE"/>
    <w:rsid w:val="002F5F57"/>
    <w:rsid w:val="002F5F8B"/>
    <w:rsid w:val="002F6069"/>
    <w:rsid w:val="002F6108"/>
    <w:rsid w:val="002F6212"/>
    <w:rsid w:val="002F6399"/>
    <w:rsid w:val="002F63E5"/>
    <w:rsid w:val="002F6456"/>
    <w:rsid w:val="002F669E"/>
    <w:rsid w:val="002F677D"/>
    <w:rsid w:val="002F686A"/>
    <w:rsid w:val="002F6B4F"/>
    <w:rsid w:val="002F6DBC"/>
    <w:rsid w:val="002F6FDB"/>
    <w:rsid w:val="002F7267"/>
    <w:rsid w:val="002F735C"/>
    <w:rsid w:val="002F7378"/>
    <w:rsid w:val="002F74B4"/>
    <w:rsid w:val="002F778B"/>
    <w:rsid w:val="002F7B54"/>
    <w:rsid w:val="002F7C0C"/>
    <w:rsid w:val="002F7DB2"/>
    <w:rsid w:val="002F7E21"/>
    <w:rsid w:val="002F7E4D"/>
    <w:rsid w:val="002F7E5E"/>
    <w:rsid w:val="00300089"/>
    <w:rsid w:val="00300284"/>
    <w:rsid w:val="00300424"/>
    <w:rsid w:val="0030077F"/>
    <w:rsid w:val="003007D8"/>
    <w:rsid w:val="0030099E"/>
    <w:rsid w:val="003009D4"/>
    <w:rsid w:val="00300B7F"/>
    <w:rsid w:val="00300C8F"/>
    <w:rsid w:val="00300CF0"/>
    <w:rsid w:val="00300ECA"/>
    <w:rsid w:val="00300FB1"/>
    <w:rsid w:val="00301097"/>
    <w:rsid w:val="00301110"/>
    <w:rsid w:val="00301222"/>
    <w:rsid w:val="00301311"/>
    <w:rsid w:val="00301349"/>
    <w:rsid w:val="00301442"/>
    <w:rsid w:val="0030144F"/>
    <w:rsid w:val="00301515"/>
    <w:rsid w:val="00301661"/>
    <w:rsid w:val="0030167D"/>
    <w:rsid w:val="00301715"/>
    <w:rsid w:val="003017CD"/>
    <w:rsid w:val="00301918"/>
    <w:rsid w:val="0030192B"/>
    <w:rsid w:val="00301D79"/>
    <w:rsid w:val="00302459"/>
    <w:rsid w:val="003024AE"/>
    <w:rsid w:val="003024F5"/>
    <w:rsid w:val="00302535"/>
    <w:rsid w:val="003028B8"/>
    <w:rsid w:val="00302994"/>
    <w:rsid w:val="00302995"/>
    <w:rsid w:val="00302CAF"/>
    <w:rsid w:val="00302FFA"/>
    <w:rsid w:val="00303141"/>
    <w:rsid w:val="003031CE"/>
    <w:rsid w:val="003032AD"/>
    <w:rsid w:val="003033B8"/>
    <w:rsid w:val="0030343E"/>
    <w:rsid w:val="0030350B"/>
    <w:rsid w:val="00303821"/>
    <w:rsid w:val="003039D1"/>
    <w:rsid w:val="00303B10"/>
    <w:rsid w:val="00303B36"/>
    <w:rsid w:val="00303B86"/>
    <w:rsid w:val="00303BD1"/>
    <w:rsid w:val="00303BD7"/>
    <w:rsid w:val="00303C3B"/>
    <w:rsid w:val="00303CA7"/>
    <w:rsid w:val="00303E27"/>
    <w:rsid w:val="00303ED5"/>
    <w:rsid w:val="00304078"/>
    <w:rsid w:val="003040D9"/>
    <w:rsid w:val="003042B5"/>
    <w:rsid w:val="00304401"/>
    <w:rsid w:val="003045AF"/>
    <w:rsid w:val="003046A9"/>
    <w:rsid w:val="00304783"/>
    <w:rsid w:val="00304814"/>
    <w:rsid w:val="00304909"/>
    <w:rsid w:val="00304A85"/>
    <w:rsid w:val="00304B6F"/>
    <w:rsid w:val="00304C93"/>
    <w:rsid w:val="00304DE3"/>
    <w:rsid w:val="00304DE4"/>
    <w:rsid w:val="00304E5F"/>
    <w:rsid w:val="00305003"/>
    <w:rsid w:val="003051E4"/>
    <w:rsid w:val="0030529A"/>
    <w:rsid w:val="003054C5"/>
    <w:rsid w:val="0030562E"/>
    <w:rsid w:val="00305638"/>
    <w:rsid w:val="00305653"/>
    <w:rsid w:val="003056CF"/>
    <w:rsid w:val="003056F4"/>
    <w:rsid w:val="003058ED"/>
    <w:rsid w:val="00305970"/>
    <w:rsid w:val="003059AB"/>
    <w:rsid w:val="003059C5"/>
    <w:rsid w:val="00305A63"/>
    <w:rsid w:val="00305C75"/>
    <w:rsid w:val="00305EE1"/>
    <w:rsid w:val="00305F71"/>
    <w:rsid w:val="003062AB"/>
    <w:rsid w:val="00306663"/>
    <w:rsid w:val="0030670A"/>
    <w:rsid w:val="0030690C"/>
    <w:rsid w:val="00306AEC"/>
    <w:rsid w:val="00306C6D"/>
    <w:rsid w:val="00306F1A"/>
    <w:rsid w:val="0030709F"/>
    <w:rsid w:val="003072D4"/>
    <w:rsid w:val="003073F4"/>
    <w:rsid w:val="0030751B"/>
    <w:rsid w:val="00307A43"/>
    <w:rsid w:val="00307D0C"/>
    <w:rsid w:val="00307D1C"/>
    <w:rsid w:val="00307E63"/>
    <w:rsid w:val="0031043A"/>
    <w:rsid w:val="003104F0"/>
    <w:rsid w:val="00310541"/>
    <w:rsid w:val="003105C0"/>
    <w:rsid w:val="00310939"/>
    <w:rsid w:val="00310BAF"/>
    <w:rsid w:val="00310D1B"/>
    <w:rsid w:val="00310D64"/>
    <w:rsid w:val="00310DAA"/>
    <w:rsid w:val="00311006"/>
    <w:rsid w:val="00311347"/>
    <w:rsid w:val="0031158E"/>
    <w:rsid w:val="00311655"/>
    <w:rsid w:val="00311885"/>
    <w:rsid w:val="00311B24"/>
    <w:rsid w:val="00311B50"/>
    <w:rsid w:val="00311E6A"/>
    <w:rsid w:val="00311F55"/>
    <w:rsid w:val="0031227D"/>
    <w:rsid w:val="003124A3"/>
    <w:rsid w:val="0031255F"/>
    <w:rsid w:val="0031276B"/>
    <w:rsid w:val="00312794"/>
    <w:rsid w:val="003127BE"/>
    <w:rsid w:val="003129AD"/>
    <w:rsid w:val="00312A4E"/>
    <w:rsid w:val="00312B39"/>
    <w:rsid w:val="00312CD3"/>
    <w:rsid w:val="00312E4E"/>
    <w:rsid w:val="00312F8F"/>
    <w:rsid w:val="00312FCA"/>
    <w:rsid w:val="0031303C"/>
    <w:rsid w:val="0031304C"/>
    <w:rsid w:val="00313464"/>
    <w:rsid w:val="003136A9"/>
    <w:rsid w:val="00313759"/>
    <w:rsid w:val="0031380B"/>
    <w:rsid w:val="00313EE0"/>
    <w:rsid w:val="00313F3E"/>
    <w:rsid w:val="003140AB"/>
    <w:rsid w:val="00314322"/>
    <w:rsid w:val="003143AD"/>
    <w:rsid w:val="0031456D"/>
    <w:rsid w:val="0031471C"/>
    <w:rsid w:val="003149DB"/>
    <w:rsid w:val="00314A44"/>
    <w:rsid w:val="00314A4E"/>
    <w:rsid w:val="00314A65"/>
    <w:rsid w:val="00314D7E"/>
    <w:rsid w:val="00314DCB"/>
    <w:rsid w:val="00314DE3"/>
    <w:rsid w:val="00314F7A"/>
    <w:rsid w:val="00314FA0"/>
    <w:rsid w:val="0031515F"/>
    <w:rsid w:val="003151B5"/>
    <w:rsid w:val="00315475"/>
    <w:rsid w:val="0031547D"/>
    <w:rsid w:val="003154D3"/>
    <w:rsid w:val="003155D2"/>
    <w:rsid w:val="00315794"/>
    <w:rsid w:val="003157D7"/>
    <w:rsid w:val="00315845"/>
    <w:rsid w:val="003158FF"/>
    <w:rsid w:val="0031597C"/>
    <w:rsid w:val="00315AD2"/>
    <w:rsid w:val="00315D1E"/>
    <w:rsid w:val="003160C8"/>
    <w:rsid w:val="0031619F"/>
    <w:rsid w:val="003165F7"/>
    <w:rsid w:val="003166FF"/>
    <w:rsid w:val="00316844"/>
    <w:rsid w:val="00316B12"/>
    <w:rsid w:val="00316B41"/>
    <w:rsid w:val="00316D08"/>
    <w:rsid w:val="00316FBF"/>
    <w:rsid w:val="0031707F"/>
    <w:rsid w:val="0031716E"/>
    <w:rsid w:val="00317175"/>
    <w:rsid w:val="003174C8"/>
    <w:rsid w:val="00317562"/>
    <w:rsid w:val="003176AF"/>
    <w:rsid w:val="003177C9"/>
    <w:rsid w:val="003177F5"/>
    <w:rsid w:val="00317CA1"/>
    <w:rsid w:val="00317CE2"/>
    <w:rsid w:val="00317F40"/>
    <w:rsid w:val="0032002D"/>
    <w:rsid w:val="003204A5"/>
    <w:rsid w:val="00320517"/>
    <w:rsid w:val="003209D4"/>
    <w:rsid w:val="00320CB1"/>
    <w:rsid w:val="00320CC0"/>
    <w:rsid w:val="00320D36"/>
    <w:rsid w:val="00320E52"/>
    <w:rsid w:val="00320FC8"/>
    <w:rsid w:val="0032112B"/>
    <w:rsid w:val="00321317"/>
    <w:rsid w:val="003213A3"/>
    <w:rsid w:val="0032196F"/>
    <w:rsid w:val="00321B50"/>
    <w:rsid w:val="00321D10"/>
    <w:rsid w:val="00321F70"/>
    <w:rsid w:val="00322127"/>
    <w:rsid w:val="003221DA"/>
    <w:rsid w:val="0032222E"/>
    <w:rsid w:val="003223C6"/>
    <w:rsid w:val="00322442"/>
    <w:rsid w:val="00322484"/>
    <w:rsid w:val="003224E0"/>
    <w:rsid w:val="0032258E"/>
    <w:rsid w:val="003225A2"/>
    <w:rsid w:val="0032265F"/>
    <w:rsid w:val="00322703"/>
    <w:rsid w:val="00322716"/>
    <w:rsid w:val="0032278D"/>
    <w:rsid w:val="0032281A"/>
    <w:rsid w:val="0032288A"/>
    <w:rsid w:val="003229DB"/>
    <w:rsid w:val="00322D28"/>
    <w:rsid w:val="00322D5E"/>
    <w:rsid w:val="00322D76"/>
    <w:rsid w:val="00322DC2"/>
    <w:rsid w:val="00322EFC"/>
    <w:rsid w:val="00322FB9"/>
    <w:rsid w:val="003230C4"/>
    <w:rsid w:val="00323157"/>
    <w:rsid w:val="0032327D"/>
    <w:rsid w:val="0032328A"/>
    <w:rsid w:val="003233BD"/>
    <w:rsid w:val="003233F5"/>
    <w:rsid w:val="003234DE"/>
    <w:rsid w:val="00323672"/>
    <w:rsid w:val="00323778"/>
    <w:rsid w:val="00323909"/>
    <w:rsid w:val="00323937"/>
    <w:rsid w:val="00323945"/>
    <w:rsid w:val="00323D74"/>
    <w:rsid w:val="00323DFB"/>
    <w:rsid w:val="00324598"/>
    <w:rsid w:val="00324661"/>
    <w:rsid w:val="00324909"/>
    <w:rsid w:val="00324956"/>
    <w:rsid w:val="003249E1"/>
    <w:rsid w:val="00324A29"/>
    <w:rsid w:val="00324CA6"/>
    <w:rsid w:val="00324D4E"/>
    <w:rsid w:val="00324DF1"/>
    <w:rsid w:val="00324F53"/>
    <w:rsid w:val="0032509F"/>
    <w:rsid w:val="00325144"/>
    <w:rsid w:val="00325171"/>
    <w:rsid w:val="00325397"/>
    <w:rsid w:val="00325681"/>
    <w:rsid w:val="003256D3"/>
    <w:rsid w:val="003259B1"/>
    <w:rsid w:val="00325A2B"/>
    <w:rsid w:val="00325C50"/>
    <w:rsid w:val="00325CAA"/>
    <w:rsid w:val="00325D52"/>
    <w:rsid w:val="00325E2E"/>
    <w:rsid w:val="00326055"/>
    <w:rsid w:val="0032608A"/>
    <w:rsid w:val="00326227"/>
    <w:rsid w:val="0032624C"/>
    <w:rsid w:val="003264EA"/>
    <w:rsid w:val="00326AD5"/>
    <w:rsid w:val="00326BE6"/>
    <w:rsid w:val="00326C00"/>
    <w:rsid w:val="00326C26"/>
    <w:rsid w:val="00326ED9"/>
    <w:rsid w:val="003272CC"/>
    <w:rsid w:val="00327472"/>
    <w:rsid w:val="00327537"/>
    <w:rsid w:val="00327569"/>
    <w:rsid w:val="00327894"/>
    <w:rsid w:val="00327B6E"/>
    <w:rsid w:val="00327E36"/>
    <w:rsid w:val="00327E93"/>
    <w:rsid w:val="00327EDD"/>
    <w:rsid w:val="00327F28"/>
    <w:rsid w:val="0033005E"/>
    <w:rsid w:val="0033019B"/>
    <w:rsid w:val="003301EE"/>
    <w:rsid w:val="00330737"/>
    <w:rsid w:val="003307C6"/>
    <w:rsid w:val="003307F7"/>
    <w:rsid w:val="003308A0"/>
    <w:rsid w:val="0033090E"/>
    <w:rsid w:val="00330CD4"/>
    <w:rsid w:val="00330EE4"/>
    <w:rsid w:val="00331040"/>
    <w:rsid w:val="003310E8"/>
    <w:rsid w:val="00331668"/>
    <w:rsid w:val="003317F5"/>
    <w:rsid w:val="00331942"/>
    <w:rsid w:val="00331ACE"/>
    <w:rsid w:val="00331B9E"/>
    <w:rsid w:val="00331C4F"/>
    <w:rsid w:val="00331C6B"/>
    <w:rsid w:val="00331E3E"/>
    <w:rsid w:val="00331FC6"/>
    <w:rsid w:val="0033225F"/>
    <w:rsid w:val="0033247F"/>
    <w:rsid w:val="0033278A"/>
    <w:rsid w:val="00332978"/>
    <w:rsid w:val="00332AFA"/>
    <w:rsid w:val="00332B42"/>
    <w:rsid w:val="00332F2D"/>
    <w:rsid w:val="00333158"/>
    <w:rsid w:val="00333312"/>
    <w:rsid w:val="003333FA"/>
    <w:rsid w:val="003336FD"/>
    <w:rsid w:val="0033386A"/>
    <w:rsid w:val="00333901"/>
    <w:rsid w:val="003339BD"/>
    <w:rsid w:val="00333C0A"/>
    <w:rsid w:val="00333C4B"/>
    <w:rsid w:val="00333C5F"/>
    <w:rsid w:val="00333D6F"/>
    <w:rsid w:val="00334151"/>
    <w:rsid w:val="003341EE"/>
    <w:rsid w:val="003341F5"/>
    <w:rsid w:val="0033429E"/>
    <w:rsid w:val="003342F3"/>
    <w:rsid w:val="00334363"/>
    <w:rsid w:val="003343A5"/>
    <w:rsid w:val="003346F8"/>
    <w:rsid w:val="003347EA"/>
    <w:rsid w:val="00334859"/>
    <w:rsid w:val="00334B08"/>
    <w:rsid w:val="00334C06"/>
    <w:rsid w:val="00334C1B"/>
    <w:rsid w:val="00334D1B"/>
    <w:rsid w:val="00334ED0"/>
    <w:rsid w:val="00334F19"/>
    <w:rsid w:val="003353FA"/>
    <w:rsid w:val="0033558B"/>
    <w:rsid w:val="003356F4"/>
    <w:rsid w:val="00335745"/>
    <w:rsid w:val="00335799"/>
    <w:rsid w:val="003357E9"/>
    <w:rsid w:val="00335AD5"/>
    <w:rsid w:val="00335EE3"/>
    <w:rsid w:val="00335FF2"/>
    <w:rsid w:val="003362AB"/>
    <w:rsid w:val="00336388"/>
    <w:rsid w:val="0033672B"/>
    <w:rsid w:val="00336C53"/>
    <w:rsid w:val="00336C59"/>
    <w:rsid w:val="00336D40"/>
    <w:rsid w:val="00336D62"/>
    <w:rsid w:val="00336D90"/>
    <w:rsid w:val="003371C3"/>
    <w:rsid w:val="003371F0"/>
    <w:rsid w:val="00337323"/>
    <w:rsid w:val="00337369"/>
    <w:rsid w:val="0033736A"/>
    <w:rsid w:val="00337767"/>
    <w:rsid w:val="003377F1"/>
    <w:rsid w:val="00337885"/>
    <w:rsid w:val="003378DA"/>
    <w:rsid w:val="00337908"/>
    <w:rsid w:val="00337A93"/>
    <w:rsid w:val="00337D86"/>
    <w:rsid w:val="00337E39"/>
    <w:rsid w:val="00337F08"/>
    <w:rsid w:val="0033ACF4"/>
    <w:rsid w:val="003402F0"/>
    <w:rsid w:val="00340328"/>
    <w:rsid w:val="00340387"/>
    <w:rsid w:val="003405ED"/>
    <w:rsid w:val="003406DA"/>
    <w:rsid w:val="003408A1"/>
    <w:rsid w:val="0034090B"/>
    <w:rsid w:val="00340957"/>
    <w:rsid w:val="003409DC"/>
    <w:rsid w:val="00340BAC"/>
    <w:rsid w:val="00340BD7"/>
    <w:rsid w:val="00340CDE"/>
    <w:rsid w:val="00340E3D"/>
    <w:rsid w:val="00340FD8"/>
    <w:rsid w:val="0034111B"/>
    <w:rsid w:val="00341133"/>
    <w:rsid w:val="003411A5"/>
    <w:rsid w:val="003411D8"/>
    <w:rsid w:val="00341208"/>
    <w:rsid w:val="003415B1"/>
    <w:rsid w:val="00341728"/>
    <w:rsid w:val="00341A7E"/>
    <w:rsid w:val="00341AA3"/>
    <w:rsid w:val="00341C94"/>
    <w:rsid w:val="00341CF6"/>
    <w:rsid w:val="00342445"/>
    <w:rsid w:val="003424D6"/>
    <w:rsid w:val="0034258C"/>
    <w:rsid w:val="0034265E"/>
    <w:rsid w:val="0034280D"/>
    <w:rsid w:val="00342883"/>
    <w:rsid w:val="003429A6"/>
    <w:rsid w:val="003429E4"/>
    <w:rsid w:val="00342B1F"/>
    <w:rsid w:val="00342B8A"/>
    <w:rsid w:val="00342E28"/>
    <w:rsid w:val="00342F14"/>
    <w:rsid w:val="00343132"/>
    <w:rsid w:val="003431AE"/>
    <w:rsid w:val="00343251"/>
    <w:rsid w:val="00343375"/>
    <w:rsid w:val="003435F4"/>
    <w:rsid w:val="00343A0C"/>
    <w:rsid w:val="00343B77"/>
    <w:rsid w:val="00343D56"/>
    <w:rsid w:val="00343E16"/>
    <w:rsid w:val="00343F81"/>
    <w:rsid w:val="003441F0"/>
    <w:rsid w:val="00344216"/>
    <w:rsid w:val="00344491"/>
    <w:rsid w:val="0034452C"/>
    <w:rsid w:val="00344A3A"/>
    <w:rsid w:val="00344A89"/>
    <w:rsid w:val="00344B5C"/>
    <w:rsid w:val="00344CE1"/>
    <w:rsid w:val="00344DE5"/>
    <w:rsid w:val="00344FA9"/>
    <w:rsid w:val="0034500C"/>
    <w:rsid w:val="00345066"/>
    <w:rsid w:val="00345070"/>
    <w:rsid w:val="00345107"/>
    <w:rsid w:val="00345172"/>
    <w:rsid w:val="00345470"/>
    <w:rsid w:val="0034564E"/>
    <w:rsid w:val="00345B0A"/>
    <w:rsid w:val="00345BC0"/>
    <w:rsid w:val="00345C06"/>
    <w:rsid w:val="00345F7C"/>
    <w:rsid w:val="003460AD"/>
    <w:rsid w:val="00346180"/>
    <w:rsid w:val="00346305"/>
    <w:rsid w:val="00346554"/>
    <w:rsid w:val="0034660D"/>
    <w:rsid w:val="003466DC"/>
    <w:rsid w:val="003468F9"/>
    <w:rsid w:val="00346992"/>
    <w:rsid w:val="00346996"/>
    <w:rsid w:val="003469B4"/>
    <w:rsid w:val="003469E8"/>
    <w:rsid w:val="00346A28"/>
    <w:rsid w:val="00346DBE"/>
    <w:rsid w:val="00346E77"/>
    <w:rsid w:val="00346FFB"/>
    <w:rsid w:val="0034703A"/>
    <w:rsid w:val="00347094"/>
    <w:rsid w:val="0034730D"/>
    <w:rsid w:val="00347408"/>
    <w:rsid w:val="0034746D"/>
    <w:rsid w:val="0034758A"/>
    <w:rsid w:val="003479B3"/>
    <w:rsid w:val="00347BE7"/>
    <w:rsid w:val="00347C66"/>
    <w:rsid w:val="00347FAC"/>
    <w:rsid w:val="00347FCC"/>
    <w:rsid w:val="00347FEF"/>
    <w:rsid w:val="003500BA"/>
    <w:rsid w:val="00350241"/>
    <w:rsid w:val="003502C2"/>
    <w:rsid w:val="00350398"/>
    <w:rsid w:val="0035044B"/>
    <w:rsid w:val="00350495"/>
    <w:rsid w:val="0035058F"/>
    <w:rsid w:val="00350615"/>
    <w:rsid w:val="003507D1"/>
    <w:rsid w:val="00350809"/>
    <w:rsid w:val="00350A7F"/>
    <w:rsid w:val="00350AC5"/>
    <w:rsid w:val="00350ADE"/>
    <w:rsid w:val="00350AF3"/>
    <w:rsid w:val="00350BD5"/>
    <w:rsid w:val="00350BFA"/>
    <w:rsid w:val="00350E26"/>
    <w:rsid w:val="00350EBC"/>
    <w:rsid w:val="00350F6D"/>
    <w:rsid w:val="00350F87"/>
    <w:rsid w:val="003510BC"/>
    <w:rsid w:val="0035114D"/>
    <w:rsid w:val="0035116A"/>
    <w:rsid w:val="00351332"/>
    <w:rsid w:val="003514FA"/>
    <w:rsid w:val="003515E8"/>
    <w:rsid w:val="003517FA"/>
    <w:rsid w:val="003518B2"/>
    <w:rsid w:val="00351AE6"/>
    <w:rsid w:val="00351BAE"/>
    <w:rsid w:val="00351EE4"/>
    <w:rsid w:val="00351F3E"/>
    <w:rsid w:val="003520D0"/>
    <w:rsid w:val="00352269"/>
    <w:rsid w:val="0035227A"/>
    <w:rsid w:val="003522EF"/>
    <w:rsid w:val="00352365"/>
    <w:rsid w:val="0035246A"/>
    <w:rsid w:val="0035257C"/>
    <w:rsid w:val="0035291E"/>
    <w:rsid w:val="00352B40"/>
    <w:rsid w:val="00352FF2"/>
    <w:rsid w:val="00353052"/>
    <w:rsid w:val="003530E7"/>
    <w:rsid w:val="003532A7"/>
    <w:rsid w:val="003535F9"/>
    <w:rsid w:val="0035373D"/>
    <w:rsid w:val="00353AED"/>
    <w:rsid w:val="00353B9C"/>
    <w:rsid w:val="00353BF3"/>
    <w:rsid w:val="00353C2C"/>
    <w:rsid w:val="00353CC0"/>
    <w:rsid w:val="00353CF9"/>
    <w:rsid w:val="00353D50"/>
    <w:rsid w:val="00353E61"/>
    <w:rsid w:val="00353FB5"/>
    <w:rsid w:val="003540F5"/>
    <w:rsid w:val="00354291"/>
    <w:rsid w:val="00354528"/>
    <w:rsid w:val="00354598"/>
    <w:rsid w:val="00354A1D"/>
    <w:rsid w:val="00354B50"/>
    <w:rsid w:val="00354D8E"/>
    <w:rsid w:val="00354DF7"/>
    <w:rsid w:val="00354E33"/>
    <w:rsid w:val="00354F77"/>
    <w:rsid w:val="00354FF5"/>
    <w:rsid w:val="00355164"/>
    <w:rsid w:val="003551BA"/>
    <w:rsid w:val="0035526C"/>
    <w:rsid w:val="003552E2"/>
    <w:rsid w:val="003552E6"/>
    <w:rsid w:val="0035540C"/>
    <w:rsid w:val="003555A2"/>
    <w:rsid w:val="0035564E"/>
    <w:rsid w:val="00355779"/>
    <w:rsid w:val="00355810"/>
    <w:rsid w:val="00355826"/>
    <w:rsid w:val="003558F2"/>
    <w:rsid w:val="00355AE4"/>
    <w:rsid w:val="00355BB6"/>
    <w:rsid w:val="00355D6F"/>
    <w:rsid w:val="00355FFC"/>
    <w:rsid w:val="003561E4"/>
    <w:rsid w:val="003562A7"/>
    <w:rsid w:val="00356526"/>
    <w:rsid w:val="003565DE"/>
    <w:rsid w:val="00356633"/>
    <w:rsid w:val="00356637"/>
    <w:rsid w:val="003568FE"/>
    <w:rsid w:val="00356A0C"/>
    <w:rsid w:val="00356A68"/>
    <w:rsid w:val="00356ACE"/>
    <w:rsid w:val="00356BD3"/>
    <w:rsid w:val="00356D47"/>
    <w:rsid w:val="00356D48"/>
    <w:rsid w:val="00356EB4"/>
    <w:rsid w:val="00356F15"/>
    <w:rsid w:val="00356F51"/>
    <w:rsid w:val="003570DA"/>
    <w:rsid w:val="003571C3"/>
    <w:rsid w:val="0035735B"/>
    <w:rsid w:val="003573C5"/>
    <w:rsid w:val="00357516"/>
    <w:rsid w:val="0035757B"/>
    <w:rsid w:val="0035762D"/>
    <w:rsid w:val="0035772F"/>
    <w:rsid w:val="00357BA9"/>
    <w:rsid w:val="00357E03"/>
    <w:rsid w:val="00357F93"/>
    <w:rsid w:val="00357FF8"/>
    <w:rsid w:val="0036009F"/>
    <w:rsid w:val="00360200"/>
    <w:rsid w:val="0036029D"/>
    <w:rsid w:val="003603B0"/>
    <w:rsid w:val="003604FB"/>
    <w:rsid w:val="0036052F"/>
    <w:rsid w:val="0036085C"/>
    <w:rsid w:val="00360918"/>
    <w:rsid w:val="00360B38"/>
    <w:rsid w:val="00360BD7"/>
    <w:rsid w:val="00360F80"/>
    <w:rsid w:val="00361167"/>
    <w:rsid w:val="003612AD"/>
    <w:rsid w:val="003613EB"/>
    <w:rsid w:val="0036143E"/>
    <w:rsid w:val="003614E0"/>
    <w:rsid w:val="003616A2"/>
    <w:rsid w:val="0036196A"/>
    <w:rsid w:val="00361B7A"/>
    <w:rsid w:val="00361CC0"/>
    <w:rsid w:val="00361DFF"/>
    <w:rsid w:val="00361E14"/>
    <w:rsid w:val="00361F31"/>
    <w:rsid w:val="00362147"/>
    <w:rsid w:val="00362258"/>
    <w:rsid w:val="0036233E"/>
    <w:rsid w:val="003623FD"/>
    <w:rsid w:val="00362629"/>
    <w:rsid w:val="0036278A"/>
    <w:rsid w:val="0036279A"/>
    <w:rsid w:val="00362810"/>
    <w:rsid w:val="00362885"/>
    <w:rsid w:val="00362A7A"/>
    <w:rsid w:val="00362B81"/>
    <w:rsid w:val="00362C52"/>
    <w:rsid w:val="00362D23"/>
    <w:rsid w:val="00362D9C"/>
    <w:rsid w:val="00362F14"/>
    <w:rsid w:val="00363080"/>
    <w:rsid w:val="00363118"/>
    <w:rsid w:val="00363137"/>
    <w:rsid w:val="003631E0"/>
    <w:rsid w:val="00363368"/>
    <w:rsid w:val="00363381"/>
    <w:rsid w:val="003638AC"/>
    <w:rsid w:val="00363A69"/>
    <w:rsid w:val="00363AA6"/>
    <w:rsid w:val="00363AE6"/>
    <w:rsid w:val="00363AEB"/>
    <w:rsid w:val="00363AFA"/>
    <w:rsid w:val="00363B6C"/>
    <w:rsid w:val="00363B7F"/>
    <w:rsid w:val="00363CD1"/>
    <w:rsid w:val="00364098"/>
    <w:rsid w:val="003642C9"/>
    <w:rsid w:val="003643D7"/>
    <w:rsid w:val="003643E3"/>
    <w:rsid w:val="00364424"/>
    <w:rsid w:val="003644EC"/>
    <w:rsid w:val="003645FB"/>
    <w:rsid w:val="0036497E"/>
    <w:rsid w:val="00364A19"/>
    <w:rsid w:val="00364B28"/>
    <w:rsid w:val="00364BBC"/>
    <w:rsid w:val="00364BCB"/>
    <w:rsid w:val="00364BFC"/>
    <w:rsid w:val="00364BFD"/>
    <w:rsid w:val="00364FDD"/>
    <w:rsid w:val="00364FF6"/>
    <w:rsid w:val="00365241"/>
    <w:rsid w:val="0036533B"/>
    <w:rsid w:val="00365390"/>
    <w:rsid w:val="0036540F"/>
    <w:rsid w:val="00365457"/>
    <w:rsid w:val="00365659"/>
    <w:rsid w:val="00365673"/>
    <w:rsid w:val="0036576D"/>
    <w:rsid w:val="0036577D"/>
    <w:rsid w:val="0036579E"/>
    <w:rsid w:val="003657EA"/>
    <w:rsid w:val="00365818"/>
    <w:rsid w:val="00365878"/>
    <w:rsid w:val="00365B02"/>
    <w:rsid w:val="00365B80"/>
    <w:rsid w:val="00365B9A"/>
    <w:rsid w:val="00365D12"/>
    <w:rsid w:val="00365E90"/>
    <w:rsid w:val="003660E6"/>
    <w:rsid w:val="003660F9"/>
    <w:rsid w:val="003662A5"/>
    <w:rsid w:val="003662B9"/>
    <w:rsid w:val="003663BC"/>
    <w:rsid w:val="0036640E"/>
    <w:rsid w:val="0036651A"/>
    <w:rsid w:val="0036663B"/>
    <w:rsid w:val="00366840"/>
    <w:rsid w:val="003669D4"/>
    <w:rsid w:val="00366ACA"/>
    <w:rsid w:val="00366BAC"/>
    <w:rsid w:val="00366BED"/>
    <w:rsid w:val="00366C58"/>
    <w:rsid w:val="00366F5E"/>
    <w:rsid w:val="003670AC"/>
    <w:rsid w:val="00367137"/>
    <w:rsid w:val="003671B7"/>
    <w:rsid w:val="003671D7"/>
    <w:rsid w:val="0036754F"/>
    <w:rsid w:val="00367870"/>
    <w:rsid w:val="003679C3"/>
    <w:rsid w:val="00367A4D"/>
    <w:rsid w:val="00367A58"/>
    <w:rsid w:val="00367B3C"/>
    <w:rsid w:val="00367B58"/>
    <w:rsid w:val="00367C65"/>
    <w:rsid w:val="00367DA2"/>
    <w:rsid w:val="00367E58"/>
    <w:rsid w:val="00370033"/>
    <w:rsid w:val="00370399"/>
    <w:rsid w:val="003706D1"/>
    <w:rsid w:val="00370729"/>
    <w:rsid w:val="00370812"/>
    <w:rsid w:val="00370981"/>
    <w:rsid w:val="00370A63"/>
    <w:rsid w:val="00370BD5"/>
    <w:rsid w:val="00370D41"/>
    <w:rsid w:val="00370EAC"/>
    <w:rsid w:val="00371296"/>
    <w:rsid w:val="003712A3"/>
    <w:rsid w:val="00371330"/>
    <w:rsid w:val="00371439"/>
    <w:rsid w:val="00371537"/>
    <w:rsid w:val="00371734"/>
    <w:rsid w:val="0037190E"/>
    <w:rsid w:val="003719F6"/>
    <w:rsid w:val="00371E12"/>
    <w:rsid w:val="00371E46"/>
    <w:rsid w:val="00372109"/>
    <w:rsid w:val="00372436"/>
    <w:rsid w:val="003725A3"/>
    <w:rsid w:val="00372755"/>
    <w:rsid w:val="00372B17"/>
    <w:rsid w:val="00372B3A"/>
    <w:rsid w:val="00372B49"/>
    <w:rsid w:val="00372C6A"/>
    <w:rsid w:val="00372EE5"/>
    <w:rsid w:val="00372F85"/>
    <w:rsid w:val="00373035"/>
    <w:rsid w:val="00373064"/>
    <w:rsid w:val="00373136"/>
    <w:rsid w:val="003732DD"/>
    <w:rsid w:val="00373314"/>
    <w:rsid w:val="003734F3"/>
    <w:rsid w:val="00373564"/>
    <w:rsid w:val="0037373D"/>
    <w:rsid w:val="003737F4"/>
    <w:rsid w:val="003738A1"/>
    <w:rsid w:val="0037398B"/>
    <w:rsid w:val="003739AE"/>
    <w:rsid w:val="00373B83"/>
    <w:rsid w:val="00373BF9"/>
    <w:rsid w:val="00373C0D"/>
    <w:rsid w:val="0037405D"/>
    <w:rsid w:val="0037426A"/>
    <w:rsid w:val="003742A1"/>
    <w:rsid w:val="0037430B"/>
    <w:rsid w:val="003744B3"/>
    <w:rsid w:val="00374676"/>
    <w:rsid w:val="00374694"/>
    <w:rsid w:val="00374A55"/>
    <w:rsid w:val="00374ADB"/>
    <w:rsid w:val="00374AF9"/>
    <w:rsid w:val="00374BD6"/>
    <w:rsid w:val="00374C5C"/>
    <w:rsid w:val="00374CDF"/>
    <w:rsid w:val="00374DAF"/>
    <w:rsid w:val="00374DB6"/>
    <w:rsid w:val="00374E63"/>
    <w:rsid w:val="00374EF4"/>
    <w:rsid w:val="00375017"/>
    <w:rsid w:val="003750D6"/>
    <w:rsid w:val="003750EF"/>
    <w:rsid w:val="00375101"/>
    <w:rsid w:val="00375108"/>
    <w:rsid w:val="00375338"/>
    <w:rsid w:val="00375340"/>
    <w:rsid w:val="00375370"/>
    <w:rsid w:val="003753A6"/>
    <w:rsid w:val="003754BE"/>
    <w:rsid w:val="003754EB"/>
    <w:rsid w:val="00375593"/>
    <w:rsid w:val="003755BF"/>
    <w:rsid w:val="00375702"/>
    <w:rsid w:val="003757A1"/>
    <w:rsid w:val="003757BE"/>
    <w:rsid w:val="003757D8"/>
    <w:rsid w:val="00375915"/>
    <w:rsid w:val="00375BDB"/>
    <w:rsid w:val="00375C2C"/>
    <w:rsid w:val="003762EA"/>
    <w:rsid w:val="003764F8"/>
    <w:rsid w:val="003766BD"/>
    <w:rsid w:val="003767B3"/>
    <w:rsid w:val="003767FD"/>
    <w:rsid w:val="00376899"/>
    <w:rsid w:val="0037698A"/>
    <w:rsid w:val="003769CB"/>
    <w:rsid w:val="00376A86"/>
    <w:rsid w:val="00376CD2"/>
    <w:rsid w:val="00376D9B"/>
    <w:rsid w:val="00376DBA"/>
    <w:rsid w:val="00376EA6"/>
    <w:rsid w:val="00376EF9"/>
    <w:rsid w:val="00376F3B"/>
    <w:rsid w:val="00376FE4"/>
    <w:rsid w:val="003778A1"/>
    <w:rsid w:val="00377906"/>
    <w:rsid w:val="0037796C"/>
    <w:rsid w:val="00377C2B"/>
    <w:rsid w:val="00377C2F"/>
    <w:rsid w:val="00377E77"/>
    <w:rsid w:val="00377EFF"/>
    <w:rsid w:val="00377F15"/>
    <w:rsid w:val="00377F37"/>
    <w:rsid w:val="0037FB8A"/>
    <w:rsid w:val="00380160"/>
    <w:rsid w:val="0038022E"/>
    <w:rsid w:val="003802D3"/>
    <w:rsid w:val="003802EB"/>
    <w:rsid w:val="00380361"/>
    <w:rsid w:val="00380642"/>
    <w:rsid w:val="00380A2F"/>
    <w:rsid w:val="00380AA9"/>
    <w:rsid w:val="00380B36"/>
    <w:rsid w:val="00380B46"/>
    <w:rsid w:val="00380C08"/>
    <w:rsid w:val="00380CAD"/>
    <w:rsid w:val="00380CD5"/>
    <w:rsid w:val="00380DFC"/>
    <w:rsid w:val="00380E55"/>
    <w:rsid w:val="00380F39"/>
    <w:rsid w:val="00380F5B"/>
    <w:rsid w:val="00381109"/>
    <w:rsid w:val="00381113"/>
    <w:rsid w:val="0038111A"/>
    <w:rsid w:val="00381151"/>
    <w:rsid w:val="00381155"/>
    <w:rsid w:val="0038144A"/>
    <w:rsid w:val="003814E3"/>
    <w:rsid w:val="003814F0"/>
    <w:rsid w:val="003815CB"/>
    <w:rsid w:val="00381631"/>
    <w:rsid w:val="003816F3"/>
    <w:rsid w:val="0038174A"/>
    <w:rsid w:val="003817F6"/>
    <w:rsid w:val="00381817"/>
    <w:rsid w:val="0038186B"/>
    <w:rsid w:val="003818BF"/>
    <w:rsid w:val="003819E5"/>
    <w:rsid w:val="00381ABE"/>
    <w:rsid w:val="00381C44"/>
    <w:rsid w:val="00381C7E"/>
    <w:rsid w:val="00381EA9"/>
    <w:rsid w:val="0038200E"/>
    <w:rsid w:val="0038219B"/>
    <w:rsid w:val="00382451"/>
    <w:rsid w:val="00382529"/>
    <w:rsid w:val="00382781"/>
    <w:rsid w:val="003827ED"/>
    <w:rsid w:val="00382AE4"/>
    <w:rsid w:val="00382FE7"/>
    <w:rsid w:val="0038304D"/>
    <w:rsid w:val="00383131"/>
    <w:rsid w:val="003832F4"/>
    <w:rsid w:val="00383465"/>
    <w:rsid w:val="003834D9"/>
    <w:rsid w:val="00383562"/>
    <w:rsid w:val="00383564"/>
    <w:rsid w:val="003835AC"/>
    <w:rsid w:val="003836B0"/>
    <w:rsid w:val="00383727"/>
    <w:rsid w:val="00383A2E"/>
    <w:rsid w:val="00383B2A"/>
    <w:rsid w:val="00383B71"/>
    <w:rsid w:val="00383CDD"/>
    <w:rsid w:val="003841C5"/>
    <w:rsid w:val="00384359"/>
    <w:rsid w:val="00384396"/>
    <w:rsid w:val="003843B8"/>
    <w:rsid w:val="00384512"/>
    <w:rsid w:val="0038454B"/>
    <w:rsid w:val="00384B20"/>
    <w:rsid w:val="00384FB6"/>
    <w:rsid w:val="00385081"/>
    <w:rsid w:val="003850B4"/>
    <w:rsid w:val="003850F7"/>
    <w:rsid w:val="003851CA"/>
    <w:rsid w:val="00385386"/>
    <w:rsid w:val="0038538A"/>
    <w:rsid w:val="0038543D"/>
    <w:rsid w:val="0038572B"/>
    <w:rsid w:val="003857D3"/>
    <w:rsid w:val="00385C8D"/>
    <w:rsid w:val="00385E62"/>
    <w:rsid w:val="00386012"/>
    <w:rsid w:val="00386284"/>
    <w:rsid w:val="003864D4"/>
    <w:rsid w:val="003866FE"/>
    <w:rsid w:val="0038678C"/>
    <w:rsid w:val="0038696B"/>
    <w:rsid w:val="003869A8"/>
    <w:rsid w:val="003869FF"/>
    <w:rsid w:val="00386C4D"/>
    <w:rsid w:val="00386E1C"/>
    <w:rsid w:val="00386ECD"/>
    <w:rsid w:val="00387302"/>
    <w:rsid w:val="003873D8"/>
    <w:rsid w:val="00387434"/>
    <w:rsid w:val="003874AB"/>
    <w:rsid w:val="003875D3"/>
    <w:rsid w:val="003876B1"/>
    <w:rsid w:val="003876BE"/>
    <w:rsid w:val="0038785A"/>
    <w:rsid w:val="0038796F"/>
    <w:rsid w:val="00387B95"/>
    <w:rsid w:val="00387BAF"/>
    <w:rsid w:val="00387CBF"/>
    <w:rsid w:val="00387DFE"/>
    <w:rsid w:val="00387F21"/>
    <w:rsid w:val="00387F3A"/>
    <w:rsid w:val="00387F79"/>
    <w:rsid w:val="003900C7"/>
    <w:rsid w:val="00390453"/>
    <w:rsid w:val="00390518"/>
    <w:rsid w:val="00390906"/>
    <w:rsid w:val="00390A40"/>
    <w:rsid w:val="00390AE0"/>
    <w:rsid w:val="00390B18"/>
    <w:rsid w:val="00390BF7"/>
    <w:rsid w:val="00390BF8"/>
    <w:rsid w:val="00390FE0"/>
    <w:rsid w:val="00391048"/>
    <w:rsid w:val="00391378"/>
    <w:rsid w:val="003914B5"/>
    <w:rsid w:val="00391625"/>
    <w:rsid w:val="003916C0"/>
    <w:rsid w:val="003918EA"/>
    <w:rsid w:val="00391AB3"/>
    <w:rsid w:val="00391B79"/>
    <w:rsid w:val="00391CE3"/>
    <w:rsid w:val="00391CE5"/>
    <w:rsid w:val="003921CD"/>
    <w:rsid w:val="0039237E"/>
    <w:rsid w:val="0039238B"/>
    <w:rsid w:val="003924EA"/>
    <w:rsid w:val="0039253B"/>
    <w:rsid w:val="00392970"/>
    <w:rsid w:val="00392AD1"/>
    <w:rsid w:val="00392B04"/>
    <w:rsid w:val="00392C22"/>
    <w:rsid w:val="00392C3E"/>
    <w:rsid w:val="00392F28"/>
    <w:rsid w:val="00392F92"/>
    <w:rsid w:val="00392FA9"/>
    <w:rsid w:val="0039313B"/>
    <w:rsid w:val="003931BC"/>
    <w:rsid w:val="003937EC"/>
    <w:rsid w:val="00393916"/>
    <w:rsid w:val="00393B14"/>
    <w:rsid w:val="00393C4B"/>
    <w:rsid w:val="00393C73"/>
    <w:rsid w:val="00393D54"/>
    <w:rsid w:val="003943E3"/>
    <w:rsid w:val="003944FE"/>
    <w:rsid w:val="003947F0"/>
    <w:rsid w:val="00394DE9"/>
    <w:rsid w:val="00394E3B"/>
    <w:rsid w:val="00395139"/>
    <w:rsid w:val="00395448"/>
    <w:rsid w:val="003955E4"/>
    <w:rsid w:val="0039569A"/>
    <w:rsid w:val="0039569E"/>
    <w:rsid w:val="003956DE"/>
    <w:rsid w:val="003956FC"/>
    <w:rsid w:val="003957CB"/>
    <w:rsid w:val="0039581C"/>
    <w:rsid w:val="00395C1D"/>
    <w:rsid w:val="00395D43"/>
    <w:rsid w:val="00395DBF"/>
    <w:rsid w:val="00395FCC"/>
    <w:rsid w:val="0039615B"/>
    <w:rsid w:val="0039627D"/>
    <w:rsid w:val="00396333"/>
    <w:rsid w:val="003968D2"/>
    <w:rsid w:val="003969BF"/>
    <w:rsid w:val="00396D3A"/>
    <w:rsid w:val="00396DF5"/>
    <w:rsid w:val="00396FE1"/>
    <w:rsid w:val="00397120"/>
    <w:rsid w:val="0039715F"/>
    <w:rsid w:val="00397183"/>
    <w:rsid w:val="003972FA"/>
    <w:rsid w:val="00397315"/>
    <w:rsid w:val="00397386"/>
    <w:rsid w:val="00397670"/>
    <w:rsid w:val="00397872"/>
    <w:rsid w:val="00397B3F"/>
    <w:rsid w:val="00397B77"/>
    <w:rsid w:val="00397C89"/>
    <w:rsid w:val="003A001F"/>
    <w:rsid w:val="003A0040"/>
    <w:rsid w:val="003A0072"/>
    <w:rsid w:val="003A0197"/>
    <w:rsid w:val="003A01EC"/>
    <w:rsid w:val="003A01F3"/>
    <w:rsid w:val="003A0223"/>
    <w:rsid w:val="003A0585"/>
    <w:rsid w:val="003A0D61"/>
    <w:rsid w:val="003A0D76"/>
    <w:rsid w:val="003A0DC2"/>
    <w:rsid w:val="003A0E92"/>
    <w:rsid w:val="003A0EFF"/>
    <w:rsid w:val="003A112B"/>
    <w:rsid w:val="003A12E9"/>
    <w:rsid w:val="003A1583"/>
    <w:rsid w:val="003A1C96"/>
    <w:rsid w:val="003A1E41"/>
    <w:rsid w:val="003A1E72"/>
    <w:rsid w:val="003A1F9B"/>
    <w:rsid w:val="003A210D"/>
    <w:rsid w:val="003A2125"/>
    <w:rsid w:val="003A21DD"/>
    <w:rsid w:val="003A2260"/>
    <w:rsid w:val="003A254D"/>
    <w:rsid w:val="003A2565"/>
    <w:rsid w:val="003A25D0"/>
    <w:rsid w:val="003A2684"/>
    <w:rsid w:val="003A27FD"/>
    <w:rsid w:val="003A28AB"/>
    <w:rsid w:val="003A2955"/>
    <w:rsid w:val="003A2A14"/>
    <w:rsid w:val="003A2A9C"/>
    <w:rsid w:val="003A2C44"/>
    <w:rsid w:val="003A2D61"/>
    <w:rsid w:val="003A2E9B"/>
    <w:rsid w:val="003A309F"/>
    <w:rsid w:val="003A30B1"/>
    <w:rsid w:val="003A31A2"/>
    <w:rsid w:val="003A32F9"/>
    <w:rsid w:val="003A3345"/>
    <w:rsid w:val="003A336E"/>
    <w:rsid w:val="003A3A6B"/>
    <w:rsid w:val="003A3D88"/>
    <w:rsid w:val="003A4295"/>
    <w:rsid w:val="003A42C3"/>
    <w:rsid w:val="003A4385"/>
    <w:rsid w:val="003A4462"/>
    <w:rsid w:val="003A4504"/>
    <w:rsid w:val="003A452B"/>
    <w:rsid w:val="003A45B5"/>
    <w:rsid w:val="003A4683"/>
    <w:rsid w:val="003A46C6"/>
    <w:rsid w:val="003A4805"/>
    <w:rsid w:val="003A4A06"/>
    <w:rsid w:val="003A4AD7"/>
    <w:rsid w:val="003A4B64"/>
    <w:rsid w:val="003A4CAF"/>
    <w:rsid w:val="003A4CDC"/>
    <w:rsid w:val="003A4D0A"/>
    <w:rsid w:val="003A4EE8"/>
    <w:rsid w:val="003A506C"/>
    <w:rsid w:val="003A516B"/>
    <w:rsid w:val="003A523A"/>
    <w:rsid w:val="003A546D"/>
    <w:rsid w:val="003A5625"/>
    <w:rsid w:val="003A5962"/>
    <w:rsid w:val="003A5AD2"/>
    <w:rsid w:val="003A5AE7"/>
    <w:rsid w:val="003A5C43"/>
    <w:rsid w:val="003A5D6E"/>
    <w:rsid w:val="003A5F3B"/>
    <w:rsid w:val="003A6178"/>
    <w:rsid w:val="003A6183"/>
    <w:rsid w:val="003A6418"/>
    <w:rsid w:val="003A6608"/>
    <w:rsid w:val="003A67FD"/>
    <w:rsid w:val="003A682F"/>
    <w:rsid w:val="003A6832"/>
    <w:rsid w:val="003A6850"/>
    <w:rsid w:val="003A68A5"/>
    <w:rsid w:val="003A6935"/>
    <w:rsid w:val="003A6A1E"/>
    <w:rsid w:val="003A6A35"/>
    <w:rsid w:val="003A6B3C"/>
    <w:rsid w:val="003A6CEE"/>
    <w:rsid w:val="003A6DB6"/>
    <w:rsid w:val="003A6ECE"/>
    <w:rsid w:val="003A705A"/>
    <w:rsid w:val="003A70F5"/>
    <w:rsid w:val="003A74A2"/>
    <w:rsid w:val="003A7677"/>
    <w:rsid w:val="003A796E"/>
    <w:rsid w:val="003A7B24"/>
    <w:rsid w:val="003A7B45"/>
    <w:rsid w:val="003A7B61"/>
    <w:rsid w:val="003A7C24"/>
    <w:rsid w:val="003A7C4D"/>
    <w:rsid w:val="003A7D28"/>
    <w:rsid w:val="003A7E48"/>
    <w:rsid w:val="003A7E6E"/>
    <w:rsid w:val="003A7EA2"/>
    <w:rsid w:val="003A7FE0"/>
    <w:rsid w:val="003B0063"/>
    <w:rsid w:val="003B01E7"/>
    <w:rsid w:val="003B0244"/>
    <w:rsid w:val="003B0281"/>
    <w:rsid w:val="003B04E5"/>
    <w:rsid w:val="003B0610"/>
    <w:rsid w:val="003B0665"/>
    <w:rsid w:val="003B07E3"/>
    <w:rsid w:val="003B089F"/>
    <w:rsid w:val="003B0B80"/>
    <w:rsid w:val="003B0EBF"/>
    <w:rsid w:val="003B0EFD"/>
    <w:rsid w:val="003B0F16"/>
    <w:rsid w:val="003B1184"/>
    <w:rsid w:val="003B12DA"/>
    <w:rsid w:val="003B12E4"/>
    <w:rsid w:val="003B13C0"/>
    <w:rsid w:val="003B13C6"/>
    <w:rsid w:val="003B13D0"/>
    <w:rsid w:val="003B14E5"/>
    <w:rsid w:val="003B173D"/>
    <w:rsid w:val="003B17D2"/>
    <w:rsid w:val="003B1A2B"/>
    <w:rsid w:val="003B1BB0"/>
    <w:rsid w:val="003B1D65"/>
    <w:rsid w:val="003B1D9F"/>
    <w:rsid w:val="003B1DBF"/>
    <w:rsid w:val="003B1E4D"/>
    <w:rsid w:val="003B1E94"/>
    <w:rsid w:val="003B2018"/>
    <w:rsid w:val="003B20B8"/>
    <w:rsid w:val="003B20F2"/>
    <w:rsid w:val="003B2141"/>
    <w:rsid w:val="003B2260"/>
    <w:rsid w:val="003B2304"/>
    <w:rsid w:val="003B2359"/>
    <w:rsid w:val="003B24B7"/>
    <w:rsid w:val="003B24BD"/>
    <w:rsid w:val="003B265C"/>
    <w:rsid w:val="003B276E"/>
    <w:rsid w:val="003B29C9"/>
    <w:rsid w:val="003B2A5A"/>
    <w:rsid w:val="003B2D53"/>
    <w:rsid w:val="003B2E1A"/>
    <w:rsid w:val="003B2F4E"/>
    <w:rsid w:val="003B312F"/>
    <w:rsid w:val="003B3253"/>
    <w:rsid w:val="003B3310"/>
    <w:rsid w:val="003B37E9"/>
    <w:rsid w:val="003B387E"/>
    <w:rsid w:val="003B3ABC"/>
    <w:rsid w:val="003B40A9"/>
    <w:rsid w:val="003B4133"/>
    <w:rsid w:val="003B414D"/>
    <w:rsid w:val="003B41E7"/>
    <w:rsid w:val="003B4415"/>
    <w:rsid w:val="003B4841"/>
    <w:rsid w:val="003B48DE"/>
    <w:rsid w:val="003B4AF0"/>
    <w:rsid w:val="003B4FF1"/>
    <w:rsid w:val="003B5054"/>
    <w:rsid w:val="003B5145"/>
    <w:rsid w:val="003B54A0"/>
    <w:rsid w:val="003B553B"/>
    <w:rsid w:val="003B5594"/>
    <w:rsid w:val="003B5596"/>
    <w:rsid w:val="003B55F9"/>
    <w:rsid w:val="003B568D"/>
    <w:rsid w:val="003B5699"/>
    <w:rsid w:val="003B57EE"/>
    <w:rsid w:val="003B589D"/>
    <w:rsid w:val="003B59C2"/>
    <w:rsid w:val="003B59DD"/>
    <w:rsid w:val="003B5F14"/>
    <w:rsid w:val="003B6032"/>
    <w:rsid w:val="003B60D7"/>
    <w:rsid w:val="003B61A5"/>
    <w:rsid w:val="003B61DF"/>
    <w:rsid w:val="003B64BC"/>
    <w:rsid w:val="003B650C"/>
    <w:rsid w:val="003B6549"/>
    <w:rsid w:val="003B6793"/>
    <w:rsid w:val="003B687B"/>
    <w:rsid w:val="003B696A"/>
    <w:rsid w:val="003B698E"/>
    <w:rsid w:val="003B6D45"/>
    <w:rsid w:val="003B6EBA"/>
    <w:rsid w:val="003B6EBE"/>
    <w:rsid w:val="003B71EE"/>
    <w:rsid w:val="003B7227"/>
    <w:rsid w:val="003B7442"/>
    <w:rsid w:val="003B74D7"/>
    <w:rsid w:val="003B761B"/>
    <w:rsid w:val="003B7788"/>
    <w:rsid w:val="003B7893"/>
    <w:rsid w:val="003B793D"/>
    <w:rsid w:val="003B79FD"/>
    <w:rsid w:val="003B7B0D"/>
    <w:rsid w:val="003B7D0E"/>
    <w:rsid w:val="003B7E4B"/>
    <w:rsid w:val="003C00B4"/>
    <w:rsid w:val="003C01EC"/>
    <w:rsid w:val="003C033E"/>
    <w:rsid w:val="003C0428"/>
    <w:rsid w:val="003C0650"/>
    <w:rsid w:val="003C0740"/>
    <w:rsid w:val="003C0A31"/>
    <w:rsid w:val="003C0A70"/>
    <w:rsid w:val="003C0B55"/>
    <w:rsid w:val="003C0B80"/>
    <w:rsid w:val="003C0C9E"/>
    <w:rsid w:val="003C0D33"/>
    <w:rsid w:val="003C0E54"/>
    <w:rsid w:val="003C111C"/>
    <w:rsid w:val="003C1127"/>
    <w:rsid w:val="003C114F"/>
    <w:rsid w:val="003C11B3"/>
    <w:rsid w:val="003C1204"/>
    <w:rsid w:val="003C12EE"/>
    <w:rsid w:val="003C1310"/>
    <w:rsid w:val="003C13CE"/>
    <w:rsid w:val="003C13ED"/>
    <w:rsid w:val="003C145D"/>
    <w:rsid w:val="003C14D6"/>
    <w:rsid w:val="003C1769"/>
    <w:rsid w:val="003C17F6"/>
    <w:rsid w:val="003C19C3"/>
    <w:rsid w:val="003C1A0F"/>
    <w:rsid w:val="003C1BA4"/>
    <w:rsid w:val="003C1D97"/>
    <w:rsid w:val="003C1DC0"/>
    <w:rsid w:val="003C1E5E"/>
    <w:rsid w:val="003C1F17"/>
    <w:rsid w:val="003C1F3F"/>
    <w:rsid w:val="003C1FE4"/>
    <w:rsid w:val="003C21D4"/>
    <w:rsid w:val="003C21EA"/>
    <w:rsid w:val="003C22FF"/>
    <w:rsid w:val="003C2308"/>
    <w:rsid w:val="003C23BB"/>
    <w:rsid w:val="003C2572"/>
    <w:rsid w:val="003C2585"/>
    <w:rsid w:val="003C275B"/>
    <w:rsid w:val="003C27FE"/>
    <w:rsid w:val="003C28F3"/>
    <w:rsid w:val="003C2B7F"/>
    <w:rsid w:val="003C2C77"/>
    <w:rsid w:val="003C2EEA"/>
    <w:rsid w:val="003C31EB"/>
    <w:rsid w:val="003C340F"/>
    <w:rsid w:val="003C3497"/>
    <w:rsid w:val="003C375A"/>
    <w:rsid w:val="003C3989"/>
    <w:rsid w:val="003C3AAB"/>
    <w:rsid w:val="003C3D4B"/>
    <w:rsid w:val="003C3E3A"/>
    <w:rsid w:val="003C405A"/>
    <w:rsid w:val="003C4380"/>
    <w:rsid w:val="003C43BE"/>
    <w:rsid w:val="003C4425"/>
    <w:rsid w:val="003C44E9"/>
    <w:rsid w:val="003C4650"/>
    <w:rsid w:val="003C4B05"/>
    <w:rsid w:val="003C4D3C"/>
    <w:rsid w:val="003C5479"/>
    <w:rsid w:val="003C54E1"/>
    <w:rsid w:val="003C5573"/>
    <w:rsid w:val="003C562C"/>
    <w:rsid w:val="003C568F"/>
    <w:rsid w:val="003C58A5"/>
    <w:rsid w:val="003C595B"/>
    <w:rsid w:val="003C5E68"/>
    <w:rsid w:val="003C5ECB"/>
    <w:rsid w:val="003C5EEA"/>
    <w:rsid w:val="003C5F00"/>
    <w:rsid w:val="003C613A"/>
    <w:rsid w:val="003C61CE"/>
    <w:rsid w:val="003C6601"/>
    <w:rsid w:val="003C6692"/>
    <w:rsid w:val="003C6781"/>
    <w:rsid w:val="003C68B2"/>
    <w:rsid w:val="003C6B2A"/>
    <w:rsid w:val="003C6C73"/>
    <w:rsid w:val="003C6DF1"/>
    <w:rsid w:val="003C6FBF"/>
    <w:rsid w:val="003C71B9"/>
    <w:rsid w:val="003C721E"/>
    <w:rsid w:val="003C73A2"/>
    <w:rsid w:val="003C7560"/>
    <w:rsid w:val="003C7609"/>
    <w:rsid w:val="003C769B"/>
    <w:rsid w:val="003C76D4"/>
    <w:rsid w:val="003C771A"/>
    <w:rsid w:val="003C788E"/>
    <w:rsid w:val="003C795D"/>
    <w:rsid w:val="003C79BA"/>
    <w:rsid w:val="003C7D6F"/>
    <w:rsid w:val="003C7E56"/>
    <w:rsid w:val="003D00E3"/>
    <w:rsid w:val="003D02BF"/>
    <w:rsid w:val="003D0344"/>
    <w:rsid w:val="003D035F"/>
    <w:rsid w:val="003D0413"/>
    <w:rsid w:val="003D045A"/>
    <w:rsid w:val="003D0469"/>
    <w:rsid w:val="003D04D2"/>
    <w:rsid w:val="003D0698"/>
    <w:rsid w:val="003D0849"/>
    <w:rsid w:val="003D08BC"/>
    <w:rsid w:val="003D0A6A"/>
    <w:rsid w:val="003D0A97"/>
    <w:rsid w:val="003D0B2E"/>
    <w:rsid w:val="003D0CEA"/>
    <w:rsid w:val="003D100C"/>
    <w:rsid w:val="003D1033"/>
    <w:rsid w:val="003D1051"/>
    <w:rsid w:val="003D16C9"/>
    <w:rsid w:val="003D19A9"/>
    <w:rsid w:val="003D1A87"/>
    <w:rsid w:val="003D1B80"/>
    <w:rsid w:val="003D1E89"/>
    <w:rsid w:val="003D1FDA"/>
    <w:rsid w:val="003D20B4"/>
    <w:rsid w:val="003D21D7"/>
    <w:rsid w:val="003D2256"/>
    <w:rsid w:val="003D245E"/>
    <w:rsid w:val="003D24A6"/>
    <w:rsid w:val="003D27A9"/>
    <w:rsid w:val="003D27E1"/>
    <w:rsid w:val="003D28A4"/>
    <w:rsid w:val="003D28BC"/>
    <w:rsid w:val="003D2A1D"/>
    <w:rsid w:val="003D2D5C"/>
    <w:rsid w:val="003D2D7D"/>
    <w:rsid w:val="003D2DBD"/>
    <w:rsid w:val="003D2F00"/>
    <w:rsid w:val="003D2F30"/>
    <w:rsid w:val="003D2F82"/>
    <w:rsid w:val="003D307A"/>
    <w:rsid w:val="003D30B7"/>
    <w:rsid w:val="003D30C9"/>
    <w:rsid w:val="003D328E"/>
    <w:rsid w:val="003D3457"/>
    <w:rsid w:val="003D35CC"/>
    <w:rsid w:val="003D376F"/>
    <w:rsid w:val="003D38DB"/>
    <w:rsid w:val="003D3A18"/>
    <w:rsid w:val="003D3A83"/>
    <w:rsid w:val="003D3AC4"/>
    <w:rsid w:val="003D3E31"/>
    <w:rsid w:val="003D42F9"/>
    <w:rsid w:val="003D4320"/>
    <w:rsid w:val="003D43E9"/>
    <w:rsid w:val="003D4624"/>
    <w:rsid w:val="003D46B1"/>
    <w:rsid w:val="003D46F8"/>
    <w:rsid w:val="003D4744"/>
    <w:rsid w:val="003D48E5"/>
    <w:rsid w:val="003D4A11"/>
    <w:rsid w:val="003D4A3F"/>
    <w:rsid w:val="003D4B77"/>
    <w:rsid w:val="003D4B95"/>
    <w:rsid w:val="003D4C35"/>
    <w:rsid w:val="003D4C55"/>
    <w:rsid w:val="003D5437"/>
    <w:rsid w:val="003D55C2"/>
    <w:rsid w:val="003D5693"/>
    <w:rsid w:val="003D578A"/>
    <w:rsid w:val="003D5B2C"/>
    <w:rsid w:val="003D5E56"/>
    <w:rsid w:val="003D5FAC"/>
    <w:rsid w:val="003D6003"/>
    <w:rsid w:val="003D633C"/>
    <w:rsid w:val="003D639E"/>
    <w:rsid w:val="003D66C1"/>
    <w:rsid w:val="003D6800"/>
    <w:rsid w:val="003D6A4D"/>
    <w:rsid w:val="003D6D8A"/>
    <w:rsid w:val="003D6E40"/>
    <w:rsid w:val="003D7001"/>
    <w:rsid w:val="003D7014"/>
    <w:rsid w:val="003D71CB"/>
    <w:rsid w:val="003D7364"/>
    <w:rsid w:val="003D7406"/>
    <w:rsid w:val="003D74A2"/>
    <w:rsid w:val="003D75FC"/>
    <w:rsid w:val="003D7699"/>
    <w:rsid w:val="003D76B3"/>
    <w:rsid w:val="003D7819"/>
    <w:rsid w:val="003D7826"/>
    <w:rsid w:val="003D7992"/>
    <w:rsid w:val="003D7BB3"/>
    <w:rsid w:val="003D7BC8"/>
    <w:rsid w:val="003D7D5C"/>
    <w:rsid w:val="003D7F08"/>
    <w:rsid w:val="003D7FD4"/>
    <w:rsid w:val="003E0032"/>
    <w:rsid w:val="003E0033"/>
    <w:rsid w:val="003E015C"/>
    <w:rsid w:val="003E02D8"/>
    <w:rsid w:val="003E0684"/>
    <w:rsid w:val="003E06B7"/>
    <w:rsid w:val="003E06F8"/>
    <w:rsid w:val="003E072B"/>
    <w:rsid w:val="003E096B"/>
    <w:rsid w:val="003E0C62"/>
    <w:rsid w:val="003E0D8A"/>
    <w:rsid w:val="003E0E75"/>
    <w:rsid w:val="003E0F69"/>
    <w:rsid w:val="003E111F"/>
    <w:rsid w:val="003E1440"/>
    <w:rsid w:val="003E145F"/>
    <w:rsid w:val="003E1493"/>
    <w:rsid w:val="003E161D"/>
    <w:rsid w:val="003E1763"/>
    <w:rsid w:val="003E1799"/>
    <w:rsid w:val="003E1898"/>
    <w:rsid w:val="003E1AE7"/>
    <w:rsid w:val="003E1F05"/>
    <w:rsid w:val="003E1FBA"/>
    <w:rsid w:val="003E2883"/>
    <w:rsid w:val="003E289D"/>
    <w:rsid w:val="003E29DA"/>
    <w:rsid w:val="003E2A4F"/>
    <w:rsid w:val="003E2AAE"/>
    <w:rsid w:val="003E2C47"/>
    <w:rsid w:val="003E2CAB"/>
    <w:rsid w:val="003E2EB3"/>
    <w:rsid w:val="003E302B"/>
    <w:rsid w:val="003E311C"/>
    <w:rsid w:val="003E3165"/>
    <w:rsid w:val="003E32EE"/>
    <w:rsid w:val="003E361A"/>
    <w:rsid w:val="003E36BD"/>
    <w:rsid w:val="003E3715"/>
    <w:rsid w:val="003E371C"/>
    <w:rsid w:val="003E3743"/>
    <w:rsid w:val="003E37B3"/>
    <w:rsid w:val="003E3BA5"/>
    <w:rsid w:val="003E3BC9"/>
    <w:rsid w:val="003E3BF6"/>
    <w:rsid w:val="003E3D18"/>
    <w:rsid w:val="003E3FB0"/>
    <w:rsid w:val="003E437F"/>
    <w:rsid w:val="003E440F"/>
    <w:rsid w:val="003E4586"/>
    <w:rsid w:val="003E45A0"/>
    <w:rsid w:val="003E4610"/>
    <w:rsid w:val="003E4830"/>
    <w:rsid w:val="003E486C"/>
    <w:rsid w:val="003E4920"/>
    <w:rsid w:val="003E493B"/>
    <w:rsid w:val="003E4A39"/>
    <w:rsid w:val="003E4B48"/>
    <w:rsid w:val="003E4C3F"/>
    <w:rsid w:val="003E4F67"/>
    <w:rsid w:val="003E4FA5"/>
    <w:rsid w:val="003E52DE"/>
    <w:rsid w:val="003E5390"/>
    <w:rsid w:val="003E53DA"/>
    <w:rsid w:val="003E545F"/>
    <w:rsid w:val="003E55C3"/>
    <w:rsid w:val="003E5788"/>
    <w:rsid w:val="003E5942"/>
    <w:rsid w:val="003E5CE2"/>
    <w:rsid w:val="003E5EE0"/>
    <w:rsid w:val="003E5FD7"/>
    <w:rsid w:val="003E6028"/>
    <w:rsid w:val="003E60B4"/>
    <w:rsid w:val="003E62D1"/>
    <w:rsid w:val="003E6353"/>
    <w:rsid w:val="003E63BD"/>
    <w:rsid w:val="003E63F6"/>
    <w:rsid w:val="003E64EC"/>
    <w:rsid w:val="003E6597"/>
    <w:rsid w:val="003E6655"/>
    <w:rsid w:val="003E67A4"/>
    <w:rsid w:val="003E6A0B"/>
    <w:rsid w:val="003E6A4C"/>
    <w:rsid w:val="003E6B75"/>
    <w:rsid w:val="003E6BFE"/>
    <w:rsid w:val="003E6CB9"/>
    <w:rsid w:val="003E6E75"/>
    <w:rsid w:val="003E6F94"/>
    <w:rsid w:val="003E7150"/>
    <w:rsid w:val="003E724B"/>
    <w:rsid w:val="003E746D"/>
    <w:rsid w:val="003E74BD"/>
    <w:rsid w:val="003E76C6"/>
    <w:rsid w:val="003E77B3"/>
    <w:rsid w:val="003E7836"/>
    <w:rsid w:val="003E7869"/>
    <w:rsid w:val="003E7976"/>
    <w:rsid w:val="003E7AA0"/>
    <w:rsid w:val="003E7AD5"/>
    <w:rsid w:val="003E7CA5"/>
    <w:rsid w:val="003E7CE9"/>
    <w:rsid w:val="003E7D3E"/>
    <w:rsid w:val="003E7DA2"/>
    <w:rsid w:val="003E7FE0"/>
    <w:rsid w:val="003F028C"/>
    <w:rsid w:val="003F0357"/>
    <w:rsid w:val="003F03D6"/>
    <w:rsid w:val="003F063B"/>
    <w:rsid w:val="003F09C6"/>
    <w:rsid w:val="003F0A77"/>
    <w:rsid w:val="003F0BCC"/>
    <w:rsid w:val="003F0C19"/>
    <w:rsid w:val="003F0C35"/>
    <w:rsid w:val="003F0CE0"/>
    <w:rsid w:val="003F0E2E"/>
    <w:rsid w:val="003F0E82"/>
    <w:rsid w:val="003F144E"/>
    <w:rsid w:val="003F150F"/>
    <w:rsid w:val="003F16BF"/>
    <w:rsid w:val="003F1766"/>
    <w:rsid w:val="003F19B5"/>
    <w:rsid w:val="003F1AFF"/>
    <w:rsid w:val="003F217A"/>
    <w:rsid w:val="003F22C1"/>
    <w:rsid w:val="003F2327"/>
    <w:rsid w:val="003F2360"/>
    <w:rsid w:val="003F2380"/>
    <w:rsid w:val="003F2460"/>
    <w:rsid w:val="003F26B2"/>
    <w:rsid w:val="003F29E8"/>
    <w:rsid w:val="003F2A4E"/>
    <w:rsid w:val="003F2ABE"/>
    <w:rsid w:val="003F2BEB"/>
    <w:rsid w:val="003F2ECD"/>
    <w:rsid w:val="003F2EF2"/>
    <w:rsid w:val="003F2F49"/>
    <w:rsid w:val="003F2F5F"/>
    <w:rsid w:val="003F30D8"/>
    <w:rsid w:val="003F3134"/>
    <w:rsid w:val="003F3138"/>
    <w:rsid w:val="003F317C"/>
    <w:rsid w:val="003F33BB"/>
    <w:rsid w:val="003F3445"/>
    <w:rsid w:val="003F345C"/>
    <w:rsid w:val="003F350C"/>
    <w:rsid w:val="003F358D"/>
    <w:rsid w:val="003F360F"/>
    <w:rsid w:val="003F3910"/>
    <w:rsid w:val="003F3958"/>
    <w:rsid w:val="003F3A44"/>
    <w:rsid w:val="003F3C74"/>
    <w:rsid w:val="003F3E36"/>
    <w:rsid w:val="003F3E50"/>
    <w:rsid w:val="003F418B"/>
    <w:rsid w:val="003F430C"/>
    <w:rsid w:val="003F4331"/>
    <w:rsid w:val="003F4364"/>
    <w:rsid w:val="003F43E9"/>
    <w:rsid w:val="003F44B5"/>
    <w:rsid w:val="003F46CF"/>
    <w:rsid w:val="003F46E3"/>
    <w:rsid w:val="003F4896"/>
    <w:rsid w:val="003F4AC6"/>
    <w:rsid w:val="003F4D72"/>
    <w:rsid w:val="003F4F59"/>
    <w:rsid w:val="003F5278"/>
    <w:rsid w:val="003F5382"/>
    <w:rsid w:val="003F544A"/>
    <w:rsid w:val="003F54B5"/>
    <w:rsid w:val="003F550B"/>
    <w:rsid w:val="003F55B3"/>
    <w:rsid w:val="003F55FA"/>
    <w:rsid w:val="003F5615"/>
    <w:rsid w:val="003F5645"/>
    <w:rsid w:val="003F56DA"/>
    <w:rsid w:val="003F5A70"/>
    <w:rsid w:val="003F5AAC"/>
    <w:rsid w:val="003F5B46"/>
    <w:rsid w:val="003F5BD9"/>
    <w:rsid w:val="003F5D58"/>
    <w:rsid w:val="003F5DFC"/>
    <w:rsid w:val="003F5E5A"/>
    <w:rsid w:val="003F5F2F"/>
    <w:rsid w:val="003F604C"/>
    <w:rsid w:val="003F6103"/>
    <w:rsid w:val="003F61BD"/>
    <w:rsid w:val="003F621E"/>
    <w:rsid w:val="003F63C2"/>
    <w:rsid w:val="003F648E"/>
    <w:rsid w:val="003F64C9"/>
    <w:rsid w:val="003F67D5"/>
    <w:rsid w:val="003F6874"/>
    <w:rsid w:val="003F6ABD"/>
    <w:rsid w:val="003F6CD7"/>
    <w:rsid w:val="003F6E58"/>
    <w:rsid w:val="003F7040"/>
    <w:rsid w:val="003F7065"/>
    <w:rsid w:val="003F7156"/>
    <w:rsid w:val="003F71C8"/>
    <w:rsid w:val="003F778D"/>
    <w:rsid w:val="003F78C7"/>
    <w:rsid w:val="003F78FE"/>
    <w:rsid w:val="003F7982"/>
    <w:rsid w:val="003F7A34"/>
    <w:rsid w:val="003F7C77"/>
    <w:rsid w:val="003F7E6F"/>
    <w:rsid w:val="003F7F56"/>
    <w:rsid w:val="0040001A"/>
    <w:rsid w:val="0040005E"/>
    <w:rsid w:val="00400250"/>
    <w:rsid w:val="00400325"/>
    <w:rsid w:val="00400404"/>
    <w:rsid w:val="00400481"/>
    <w:rsid w:val="0040072F"/>
    <w:rsid w:val="00400857"/>
    <w:rsid w:val="00400A40"/>
    <w:rsid w:val="00400C12"/>
    <w:rsid w:val="00400D92"/>
    <w:rsid w:val="00401039"/>
    <w:rsid w:val="00401082"/>
    <w:rsid w:val="004010B1"/>
    <w:rsid w:val="00401186"/>
    <w:rsid w:val="004014A6"/>
    <w:rsid w:val="004014E4"/>
    <w:rsid w:val="0040159A"/>
    <w:rsid w:val="0040168C"/>
    <w:rsid w:val="004016E7"/>
    <w:rsid w:val="00401733"/>
    <w:rsid w:val="004017C9"/>
    <w:rsid w:val="004018EB"/>
    <w:rsid w:val="00401937"/>
    <w:rsid w:val="00401A81"/>
    <w:rsid w:val="00401CEC"/>
    <w:rsid w:val="00401D95"/>
    <w:rsid w:val="00401D9C"/>
    <w:rsid w:val="00401E22"/>
    <w:rsid w:val="00401EC2"/>
    <w:rsid w:val="00401EF9"/>
    <w:rsid w:val="00402042"/>
    <w:rsid w:val="0040215C"/>
    <w:rsid w:val="0040216F"/>
    <w:rsid w:val="00402205"/>
    <w:rsid w:val="0040232A"/>
    <w:rsid w:val="0040250C"/>
    <w:rsid w:val="0040257C"/>
    <w:rsid w:val="00402729"/>
    <w:rsid w:val="00402981"/>
    <w:rsid w:val="004029FF"/>
    <w:rsid w:val="00402A2F"/>
    <w:rsid w:val="00402B73"/>
    <w:rsid w:val="00402BB2"/>
    <w:rsid w:val="00402BDB"/>
    <w:rsid w:val="00402C35"/>
    <w:rsid w:val="00402E0D"/>
    <w:rsid w:val="00402E24"/>
    <w:rsid w:val="00402ED8"/>
    <w:rsid w:val="00402F3E"/>
    <w:rsid w:val="0040302C"/>
    <w:rsid w:val="00403111"/>
    <w:rsid w:val="004031A2"/>
    <w:rsid w:val="0040328B"/>
    <w:rsid w:val="0040330F"/>
    <w:rsid w:val="00403452"/>
    <w:rsid w:val="00403717"/>
    <w:rsid w:val="004037A0"/>
    <w:rsid w:val="0040387C"/>
    <w:rsid w:val="00403BFD"/>
    <w:rsid w:val="00403E49"/>
    <w:rsid w:val="00403E53"/>
    <w:rsid w:val="00404283"/>
    <w:rsid w:val="004042AC"/>
    <w:rsid w:val="004043F3"/>
    <w:rsid w:val="0040456F"/>
    <w:rsid w:val="004046C4"/>
    <w:rsid w:val="004046D5"/>
    <w:rsid w:val="00404989"/>
    <w:rsid w:val="004049F0"/>
    <w:rsid w:val="00404B34"/>
    <w:rsid w:val="00404B88"/>
    <w:rsid w:val="00404B9A"/>
    <w:rsid w:val="00404F86"/>
    <w:rsid w:val="00404FF2"/>
    <w:rsid w:val="00405224"/>
    <w:rsid w:val="0040528D"/>
    <w:rsid w:val="00405337"/>
    <w:rsid w:val="004053F4"/>
    <w:rsid w:val="0040540A"/>
    <w:rsid w:val="0040549D"/>
    <w:rsid w:val="004055F8"/>
    <w:rsid w:val="0040576C"/>
    <w:rsid w:val="0040576D"/>
    <w:rsid w:val="00405948"/>
    <w:rsid w:val="00405BCF"/>
    <w:rsid w:val="00405E52"/>
    <w:rsid w:val="00405F54"/>
    <w:rsid w:val="00406024"/>
    <w:rsid w:val="004060AF"/>
    <w:rsid w:val="004061DF"/>
    <w:rsid w:val="004062D4"/>
    <w:rsid w:val="00406553"/>
    <w:rsid w:val="004066D9"/>
    <w:rsid w:val="00406ABE"/>
    <w:rsid w:val="00406B40"/>
    <w:rsid w:val="00406D31"/>
    <w:rsid w:val="00406D8A"/>
    <w:rsid w:val="00406DA1"/>
    <w:rsid w:val="00406F31"/>
    <w:rsid w:val="00406FCA"/>
    <w:rsid w:val="0040708E"/>
    <w:rsid w:val="00407528"/>
    <w:rsid w:val="00407A21"/>
    <w:rsid w:val="00407A49"/>
    <w:rsid w:val="00407B21"/>
    <w:rsid w:val="00407BC9"/>
    <w:rsid w:val="00407BD7"/>
    <w:rsid w:val="00407C8E"/>
    <w:rsid w:val="00407D27"/>
    <w:rsid w:val="00407E58"/>
    <w:rsid w:val="00407F3B"/>
    <w:rsid w:val="0041014F"/>
    <w:rsid w:val="0041019D"/>
    <w:rsid w:val="00410568"/>
    <w:rsid w:val="004105FE"/>
    <w:rsid w:val="004105FF"/>
    <w:rsid w:val="0041064F"/>
    <w:rsid w:val="00410726"/>
    <w:rsid w:val="004107C2"/>
    <w:rsid w:val="004109FF"/>
    <w:rsid w:val="00410C22"/>
    <w:rsid w:val="00410DC1"/>
    <w:rsid w:val="00410E85"/>
    <w:rsid w:val="00410EE9"/>
    <w:rsid w:val="00410F7C"/>
    <w:rsid w:val="004112FD"/>
    <w:rsid w:val="0041132F"/>
    <w:rsid w:val="004114FC"/>
    <w:rsid w:val="004115D7"/>
    <w:rsid w:val="0041165E"/>
    <w:rsid w:val="00411726"/>
    <w:rsid w:val="004117F0"/>
    <w:rsid w:val="00411854"/>
    <w:rsid w:val="00411EB8"/>
    <w:rsid w:val="00411F6D"/>
    <w:rsid w:val="004120B9"/>
    <w:rsid w:val="0041237D"/>
    <w:rsid w:val="004124AD"/>
    <w:rsid w:val="0041263B"/>
    <w:rsid w:val="0041263C"/>
    <w:rsid w:val="00412656"/>
    <w:rsid w:val="00412A18"/>
    <w:rsid w:val="00412A9F"/>
    <w:rsid w:val="00412AAF"/>
    <w:rsid w:val="00412CCA"/>
    <w:rsid w:val="00412D0A"/>
    <w:rsid w:val="00412E84"/>
    <w:rsid w:val="00412EA4"/>
    <w:rsid w:val="0041319C"/>
    <w:rsid w:val="004131F4"/>
    <w:rsid w:val="004132C5"/>
    <w:rsid w:val="00413315"/>
    <w:rsid w:val="004134A9"/>
    <w:rsid w:val="00413602"/>
    <w:rsid w:val="004137E5"/>
    <w:rsid w:val="00413988"/>
    <w:rsid w:val="00413A9C"/>
    <w:rsid w:val="00413BB1"/>
    <w:rsid w:val="00413CFA"/>
    <w:rsid w:val="00413DD4"/>
    <w:rsid w:val="00413EE8"/>
    <w:rsid w:val="00413F6A"/>
    <w:rsid w:val="0041431A"/>
    <w:rsid w:val="0041431F"/>
    <w:rsid w:val="004143FA"/>
    <w:rsid w:val="004144B4"/>
    <w:rsid w:val="004144F1"/>
    <w:rsid w:val="0041468E"/>
    <w:rsid w:val="00414691"/>
    <w:rsid w:val="00414852"/>
    <w:rsid w:val="00414879"/>
    <w:rsid w:val="00414BBF"/>
    <w:rsid w:val="00414DA8"/>
    <w:rsid w:val="00414F83"/>
    <w:rsid w:val="004150CF"/>
    <w:rsid w:val="00415235"/>
    <w:rsid w:val="004152B8"/>
    <w:rsid w:val="0041533F"/>
    <w:rsid w:val="004154E9"/>
    <w:rsid w:val="004155F6"/>
    <w:rsid w:val="004156E7"/>
    <w:rsid w:val="004158BB"/>
    <w:rsid w:val="004158EC"/>
    <w:rsid w:val="0041590E"/>
    <w:rsid w:val="00415957"/>
    <w:rsid w:val="00415A66"/>
    <w:rsid w:val="00415A85"/>
    <w:rsid w:val="00415ACA"/>
    <w:rsid w:val="00415C8B"/>
    <w:rsid w:val="00415DC4"/>
    <w:rsid w:val="00415E6B"/>
    <w:rsid w:val="004160AA"/>
    <w:rsid w:val="004160F0"/>
    <w:rsid w:val="0041611A"/>
    <w:rsid w:val="004163B6"/>
    <w:rsid w:val="004166E9"/>
    <w:rsid w:val="00416854"/>
    <w:rsid w:val="0041687A"/>
    <w:rsid w:val="004169D6"/>
    <w:rsid w:val="00416C8D"/>
    <w:rsid w:val="00416D6F"/>
    <w:rsid w:val="00417083"/>
    <w:rsid w:val="00417189"/>
    <w:rsid w:val="004172E1"/>
    <w:rsid w:val="00417318"/>
    <w:rsid w:val="004173BD"/>
    <w:rsid w:val="004175F8"/>
    <w:rsid w:val="00417A43"/>
    <w:rsid w:val="00417AD9"/>
    <w:rsid w:val="00417D60"/>
    <w:rsid w:val="00417E84"/>
    <w:rsid w:val="00417FBA"/>
    <w:rsid w:val="00420237"/>
    <w:rsid w:val="004202B1"/>
    <w:rsid w:val="00420469"/>
    <w:rsid w:val="004205EA"/>
    <w:rsid w:val="0042064D"/>
    <w:rsid w:val="004206A2"/>
    <w:rsid w:val="004209B9"/>
    <w:rsid w:val="00420AFB"/>
    <w:rsid w:val="00420D87"/>
    <w:rsid w:val="00420E0B"/>
    <w:rsid w:val="00420E77"/>
    <w:rsid w:val="0042107F"/>
    <w:rsid w:val="00421218"/>
    <w:rsid w:val="00421227"/>
    <w:rsid w:val="00421385"/>
    <w:rsid w:val="00421593"/>
    <w:rsid w:val="004217CE"/>
    <w:rsid w:val="004217FA"/>
    <w:rsid w:val="0042192F"/>
    <w:rsid w:val="00421950"/>
    <w:rsid w:val="0042199A"/>
    <w:rsid w:val="00421AC8"/>
    <w:rsid w:val="00421B0E"/>
    <w:rsid w:val="00421F3D"/>
    <w:rsid w:val="00422501"/>
    <w:rsid w:val="004225F8"/>
    <w:rsid w:val="00422625"/>
    <w:rsid w:val="004227DF"/>
    <w:rsid w:val="004227F9"/>
    <w:rsid w:val="00422B02"/>
    <w:rsid w:val="00422B26"/>
    <w:rsid w:val="00422D08"/>
    <w:rsid w:val="00422D38"/>
    <w:rsid w:val="00422DC1"/>
    <w:rsid w:val="00422E11"/>
    <w:rsid w:val="00423028"/>
    <w:rsid w:val="0042307F"/>
    <w:rsid w:val="00423166"/>
    <w:rsid w:val="004232BA"/>
    <w:rsid w:val="00423391"/>
    <w:rsid w:val="004235F7"/>
    <w:rsid w:val="00423681"/>
    <w:rsid w:val="004236D7"/>
    <w:rsid w:val="004237F2"/>
    <w:rsid w:val="00423972"/>
    <w:rsid w:val="00423A8E"/>
    <w:rsid w:val="00423AC7"/>
    <w:rsid w:val="00423B9B"/>
    <w:rsid w:val="00423BEC"/>
    <w:rsid w:val="00423C73"/>
    <w:rsid w:val="00423DAD"/>
    <w:rsid w:val="00423F81"/>
    <w:rsid w:val="004240E1"/>
    <w:rsid w:val="0042418C"/>
    <w:rsid w:val="004241A7"/>
    <w:rsid w:val="0042437A"/>
    <w:rsid w:val="004243F3"/>
    <w:rsid w:val="004244EF"/>
    <w:rsid w:val="004245A7"/>
    <w:rsid w:val="004247C2"/>
    <w:rsid w:val="004248B6"/>
    <w:rsid w:val="0042492D"/>
    <w:rsid w:val="004249E4"/>
    <w:rsid w:val="00424C08"/>
    <w:rsid w:val="00424F22"/>
    <w:rsid w:val="0042502D"/>
    <w:rsid w:val="00425182"/>
    <w:rsid w:val="004252AD"/>
    <w:rsid w:val="00425607"/>
    <w:rsid w:val="0042565A"/>
    <w:rsid w:val="00425731"/>
    <w:rsid w:val="00425888"/>
    <w:rsid w:val="00425BE6"/>
    <w:rsid w:val="00425BF9"/>
    <w:rsid w:val="00425CF2"/>
    <w:rsid w:val="00426029"/>
    <w:rsid w:val="0042608E"/>
    <w:rsid w:val="00426247"/>
    <w:rsid w:val="00426463"/>
    <w:rsid w:val="004264FD"/>
    <w:rsid w:val="00426542"/>
    <w:rsid w:val="004268A2"/>
    <w:rsid w:val="004268AF"/>
    <w:rsid w:val="00426909"/>
    <w:rsid w:val="00426984"/>
    <w:rsid w:val="00426A27"/>
    <w:rsid w:val="00426A8F"/>
    <w:rsid w:val="00426C81"/>
    <w:rsid w:val="00426CA3"/>
    <w:rsid w:val="00426CB5"/>
    <w:rsid w:val="00426D8A"/>
    <w:rsid w:val="00426FE0"/>
    <w:rsid w:val="004273DE"/>
    <w:rsid w:val="004273FF"/>
    <w:rsid w:val="00427506"/>
    <w:rsid w:val="004275E2"/>
    <w:rsid w:val="00427671"/>
    <w:rsid w:val="004276A7"/>
    <w:rsid w:val="004277D2"/>
    <w:rsid w:val="00427888"/>
    <w:rsid w:val="004278B2"/>
    <w:rsid w:val="00427C50"/>
    <w:rsid w:val="00427F8A"/>
    <w:rsid w:val="00430141"/>
    <w:rsid w:val="004301D7"/>
    <w:rsid w:val="0043046C"/>
    <w:rsid w:val="00430698"/>
    <w:rsid w:val="004309A8"/>
    <w:rsid w:val="00430AC0"/>
    <w:rsid w:val="00430AF7"/>
    <w:rsid w:val="00430B11"/>
    <w:rsid w:val="00430B38"/>
    <w:rsid w:val="00430BBE"/>
    <w:rsid w:val="00431080"/>
    <w:rsid w:val="0043138B"/>
    <w:rsid w:val="004314B1"/>
    <w:rsid w:val="004314BC"/>
    <w:rsid w:val="004317EC"/>
    <w:rsid w:val="0043184A"/>
    <w:rsid w:val="00431AF9"/>
    <w:rsid w:val="00431B04"/>
    <w:rsid w:val="00431D0D"/>
    <w:rsid w:val="00431DD6"/>
    <w:rsid w:val="0043212E"/>
    <w:rsid w:val="004322C1"/>
    <w:rsid w:val="00432372"/>
    <w:rsid w:val="004323C9"/>
    <w:rsid w:val="00432530"/>
    <w:rsid w:val="00432624"/>
    <w:rsid w:val="0043281C"/>
    <w:rsid w:val="004329A0"/>
    <w:rsid w:val="004329CE"/>
    <w:rsid w:val="00432A70"/>
    <w:rsid w:val="00432A7B"/>
    <w:rsid w:val="00432AC8"/>
    <w:rsid w:val="00432C43"/>
    <w:rsid w:val="00432F51"/>
    <w:rsid w:val="00433000"/>
    <w:rsid w:val="004331B4"/>
    <w:rsid w:val="004332C3"/>
    <w:rsid w:val="00433321"/>
    <w:rsid w:val="0043346D"/>
    <w:rsid w:val="004334E5"/>
    <w:rsid w:val="0043357A"/>
    <w:rsid w:val="004336C1"/>
    <w:rsid w:val="00433B51"/>
    <w:rsid w:val="00433D4E"/>
    <w:rsid w:val="00433EBA"/>
    <w:rsid w:val="00433ED9"/>
    <w:rsid w:val="00433F66"/>
    <w:rsid w:val="00433FE8"/>
    <w:rsid w:val="004340BF"/>
    <w:rsid w:val="004340C0"/>
    <w:rsid w:val="00434219"/>
    <w:rsid w:val="0043438D"/>
    <w:rsid w:val="004343BE"/>
    <w:rsid w:val="00434512"/>
    <w:rsid w:val="004345D4"/>
    <w:rsid w:val="00434711"/>
    <w:rsid w:val="0043473F"/>
    <w:rsid w:val="00434975"/>
    <w:rsid w:val="00434B2D"/>
    <w:rsid w:val="00434B82"/>
    <w:rsid w:val="00434EB3"/>
    <w:rsid w:val="00434F89"/>
    <w:rsid w:val="004350B4"/>
    <w:rsid w:val="004355BD"/>
    <w:rsid w:val="0043562C"/>
    <w:rsid w:val="0043569D"/>
    <w:rsid w:val="004356A1"/>
    <w:rsid w:val="004357C5"/>
    <w:rsid w:val="004359D0"/>
    <w:rsid w:val="00435B35"/>
    <w:rsid w:val="00435DE1"/>
    <w:rsid w:val="00435EA5"/>
    <w:rsid w:val="00435F0C"/>
    <w:rsid w:val="00436001"/>
    <w:rsid w:val="004361E7"/>
    <w:rsid w:val="004363DE"/>
    <w:rsid w:val="004364D9"/>
    <w:rsid w:val="00436759"/>
    <w:rsid w:val="004367FD"/>
    <w:rsid w:val="004368FB"/>
    <w:rsid w:val="00436B26"/>
    <w:rsid w:val="00436B80"/>
    <w:rsid w:val="00436C7C"/>
    <w:rsid w:val="00436D36"/>
    <w:rsid w:val="00436E08"/>
    <w:rsid w:val="00436EA2"/>
    <w:rsid w:val="00436F85"/>
    <w:rsid w:val="0043709E"/>
    <w:rsid w:val="004372F9"/>
    <w:rsid w:val="004374D2"/>
    <w:rsid w:val="004375F1"/>
    <w:rsid w:val="004378D9"/>
    <w:rsid w:val="00437A60"/>
    <w:rsid w:val="00437BF2"/>
    <w:rsid w:val="00437F2E"/>
    <w:rsid w:val="00438311"/>
    <w:rsid w:val="00440056"/>
    <w:rsid w:val="0044017E"/>
    <w:rsid w:val="004401E9"/>
    <w:rsid w:val="00440207"/>
    <w:rsid w:val="004403F8"/>
    <w:rsid w:val="004406EC"/>
    <w:rsid w:val="0044071F"/>
    <w:rsid w:val="00440800"/>
    <w:rsid w:val="00440847"/>
    <w:rsid w:val="00440885"/>
    <w:rsid w:val="0044090B"/>
    <w:rsid w:val="004409A4"/>
    <w:rsid w:val="00440B9C"/>
    <w:rsid w:val="00440BC3"/>
    <w:rsid w:val="00440E07"/>
    <w:rsid w:val="00440EF9"/>
    <w:rsid w:val="00440FCD"/>
    <w:rsid w:val="0044118F"/>
    <w:rsid w:val="004411BC"/>
    <w:rsid w:val="0044127F"/>
    <w:rsid w:val="0044130F"/>
    <w:rsid w:val="0044132B"/>
    <w:rsid w:val="004414F9"/>
    <w:rsid w:val="0044156C"/>
    <w:rsid w:val="00441597"/>
    <w:rsid w:val="00441966"/>
    <w:rsid w:val="004419DD"/>
    <w:rsid w:val="00441A1E"/>
    <w:rsid w:val="00441A44"/>
    <w:rsid w:val="00441CA2"/>
    <w:rsid w:val="00441D1F"/>
    <w:rsid w:val="00441D67"/>
    <w:rsid w:val="00441E13"/>
    <w:rsid w:val="004421EF"/>
    <w:rsid w:val="00442240"/>
    <w:rsid w:val="00442356"/>
    <w:rsid w:val="00442474"/>
    <w:rsid w:val="004425F0"/>
    <w:rsid w:val="0044265D"/>
    <w:rsid w:val="00442732"/>
    <w:rsid w:val="004427B1"/>
    <w:rsid w:val="0044280D"/>
    <w:rsid w:val="0044296D"/>
    <w:rsid w:val="004429BF"/>
    <w:rsid w:val="004429D7"/>
    <w:rsid w:val="00442BA6"/>
    <w:rsid w:val="00442CF4"/>
    <w:rsid w:val="00442E8C"/>
    <w:rsid w:val="00442F63"/>
    <w:rsid w:val="00443007"/>
    <w:rsid w:val="0044307D"/>
    <w:rsid w:val="004431F5"/>
    <w:rsid w:val="00443306"/>
    <w:rsid w:val="0044330C"/>
    <w:rsid w:val="0044360E"/>
    <w:rsid w:val="0044391C"/>
    <w:rsid w:val="004439A5"/>
    <w:rsid w:val="00443B91"/>
    <w:rsid w:val="00443DA5"/>
    <w:rsid w:val="00443DEB"/>
    <w:rsid w:val="00443F5C"/>
    <w:rsid w:val="0044405C"/>
    <w:rsid w:val="004440A3"/>
    <w:rsid w:val="00444222"/>
    <w:rsid w:val="00444235"/>
    <w:rsid w:val="00444584"/>
    <w:rsid w:val="00444653"/>
    <w:rsid w:val="004446F9"/>
    <w:rsid w:val="00444789"/>
    <w:rsid w:val="0044488D"/>
    <w:rsid w:val="004448F3"/>
    <w:rsid w:val="00444E03"/>
    <w:rsid w:val="00444E12"/>
    <w:rsid w:val="00444F32"/>
    <w:rsid w:val="0044506A"/>
    <w:rsid w:val="0044518D"/>
    <w:rsid w:val="00445205"/>
    <w:rsid w:val="004453C9"/>
    <w:rsid w:val="0044597F"/>
    <w:rsid w:val="00445ADD"/>
    <w:rsid w:val="00445D08"/>
    <w:rsid w:val="00445D30"/>
    <w:rsid w:val="00445E01"/>
    <w:rsid w:val="00446309"/>
    <w:rsid w:val="004464D1"/>
    <w:rsid w:val="004465C5"/>
    <w:rsid w:val="004466E2"/>
    <w:rsid w:val="00446747"/>
    <w:rsid w:val="00446A2D"/>
    <w:rsid w:val="00446A64"/>
    <w:rsid w:val="00446BC2"/>
    <w:rsid w:val="00446C1F"/>
    <w:rsid w:val="00446ED7"/>
    <w:rsid w:val="0044722B"/>
    <w:rsid w:val="004472E0"/>
    <w:rsid w:val="00447320"/>
    <w:rsid w:val="00447439"/>
    <w:rsid w:val="00447546"/>
    <w:rsid w:val="004479E9"/>
    <w:rsid w:val="00447B2B"/>
    <w:rsid w:val="00447B40"/>
    <w:rsid w:val="00447D20"/>
    <w:rsid w:val="00447D96"/>
    <w:rsid w:val="00447E35"/>
    <w:rsid w:val="004501C3"/>
    <w:rsid w:val="00450687"/>
    <w:rsid w:val="0045068D"/>
    <w:rsid w:val="0045087F"/>
    <w:rsid w:val="00450891"/>
    <w:rsid w:val="00450AD5"/>
    <w:rsid w:val="00450DC1"/>
    <w:rsid w:val="00450DE5"/>
    <w:rsid w:val="00450F36"/>
    <w:rsid w:val="00450FD6"/>
    <w:rsid w:val="00451004"/>
    <w:rsid w:val="0045102C"/>
    <w:rsid w:val="0045103F"/>
    <w:rsid w:val="00451122"/>
    <w:rsid w:val="00451176"/>
    <w:rsid w:val="004513C0"/>
    <w:rsid w:val="00451528"/>
    <w:rsid w:val="004515A2"/>
    <w:rsid w:val="00451610"/>
    <w:rsid w:val="0045163F"/>
    <w:rsid w:val="004517AA"/>
    <w:rsid w:val="004518AD"/>
    <w:rsid w:val="004519FA"/>
    <w:rsid w:val="00451A08"/>
    <w:rsid w:val="00451A9C"/>
    <w:rsid w:val="00451B7D"/>
    <w:rsid w:val="00451EBF"/>
    <w:rsid w:val="00451FD9"/>
    <w:rsid w:val="004520D0"/>
    <w:rsid w:val="00452103"/>
    <w:rsid w:val="004524E2"/>
    <w:rsid w:val="0045268D"/>
    <w:rsid w:val="00452779"/>
    <w:rsid w:val="004527A9"/>
    <w:rsid w:val="0045283B"/>
    <w:rsid w:val="00452CC6"/>
    <w:rsid w:val="00452EB4"/>
    <w:rsid w:val="00453062"/>
    <w:rsid w:val="004530C5"/>
    <w:rsid w:val="0045315C"/>
    <w:rsid w:val="00453180"/>
    <w:rsid w:val="004531BD"/>
    <w:rsid w:val="004531D9"/>
    <w:rsid w:val="00453287"/>
    <w:rsid w:val="004533A1"/>
    <w:rsid w:val="00453568"/>
    <w:rsid w:val="0045379B"/>
    <w:rsid w:val="004537C1"/>
    <w:rsid w:val="00453858"/>
    <w:rsid w:val="00453B09"/>
    <w:rsid w:val="00453B94"/>
    <w:rsid w:val="00453CE1"/>
    <w:rsid w:val="00453E16"/>
    <w:rsid w:val="00453EA9"/>
    <w:rsid w:val="00453F84"/>
    <w:rsid w:val="00453F88"/>
    <w:rsid w:val="0045414B"/>
    <w:rsid w:val="00454211"/>
    <w:rsid w:val="00454381"/>
    <w:rsid w:val="004543DB"/>
    <w:rsid w:val="0045445F"/>
    <w:rsid w:val="00454588"/>
    <w:rsid w:val="00454663"/>
    <w:rsid w:val="0045477E"/>
    <w:rsid w:val="00454B85"/>
    <w:rsid w:val="00454C5F"/>
    <w:rsid w:val="00454CD1"/>
    <w:rsid w:val="00454E57"/>
    <w:rsid w:val="00454F29"/>
    <w:rsid w:val="00455095"/>
    <w:rsid w:val="004553F2"/>
    <w:rsid w:val="004553F5"/>
    <w:rsid w:val="0045555E"/>
    <w:rsid w:val="0045559F"/>
    <w:rsid w:val="004555E1"/>
    <w:rsid w:val="0045562C"/>
    <w:rsid w:val="00455661"/>
    <w:rsid w:val="004556CE"/>
    <w:rsid w:val="00455859"/>
    <w:rsid w:val="0045598B"/>
    <w:rsid w:val="004559FA"/>
    <w:rsid w:val="00455FC7"/>
    <w:rsid w:val="0045637E"/>
    <w:rsid w:val="00456419"/>
    <w:rsid w:val="0045662F"/>
    <w:rsid w:val="0045668D"/>
    <w:rsid w:val="00456795"/>
    <w:rsid w:val="004567D8"/>
    <w:rsid w:val="004568AB"/>
    <w:rsid w:val="004569EF"/>
    <w:rsid w:val="00456AC5"/>
    <w:rsid w:val="00456F15"/>
    <w:rsid w:val="00456F23"/>
    <w:rsid w:val="0045709F"/>
    <w:rsid w:val="0045714E"/>
    <w:rsid w:val="0045727E"/>
    <w:rsid w:val="0045729C"/>
    <w:rsid w:val="004572A8"/>
    <w:rsid w:val="0045732A"/>
    <w:rsid w:val="00457462"/>
    <w:rsid w:val="00457682"/>
    <w:rsid w:val="004577AD"/>
    <w:rsid w:val="0045785F"/>
    <w:rsid w:val="004578EB"/>
    <w:rsid w:val="0045798F"/>
    <w:rsid w:val="00457D37"/>
    <w:rsid w:val="00457D7E"/>
    <w:rsid w:val="00457F16"/>
    <w:rsid w:val="00457F9D"/>
    <w:rsid w:val="00460113"/>
    <w:rsid w:val="004602D5"/>
    <w:rsid w:val="004603CF"/>
    <w:rsid w:val="004604E4"/>
    <w:rsid w:val="0046053F"/>
    <w:rsid w:val="0046062D"/>
    <w:rsid w:val="004606F4"/>
    <w:rsid w:val="00460783"/>
    <w:rsid w:val="00460806"/>
    <w:rsid w:val="00460836"/>
    <w:rsid w:val="00460867"/>
    <w:rsid w:val="004610D6"/>
    <w:rsid w:val="004614F4"/>
    <w:rsid w:val="0046155F"/>
    <w:rsid w:val="00461561"/>
    <w:rsid w:val="004615D7"/>
    <w:rsid w:val="00461671"/>
    <w:rsid w:val="00461728"/>
    <w:rsid w:val="00461758"/>
    <w:rsid w:val="00461799"/>
    <w:rsid w:val="0046199D"/>
    <w:rsid w:val="004619C3"/>
    <w:rsid w:val="00461B19"/>
    <w:rsid w:val="00461C7E"/>
    <w:rsid w:val="00461DD2"/>
    <w:rsid w:val="00461E2A"/>
    <w:rsid w:val="00461F00"/>
    <w:rsid w:val="00461F81"/>
    <w:rsid w:val="004620E0"/>
    <w:rsid w:val="004621DF"/>
    <w:rsid w:val="004623C8"/>
    <w:rsid w:val="004625E6"/>
    <w:rsid w:val="00462711"/>
    <w:rsid w:val="0046295D"/>
    <w:rsid w:val="004629F8"/>
    <w:rsid w:val="00462A32"/>
    <w:rsid w:val="00462AA2"/>
    <w:rsid w:val="00462CF9"/>
    <w:rsid w:val="00462D7E"/>
    <w:rsid w:val="00462E43"/>
    <w:rsid w:val="00462F07"/>
    <w:rsid w:val="00462F98"/>
    <w:rsid w:val="004631B2"/>
    <w:rsid w:val="00463215"/>
    <w:rsid w:val="0046325D"/>
    <w:rsid w:val="004634AC"/>
    <w:rsid w:val="004634C6"/>
    <w:rsid w:val="004636BD"/>
    <w:rsid w:val="00463906"/>
    <w:rsid w:val="00463AF5"/>
    <w:rsid w:val="00463B08"/>
    <w:rsid w:val="00463BA6"/>
    <w:rsid w:val="00463C9E"/>
    <w:rsid w:val="00463DA8"/>
    <w:rsid w:val="00463E70"/>
    <w:rsid w:val="00463F31"/>
    <w:rsid w:val="00463FDA"/>
    <w:rsid w:val="00464215"/>
    <w:rsid w:val="00464288"/>
    <w:rsid w:val="00464774"/>
    <w:rsid w:val="0046487F"/>
    <w:rsid w:val="00464A59"/>
    <w:rsid w:val="00464A8B"/>
    <w:rsid w:val="00464AB7"/>
    <w:rsid w:val="00464FE0"/>
    <w:rsid w:val="00464FE4"/>
    <w:rsid w:val="0046512C"/>
    <w:rsid w:val="00465376"/>
    <w:rsid w:val="00465381"/>
    <w:rsid w:val="004653B4"/>
    <w:rsid w:val="00465459"/>
    <w:rsid w:val="00465479"/>
    <w:rsid w:val="0046557B"/>
    <w:rsid w:val="00465581"/>
    <w:rsid w:val="004655BB"/>
    <w:rsid w:val="004655E7"/>
    <w:rsid w:val="00465712"/>
    <w:rsid w:val="004659DC"/>
    <w:rsid w:val="00465D89"/>
    <w:rsid w:val="00465DA5"/>
    <w:rsid w:val="00466018"/>
    <w:rsid w:val="00466144"/>
    <w:rsid w:val="004663C3"/>
    <w:rsid w:val="004669E2"/>
    <w:rsid w:val="00466C56"/>
    <w:rsid w:val="00466F3B"/>
    <w:rsid w:val="00466F69"/>
    <w:rsid w:val="00466F8B"/>
    <w:rsid w:val="004676E1"/>
    <w:rsid w:val="00467878"/>
    <w:rsid w:val="00467BBA"/>
    <w:rsid w:val="00467D41"/>
    <w:rsid w:val="00467E73"/>
    <w:rsid w:val="0047016A"/>
    <w:rsid w:val="004702BF"/>
    <w:rsid w:val="0047048E"/>
    <w:rsid w:val="00470715"/>
    <w:rsid w:val="00470718"/>
    <w:rsid w:val="00470746"/>
    <w:rsid w:val="004707CC"/>
    <w:rsid w:val="00470D56"/>
    <w:rsid w:val="004711AB"/>
    <w:rsid w:val="0047174D"/>
    <w:rsid w:val="004718D9"/>
    <w:rsid w:val="00471AB0"/>
    <w:rsid w:val="00471BE7"/>
    <w:rsid w:val="00471D20"/>
    <w:rsid w:val="00471DC6"/>
    <w:rsid w:val="00471DE4"/>
    <w:rsid w:val="00471EEE"/>
    <w:rsid w:val="00471FEA"/>
    <w:rsid w:val="0047208D"/>
    <w:rsid w:val="004720B7"/>
    <w:rsid w:val="00472393"/>
    <w:rsid w:val="0047254E"/>
    <w:rsid w:val="0047267E"/>
    <w:rsid w:val="0047274E"/>
    <w:rsid w:val="004727C5"/>
    <w:rsid w:val="004727FE"/>
    <w:rsid w:val="00472825"/>
    <w:rsid w:val="0047288C"/>
    <w:rsid w:val="004728D6"/>
    <w:rsid w:val="00472B2D"/>
    <w:rsid w:val="00472D55"/>
    <w:rsid w:val="00473033"/>
    <w:rsid w:val="004733D7"/>
    <w:rsid w:val="00473535"/>
    <w:rsid w:val="0047353F"/>
    <w:rsid w:val="004738E0"/>
    <w:rsid w:val="00473C2D"/>
    <w:rsid w:val="00473CD6"/>
    <w:rsid w:val="00473E14"/>
    <w:rsid w:val="00473EB1"/>
    <w:rsid w:val="00473F9F"/>
    <w:rsid w:val="00474153"/>
    <w:rsid w:val="004741C7"/>
    <w:rsid w:val="004745A7"/>
    <w:rsid w:val="004745DF"/>
    <w:rsid w:val="0047493E"/>
    <w:rsid w:val="0047495B"/>
    <w:rsid w:val="00475087"/>
    <w:rsid w:val="004751EE"/>
    <w:rsid w:val="004752E0"/>
    <w:rsid w:val="004754CA"/>
    <w:rsid w:val="00475603"/>
    <w:rsid w:val="00475674"/>
    <w:rsid w:val="00475698"/>
    <w:rsid w:val="00475762"/>
    <w:rsid w:val="004758EF"/>
    <w:rsid w:val="004759A5"/>
    <w:rsid w:val="00475D66"/>
    <w:rsid w:val="00475D84"/>
    <w:rsid w:val="00475DFD"/>
    <w:rsid w:val="00475F29"/>
    <w:rsid w:val="00475F2D"/>
    <w:rsid w:val="004761E7"/>
    <w:rsid w:val="004765DA"/>
    <w:rsid w:val="00476999"/>
    <w:rsid w:val="00476A52"/>
    <w:rsid w:val="00476AAD"/>
    <w:rsid w:val="00476AD3"/>
    <w:rsid w:val="00476AD7"/>
    <w:rsid w:val="00476CE7"/>
    <w:rsid w:val="00476D88"/>
    <w:rsid w:val="00477018"/>
    <w:rsid w:val="00477037"/>
    <w:rsid w:val="00477236"/>
    <w:rsid w:val="00477322"/>
    <w:rsid w:val="0047734C"/>
    <w:rsid w:val="0047735F"/>
    <w:rsid w:val="004773E8"/>
    <w:rsid w:val="00477BA1"/>
    <w:rsid w:val="00477CAC"/>
    <w:rsid w:val="00477D23"/>
    <w:rsid w:val="00477F2D"/>
    <w:rsid w:val="004800CF"/>
    <w:rsid w:val="00480243"/>
    <w:rsid w:val="004802E2"/>
    <w:rsid w:val="00480389"/>
    <w:rsid w:val="004803DF"/>
    <w:rsid w:val="004805E4"/>
    <w:rsid w:val="0048072A"/>
    <w:rsid w:val="00480889"/>
    <w:rsid w:val="0048094E"/>
    <w:rsid w:val="00480B58"/>
    <w:rsid w:val="00480C5C"/>
    <w:rsid w:val="00480CF0"/>
    <w:rsid w:val="00480DBA"/>
    <w:rsid w:val="004812A1"/>
    <w:rsid w:val="004813F2"/>
    <w:rsid w:val="0048186A"/>
    <w:rsid w:val="00481950"/>
    <w:rsid w:val="004819B7"/>
    <w:rsid w:val="00481A60"/>
    <w:rsid w:val="00481A9E"/>
    <w:rsid w:val="00481AD7"/>
    <w:rsid w:val="00481BAB"/>
    <w:rsid w:val="00481DE8"/>
    <w:rsid w:val="00481EAB"/>
    <w:rsid w:val="00482117"/>
    <w:rsid w:val="0048215D"/>
    <w:rsid w:val="00482171"/>
    <w:rsid w:val="004821D1"/>
    <w:rsid w:val="00482298"/>
    <w:rsid w:val="0048235B"/>
    <w:rsid w:val="00482380"/>
    <w:rsid w:val="004826A9"/>
    <w:rsid w:val="0048280E"/>
    <w:rsid w:val="00482818"/>
    <w:rsid w:val="004828A3"/>
    <w:rsid w:val="00482A39"/>
    <w:rsid w:val="00482B78"/>
    <w:rsid w:val="00482C6D"/>
    <w:rsid w:val="00482C7B"/>
    <w:rsid w:val="00482D27"/>
    <w:rsid w:val="00482D6A"/>
    <w:rsid w:val="00482D7B"/>
    <w:rsid w:val="00482F94"/>
    <w:rsid w:val="0048305C"/>
    <w:rsid w:val="00483481"/>
    <w:rsid w:val="004834BE"/>
    <w:rsid w:val="0048381D"/>
    <w:rsid w:val="00483862"/>
    <w:rsid w:val="00483AA2"/>
    <w:rsid w:val="00483AF9"/>
    <w:rsid w:val="00483B31"/>
    <w:rsid w:val="00483C43"/>
    <w:rsid w:val="00483CA4"/>
    <w:rsid w:val="00483E50"/>
    <w:rsid w:val="00484074"/>
    <w:rsid w:val="004840D1"/>
    <w:rsid w:val="00484232"/>
    <w:rsid w:val="0048445F"/>
    <w:rsid w:val="00484495"/>
    <w:rsid w:val="004845D8"/>
    <w:rsid w:val="004845FA"/>
    <w:rsid w:val="00484702"/>
    <w:rsid w:val="004849E2"/>
    <w:rsid w:val="00484A2B"/>
    <w:rsid w:val="00484A31"/>
    <w:rsid w:val="00484A7B"/>
    <w:rsid w:val="00484BA8"/>
    <w:rsid w:val="00484DC8"/>
    <w:rsid w:val="00484F13"/>
    <w:rsid w:val="00484F2A"/>
    <w:rsid w:val="0048506D"/>
    <w:rsid w:val="004850A3"/>
    <w:rsid w:val="004850AF"/>
    <w:rsid w:val="00485358"/>
    <w:rsid w:val="0048539E"/>
    <w:rsid w:val="0048567E"/>
    <w:rsid w:val="00485894"/>
    <w:rsid w:val="00485938"/>
    <w:rsid w:val="00485959"/>
    <w:rsid w:val="00485BCD"/>
    <w:rsid w:val="00485C78"/>
    <w:rsid w:val="00485CFE"/>
    <w:rsid w:val="00485ED3"/>
    <w:rsid w:val="00486112"/>
    <w:rsid w:val="0048635D"/>
    <w:rsid w:val="0048639C"/>
    <w:rsid w:val="004863B1"/>
    <w:rsid w:val="004863F0"/>
    <w:rsid w:val="0048643D"/>
    <w:rsid w:val="00486697"/>
    <w:rsid w:val="00486744"/>
    <w:rsid w:val="0048690B"/>
    <w:rsid w:val="00486996"/>
    <w:rsid w:val="00486B2A"/>
    <w:rsid w:val="00486CD2"/>
    <w:rsid w:val="00486D91"/>
    <w:rsid w:val="00486E73"/>
    <w:rsid w:val="00486EF8"/>
    <w:rsid w:val="00487086"/>
    <w:rsid w:val="00487461"/>
    <w:rsid w:val="00487658"/>
    <w:rsid w:val="004877B2"/>
    <w:rsid w:val="004879AD"/>
    <w:rsid w:val="00487A18"/>
    <w:rsid w:val="00487B18"/>
    <w:rsid w:val="00487C60"/>
    <w:rsid w:val="00487CB1"/>
    <w:rsid w:val="0049002D"/>
    <w:rsid w:val="00490090"/>
    <w:rsid w:val="0049011C"/>
    <w:rsid w:val="004902DA"/>
    <w:rsid w:val="00490326"/>
    <w:rsid w:val="0049069B"/>
    <w:rsid w:val="004906DE"/>
    <w:rsid w:val="004909B1"/>
    <w:rsid w:val="00490A30"/>
    <w:rsid w:val="00490D6B"/>
    <w:rsid w:val="00490F03"/>
    <w:rsid w:val="004911C8"/>
    <w:rsid w:val="004912A4"/>
    <w:rsid w:val="00491480"/>
    <w:rsid w:val="0049152A"/>
    <w:rsid w:val="00491566"/>
    <w:rsid w:val="004915A9"/>
    <w:rsid w:val="004917C2"/>
    <w:rsid w:val="0049181F"/>
    <w:rsid w:val="00491822"/>
    <w:rsid w:val="004918E7"/>
    <w:rsid w:val="0049192B"/>
    <w:rsid w:val="00491D9A"/>
    <w:rsid w:val="00491F4C"/>
    <w:rsid w:val="00491FD7"/>
    <w:rsid w:val="00492002"/>
    <w:rsid w:val="004920AF"/>
    <w:rsid w:val="0049226C"/>
    <w:rsid w:val="004922E9"/>
    <w:rsid w:val="00492326"/>
    <w:rsid w:val="00492327"/>
    <w:rsid w:val="0049240A"/>
    <w:rsid w:val="00492507"/>
    <w:rsid w:val="00492588"/>
    <w:rsid w:val="00492589"/>
    <w:rsid w:val="0049279F"/>
    <w:rsid w:val="004928BB"/>
    <w:rsid w:val="004928E2"/>
    <w:rsid w:val="004929F9"/>
    <w:rsid w:val="00492B80"/>
    <w:rsid w:val="00492D01"/>
    <w:rsid w:val="0049304A"/>
    <w:rsid w:val="004930C0"/>
    <w:rsid w:val="00493435"/>
    <w:rsid w:val="00493588"/>
    <w:rsid w:val="004939D7"/>
    <w:rsid w:val="00493BE8"/>
    <w:rsid w:val="00493D12"/>
    <w:rsid w:val="00493D56"/>
    <w:rsid w:val="00493DCC"/>
    <w:rsid w:val="00493E07"/>
    <w:rsid w:val="00493E77"/>
    <w:rsid w:val="00493E9A"/>
    <w:rsid w:val="00493EC4"/>
    <w:rsid w:val="00493F92"/>
    <w:rsid w:val="00493FC7"/>
    <w:rsid w:val="0049406D"/>
    <w:rsid w:val="00494240"/>
    <w:rsid w:val="004946AF"/>
    <w:rsid w:val="00494798"/>
    <w:rsid w:val="0049483D"/>
    <w:rsid w:val="004948F3"/>
    <w:rsid w:val="00494B8D"/>
    <w:rsid w:val="00494C65"/>
    <w:rsid w:val="00494C9F"/>
    <w:rsid w:val="00494D37"/>
    <w:rsid w:val="00495110"/>
    <w:rsid w:val="004952F0"/>
    <w:rsid w:val="0049558C"/>
    <w:rsid w:val="00495643"/>
    <w:rsid w:val="0049578C"/>
    <w:rsid w:val="00495939"/>
    <w:rsid w:val="004959E2"/>
    <w:rsid w:val="004959EF"/>
    <w:rsid w:val="00495ACB"/>
    <w:rsid w:val="00495ADB"/>
    <w:rsid w:val="00495BD8"/>
    <w:rsid w:val="00495E08"/>
    <w:rsid w:val="00495E67"/>
    <w:rsid w:val="00495ED3"/>
    <w:rsid w:val="00495F24"/>
    <w:rsid w:val="004960E7"/>
    <w:rsid w:val="00496629"/>
    <w:rsid w:val="004967A7"/>
    <w:rsid w:val="004967A9"/>
    <w:rsid w:val="00496821"/>
    <w:rsid w:val="00496AE9"/>
    <w:rsid w:val="00496B32"/>
    <w:rsid w:val="00496B7E"/>
    <w:rsid w:val="00496C68"/>
    <w:rsid w:val="00496F6D"/>
    <w:rsid w:val="00496F86"/>
    <w:rsid w:val="004972F0"/>
    <w:rsid w:val="00497441"/>
    <w:rsid w:val="00497453"/>
    <w:rsid w:val="00497477"/>
    <w:rsid w:val="00497717"/>
    <w:rsid w:val="0049788A"/>
    <w:rsid w:val="00497997"/>
    <w:rsid w:val="00497B34"/>
    <w:rsid w:val="00497D30"/>
    <w:rsid w:val="00497EC0"/>
    <w:rsid w:val="00497FC2"/>
    <w:rsid w:val="004A00C9"/>
    <w:rsid w:val="004A024E"/>
    <w:rsid w:val="004A0401"/>
    <w:rsid w:val="004A0837"/>
    <w:rsid w:val="004A0BCF"/>
    <w:rsid w:val="004A0BE2"/>
    <w:rsid w:val="004A0CE9"/>
    <w:rsid w:val="004A0CF8"/>
    <w:rsid w:val="004A0D4C"/>
    <w:rsid w:val="004A0E90"/>
    <w:rsid w:val="004A0F35"/>
    <w:rsid w:val="004A110E"/>
    <w:rsid w:val="004A1119"/>
    <w:rsid w:val="004A13ED"/>
    <w:rsid w:val="004A1494"/>
    <w:rsid w:val="004A156B"/>
    <w:rsid w:val="004A18FC"/>
    <w:rsid w:val="004A1B95"/>
    <w:rsid w:val="004A1CE2"/>
    <w:rsid w:val="004A1D75"/>
    <w:rsid w:val="004A1F6C"/>
    <w:rsid w:val="004A1FBF"/>
    <w:rsid w:val="004A208C"/>
    <w:rsid w:val="004A216B"/>
    <w:rsid w:val="004A2198"/>
    <w:rsid w:val="004A225E"/>
    <w:rsid w:val="004A241A"/>
    <w:rsid w:val="004A2476"/>
    <w:rsid w:val="004A27A5"/>
    <w:rsid w:val="004A28DA"/>
    <w:rsid w:val="004A28EA"/>
    <w:rsid w:val="004A2923"/>
    <w:rsid w:val="004A29C5"/>
    <w:rsid w:val="004A2A76"/>
    <w:rsid w:val="004A2C65"/>
    <w:rsid w:val="004A2D3B"/>
    <w:rsid w:val="004A2E07"/>
    <w:rsid w:val="004A2E8D"/>
    <w:rsid w:val="004A2F09"/>
    <w:rsid w:val="004A2F61"/>
    <w:rsid w:val="004A305B"/>
    <w:rsid w:val="004A325C"/>
    <w:rsid w:val="004A32AD"/>
    <w:rsid w:val="004A36EA"/>
    <w:rsid w:val="004A38BC"/>
    <w:rsid w:val="004A3BA2"/>
    <w:rsid w:val="004A3D11"/>
    <w:rsid w:val="004A3FD5"/>
    <w:rsid w:val="004A40FE"/>
    <w:rsid w:val="004A420C"/>
    <w:rsid w:val="004A434E"/>
    <w:rsid w:val="004A4368"/>
    <w:rsid w:val="004A436E"/>
    <w:rsid w:val="004A43B6"/>
    <w:rsid w:val="004A476E"/>
    <w:rsid w:val="004A47EE"/>
    <w:rsid w:val="004A4A51"/>
    <w:rsid w:val="004A4B5D"/>
    <w:rsid w:val="004A4BC3"/>
    <w:rsid w:val="004A4BD3"/>
    <w:rsid w:val="004A4DD5"/>
    <w:rsid w:val="004A4DFC"/>
    <w:rsid w:val="004A4ED2"/>
    <w:rsid w:val="004A4F04"/>
    <w:rsid w:val="004A4F53"/>
    <w:rsid w:val="004A4F83"/>
    <w:rsid w:val="004A516C"/>
    <w:rsid w:val="004A51CA"/>
    <w:rsid w:val="004A5429"/>
    <w:rsid w:val="004A5609"/>
    <w:rsid w:val="004A573F"/>
    <w:rsid w:val="004A57FE"/>
    <w:rsid w:val="004A5943"/>
    <w:rsid w:val="004A5A4D"/>
    <w:rsid w:val="004A5A8C"/>
    <w:rsid w:val="004A5C45"/>
    <w:rsid w:val="004A5DA5"/>
    <w:rsid w:val="004A5E10"/>
    <w:rsid w:val="004A603F"/>
    <w:rsid w:val="004A6040"/>
    <w:rsid w:val="004A614E"/>
    <w:rsid w:val="004A6169"/>
    <w:rsid w:val="004A6175"/>
    <w:rsid w:val="004A61AD"/>
    <w:rsid w:val="004A6229"/>
    <w:rsid w:val="004A65E0"/>
    <w:rsid w:val="004A6612"/>
    <w:rsid w:val="004A667E"/>
    <w:rsid w:val="004A6731"/>
    <w:rsid w:val="004A676C"/>
    <w:rsid w:val="004A685A"/>
    <w:rsid w:val="004A6918"/>
    <w:rsid w:val="004A69C8"/>
    <w:rsid w:val="004A6B2E"/>
    <w:rsid w:val="004A6CFD"/>
    <w:rsid w:val="004A7038"/>
    <w:rsid w:val="004A72D6"/>
    <w:rsid w:val="004A7378"/>
    <w:rsid w:val="004A743C"/>
    <w:rsid w:val="004A7714"/>
    <w:rsid w:val="004A777E"/>
    <w:rsid w:val="004A7880"/>
    <w:rsid w:val="004A78EA"/>
    <w:rsid w:val="004A7996"/>
    <w:rsid w:val="004A799C"/>
    <w:rsid w:val="004A7C40"/>
    <w:rsid w:val="004A7DB6"/>
    <w:rsid w:val="004A7E67"/>
    <w:rsid w:val="004A7E91"/>
    <w:rsid w:val="004A7FAD"/>
    <w:rsid w:val="004B0063"/>
    <w:rsid w:val="004B00ED"/>
    <w:rsid w:val="004B02A0"/>
    <w:rsid w:val="004B03B0"/>
    <w:rsid w:val="004B0453"/>
    <w:rsid w:val="004B055B"/>
    <w:rsid w:val="004B06F4"/>
    <w:rsid w:val="004B0B1F"/>
    <w:rsid w:val="004B0C69"/>
    <w:rsid w:val="004B0D51"/>
    <w:rsid w:val="004B0DD9"/>
    <w:rsid w:val="004B0E51"/>
    <w:rsid w:val="004B0EDD"/>
    <w:rsid w:val="004B11C1"/>
    <w:rsid w:val="004B1238"/>
    <w:rsid w:val="004B1296"/>
    <w:rsid w:val="004B12DA"/>
    <w:rsid w:val="004B13BA"/>
    <w:rsid w:val="004B1595"/>
    <w:rsid w:val="004B15B4"/>
    <w:rsid w:val="004B1A9E"/>
    <w:rsid w:val="004B1C6C"/>
    <w:rsid w:val="004B1CC3"/>
    <w:rsid w:val="004B1D08"/>
    <w:rsid w:val="004B1DDF"/>
    <w:rsid w:val="004B1E41"/>
    <w:rsid w:val="004B1E7B"/>
    <w:rsid w:val="004B1FF2"/>
    <w:rsid w:val="004B205D"/>
    <w:rsid w:val="004B20A5"/>
    <w:rsid w:val="004B20F7"/>
    <w:rsid w:val="004B20F8"/>
    <w:rsid w:val="004B2138"/>
    <w:rsid w:val="004B21BC"/>
    <w:rsid w:val="004B22F9"/>
    <w:rsid w:val="004B2361"/>
    <w:rsid w:val="004B243F"/>
    <w:rsid w:val="004B245B"/>
    <w:rsid w:val="004B2463"/>
    <w:rsid w:val="004B2516"/>
    <w:rsid w:val="004B2A10"/>
    <w:rsid w:val="004B2A35"/>
    <w:rsid w:val="004B2A9D"/>
    <w:rsid w:val="004B2AED"/>
    <w:rsid w:val="004B2DC6"/>
    <w:rsid w:val="004B2E26"/>
    <w:rsid w:val="004B2E71"/>
    <w:rsid w:val="004B2F40"/>
    <w:rsid w:val="004B3039"/>
    <w:rsid w:val="004B3163"/>
    <w:rsid w:val="004B3233"/>
    <w:rsid w:val="004B32BD"/>
    <w:rsid w:val="004B3460"/>
    <w:rsid w:val="004B34FE"/>
    <w:rsid w:val="004B35DB"/>
    <w:rsid w:val="004B36E3"/>
    <w:rsid w:val="004B391C"/>
    <w:rsid w:val="004B39A9"/>
    <w:rsid w:val="004B3B39"/>
    <w:rsid w:val="004B3BFB"/>
    <w:rsid w:val="004B3C24"/>
    <w:rsid w:val="004B3C46"/>
    <w:rsid w:val="004B3C6D"/>
    <w:rsid w:val="004B3D36"/>
    <w:rsid w:val="004B3E76"/>
    <w:rsid w:val="004B3E9A"/>
    <w:rsid w:val="004B3FEB"/>
    <w:rsid w:val="004B4359"/>
    <w:rsid w:val="004B462B"/>
    <w:rsid w:val="004B4658"/>
    <w:rsid w:val="004B465C"/>
    <w:rsid w:val="004B4730"/>
    <w:rsid w:val="004B4A36"/>
    <w:rsid w:val="004B4B08"/>
    <w:rsid w:val="004B4B11"/>
    <w:rsid w:val="004B4C7C"/>
    <w:rsid w:val="004B4CCF"/>
    <w:rsid w:val="004B4D17"/>
    <w:rsid w:val="004B4DA4"/>
    <w:rsid w:val="004B522D"/>
    <w:rsid w:val="004B55DB"/>
    <w:rsid w:val="004B58C0"/>
    <w:rsid w:val="004B5951"/>
    <w:rsid w:val="004B5A09"/>
    <w:rsid w:val="004B5B2F"/>
    <w:rsid w:val="004B5BCA"/>
    <w:rsid w:val="004B5BDA"/>
    <w:rsid w:val="004B5E10"/>
    <w:rsid w:val="004B5E25"/>
    <w:rsid w:val="004B6011"/>
    <w:rsid w:val="004B606D"/>
    <w:rsid w:val="004B6216"/>
    <w:rsid w:val="004B6376"/>
    <w:rsid w:val="004B63A7"/>
    <w:rsid w:val="004B63AD"/>
    <w:rsid w:val="004B6723"/>
    <w:rsid w:val="004B6741"/>
    <w:rsid w:val="004B681A"/>
    <w:rsid w:val="004B68C8"/>
    <w:rsid w:val="004B68DB"/>
    <w:rsid w:val="004B69C4"/>
    <w:rsid w:val="004B6A98"/>
    <w:rsid w:val="004B6B55"/>
    <w:rsid w:val="004B6CD3"/>
    <w:rsid w:val="004B6E21"/>
    <w:rsid w:val="004B7160"/>
    <w:rsid w:val="004B7342"/>
    <w:rsid w:val="004B73D3"/>
    <w:rsid w:val="004B73FF"/>
    <w:rsid w:val="004B740B"/>
    <w:rsid w:val="004B755A"/>
    <w:rsid w:val="004B7AD7"/>
    <w:rsid w:val="004B7B42"/>
    <w:rsid w:val="004B7B48"/>
    <w:rsid w:val="004B7BEC"/>
    <w:rsid w:val="004B7BFF"/>
    <w:rsid w:val="004B7CEB"/>
    <w:rsid w:val="004B7D2B"/>
    <w:rsid w:val="004B7DD6"/>
    <w:rsid w:val="004B7FE9"/>
    <w:rsid w:val="004C0230"/>
    <w:rsid w:val="004C0234"/>
    <w:rsid w:val="004C027F"/>
    <w:rsid w:val="004C0348"/>
    <w:rsid w:val="004C0466"/>
    <w:rsid w:val="004C0618"/>
    <w:rsid w:val="004C083B"/>
    <w:rsid w:val="004C0843"/>
    <w:rsid w:val="004C08BC"/>
    <w:rsid w:val="004C0921"/>
    <w:rsid w:val="004C09BD"/>
    <w:rsid w:val="004C0C67"/>
    <w:rsid w:val="004C0CFB"/>
    <w:rsid w:val="004C0FA6"/>
    <w:rsid w:val="004C13BF"/>
    <w:rsid w:val="004C1446"/>
    <w:rsid w:val="004C149B"/>
    <w:rsid w:val="004C14C1"/>
    <w:rsid w:val="004C1525"/>
    <w:rsid w:val="004C1693"/>
    <w:rsid w:val="004C17F6"/>
    <w:rsid w:val="004C1860"/>
    <w:rsid w:val="004C19F8"/>
    <w:rsid w:val="004C1BBA"/>
    <w:rsid w:val="004C1DDB"/>
    <w:rsid w:val="004C2026"/>
    <w:rsid w:val="004C206A"/>
    <w:rsid w:val="004C222E"/>
    <w:rsid w:val="004C236E"/>
    <w:rsid w:val="004C237B"/>
    <w:rsid w:val="004C244C"/>
    <w:rsid w:val="004C275B"/>
    <w:rsid w:val="004C2AF5"/>
    <w:rsid w:val="004C2D3B"/>
    <w:rsid w:val="004C2D61"/>
    <w:rsid w:val="004C2EA9"/>
    <w:rsid w:val="004C2EAC"/>
    <w:rsid w:val="004C2EEE"/>
    <w:rsid w:val="004C2FAA"/>
    <w:rsid w:val="004C2FF4"/>
    <w:rsid w:val="004C316E"/>
    <w:rsid w:val="004C31DF"/>
    <w:rsid w:val="004C321C"/>
    <w:rsid w:val="004C3256"/>
    <w:rsid w:val="004C3470"/>
    <w:rsid w:val="004C363C"/>
    <w:rsid w:val="004C36CD"/>
    <w:rsid w:val="004C3BFD"/>
    <w:rsid w:val="004C3CBC"/>
    <w:rsid w:val="004C3D6F"/>
    <w:rsid w:val="004C3E66"/>
    <w:rsid w:val="004C40CF"/>
    <w:rsid w:val="004C40E0"/>
    <w:rsid w:val="004C413F"/>
    <w:rsid w:val="004C4155"/>
    <w:rsid w:val="004C419C"/>
    <w:rsid w:val="004C4247"/>
    <w:rsid w:val="004C4282"/>
    <w:rsid w:val="004C42E6"/>
    <w:rsid w:val="004C457B"/>
    <w:rsid w:val="004C46D9"/>
    <w:rsid w:val="004C4792"/>
    <w:rsid w:val="004C485F"/>
    <w:rsid w:val="004C4899"/>
    <w:rsid w:val="004C4A57"/>
    <w:rsid w:val="004C4B04"/>
    <w:rsid w:val="004C4CF1"/>
    <w:rsid w:val="004C502D"/>
    <w:rsid w:val="004C507F"/>
    <w:rsid w:val="004C5255"/>
    <w:rsid w:val="004C5456"/>
    <w:rsid w:val="004C545B"/>
    <w:rsid w:val="004C5674"/>
    <w:rsid w:val="004C5A1A"/>
    <w:rsid w:val="004C5C86"/>
    <w:rsid w:val="004C5D7D"/>
    <w:rsid w:val="004C5F65"/>
    <w:rsid w:val="004C626A"/>
    <w:rsid w:val="004C634D"/>
    <w:rsid w:val="004C66EE"/>
    <w:rsid w:val="004C6807"/>
    <w:rsid w:val="004C6B74"/>
    <w:rsid w:val="004C6CC1"/>
    <w:rsid w:val="004C6D89"/>
    <w:rsid w:val="004C7308"/>
    <w:rsid w:val="004C7868"/>
    <w:rsid w:val="004C7B79"/>
    <w:rsid w:val="004C7D6F"/>
    <w:rsid w:val="004C7D95"/>
    <w:rsid w:val="004C7F15"/>
    <w:rsid w:val="004D0099"/>
    <w:rsid w:val="004D0157"/>
    <w:rsid w:val="004D03D8"/>
    <w:rsid w:val="004D0443"/>
    <w:rsid w:val="004D0613"/>
    <w:rsid w:val="004D0A5A"/>
    <w:rsid w:val="004D0E54"/>
    <w:rsid w:val="004D0F73"/>
    <w:rsid w:val="004D1110"/>
    <w:rsid w:val="004D11BE"/>
    <w:rsid w:val="004D1586"/>
    <w:rsid w:val="004D16CD"/>
    <w:rsid w:val="004D17AC"/>
    <w:rsid w:val="004D187C"/>
    <w:rsid w:val="004D1905"/>
    <w:rsid w:val="004D1923"/>
    <w:rsid w:val="004D1949"/>
    <w:rsid w:val="004D1BC9"/>
    <w:rsid w:val="004D1BF3"/>
    <w:rsid w:val="004D1C89"/>
    <w:rsid w:val="004D1D14"/>
    <w:rsid w:val="004D1D97"/>
    <w:rsid w:val="004D1DDA"/>
    <w:rsid w:val="004D1FAC"/>
    <w:rsid w:val="004D26BC"/>
    <w:rsid w:val="004D28D1"/>
    <w:rsid w:val="004D2ABB"/>
    <w:rsid w:val="004D2B87"/>
    <w:rsid w:val="004D2C1B"/>
    <w:rsid w:val="004D2CF2"/>
    <w:rsid w:val="004D2E15"/>
    <w:rsid w:val="004D2E5F"/>
    <w:rsid w:val="004D2E75"/>
    <w:rsid w:val="004D30CE"/>
    <w:rsid w:val="004D324A"/>
    <w:rsid w:val="004D3412"/>
    <w:rsid w:val="004D34E1"/>
    <w:rsid w:val="004D3662"/>
    <w:rsid w:val="004D3675"/>
    <w:rsid w:val="004D399C"/>
    <w:rsid w:val="004D39F3"/>
    <w:rsid w:val="004D3BE8"/>
    <w:rsid w:val="004D3C2E"/>
    <w:rsid w:val="004D3DD1"/>
    <w:rsid w:val="004D3F18"/>
    <w:rsid w:val="004D40F5"/>
    <w:rsid w:val="004D42FD"/>
    <w:rsid w:val="004D439C"/>
    <w:rsid w:val="004D43A7"/>
    <w:rsid w:val="004D43D5"/>
    <w:rsid w:val="004D45B4"/>
    <w:rsid w:val="004D4619"/>
    <w:rsid w:val="004D48BC"/>
    <w:rsid w:val="004D48FF"/>
    <w:rsid w:val="004D4AFC"/>
    <w:rsid w:val="004D4B21"/>
    <w:rsid w:val="004D4F82"/>
    <w:rsid w:val="004D4FBB"/>
    <w:rsid w:val="004D4FF9"/>
    <w:rsid w:val="004D5150"/>
    <w:rsid w:val="004D521A"/>
    <w:rsid w:val="004D5610"/>
    <w:rsid w:val="004D57F8"/>
    <w:rsid w:val="004D580A"/>
    <w:rsid w:val="004D588A"/>
    <w:rsid w:val="004D58A1"/>
    <w:rsid w:val="004D5968"/>
    <w:rsid w:val="004D59E5"/>
    <w:rsid w:val="004D5D87"/>
    <w:rsid w:val="004D5E69"/>
    <w:rsid w:val="004D5F11"/>
    <w:rsid w:val="004D5F63"/>
    <w:rsid w:val="004D5F9B"/>
    <w:rsid w:val="004D615C"/>
    <w:rsid w:val="004D636A"/>
    <w:rsid w:val="004D6439"/>
    <w:rsid w:val="004D64E3"/>
    <w:rsid w:val="004D653E"/>
    <w:rsid w:val="004D6605"/>
    <w:rsid w:val="004D664E"/>
    <w:rsid w:val="004D67E7"/>
    <w:rsid w:val="004D68BD"/>
    <w:rsid w:val="004D6968"/>
    <w:rsid w:val="004D699E"/>
    <w:rsid w:val="004D6AB4"/>
    <w:rsid w:val="004D6C85"/>
    <w:rsid w:val="004D6CC8"/>
    <w:rsid w:val="004D6D39"/>
    <w:rsid w:val="004D6DB4"/>
    <w:rsid w:val="004D6E6C"/>
    <w:rsid w:val="004D6ED1"/>
    <w:rsid w:val="004D71FA"/>
    <w:rsid w:val="004D75C8"/>
    <w:rsid w:val="004D7717"/>
    <w:rsid w:val="004D772F"/>
    <w:rsid w:val="004D77A5"/>
    <w:rsid w:val="004D7A40"/>
    <w:rsid w:val="004D7A86"/>
    <w:rsid w:val="004D7B3F"/>
    <w:rsid w:val="004D7D0F"/>
    <w:rsid w:val="004D7EF7"/>
    <w:rsid w:val="004E00CC"/>
    <w:rsid w:val="004E00D7"/>
    <w:rsid w:val="004E0117"/>
    <w:rsid w:val="004E057E"/>
    <w:rsid w:val="004E0728"/>
    <w:rsid w:val="004E07AC"/>
    <w:rsid w:val="004E087A"/>
    <w:rsid w:val="004E08D0"/>
    <w:rsid w:val="004E0A14"/>
    <w:rsid w:val="004E0C4A"/>
    <w:rsid w:val="004E0CCF"/>
    <w:rsid w:val="004E0FBB"/>
    <w:rsid w:val="004E0FC3"/>
    <w:rsid w:val="004E1110"/>
    <w:rsid w:val="004E124A"/>
    <w:rsid w:val="004E1277"/>
    <w:rsid w:val="004E15BC"/>
    <w:rsid w:val="004E15EA"/>
    <w:rsid w:val="004E1614"/>
    <w:rsid w:val="004E19A3"/>
    <w:rsid w:val="004E19FF"/>
    <w:rsid w:val="004E2253"/>
    <w:rsid w:val="004E255E"/>
    <w:rsid w:val="004E25B8"/>
    <w:rsid w:val="004E2DB7"/>
    <w:rsid w:val="004E2EA9"/>
    <w:rsid w:val="004E3187"/>
    <w:rsid w:val="004E337F"/>
    <w:rsid w:val="004E3481"/>
    <w:rsid w:val="004E3755"/>
    <w:rsid w:val="004E3847"/>
    <w:rsid w:val="004E3A6C"/>
    <w:rsid w:val="004E3B3D"/>
    <w:rsid w:val="004E3B65"/>
    <w:rsid w:val="004E3DB0"/>
    <w:rsid w:val="004E3EEB"/>
    <w:rsid w:val="004E4063"/>
    <w:rsid w:val="004E4086"/>
    <w:rsid w:val="004E47A6"/>
    <w:rsid w:val="004E4B0A"/>
    <w:rsid w:val="004E4B4E"/>
    <w:rsid w:val="004E4BAB"/>
    <w:rsid w:val="004E4BC3"/>
    <w:rsid w:val="004E4C87"/>
    <w:rsid w:val="004E4C9E"/>
    <w:rsid w:val="004E4D47"/>
    <w:rsid w:val="004E4E4D"/>
    <w:rsid w:val="004E50E2"/>
    <w:rsid w:val="004E5150"/>
    <w:rsid w:val="004E524A"/>
    <w:rsid w:val="004E54BE"/>
    <w:rsid w:val="004E5591"/>
    <w:rsid w:val="004E57E3"/>
    <w:rsid w:val="004E582B"/>
    <w:rsid w:val="004E5A66"/>
    <w:rsid w:val="004E5B94"/>
    <w:rsid w:val="004E5E01"/>
    <w:rsid w:val="004E5F6A"/>
    <w:rsid w:val="004E61FF"/>
    <w:rsid w:val="004E6284"/>
    <w:rsid w:val="004E63E6"/>
    <w:rsid w:val="004E6484"/>
    <w:rsid w:val="004E67AA"/>
    <w:rsid w:val="004E69FE"/>
    <w:rsid w:val="004E6BDB"/>
    <w:rsid w:val="004E6C8D"/>
    <w:rsid w:val="004E6CB0"/>
    <w:rsid w:val="004E6FA4"/>
    <w:rsid w:val="004E7161"/>
    <w:rsid w:val="004E71E9"/>
    <w:rsid w:val="004E72EE"/>
    <w:rsid w:val="004E7364"/>
    <w:rsid w:val="004E74E1"/>
    <w:rsid w:val="004E7500"/>
    <w:rsid w:val="004E75F8"/>
    <w:rsid w:val="004E775F"/>
    <w:rsid w:val="004E7804"/>
    <w:rsid w:val="004E78FE"/>
    <w:rsid w:val="004E7937"/>
    <w:rsid w:val="004E79B3"/>
    <w:rsid w:val="004E7A1B"/>
    <w:rsid w:val="004E7DF0"/>
    <w:rsid w:val="004E7F53"/>
    <w:rsid w:val="004E7FA3"/>
    <w:rsid w:val="004E7FA8"/>
    <w:rsid w:val="004F0051"/>
    <w:rsid w:val="004F0186"/>
    <w:rsid w:val="004F0217"/>
    <w:rsid w:val="004F0224"/>
    <w:rsid w:val="004F03FD"/>
    <w:rsid w:val="004F05F6"/>
    <w:rsid w:val="004F0686"/>
    <w:rsid w:val="004F0A32"/>
    <w:rsid w:val="004F0AEB"/>
    <w:rsid w:val="004F0D33"/>
    <w:rsid w:val="004F0D85"/>
    <w:rsid w:val="004F109A"/>
    <w:rsid w:val="004F10C0"/>
    <w:rsid w:val="004F113A"/>
    <w:rsid w:val="004F118C"/>
    <w:rsid w:val="004F11EF"/>
    <w:rsid w:val="004F1294"/>
    <w:rsid w:val="004F14EE"/>
    <w:rsid w:val="004F15A5"/>
    <w:rsid w:val="004F1669"/>
    <w:rsid w:val="004F16BB"/>
    <w:rsid w:val="004F16F0"/>
    <w:rsid w:val="004F1768"/>
    <w:rsid w:val="004F178E"/>
    <w:rsid w:val="004F1901"/>
    <w:rsid w:val="004F1C00"/>
    <w:rsid w:val="004F1C73"/>
    <w:rsid w:val="004F1CFD"/>
    <w:rsid w:val="004F1E67"/>
    <w:rsid w:val="004F1F81"/>
    <w:rsid w:val="004F2114"/>
    <w:rsid w:val="004F2193"/>
    <w:rsid w:val="004F221C"/>
    <w:rsid w:val="004F22EC"/>
    <w:rsid w:val="004F23EB"/>
    <w:rsid w:val="004F2431"/>
    <w:rsid w:val="004F2530"/>
    <w:rsid w:val="004F2688"/>
    <w:rsid w:val="004F2867"/>
    <w:rsid w:val="004F287C"/>
    <w:rsid w:val="004F2891"/>
    <w:rsid w:val="004F296F"/>
    <w:rsid w:val="004F2AF8"/>
    <w:rsid w:val="004F2FF6"/>
    <w:rsid w:val="004F3132"/>
    <w:rsid w:val="004F33E8"/>
    <w:rsid w:val="004F3414"/>
    <w:rsid w:val="004F354A"/>
    <w:rsid w:val="004F3674"/>
    <w:rsid w:val="004F3814"/>
    <w:rsid w:val="004F3992"/>
    <w:rsid w:val="004F3A1C"/>
    <w:rsid w:val="004F3ADB"/>
    <w:rsid w:val="004F3BF8"/>
    <w:rsid w:val="004F3CA5"/>
    <w:rsid w:val="004F3CAD"/>
    <w:rsid w:val="004F3D70"/>
    <w:rsid w:val="004F3E39"/>
    <w:rsid w:val="004F3EFA"/>
    <w:rsid w:val="004F3F1F"/>
    <w:rsid w:val="004F4007"/>
    <w:rsid w:val="004F4076"/>
    <w:rsid w:val="004F418D"/>
    <w:rsid w:val="004F44C6"/>
    <w:rsid w:val="004F45B6"/>
    <w:rsid w:val="004F45C1"/>
    <w:rsid w:val="004F4722"/>
    <w:rsid w:val="004F4755"/>
    <w:rsid w:val="004F485A"/>
    <w:rsid w:val="004F486F"/>
    <w:rsid w:val="004F4A95"/>
    <w:rsid w:val="004F4BE2"/>
    <w:rsid w:val="004F4E60"/>
    <w:rsid w:val="004F4E92"/>
    <w:rsid w:val="004F4EEC"/>
    <w:rsid w:val="004F5054"/>
    <w:rsid w:val="004F50F7"/>
    <w:rsid w:val="004F5397"/>
    <w:rsid w:val="004F541B"/>
    <w:rsid w:val="004F5533"/>
    <w:rsid w:val="004F56BB"/>
    <w:rsid w:val="004F56D2"/>
    <w:rsid w:val="004F5956"/>
    <w:rsid w:val="004F5A9F"/>
    <w:rsid w:val="004F5C9D"/>
    <w:rsid w:val="004F5D30"/>
    <w:rsid w:val="004F6075"/>
    <w:rsid w:val="004F6293"/>
    <w:rsid w:val="004F62BB"/>
    <w:rsid w:val="004F6390"/>
    <w:rsid w:val="004F63FC"/>
    <w:rsid w:val="004F6434"/>
    <w:rsid w:val="004F6521"/>
    <w:rsid w:val="004F656F"/>
    <w:rsid w:val="004F65A5"/>
    <w:rsid w:val="004F6674"/>
    <w:rsid w:val="004F6688"/>
    <w:rsid w:val="004F66CC"/>
    <w:rsid w:val="004F66CF"/>
    <w:rsid w:val="004F6739"/>
    <w:rsid w:val="004F685F"/>
    <w:rsid w:val="004F6967"/>
    <w:rsid w:val="004F6A3A"/>
    <w:rsid w:val="004F6B91"/>
    <w:rsid w:val="004F6B9F"/>
    <w:rsid w:val="004F6D2C"/>
    <w:rsid w:val="004F6FF7"/>
    <w:rsid w:val="004F70BD"/>
    <w:rsid w:val="004F7400"/>
    <w:rsid w:val="004F766F"/>
    <w:rsid w:val="004F775B"/>
    <w:rsid w:val="004F79DE"/>
    <w:rsid w:val="004F79F7"/>
    <w:rsid w:val="004F7AC9"/>
    <w:rsid w:val="004F7AEB"/>
    <w:rsid w:val="004F7B4E"/>
    <w:rsid w:val="004F7C09"/>
    <w:rsid w:val="004F7E50"/>
    <w:rsid w:val="004F7E95"/>
    <w:rsid w:val="005000C1"/>
    <w:rsid w:val="0050022F"/>
    <w:rsid w:val="0050036E"/>
    <w:rsid w:val="0050064B"/>
    <w:rsid w:val="00500973"/>
    <w:rsid w:val="00500A0B"/>
    <w:rsid w:val="00500AE0"/>
    <w:rsid w:val="00500B6E"/>
    <w:rsid w:val="00500B9C"/>
    <w:rsid w:val="00500BEE"/>
    <w:rsid w:val="00500C50"/>
    <w:rsid w:val="00500D6A"/>
    <w:rsid w:val="00500E71"/>
    <w:rsid w:val="00500F7F"/>
    <w:rsid w:val="00501050"/>
    <w:rsid w:val="0050113F"/>
    <w:rsid w:val="0050122A"/>
    <w:rsid w:val="0050133B"/>
    <w:rsid w:val="005014F4"/>
    <w:rsid w:val="005016DB"/>
    <w:rsid w:val="005017D9"/>
    <w:rsid w:val="005018C9"/>
    <w:rsid w:val="005019B7"/>
    <w:rsid w:val="00501DCE"/>
    <w:rsid w:val="00501FB8"/>
    <w:rsid w:val="005020BA"/>
    <w:rsid w:val="0050212F"/>
    <w:rsid w:val="005021A7"/>
    <w:rsid w:val="005022E6"/>
    <w:rsid w:val="00502445"/>
    <w:rsid w:val="0050252E"/>
    <w:rsid w:val="0050255C"/>
    <w:rsid w:val="00502A20"/>
    <w:rsid w:val="00502CA5"/>
    <w:rsid w:val="00502DDB"/>
    <w:rsid w:val="00502E8A"/>
    <w:rsid w:val="00502ED8"/>
    <w:rsid w:val="00502FE5"/>
    <w:rsid w:val="0050302D"/>
    <w:rsid w:val="005030CC"/>
    <w:rsid w:val="005031A2"/>
    <w:rsid w:val="005031BD"/>
    <w:rsid w:val="005031DF"/>
    <w:rsid w:val="005034DD"/>
    <w:rsid w:val="0050372F"/>
    <w:rsid w:val="005037A6"/>
    <w:rsid w:val="005037D5"/>
    <w:rsid w:val="00503863"/>
    <w:rsid w:val="00503A24"/>
    <w:rsid w:val="00503A32"/>
    <w:rsid w:val="00503B0B"/>
    <w:rsid w:val="00503C3B"/>
    <w:rsid w:val="00503CD5"/>
    <w:rsid w:val="00503D2A"/>
    <w:rsid w:val="00503DFC"/>
    <w:rsid w:val="00504389"/>
    <w:rsid w:val="0050461A"/>
    <w:rsid w:val="005046DB"/>
    <w:rsid w:val="00504790"/>
    <w:rsid w:val="005049BA"/>
    <w:rsid w:val="00504A39"/>
    <w:rsid w:val="00504C37"/>
    <w:rsid w:val="00504C4E"/>
    <w:rsid w:val="00504C9C"/>
    <w:rsid w:val="00504DF2"/>
    <w:rsid w:val="00504FCF"/>
    <w:rsid w:val="00505243"/>
    <w:rsid w:val="00505372"/>
    <w:rsid w:val="0050564A"/>
    <w:rsid w:val="00505728"/>
    <w:rsid w:val="005059E7"/>
    <w:rsid w:val="00505A4C"/>
    <w:rsid w:val="00505B5C"/>
    <w:rsid w:val="00505BBE"/>
    <w:rsid w:val="00505FAF"/>
    <w:rsid w:val="005060C4"/>
    <w:rsid w:val="00506328"/>
    <w:rsid w:val="00506343"/>
    <w:rsid w:val="00506393"/>
    <w:rsid w:val="00506651"/>
    <w:rsid w:val="0050678B"/>
    <w:rsid w:val="005067F1"/>
    <w:rsid w:val="00506973"/>
    <w:rsid w:val="00506974"/>
    <w:rsid w:val="005069E5"/>
    <w:rsid w:val="00506A2C"/>
    <w:rsid w:val="00506ABD"/>
    <w:rsid w:val="00506CBA"/>
    <w:rsid w:val="00506CBE"/>
    <w:rsid w:val="00506D71"/>
    <w:rsid w:val="00506F71"/>
    <w:rsid w:val="0050731B"/>
    <w:rsid w:val="0050732C"/>
    <w:rsid w:val="0050751F"/>
    <w:rsid w:val="00507524"/>
    <w:rsid w:val="005075CB"/>
    <w:rsid w:val="00507649"/>
    <w:rsid w:val="005077FB"/>
    <w:rsid w:val="00507883"/>
    <w:rsid w:val="00507B0E"/>
    <w:rsid w:val="00507C53"/>
    <w:rsid w:val="00507DC7"/>
    <w:rsid w:val="005100C1"/>
    <w:rsid w:val="00510304"/>
    <w:rsid w:val="0051064C"/>
    <w:rsid w:val="00510A9E"/>
    <w:rsid w:val="00510B42"/>
    <w:rsid w:val="00510BB5"/>
    <w:rsid w:val="00510D79"/>
    <w:rsid w:val="00510DE2"/>
    <w:rsid w:val="00510E8D"/>
    <w:rsid w:val="00511273"/>
    <w:rsid w:val="00511769"/>
    <w:rsid w:val="005118A0"/>
    <w:rsid w:val="00511A0A"/>
    <w:rsid w:val="00511A16"/>
    <w:rsid w:val="00511BBA"/>
    <w:rsid w:val="00511CD7"/>
    <w:rsid w:val="00511D2E"/>
    <w:rsid w:val="00511DBD"/>
    <w:rsid w:val="00511E10"/>
    <w:rsid w:val="00511EA0"/>
    <w:rsid w:val="005120CE"/>
    <w:rsid w:val="00512187"/>
    <w:rsid w:val="005123A8"/>
    <w:rsid w:val="00512406"/>
    <w:rsid w:val="005126AD"/>
    <w:rsid w:val="00512779"/>
    <w:rsid w:val="005129F4"/>
    <w:rsid w:val="00512A3E"/>
    <w:rsid w:val="00512C16"/>
    <w:rsid w:val="00512C19"/>
    <w:rsid w:val="005135AB"/>
    <w:rsid w:val="005136C8"/>
    <w:rsid w:val="005137F7"/>
    <w:rsid w:val="00513C20"/>
    <w:rsid w:val="00513E27"/>
    <w:rsid w:val="00514090"/>
    <w:rsid w:val="00514209"/>
    <w:rsid w:val="00514360"/>
    <w:rsid w:val="00514399"/>
    <w:rsid w:val="00514455"/>
    <w:rsid w:val="0051456A"/>
    <w:rsid w:val="00514C0B"/>
    <w:rsid w:val="00514C22"/>
    <w:rsid w:val="00514C3D"/>
    <w:rsid w:val="00514D20"/>
    <w:rsid w:val="00514DF0"/>
    <w:rsid w:val="00514E83"/>
    <w:rsid w:val="005153FE"/>
    <w:rsid w:val="0051544B"/>
    <w:rsid w:val="00515534"/>
    <w:rsid w:val="00515573"/>
    <w:rsid w:val="00515665"/>
    <w:rsid w:val="00515937"/>
    <w:rsid w:val="00515940"/>
    <w:rsid w:val="00515941"/>
    <w:rsid w:val="0051596B"/>
    <w:rsid w:val="00515AE7"/>
    <w:rsid w:val="00515AF0"/>
    <w:rsid w:val="00515CF3"/>
    <w:rsid w:val="00515E24"/>
    <w:rsid w:val="00515FFD"/>
    <w:rsid w:val="00516072"/>
    <w:rsid w:val="005160AB"/>
    <w:rsid w:val="0051637C"/>
    <w:rsid w:val="00516564"/>
    <w:rsid w:val="005165F1"/>
    <w:rsid w:val="00516673"/>
    <w:rsid w:val="00516708"/>
    <w:rsid w:val="00516774"/>
    <w:rsid w:val="005169E0"/>
    <w:rsid w:val="00516A75"/>
    <w:rsid w:val="00516B2F"/>
    <w:rsid w:val="00516BB1"/>
    <w:rsid w:val="00516DDA"/>
    <w:rsid w:val="00516EFD"/>
    <w:rsid w:val="00516F47"/>
    <w:rsid w:val="0051702F"/>
    <w:rsid w:val="00517065"/>
    <w:rsid w:val="0051721D"/>
    <w:rsid w:val="0051727B"/>
    <w:rsid w:val="005174AC"/>
    <w:rsid w:val="00517546"/>
    <w:rsid w:val="0051762B"/>
    <w:rsid w:val="005176EB"/>
    <w:rsid w:val="00517722"/>
    <w:rsid w:val="0051772E"/>
    <w:rsid w:val="00517D3D"/>
    <w:rsid w:val="00520044"/>
    <w:rsid w:val="00520064"/>
    <w:rsid w:val="005200FA"/>
    <w:rsid w:val="0052035F"/>
    <w:rsid w:val="005203FD"/>
    <w:rsid w:val="0052046B"/>
    <w:rsid w:val="0052068B"/>
    <w:rsid w:val="00520793"/>
    <w:rsid w:val="00520A88"/>
    <w:rsid w:val="00520B72"/>
    <w:rsid w:val="00520CAC"/>
    <w:rsid w:val="00520DA6"/>
    <w:rsid w:val="005210A3"/>
    <w:rsid w:val="0052114F"/>
    <w:rsid w:val="00521246"/>
    <w:rsid w:val="0052140F"/>
    <w:rsid w:val="005215CD"/>
    <w:rsid w:val="00521660"/>
    <w:rsid w:val="0052166B"/>
    <w:rsid w:val="0052176A"/>
    <w:rsid w:val="00521A70"/>
    <w:rsid w:val="00521D8E"/>
    <w:rsid w:val="00521DEC"/>
    <w:rsid w:val="005221B7"/>
    <w:rsid w:val="005222F8"/>
    <w:rsid w:val="005223D7"/>
    <w:rsid w:val="005226DA"/>
    <w:rsid w:val="00522730"/>
    <w:rsid w:val="0052273B"/>
    <w:rsid w:val="00522A07"/>
    <w:rsid w:val="00522A1F"/>
    <w:rsid w:val="00522D01"/>
    <w:rsid w:val="00522DA1"/>
    <w:rsid w:val="00522E0D"/>
    <w:rsid w:val="0052305F"/>
    <w:rsid w:val="005230D3"/>
    <w:rsid w:val="00523371"/>
    <w:rsid w:val="0052343E"/>
    <w:rsid w:val="00523592"/>
    <w:rsid w:val="005235C0"/>
    <w:rsid w:val="005235C5"/>
    <w:rsid w:val="00523750"/>
    <w:rsid w:val="005237A4"/>
    <w:rsid w:val="0052386B"/>
    <w:rsid w:val="005238CA"/>
    <w:rsid w:val="0052394A"/>
    <w:rsid w:val="005239A0"/>
    <w:rsid w:val="00523A3D"/>
    <w:rsid w:val="00523A54"/>
    <w:rsid w:val="00523A64"/>
    <w:rsid w:val="00523D06"/>
    <w:rsid w:val="00523DB4"/>
    <w:rsid w:val="00523E7A"/>
    <w:rsid w:val="00523EC7"/>
    <w:rsid w:val="00523EE3"/>
    <w:rsid w:val="00523F41"/>
    <w:rsid w:val="00524030"/>
    <w:rsid w:val="00524319"/>
    <w:rsid w:val="00524387"/>
    <w:rsid w:val="00524508"/>
    <w:rsid w:val="00524570"/>
    <w:rsid w:val="005245B0"/>
    <w:rsid w:val="005245E4"/>
    <w:rsid w:val="0052460C"/>
    <w:rsid w:val="00524615"/>
    <w:rsid w:val="0052462E"/>
    <w:rsid w:val="005248E9"/>
    <w:rsid w:val="00524B3D"/>
    <w:rsid w:val="00524BE6"/>
    <w:rsid w:val="00524C7D"/>
    <w:rsid w:val="00524D67"/>
    <w:rsid w:val="00524FCA"/>
    <w:rsid w:val="00525008"/>
    <w:rsid w:val="00525010"/>
    <w:rsid w:val="005250FC"/>
    <w:rsid w:val="0052511D"/>
    <w:rsid w:val="005251B3"/>
    <w:rsid w:val="005251B5"/>
    <w:rsid w:val="005251EF"/>
    <w:rsid w:val="00525298"/>
    <w:rsid w:val="00525461"/>
    <w:rsid w:val="00525646"/>
    <w:rsid w:val="00525655"/>
    <w:rsid w:val="00525992"/>
    <w:rsid w:val="00525A04"/>
    <w:rsid w:val="00525C25"/>
    <w:rsid w:val="00525C60"/>
    <w:rsid w:val="00525E11"/>
    <w:rsid w:val="00525E26"/>
    <w:rsid w:val="00525F4F"/>
    <w:rsid w:val="005260D5"/>
    <w:rsid w:val="005262BD"/>
    <w:rsid w:val="00526568"/>
    <w:rsid w:val="005266C5"/>
    <w:rsid w:val="00526B6F"/>
    <w:rsid w:val="00526B8B"/>
    <w:rsid w:val="00526BD1"/>
    <w:rsid w:val="00526D56"/>
    <w:rsid w:val="00526D93"/>
    <w:rsid w:val="00526E21"/>
    <w:rsid w:val="00526EB1"/>
    <w:rsid w:val="00526F5A"/>
    <w:rsid w:val="00527035"/>
    <w:rsid w:val="005270E6"/>
    <w:rsid w:val="00527156"/>
    <w:rsid w:val="00527449"/>
    <w:rsid w:val="005274AE"/>
    <w:rsid w:val="005274F6"/>
    <w:rsid w:val="005277D3"/>
    <w:rsid w:val="005277DE"/>
    <w:rsid w:val="00527A94"/>
    <w:rsid w:val="00527C56"/>
    <w:rsid w:val="00527CF0"/>
    <w:rsid w:val="0053026E"/>
    <w:rsid w:val="005304C7"/>
    <w:rsid w:val="00530535"/>
    <w:rsid w:val="0053065B"/>
    <w:rsid w:val="00530715"/>
    <w:rsid w:val="00530EE8"/>
    <w:rsid w:val="00531000"/>
    <w:rsid w:val="0053103D"/>
    <w:rsid w:val="005317E0"/>
    <w:rsid w:val="00531810"/>
    <w:rsid w:val="00531925"/>
    <w:rsid w:val="00531B98"/>
    <w:rsid w:val="00531BAB"/>
    <w:rsid w:val="00531E29"/>
    <w:rsid w:val="00531E85"/>
    <w:rsid w:val="005320B2"/>
    <w:rsid w:val="00532214"/>
    <w:rsid w:val="00532287"/>
    <w:rsid w:val="00532456"/>
    <w:rsid w:val="0053258F"/>
    <w:rsid w:val="0053259F"/>
    <w:rsid w:val="005325BE"/>
    <w:rsid w:val="00532793"/>
    <w:rsid w:val="0053282D"/>
    <w:rsid w:val="00532C69"/>
    <w:rsid w:val="00532CD3"/>
    <w:rsid w:val="00532EAC"/>
    <w:rsid w:val="00533014"/>
    <w:rsid w:val="00533094"/>
    <w:rsid w:val="005331EF"/>
    <w:rsid w:val="00533446"/>
    <w:rsid w:val="0053359E"/>
    <w:rsid w:val="005335A7"/>
    <w:rsid w:val="0053381C"/>
    <w:rsid w:val="0053384D"/>
    <w:rsid w:val="00533C60"/>
    <w:rsid w:val="005341AA"/>
    <w:rsid w:val="005343C2"/>
    <w:rsid w:val="005343C9"/>
    <w:rsid w:val="005344E9"/>
    <w:rsid w:val="00534892"/>
    <w:rsid w:val="00534952"/>
    <w:rsid w:val="00534ADD"/>
    <w:rsid w:val="00534B94"/>
    <w:rsid w:val="00534F22"/>
    <w:rsid w:val="00535124"/>
    <w:rsid w:val="00535178"/>
    <w:rsid w:val="00535224"/>
    <w:rsid w:val="005353D0"/>
    <w:rsid w:val="00535485"/>
    <w:rsid w:val="005355E7"/>
    <w:rsid w:val="00535600"/>
    <w:rsid w:val="00535877"/>
    <w:rsid w:val="005359DC"/>
    <w:rsid w:val="00535AC7"/>
    <w:rsid w:val="00535AFC"/>
    <w:rsid w:val="00535C51"/>
    <w:rsid w:val="00535C6C"/>
    <w:rsid w:val="00535DAB"/>
    <w:rsid w:val="0053612E"/>
    <w:rsid w:val="00536465"/>
    <w:rsid w:val="0053667A"/>
    <w:rsid w:val="00536864"/>
    <w:rsid w:val="005368C7"/>
    <w:rsid w:val="00536ACF"/>
    <w:rsid w:val="00536B03"/>
    <w:rsid w:val="00536B59"/>
    <w:rsid w:val="00536C26"/>
    <w:rsid w:val="00536F54"/>
    <w:rsid w:val="005371F1"/>
    <w:rsid w:val="005372BA"/>
    <w:rsid w:val="00537590"/>
    <w:rsid w:val="0053765F"/>
    <w:rsid w:val="00537912"/>
    <w:rsid w:val="00537BA4"/>
    <w:rsid w:val="00537E24"/>
    <w:rsid w:val="00537F31"/>
    <w:rsid w:val="00540059"/>
    <w:rsid w:val="0054065C"/>
    <w:rsid w:val="0054090F"/>
    <w:rsid w:val="0054091D"/>
    <w:rsid w:val="00540B26"/>
    <w:rsid w:val="00540FF0"/>
    <w:rsid w:val="0054108C"/>
    <w:rsid w:val="00541136"/>
    <w:rsid w:val="0054113B"/>
    <w:rsid w:val="005411AA"/>
    <w:rsid w:val="005412C8"/>
    <w:rsid w:val="00541361"/>
    <w:rsid w:val="005413AF"/>
    <w:rsid w:val="00541511"/>
    <w:rsid w:val="0054160A"/>
    <w:rsid w:val="005416B5"/>
    <w:rsid w:val="005416C9"/>
    <w:rsid w:val="00541895"/>
    <w:rsid w:val="005419F2"/>
    <w:rsid w:val="00541A0B"/>
    <w:rsid w:val="00541A69"/>
    <w:rsid w:val="00541AE7"/>
    <w:rsid w:val="00541DFB"/>
    <w:rsid w:val="005420F7"/>
    <w:rsid w:val="0054214A"/>
    <w:rsid w:val="00542473"/>
    <w:rsid w:val="00542517"/>
    <w:rsid w:val="00542762"/>
    <w:rsid w:val="00542769"/>
    <w:rsid w:val="0054279D"/>
    <w:rsid w:val="0054286F"/>
    <w:rsid w:val="005428C5"/>
    <w:rsid w:val="0054294A"/>
    <w:rsid w:val="00542A7E"/>
    <w:rsid w:val="00542A87"/>
    <w:rsid w:val="00542A9B"/>
    <w:rsid w:val="00542B10"/>
    <w:rsid w:val="00542B3F"/>
    <w:rsid w:val="00542CDD"/>
    <w:rsid w:val="00542D84"/>
    <w:rsid w:val="00542E41"/>
    <w:rsid w:val="00542F82"/>
    <w:rsid w:val="00543117"/>
    <w:rsid w:val="005432BE"/>
    <w:rsid w:val="005433DB"/>
    <w:rsid w:val="0054369F"/>
    <w:rsid w:val="005436DB"/>
    <w:rsid w:val="0054378D"/>
    <w:rsid w:val="0054384A"/>
    <w:rsid w:val="0054386C"/>
    <w:rsid w:val="005438D6"/>
    <w:rsid w:val="00543BF2"/>
    <w:rsid w:val="00543CEE"/>
    <w:rsid w:val="00543F32"/>
    <w:rsid w:val="005443DF"/>
    <w:rsid w:val="00544411"/>
    <w:rsid w:val="0054449D"/>
    <w:rsid w:val="005444CD"/>
    <w:rsid w:val="00544689"/>
    <w:rsid w:val="00544A62"/>
    <w:rsid w:val="00544AB7"/>
    <w:rsid w:val="00544B9B"/>
    <w:rsid w:val="00544C24"/>
    <w:rsid w:val="00544C70"/>
    <w:rsid w:val="005450A8"/>
    <w:rsid w:val="005453DD"/>
    <w:rsid w:val="0054557B"/>
    <w:rsid w:val="00545593"/>
    <w:rsid w:val="0054559C"/>
    <w:rsid w:val="005458E5"/>
    <w:rsid w:val="00545983"/>
    <w:rsid w:val="00545BCE"/>
    <w:rsid w:val="00545C0B"/>
    <w:rsid w:val="00545C41"/>
    <w:rsid w:val="00545E37"/>
    <w:rsid w:val="00545E83"/>
    <w:rsid w:val="00545F45"/>
    <w:rsid w:val="00546000"/>
    <w:rsid w:val="0054606E"/>
    <w:rsid w:val="00546134"/>
    <w:rsid w:val="0054613E"/>
    <w:rsid w:val="005465A4"/>
    <w:rsid w:val="005466D5"/>
    <w:rsid w:val="005466FE"/>
    <w:rsid w:val="005468A6"/>
    <w:rsid w:val="00546925"/>
    <w:rsid w:val="005469A7"/>
    <w:rsid w:val="00546AB1"/>
    <w:rsid w:val="00546C41"/>
    <w:rsid w:val="005470C3"/>
    <w:rsid w:val="005471F9"/>
    <w:rsid w:val="00547437"/>
    <w:rsid w:val="005474E6"/>
    <w:rsid w:val="005475A0"/>
    <w:rsid w:val="005478EA"/>
    <w:rsid w:val="00547A4C"/>
    <w:rsid w:val="00547B5F"/>
    <w:rsid w:val="00547BD3"/>
    <w:rsid w:val="00547CDB"/>
    <w:rsid w:val="0055000D"/>
    <w:rsid w:val="005501C9"/>
    <w:rsid w:val="00550319"/>
    <w:rsid w:val="005503FC"/>
    <w:rsid w:val="00550633"/>
    <w:rsid w:val="00550699"/>
    <w:rsid w:val="00550897"/>
    <w:rsid w:val="005508D9"/>
    <w:rsid w:val="00550963"/>
    <w:rsid w:val="00550A3A"/>
    <w:rsid w:val="00550B77"/>
    <w:rsid w:val="00550F13"/>
    <w:rsid w:val="00550F93"/>
    <w:rsid w:val="0055109B"/>
    <w:rsid w:val="00551323"/>
    <w:rsid w:val="00551343"/>
    <w:rsid w:val="00551403"/>
    <w:rsid w:val="00551678"/>
    <w:rsid w:val="00551802"/>
    <w:rsid w:val="00551872"/>
    <w:rsid w:val="00551A81"/>
    <w:rsid w:val="00551AD6"/>
    <w:rsid w:val="00551AF9"/>
    <w:rsid w:val="00551D88"/>
    <w:rsid w:val="00551E3C"/>
    <w:rsid w:val="00551E4F"/>
    <w:rsid w:val="0055226C"/>
    <w:rsid w:val="0055227D"/>
    <w:rsid w:val="005522B0"/>
    <w:rsid w:val="0055236C"/>
    <w:rsid w:val="005523BA"/>
    <w:rsid w:val="0055247D"/>
    <w:rsid w:val="005525EA"/>
    <w:rsid w:val="00552908"/>
    <w:rsid w:val="0055293B"/>
    <w:rsid w:val="00552C0D"/>
    <w:rsid w:val="00552C51"/>
    <w:rsid w:val="00552CC6"/>
    <w:rsid w:val="00552D49"/>
    <w:rsid w:val="005532D0"/>
    <w:rsid w:val="00553387"/>
    <w:rsid w:val="00553680"/>
    <w:rsid w:val="005536D0"/>
    <w:rsid w:val="005536DA"/>
    <w:rsid w:val="005536EF"/>
    <w:rsid w:val="00553715"/>
    <w:rsid w:val="0055385C"/>
    <w:rsid w:val="00553BA9"/>
    <w:rsid w:val="00553D5D"/>
    <w:rsid w:val="00553E35"/>
    <w:rsid w:val="00553E65"/>
    <w:rsid w:val="005541FF"/>
    <w:rsid w:val="005543BA"/>
    <w:rsid w:val="0055448C"/>
    <w:rsid w:val="005544A3"/>
    <w:rsid w:val="00554729"/>
    <w:rsid w:val="00554A8B"/>
    <w:rsid w:val="00554B0B"/>
    <w:rsid w:val="00554BAD"/>
    <w:rsid w:val="00554C14"/>
    <w:rsid w:val="00554C7A"/>
    <w:rsid w:val="00554CE2"/>
    <w:rsid w:val="00554D40"/>
    <w:rsid w:val="00554D92"/>
    <w:rsid w:val="00554EC1"/>
    <w:rsid w:val="0055509C"/>
    <w:rsid w:val="005550FC"/>
    <w:rsid w:val="005551BB"/>
    <w:rsid w:val="00555243"/>
    <w:rsid w:val="00555311"/>
    <w:rsid w:val="005553EB"/>
    <w:rsid w:val="005554EE"/>
    <w:rsid w:val="0055550E"/>
    <w:rsid w:val="0055560E"/>
    <w:rsid w:val="00555832"/>
    <w:rsid w:val="005558E2"/>
    <w:rsid w:val="00555916"/>
    <w:rsid w:val="00555B9C"/>
    <w:rsid w:val="00555BC9"/>
    <w:rsid w:val="00555CBE"/>
    <w:rsid w:val="00555CD6"/>
    <w:rsid w:val="00555D05"/>
    <w:rsid w:val="00555F3A"/>
    <w:rsid w:val="0055611D"/>
    <w:rsid w:val="005562A6"/>
    <w:rsid w:val="00556362"/>
    <w:rsid w:val="00556447"/>
    <w:rsid w:val="00556515"/>
    <w:rsid w:val="0055676B"/>
    <w:rsid w:val="005568C4"/>
    <w:rsid w:val="00556A3C"/>
    <w:rsid w:val="00556A8C"/>
    <w:rsid w:val="00556BE8"/>
    <w:rsid w:val="00556EA8"/>
    <w:rsid w:val="00556F41"/>
    <w:rsid w:val="00557296"/>
    <w:rsid w:val="005572FA"/>
    <w:rsid w:val="00557463"/>
    <w:rsid w:val="005574E7"/>
    <w:rsid w:val="00557507"/>
    <w:rsid w:val="0055757B"/>
    <w:rsid w:val="0055788E"/>
    <w:rsid w:val="00557B03"/>
    <w:rsid w:val="00557B85"/>
    <w:rsid w:val="00557C17"/>
    <w:rsid w:val="00557CE1"/>
    <w:rsid w:val="0056009A"/>
    <w:rsid w:val="0056010C"/>
    <w:rsid w:val="0056025D"/>
    <w:rsid w:val="0056031A"/>
    <w:rsid w:val="005604F0"/>
    <w:rsid w:val="005604F5"/>
    <w:rsid w:val="00560542"/>
    <w:rsid w:val="005607B3"/>
    <w:rsid w:val="00560840"/>
    <w:rsid w:val="005608DD"/>
    <w:rsid w:val="00560AF8"/>
    <w:rsid w:val="00560BE5"/>
    <w:rsid w:val="00560C01"/>
    <w:rsid w:val="00560C7F"/>
    <w:rsid w:val="00560CDB"/>
    <w:rsid w:val="00560CFD"/>
    <w:rsid w:val="00560D14"/>
    <w:rsid w:val="00560DAE"/>
    <w:rsid w:val="00560E6F"/>
    <w:rsid w:val="0056138F"/>
    <w:rsid w:val="005614AB"/>
    <w:rsid w:val="00561567"/>
    <w:rsid w:val="005615CB"/>
    <w:rsid w:val="00561813"/>
    <w:rsid w:val="005619DD"/>
    <w:rsid w:val="00561BB5"/>
    <w:rsid w:val="00561C92"/>
    <w:rsid w:val="00561FF7"/>
    <w:rsid w:val="00562067"/>
    <w:rsid w:val="00562107"/>
    <w:rsid w:val="005621B2"/>
    <w:rsid w:val="005621EF"/>
    <w:rsid w:val="0056223B"/>
    <w:rsid w:val="0056228F"/>
    <w:rsid w:val="005623D6"/>
    <w:rsid w:val="00562415"/>
    <w:rsid w:val="00562463"/>
    <w:rsid w:val="0056297F"/>
    <w:rsid w:val="00562AC4"/>
    <w:rsid w:val="00562AEF"/>
    <w:rsid w:val="00562C07"/>
    <w:rsid w:val="00562C3D"/>
    <w:rsid w:val="00562CDF"/>
    <w:rsid w:val="00562DB8"/>
    <w:rsid w:val="00562E9B"/>
    <w:rsid w:val="00562FE7"/>
    <w:rsid w:val="0056303A"/>
    <w:rsid w:val="005630C3"/>
    <w:rsid w:val="0056318A"/>
    <w:rsid w:val="00563192"/>
    <w:rsid w:val="005634CA"/>
    <w:rsid w:val="00563684"/>
    <w:rsid w:val="005636F6"/>
    <w:rsid w:val="005637E0"/>
    <w:rsid w:val="00563B5E"/>
    <w:rsid w:val="00563BE6"/>
    <w:rsid w:val="00563C38"/>
    <w:rsid w:val="005641A5"/>
    <w:rsid w:val="00564383"/>
    <w:rsid w:val="005643B7"/>
    <w:rsid w:val="00564707"/>
    <w:rsid w:val="00564836"/>
    <w:rsid w:val="00564907"/>
    <w:rsid w:val="00564A07"/>
    <w:rsid w:val="00564B2A"/>
    <w:rsid w:val="00564B30"/>
    <w:rsid w:val="00564D03"/>
    <w:rsid w:val="00564D17"/>
    <w:rsid w:val="00564E51"/>
    <w:rsid w:val="00565154"/>
    <w:rsid w:val="00565181"/>
    <w:rsid w:val="005651B1"/>
    <w:rsid w:val="005652EF"/>
    <w:rsid w:val="00565575"/>
    <w:rsid w:val="005656CA"/>
    <w:rsid w:val="005656D1"/>
    <w:rsid w:val="00565766"/>
    <w:rsid w:val="0056576B"/>
    <w:rsid w:val="00565829"/>
    <w:rsid w:val="00565A56"/>
    <w:rsid w:val="00565B27"/>
    <w:rsid w:val="00565C8F"/>
    <w:rsid w:val="00565DA6"/>
    <w:rsid w:val="00565E69"/>
    <w:rsid w:val="0056603D"/>
    <w:rsid w:val="00566075"/>
    <w:rsid w:val="0056631F"/>
    <w:rsid w:val="00566374"/>
    <w:rsid w:val="005666BB"/>
    <w:rsid w:val="005667BB"/>
    <w:rsid w:val="00566867"/>
    <w:rsid w:val="00566C6D"/>
    <w:rsid w:val="00566EE9"/>
    <w:rsid w:val="0056714D"/>
    <w:rsid w:val="0056720E"/>
    <w:rsid w:val="00567539"/>
    <w:rsid w:val="005675A4"/>
    <w:rsid w:val="0056767C"/>
    <w:rsid w:val="005678C4"/>
    <w:rsid w:val="005679B3"/>
    <w:rsid w:val="00567B01"/>
    <w:rsid w:val="00567C26"/>
    <w:rsid w:val="00567C33"/>
    <w:rsid w:val="00567C59"/>
    <w:rsid w:val="005700F0"/>
    <w:rsid w:val="00570118"/>
    <w:rsid w:val="0057014F"/>
    <w:rsid w:val="00570397"/>
    <w:rsid w:val="0057047F"/>
    <w:rsid w:val="005704B9"/>
    <w:rsid w:val="00570559"/>
    <w:rsid w:val="00570598"/>
    <w:rsid w:val="005706F7"/>
    <w:rsid w:val="0057078A"/>
    <w:rsid w:val="005707C1"/>
    <w:rsid w:val="00570836"/>
    <w:rsid w:val="00570956"/>
    <w:rsid w:val="00570990"/>
    <w:rsid w:val="005709C0"/>
    <w:rsid w:val="00570DFB"/>
    <w:rsid w:val="00570E99"/>
    <w:rsid w:val="00571079"/>
    <w:rsid w:val="0057135B"/>
    <w:rsid w:val="005716C6"/>
    <w:rsid w:val="0057179E"/>
    <w:rsid w:val="00571ABF"/>
    <w:rsid w:val="00571C6F"/>
    <w:rsid w:val="00571C90"/>
    <w:rsid w:val="00571EE5"/>
    <w:rsid w:val="00571FB9"/>
    <w:rsid w:val="00571FE7"/>
    <w:rsid w:val="0057233C"/>
    <w:rsid w:val="00572411"/>
    <w:rsid w:val="005725A1"/>
    <w:rsid w:val="00572B4A"/>
    <w:rsid w:val="00572CBD"/>
    <w:rsid w:val="00572D41"/>
    <w:rsid w:val="00572D61"/>
    <w:rsid w:val="00572DC5"/>
    <w:rsid w:val="005730B2"/>
    <w:rsid w:val="00573193"/>
    <w:rsid w:val="00573354"/>
    <w:rsid w:val="005737AE"/>
    <w:rsid w:val="00573A9A"/>
    <w:rsid w:val="00573C34"/>
    <w:rsid w:val="00574145"/>
    <w:rsid w:val="005741AD"/>
    <w:rsid w:val="0057422C"/>
    <w:rsid w:val="00574502"/>
    <w:rsid w:val="005745DF"/>
    <w:rsid w:val="00574726"/>
    <w:rsid w:val="00574760"/>
    <w:rsid w:val="00574986"/>
    <w:rsid w:val="00574BD5"/>
    <w:rsid w:val="005751C2"/>
    <w:rsid w:val="00575246"/>
    <w:rsid w:val="00575253"/>
    <w:rsid w:val="005752E0"/>
    <w:rsid w:val="00575442"/>
    <w:rsid w:val="00575579"/>
    <w:rsid w:val="0057564D"/>
    <w:rsid w:val="0057593B"/>
    <w:rsid w:val="005759AB"/>
    <w:rsid w:val="00575A86"/>
    <w:rsid w:val="00575D13"/>
    <w:rsid w:val="00575DE4"/>
    <w:rsid w:val="00575F5C"/>
    <w:rsid w:val="00575FE7"/>
    <w:rsid w:val="00576020"/>
    <w:rsid w:val="0057613F"/>
    <w:rsid w:val="00576375"/>
    <w:rsid w:val="00576407"/>
    <w:rsid w:val="005765DC"/>
    <w:rsid w:val="00576770"/>
    <w:rsid w:val="005767DC"/>
    <w:rsid w:val="005768F9"/>
    <w:rsid w:val="00576B4B"/>
    <w:rsid w:val="00576C25"/>
    <w:rsid w:val="00576C59"/>
    <w:rsid w:val="00576D62"/>
    <w:rsid w:val="00577096"/>
    <w:rsid w:val="00577222"/>
    <w:rsid w:val="005773D0"/>
    <w:rsid w:val="00577D31"/>
    <w:rsid w:val="00577EB9"/>
    <w:rsid w:val="00577F6F"/>
    <w:rsid w:val="00580131"/>
    <w:rsid w:val="005801A9"/>
    <w:rsid w:val="00580205"/>
    <w:rsid w:val="00580344"/>
    <w:rsid w:val="0058040E"/>
    <w:rsid w:val="0058041D"/>
    <w:rsid w:val="005806F6"/>
    <w:rsid w:val="00580A74"/>
    <w:rsid w:val="00580DD7"/>
    <w:rsid w:val="00580E43"/>
    <w:rsid w:val="00580EA6"/>
    <w:rsid w:val="00580FAF"/>
    <w:rsid w:val="00581013"/>
    <w:rsid w:val="005810C1"/>
    <w:rsid w:val="00581104"/>
    <w:rsid w:val="00581191"/>
    <w:rsid w:val="005811B2"/>
    <w:rsid w:val="0058127A"/>
    <w:rsid w:val="0058134A"/>
    <w:rsid w:val="00581418"/>
    <w:rsid w:val="005815A6"/>
    <w:rsid w:val="005815E9"/>
    <w:rsid w:val="00581753"/>
    <w:rsid w:val="0058191F"/>
    <w:rsid w:val="005819DF"/>
    <w:rsid w:val="00581A0B"/>
    <w:rsid w:val="00581CB1"/>
    <w:rsid w:val="00581EC1"/>
    <w:rsid w:val="00581F18"/>
    <w:rsid w:val="00581F1B"/>
    <w:rsid w:val="00581F9C"/>
    <w:rsid w:val="00582009"/>
    <w:rsid w:val="005820D7"/>
    <w:rsid w:val="00582255"/>
    <w:rsid w:val="005822CC"/>
    <w:rsid w:val="0058237B"/>
    <w:rsid w:val="0058250B"/>
    <w:rsid w:val="00582701"/>
    <w:rsid w:val="005829AE"/>
    <w:rsid w:val="005829F3"/>
    <w:rsid w:val="00582A90"/>
    <w:rsid w:val="00582B58"/>
    <w:rsid w:val="005830BB"/>
    <w:rsid w:val="0058331B"/>
    <w:rsid w:val="005833DD"/>
    <w:rsid w:val="005835C0"/>
    <w:rsid w:val="0058367F"/>
    <w:rsid w:val="005836DC"/>
    <w:rsid w:val="00583826"/>
    <w:rsid w:val="00583B5C"/>
    <w:rsid w:val="00583DF6"/>
    <w:rsid w:val="00583EB7"/>
    <w:rsid w:val="00583FF1"/>
    <w:rsid w:val="005841D9"/>
    <w:rsid w:val="00584245"/>
    <w:rsid w:val="005842C2"/>
    <w:rsid w:val="00584337"/>
    <w:rsid w:val="0058448F"/>
    <w:rsid w:val="005844A3"/>
    <w:rsid w:val="00584632"/>
    <w:rsid w:val="00584C2A"/>
    <w:rsid w:val="00584C5D"/>
    <w:rsid w:val="00584C61"/>
    <w:rsid w:val="005850D8"/>
    <w:rsid w:val="00585161"/>
    <w:rsid w:val="0058522E"/>
    <w:rsid w:val="00585391"/>
    <w:rsid w:val="005853FE"/>
    <w:rsid w:val="005856A2"/>
    <w:rsid w:val="00585839"/>
    <w:rsid w:val="005858DA"/>
    <w:rsid w:val="00585AE2"/>
    <w:rsid w:val="00585C6B"/>
    <w:rsid w:val="00585CC5"/>
    <w:rsid w:val="00585F6B"/>
    <w:rsid w:val="00585F88"/>
    <w:rsid w:val="00586118"/>
    <w:rsid w:val="00586243"/>
    <w:rsid w:val="00586550"/>
    <w:rsid w:val="00586561"/>
    <w:rsid w:val="005865D9"/>
    <w:rsid w:val="005865F4"/>
    <w:rsid w:val="005866D3"/>
    <w:rsid w:val="00586AB8"/>
    <w:rsid w:val="00586B2F"/>
    <w:rsid w:val="00586D2D"/>
    <w:rsid w:val="00587042"/>
    <w:rsid w:val="0058720E"/>
    <w:rsid w:val="00587241"/>
    <w:rsid w:val="00587405"/>
    <w:rsid w:val="005875D5"/>
    <w:rsid w:val="00587625"/>
    <w:rsid w:val="005878F6"/>
    <w:rsid w:val="00587A96"/>
    <w:rsid w:val="00587C61"/>
    <w:rsid w:val="00587CC8"/>
    <w:rsid w:val="00587CEB"/>
    <w:rsid w:val="00587D74"/>
    <w:rsid w:val="00587F44"/>
    <w:rsid w:val="005901B3"/>
    <w:rsid w:val="005901EE"/>
    <w:rsid w:val="005903D8"/>
    <w:rsid w:val="005904F3"/>
    <w:rsid w:val="005905FE"/>
    <w:rsid w:val="00590646"/>
    <w:rsid w:val="0059068C"/>
    <w:rsid w:val="00590762"/>
    <w:rsid w:val="005908D9"/>
    <w:rsid w:val="00590BC7"/>
    <w:rsid w:val="00590E15"/>
    <w:rsid w:val="00590EED"/>
    <w:rsid w:val="005910C8"/>
    <w:rsid w:val="005912C0"/>
    <w:rsid w:val="005913FD"/>
    <w:rsid w:val="005914E0"/>
    <w:rsid w:val="00591676"/>
    <w:rsid w:val="005916A3"/>
    <w:rsid w:val="0059171D"/>
    <w:rsid w:val="005917B2"/>
    <w:rsid w:val="00591942"/>
    <w:rsid w:val="005919E5"/>
    <w:rsid w:val="00591A4E"/>
    <w:rsid w:val="00591A54"/>
    <w:rsid w:val="00591DF7"/>
    <w:rsid w:val="00591F82"/>
    <w:rsid w:val="00591FA5"/>
    <w:rsid w:val="0059204A"/>
    <w:rsid w:val="005920F0"/>
    <w:rsid w:val="005922C2"/>
    <w:rsid w:val="00592351"/>
    <w:rsid w:val="0059245A"/>
    <w:rsid w:val="00592488"/>
    <w:rsid w:val="005925A1"/>
    <w:rsid w:val="005926C2"/>
    <w:rsid w:val="005929EC"/>
    <w:rsid w:val="00592A05"/>
    <w:rsid w:val="00592A86"/>
    <w:rsid w:val="00592AD5"/>
    <w:rsid w:val="00592B7B"/>
    <w:rsid w:val="00592BE9"/>
    <w:rsid w:val="00592C54"/>
    <w:rsid w:val="00592FB1"/>
    <w:rsid w:val="00592FF9"/>
    <w:rsid w:val="0059312A"/>
    <w:rsid w:val="0059314A"/>
    <w:rsid w:val="00593194"/>
    <w:rsid w:val="005934E2"/>
    <w:rsid w:val="00593599"/>
    <w:rsid w:val="005935A2"/>
    <w:rsid w:val="005936D6"/>
    <w:rsid w:val="00593800"/>
    <w:rsid w:val="00593891"/>
    <w:rsid w:val="00593AE3"/>
    <w:rsid w:val="00593B7F"/>
    <w:rsid w:val="00593D42"/>
    <w:rsid w:val="00593DB7"/>
    <w:rsid w:val="0059416C"/>
    <w:rsid w:val="00594377"/>
    <w:rsid w:val="00594393"/>
    <w:rsid w:val="0059448E"/>
    <w:rsid w:val="00594A5A"/>
    <w:rsid w:val="00594AC4"/>
    <w:rsid w:val="00594C64"/>
    <w:rsid w:val="00594FC7"/>
    <w:rsid w:val="00595014"/>
    <w:rsid w:val="0059503C"/>
    <w:rsid w:val="00595065"/>
    <w:rsid w:val="005950F7"/>
    <w:rsid w:val="005952A1"/>
    <w:rsid w:val="005952F4"/>
    <w:rsid w:val="00595512"/>
    <w:rsid w:val="0059551E"/>
    <w:rsid w:val="005955BC"/>
    <w:rsid w:val="005955C1"/>
    <w:rsid w:val="0059567A"/>
    <w:rsid w:val="0059576E"/>
    <w:rsid w:val="00595822"/>
    <w:rsid w:val="0059590A"/>
    <w:rsid w:val="0059596E"/>
    <w:rsid w:val="00595A88"/>
    <w:rsid w:val="00595CEE"/>
    <w:rsid w:val="00595E90"/>
    <w:rsid w:val="00596081"/>
    <w:rsid w:val="00596358"/>
    <w:rsid w:val="00596598"/>
    <w:rsid w:val="005966E3"/>
    <w:rsid w:val="005967F9"/>
    <w:rsid w:val="00596819"/>
    <w:rsid w:val="00596963"/>
    <w:rsid w:val="0059696D"/>
    <w:rsid w:val="00596B60"/>
    <w:rsid w:val="00596BEB"/>
    <w:rsid w:val="00596F42"/>
    <w:rsid w:val="0059709E"/>
    <w:rsid w:val="00597121"/>
    <w:rsid w:val="0059712C"/>
    <w:rsid w:val="00597211"/>
    <w:rsid w:val="005972ED"/>
    <w:rsid w:val="00597766"/>
    <w:rsid w:val="00597776"/>
    <w:rsid w:val="0059778D"/>
    <w:rsid w:val="005977E1"/>
    <w:rsid w:val="00597874"/>
    <w:rsid w:val="005978C6"/>
    <w:rsid w:val="0059796F"/>
    <w:rsid w:val="00597A94"/>
    <w:rsid w:val="00597BA6"/>
    <w:rsid w:val="00597F12"/>
    <w:rsid w:val="00597F6F"/>
    <w:rsid w:val="005A0117"/>
    <w:rsid w:val="005A017E"/>
    <w:rsid w:val="005A0197"/>
    <w:rsid w:val="005A0551"/>
    <w:rsid w:val="005A0651"/>
    <w:rsid w:val="005A08F6"/>
    <w:rsid w:val="005A0949"/>
    <w:rsid w:val="005A0AC9"/>
    <w:rsid w:val="005A0C2B"/>
    <w:rsid w:val="005A0C87"/>
    <w:rsid w:val="005A0E4C"/>
    <w:rsid w:val="005A0E86"/>
    <w:rsid w:val="005A1303"/>
    <w:rsid w:val="005A1472"/>
    <w:rsid w:val="005A1485"/>
    <w:rsid w:val="005A151C"/>
    <w:rsid w:val="005A15CA"/>
    <w:rsid w:val="005A15EC"/>
    <w:rsid w:val="005A1635"/>
    <w:rsid w:val="005A167E"/>
    <w:rsid w:val="005A16E6"/>
    <w:rsid w:val="005A1922"/>
    <w:rsid w:val="005A19A3"/>
    <w:rsid w:val="005A1AD6"/>
    <w:rsid w:val="005A1AD7"/>
    <w:rsid w:val="005A2092"/>
    <w:rsid w:val="005A20F3"/>
    <w:rsid w:val="005A2247"/>
    <w:rsid w:val="005A229F"/>
    <w:rsid w:val="005A2333"/>
    <w:rsid w:val="005A24C4"/>
    <w:rsid w:val="005A25FA"/>
    <w:rsid w:val="005A28EB"/>
    <w:rsid w:val="005A2A71"/>
    <w:rsid w:val="005A2B0D"/>
    <w:rsid w:val="005A2CF5"/>
    <w:rsid w:val="005A2F79"/>
    <w:rsid w:val="005A3231"/>
    <w:rsid w:val="005A3561"/>
    <w:rsid w:val="005A3570"/>
    <w:rsid w:val="005A35D2"/>
    <w:rsid w:val="005A36E0"/>
    <w:rsid w:val="005A3701"/>
    <w:rsid w:val="005A3711"/>
    <w:rsid w:val="005A3885"/>
    <w:rsid w:val="005A38DB"/>
    <w:rsid w:val="005A3A1B"/>
    <w:rsid w:val="005A3A6F"/>
    <w:rsid w:val="005A3B86"/>
    <w:rsid w:val="005A3C9A"/>
    <w:rsid w:val="005A3FFA"/>
    <w:rsid w:val="005A41B8"/>
    <w:rsid w:val="005A423F"/>
    <w:rsid w:val="005A43FA"/>
    <w:rsid w:val="005A441A"/>
    <w:rsid w:val="005A44B6"/>
    <w:rsid w:val="005A4658"/>
    <w:rsid w:val="005A469E"/>
    <w:rsid w:val="005A477D"/>
    <w:rsid w:val="005A480B"/>
    <w:rsid w:val="005A4934"/>
    <w:rsid w:val="005A4974"/>
    <w:rsid w:val="005A4A63"/>
    <w:rsid w:val="005A4A84"/>
    <w:rsid w:val="005A4B80"/>
    <w:rsid w:val="005A4C4A"/>
    <w:rsid w:val="005A4E5F"/>
    <w:rsid w:val="005A4F20"/>
    <w:rsid w:val="005A4F4B"/>
    <w:rsid w:val="005A4F74"/>
    <w:rsid w:val="005A500C"/>
    <w:rsid w:val="005A51D0"/>
    <w:rsid w:val="005A52E0"/>
    <w:rsid w:val="005A531E"/>
    <w:rsid w:val="005A536F"/>
    <w:rsid w:val="005A55B7"/>
    <w:rsid w:val="005A5B53"/>
    <w:rsid w:val="005A5DAE"/>
    <w:rsid w:val="005A5E3E"/>
    <w:rsid w:val="005A5E59"/>
    <w:rsid w:val="005A5F6B"/>
    <w:rsid w:val="005A5FF8"/>
    <w:rsid w:val="005A6317"/>
    <w:rsid w:val="005A6397"/>
    <w:rsid w:val="005A63DB"/>
    <w:rsid w:val="005A6989"/>
    <w:rsid w:val="005A6C74"/>
    <w:rsid w:val="005A6CE1"/>
    <w:rsid w:val="005A6D4C"/>
    <w:rsid w:val="005A6DAB"/>
    <w:rsid w:val="005A6E80"/>
    <w:rsid w:val="005A6F4A"/>
    <w:rsid w:val="005A6F6F"/>
    <w:rsid w:val="005A6FFC"/>
    <w:rsid w:val="005A7103"/>
    <w:rsid w:val="005A7232"/>
    <w:rsid w:val="005A73E6"/>
    <w:rsid w:val="005A73EB"/>
    <w:rsid w:val="005A7475"/>
    <w:rsid w:val="005A74D9"/>
    <w:rsid w:val="005A7511"/>
    <w:rsid w:val="005A76F1"/>
    <w:rsid w:val="005A77C6"/>
    <w:rsid w:val="005A78CE"/>
    <w:rsid w:val="005A79CB"/>
    <w:rsid w:val="005A7B4F"/>
    <w:rsid w:val="005A7BF3"/>
    <w:rsid w:val="005A7F02"/>
    <w:rsid w:val="005B006E"/>
    <w:rsid w:val="005B00D8"/>
    <w:rsid w:val="005B0189"/>
    <w:rsid w:val="005B023E"/>
    <w:rsid w:val="005B0458"/>
    <w:rsid w:val="005B0544"/>
    <w:rsid w:val="005B0589"/>
    <w:rsid w:val="005B0632"/>
    <w:rsid w:val="005B08DC"/>
    <w:rsid w:val="005B08F3"/>
    <w:rsid w:val="005B09BA"/>
    <w:rsid w:val="005B0A04"/>
    <w:rsid w:val="005B0A3A"/>
    <w:rsid w:val="005B0BFC"/>
    <w:rsid w:val="005B0C36"/>
    <w:rsid w:val="005B0CCB"/>
    <w:rsid w:val="005B0DFC"/>
    <w:rsid w:val="005B119E"/>
    <w:rsid w:val="005B13E0"/>
    <w:rsid w:val="005B17BA"/>
    <w:rsid w:val="005B199A"/>
    <w:rsid w:val="005B19A4"/>
    <w:rsid w:val="005B1B2A"/>
    <w:rsid w:val="005B1BAB"/>
    <w:rsid w:val="005B205B"/>
    <w:rsid w:val="005B21D2"/>
    <w:rsid w:val="005B2233"/>
    <w:rsid w:val="005B24C5"/>
    <w:rsid w:val="005B2540"/>
    <w:rsid w:val="005B29BC"/>
    <w:rsid w:val="005B2A56"/>
    <w:rsid w:val="005B2A6A"/>
    <w:rsid w:val="005B2BB5"/>
    <w:rsid w:val="005B2E2B"/>
    <w:rsid w:val="005B2EA3"/>
    <w:rsid w:val="005B2F58"/>
    <w:rsid w:val="005B2FB8"/>
    <w:rsid w:val="005B30A9"/>
    <w:rsid w:val="005B31B0"/>
    <w:rsid w:val="005B324E"/>
    <w:rsid w:val="005B32B0"/>
    <w:rsid w:val="005B33E6"/>
    <w:rsid w:val="005B33F2"/>
    <w:rsid w:val="005B34D8"/>
    <w:rsid w:val="005B359B"/>
    <w:rsid w:val="005B35B3"/>
    <w:rsid w:val="005B35FF"/>
    <w:rsid w:val="005B3759"/>
    <w:rsid w:val="005B3A5B"/>
    <w:rsid w:val="005B3A95"/>
    <w:rsid w:val="005B3B57"/>
    <w:rsid w:val="005B3C1E"/>
    <w:rsid w:val="005B3C2E"/>
    <w:rsid w:val="005B3DB5"/>
    <w:rsid w:val="005B3E54"/>
    <w:rsid w:val="005B3FF7"/>
    <w:rsid w:val="005B414A"/>
    <w:rsid w:val="005B41F8"/>
    <w:rsid w:val="005B440B"/>
    <w:rsid w:val="005B4584"/>
    <w:rsid w:val="005B4661"/>
    <w:rsid w:val="005B483A"/>
    <w:rsid w:val="005B48E8"/>
    <w:rsid w:val="005B4A32"/>
    <w:rsid w:val="005B4C2A"/>
    <w:rsid w:val="005B4E8D"/>
    <w:rsid w:val="005B51C4"/>
    <w:rsid w:val="005B51F2"/>
    <w:rsid w:val="005B55CD"/>
    <w:rsid w:val="005B571D"/>
    <w:rsid w:val="005B5935"/>
    <w:rsid w:val="005B59C9"/>
    <w:rsid w:val="005B59F2"/>
    <w:rsid w:val="005B5AAA"/>
    <w:rsid w:val="005B5B9E"/>
    <w:rsid w:val="005B5C21"/>
    <w:rsid w:val="005B5D70"/>
    <w:rsid w:val="005B5E2E"/>
    <w:rsid w:val="005B5E63"/>
    <w:rsid w:val="005B5EF1"/>
    <w:rsid w:val="005B61DC"/>
    <w:rsid w:val="005B630F"/>
    <w:rsid w:val="005B6497"/>
    <w:rsid w:val="005B6677"/>
    <w:rsid w:val="005B67C2"/>
    <w:rsid w:val="005B68CB"/>
    <w:rsid w:val="005B690D"/>
    <w:rsid w:val="005B6D26"/>
    <w:rsid w:val="005B6E86"/>
    <w:rsid w:val="005B6F1B"/>
    <w:rsid w:val="005B6FCA"/>
    <w:rsid w:val="005B70AA"/>
    <w:rsid w:val="005B70DF"/>
    <w:rsid w:val="005B7103"/>
    <w:rsid w:val="005B71A7"/>
    <w:rsid w:val="005B73DE"/>
    <w:rsid w:val="005B757C"/>
    <w:rsid w:val="005B76FA"/>
    <w:rsid w:val="005B7751"/>
    <w:rsid w:val="005B7763"/>
    <w:rsid w:val="005B77AA"/>
    <w:rsid w:val="005B780C"/>
    <w:rsid w:val="005B7961"/>
    <w:rsid w:val="005B7BB3"/>
    <w:rsid w:val="005B7CAA"/>
    <w:rsid w:val="005B7D16"/>
    <w:rsid w:val="005B7D2D"/>
    <w:rsid w:val="005B7D52"/>
    <w:rsid w:val="005B7D90"/>
    <w:rsid w:val="005B7DA4"/>
    <w:rsid w:val="005B7DB5"/>
    <w:rsid w:val="005B7E8B"/>
    <w:rsid w:val="005B7F58"/>
    <w:rsid w:val="005C0238"/>
    <w:rsid w:val="005C026E"/>
    <w:rsid w:val="005C02A9"/>
    <w:rsid w:val="005C072F"/>
    <w:rsid w:val="005C0788"/>
    <w:rsid w:val="005C088A"/>
    <w:rsid w:val="005C08C0"/>
    <w:rsid w:val="005C09BF"/>
    <w:rsid w:val="005C0C0A"/>
    <w:rsid w:val="005C0CE3"/>
    <w:rsid w:val="005C0D07"/>
    <w:rsid w:val="005C0D33"/>
    <w:rsid w:val="005C0D40"/>
    <w:rsid w:val="005C0D9F"/>
    <w:rsid w:val="005C0DA9"/>
    <w:rsid w:val="005C11DC"/>
    <w:rsid w:val="005C11ED"/>
    <w:rsid w:val="005C1220"/>
    <w:rsid w:val="005C1333"/>
    <w:rsid w:val="005C1413"/>
    <w:rsid w:val="005C1486"/>
    <w:rsid w:val="005C1724"/>
    <w:rsid w:val="005C177A"/>
    <w:rsid w:val="005C186C"/>
    <w:rsid w:val="005C18B1"/>
    <w:rsid w:val="005C19C4"/>
    <w:rsid w:val="005C1BDD"/>
    <w:rsid w:val="005C1C67"/>
    <w:rsid w:val="005C1D87"/>
    <w:rsid w:val="005C2113"/>
    <w:rsid w:val="005C219C"/>
    <w:rsid w:val="005C2281"/>
    <w:rsid w:val="005C2448"/>
    <w:rsid w:val="005C24F5"/>
    <w:rsid w:val="005C25D6"/>
    <w:rsid w:val="005C284D"/>
    <w:rsid w:val="005C289C"/>
    <w:rsid w:val="005C2A07"/>
    <w:rsid w:val="005C2DA2"/>
    <w:rsid w:val="005C2DBD"/>
    <w:rsid w:val="005C2DE6"/>
    <w:rsid w:val="005C2E25"/>
    <w:rsid w:val="005C2FFF"/>
    <w:rsid w:val="005C312C"/>
    <w:rsid w:val="005C31B1"/>
    <w:rsid w:val="005C325D"/>
    <w:rsid w:val="005C32FC"/>
    <w:rsid w:val="005C3377"/>
    <w:rsid w:val="005C34BD"/>
    <w:rsid w:val="005C3527"/>
    <w:rsid w:val="005C36B2"/>
    <w:rsid w:val="005C395D"/>
    <w:rsid w:val="005C3A7C"/>
    <w:rsid w:val="005C3A96"/>
    <w:rsid w:val="005C3ADF"/>
    <w:rsid w:val="005C3D0F"/>
    <w:rsid w:val="005C3DAA"/>
    <w:rsid w:val="005C3FD1"/>
    <w:rsid w:val="005C4129"/>
    <w:rsid w:val="005C4287"/>
    <w:rsid w:val="005C44D1"/>
    <w:rsid w:val="005C455C"/>
    <w:rsid w:val="005C4655"/>
    <w:rsid w:val="005C48B7"/>
    <w:rsid w:val="005C4AA9"/>
    <w:rsid w:val="005C4C12"/>
    <w:rsid w:val="005C4CA5"/>
    <w:rsid w:val="005C4D8C"/>
    <w:rsid w:val="005C4EDC"/>
    <w:rsid w:val="005C4F81"/>
    <w:rsid w:val="005C528B"/>
    <w:rsid w:val="005C529B"/>
    <w:rsid w:val="005C5505"/>
    <w:rsid w:val="005C55CB"/>
    <w:rsid w:val="005C55D4"/>
    <w:rsid w:val="005C561A"/>
    <w:rsid w:val="005C565C"/>
    <w:rsid w:val="005C5681"/>
    <w:rsid w:val="005C56FA"/>
    <w:rsid w:val="005C5716"/>
    <w:rsid w:val="005C5752"/>
    <w:rsid w:val="005C583F"/>
    <w:rsid w:val="005C585D"/>
    <w:rsid w:val="005C5A11"/>
    <w:rsid w:val="005C5A65"/>
    <w:rsid w:val="005C5B08"/>
    <w:rsid w:val="005C5B2C"/>
    <w:rsid w:val="005C5B8D"/>
    <w:rsid w:val="005C6220"/>
    <w:rsid w:val="005C6560"/>
    <w:rsid w:val="005C661E"/>
    <w:rsid w:val="005C66B6"/>
    <w:rsid w:val="005C6867"/>
    <w:rsid w:val="005C6ABA"/>
    <w:rsid w:val="005C6D47"/>
    <w:rsid w:val="005C6EEE"/>
    <w:rsid w:val="005C6F1E"/>
    <w:rsid w:val="005C6FD0"/>
    <w:rsid w:val="005C7198"/>
    <w:rsid w:val="005C73AC"/>
    <w:rsid w:val="005C78C1"/>
    <w:rsid w:val="005C7D95"/>
    <w:rsid w:val="005C7E37"/>
    <w:rsid w:val="005D019D"/>
    <w:rsid w:val="005D04D4"/>
    <w:rsid w:val="005D04F2"/>
    <w:rsid w:val="005D06B4"/>
    <w:rsid w:val="005D077E"/>
    <w:rsid w:val="005D07CF"/>
    <w:rsid w:val="005D07F4"/>
    <w:rsid w:val="005D0960"/>
    <w:rsid w:val="005D0B5F"/>
    <w:rsid w:val="005D0DC0"/>
    <w:rsid w:val="005D0F9D"/>
    <w:rsid w:val="005D104F"/>
    <w:rsid w:val="005D10E9"/>
    <w:rsid w:val="005D158F"/>
    <w:rsid w:val="005D15C5"/>
    <w:rsid w:val="005D164F"/>
    <w:rsid w:val="005D1A0E"/>
    <w:rsid w:val="005D1B04"/>
    <w:rsid w:val="005D22BD"/>
    <w:rsid w:val="005D263F"/>
    <w:rsid w:val="005D2956"/>
    <w:rsid w:val="005D2978"/>
    <w:rsid w:val="005D2BE4"/>
    <w:rsid w:val="005D2CA3"/>
    <w:rsid w:val="005D2DA5"/>
    <w:rsid w:val="005D2DEA"/>
    <w:rsid w:val="005D3386"/>
    <w:rsid w:val="005D35F3"/>
    <w:rsid w:val="005D3746"/>
    <w:rsid w:val="005D387D"/>
    <w:rsid w:val="005D3A7A"/>
    <w:rsid w:val="005D3AD1"/>
    <w:rsid w:val="005D3BB0"/>
    <w:rsid w:val="005D3CAA"/>
    <w:rsid w:val="005D3CD3"/>
    <w:rsid w:val="005D3EC2"/>
    <w:rsid w:val="005D41AA"/>
    <w:rsid w:val="005D460A"/>
    <w:rsid w:val="005D4668"/>
    <w:rsid w:val="005D476E"/>
    <w:rsid w:val="005D4986"/>
    <w:rsid w:val="005D4B41"/>
    <w:rsid w:val="005D4C25"/>
    <w:rsid w:val="005D4C7C"/>
    <w:rsid w:val="005D4D7D"/>
    <w:rsid w:val="005D4E82"/>
    <w:rsid w:val="005D5057"/>
    <w:rsid w:val="005D536A"/>
    <w:rsid w:val="005D5473"/>
    <w:rsid w:val="005D548A"/>
    <w:rsid w:val="005D5583"/>
    <w:rsid w:val="005D56E5"/>
    <w:rsid w:val="005D5760"/>
    <w:rsid w:val="005D58E7"/>
    <w:rsid w:val="005D59BB"/>
    <w:rsid w:val="005D5AAB"/>
    <w:rsid w:val="005D5DE1"/>
    <w:rsid w:val="005D5EF8"/>
    <w:rsid w:val="005D5F2A"/>
    <w:rsid w:val="005D6192"/>
    <w:rsid w:val="005D6325"/>
    <w:rsid w:val="005D63FD"/>
    <w:rsid w:val="005D6613"/>
    <w:rsid w:val="005D66C5"/>
    <w:rsid w:val="005D6918"/>
    <w:rsid w:val="005D6957"/>
    <w:rsid w:val="005D697F"/>
    <w:rsid w:val="005D69EC"/>
    <w:rsid w:val="005D6A2E"/>
    <w:rsid w:val="005D6AC7"/>
    <w:rsid w:val="005D6B48"/>
    <w:rsid w:val="005D6DC4"/>
    <w:rsid w:val="005D703A"/>
    <w:rsid w:val="005D70B2"/>
    <w:rsid w:val="005D7181"/>
    <w:rsid w:val="005D71B8"/>
    <w:rsid w:val="005D7232"/>
    <w:rsid w:val="005D7274"/>
    <w:rsid w:val="005D7473"/>
    <w:rsid w:val="005D74DF"/>
    <w:rsid w:val="005D7622"/>
    <w:rsid w:val="005D764B"/>
    <w:rsid w:val="005D766D"/>
    <w:rsid w:val="005D76CC"/>
    <w:rsid w:val="005D77CA"/>
    <w:rsid w:val="005D7889"/>
    <w:rsid w:val="005D7998"/>
    <w:rsid w:val="005D7A58"/>
    <w:rsid w:val="005D7ABC"/>
    <w:rsid w:val="005D7C39"/>
    <w:rsid w:val="005D7C5A"/>
    <w:rsid w:val="005D7D19"/>
    <w:rsid w:val="005D7EB4"/>
    <w:rsid w:val="005D7F89"/>
    <w:rsid w:val="005E00FD"/>
    <w:rsid w:val="005E03F8"/>
    <w:rsid w:val="005E0695"/>
    <w:rsid w:val="005E07DB"/>
    <w:rsid w:val="005E08CB"/>
    <w:rsid w:val="005E0990"/>
    <w:rsid w:val="005E09AA"/>
    <w:rsid w:val="005E0C10"/>
    <w:rsid w:val="005E0C12"/>
    <w:rsid w:val="005E0C5D"/>
    <w:rsid w:val="005E0D05"/>
    <w:rsid w:val="005E0D42"/>
    <w:rsid w:val="005E0EDE"/>
    <w:rsid w:val="005E10E4"/>
    <w:rsid w:val="005E1112"/>
    <w:rsid w:val="005E11EB"/>
    <w:rsid w:val="005E1202"/>
    <w:rsid w:val="005E16E3"/>
    <w:rsid w:val="005E172C"/>
    <w:rsid w:val="005E1792"/>
    <w:rsid w:val="005E1794"/>
    <w:rsid w:val="005E1890"/>
    <w:rsid w:val="005E1A27"/>
    <w:rsid w:val="005E1AB6"/>
    <w:rsid w:val="005E1ABE"/>
    <w:rsid w:val="005E1B6B"/>
    <w:rsid w:val="005E1B78"/>
    <w:rsid w:val="005E1C81"/>
    <w:rsid w:val="005E1E34"/>
    <w:rsid w:val="005E230F"/>
    <w:rsid w:val="005E2463"/>
    <w:rsid w:val="005E26FB"/>
    <w:rsid w:val="005E2894"/>
    <w:rsid w:val="005E29EE"/>
    <w:rsid w:val="005E2A04"/>
    <w:rsid w:val="005E2B14"/>
    <w:rsid w:val="005E2D5C"/>
    <w:rsid w:val="005E2E48"/>
    <w:rsid w:val="005E2EE5"/>
    <w:rsid w:val="005E306A"/>
    <w:rsid w:val="005E3102"/>
    <w:rsid w:val="005E31F5"/>
    <w:rsid w:val="005E323E"/>
    <w:rsid w:val="005E3487"/>
    <w:rsid w:val="005E3582"/>
    <w:rsid w:val="005E35DE"/>
    <w:rsid w:val="005E3764"/>
    <w:rsid w:val="005E3774"/>
    <w:rsid w:val="005E3D3C"/>
    <w:rsid w:val="005E3D9A"/>
    <w:rsid w:val="005E3E67"/>
    <w:rsid w:val="005E3F2E"/>
    <w:rsid w:val="005E4006"/>
    <w:rsid w:val="005E4012"/>
    <w:rsid w:val="005E4037"/>
    <w:rsid w:val="005E41AB"/>
    <w:rsid w:val="005E43B9"/>
    <w:rsid w:val="005E43E0"/>
    <w:rsid w:val="005E4588"/>
    <w:rsid w:val="005E469E"/>
    <w:rsid w:val="005E46BF"/>
    <w:rsid w:val="005E49C2"/>
    <w:rsid w:val="005E4CE0"/>
    <w:rsid w:val="005E51A2"/>
    <w:rsid w:val="005E54A8"/>
    <w:rsid w:val="005E54E6"/>
    <w:rsid w:val="005E5697"/>
    <w:rsid w:val="005E5825"/>
    <w:rsid w:val="005E58EA"/>
    <w:rsid w:val="005E5A76"/>
    <w:rsid w:val="005E5D69"/>
    <w:rsid w:val="005E5DB5"/>
    <w:rsid w:val="005E5DF5"/>
    <w:rsid w:val="005E5FED"/>
    <w:rsid w:val="005E5FFB"/>
    <w:rsid w:val="005E6004"/>
    <w:rsid w:val="005E6466"/>
    <w:rsid w:val="005E6469"/>
    <w:rsid w:val="005E647E"/>
    <w:rsid w:val="005E6589"/>
    <w:rsid w:val="005E658A"/>
    <w:rsid w:val="005E66D9"/>
    <w:rsid w:val="005E6865"/>
    <w:rsid w:val="005E6A34"/>
    <w:rsid w:val="005E6B55"/>
    <w:rsid w:val="005E6CCD"/>
    <w:rsid w:val="005E721C"/>
    <w:rsid w:val="005E7456"/>
    <w:rsid w:val="005E758D"/>
    <w:rsid w:val="005E772D"/>
    <w:rsid w:val="005E79BF"/>
    <w:rsid w:val="005E7B5E"/>
    <w:rsid w:val="005E7C78"/>
    <w:rsid w:val="005E7FA9"/>
    <w:rsid w:val="005F01FD"/>
    <w:rsid w:val="005F03BF"/>
    <w:rsid w:val="005F04E2"/>
    <w:rsid w:val="005F061E"/>
    <w:rsid w:val="005F09AB"/>
    <w:rsid w:val="005F0B48"/>
    <w:rsid w:val="005F0B68"/>
    <w:rsid w:val="005F0C57"/>
    <w:rsid w:val="005F0EC2"/>
    <w:rsid w:val="005F10F5"/>
    <w:rsid w:val="005F117E"/>
    <w:rsid w:val="005F120E"/>
    <w:rsid w:val="005F1464"/>
    <w:rsid w:val="005F16DA"/>
    <w:rsid w:val="005F170B"/>
    <w:rsid w:val="005F1878"/>
    <w:rsid w:val="005F18C3"/>
    <w:rsid w:val="005F1C95"/>
    <w:rsid w:val="005F1CAE"/>
    <w:rsid w:val="005F1D96"/>
    <w:rsid w:val="005F203A"/>
    <w:rsid w:val="005F2085"/>
    <w:rsid w:val="005F208A"/>
    <w:rsid w:val="005F237E"/>
    <w:rsid w:val="005F2510"/>
    <w:rsid w:val="005F26FF"/>
    <w:rsid w:val="005F280A"/>
    <w:rsid w:val="005F2952"/>
    <w:rsid w:val="005F296C"/>
    <w:rsid w:val="005F2B20"/>
    <w:rsid w:val="005F2F64"/>
    <w:rsid w:val="005F3577"/>
    <w:rsid w:val="005F3638"/>
    <w:rsid w:val="005F3651"/>
    <w:rsid w:val="005F39FE"/>
    <w:rsid w:val="005F3AE9"/>
    <w:rsid w:val="005F3C36"/>
    <w:rsid w:val="005F3CE3"/>
    <w:rsid w:val="005F3F48"/>
    <w:rsid w:val="005F3F66"/>
    <w:rsid w:val="005F40EF"/>
    <w:rsid w:val="005F4112"/>
    <w:rsid w:val="005F446B"/>
    <w:rsid w:val="005F463C"/>
    <w:rsid w:val="005F4876"/>
    <w:rsid w:val="005F4930"/>
    <w:rsid w:val="005F4BA9"/>
    <w:rsid w:val="005F4BB2"/>
    <w:rsid w:val="005F4D11"/>
    <w:rsid w:val="005F51B9"/>
    <w:rsid w:val="005F5416"/>
    <w:rsid w:val="005F562D"/>
    <w:rsid w:val="005F563E"/>
    <w:rsid w:val="005F578F"/>
    <w:rsid w:val="005F57C4"/>
    <w:rsid w:val="005F59FF"/>
    <w:rsid w:val="005F5BA9"/>
    <w:rsid w:val="005F5F4D"/>
    <w:rsid w:val="005F5F53"/>
    <w:rsid w:val="005F5F5E"/>
    <w:rsid w:val="005F5FC0"/>
    <w:rsid w:val="005F60D8"/>
    <w:rsid w:val="005F6376"/>
    <w:rsid w:val="005F63B5"/>
    <w:rsid w:val="005F6473"/>
    <w:rsid w:val="005F64CB"/>
    <w:rsid w:val="005F64DC"/>
    <w:rsid w:val="005F6597"/>
    <w:rsid w:val="005F6694"/>
    <w:rsid w:val="005F671E"/>
    <w:rsid w:val="005F6786"/>
    <w:rsid w:val="005F67D6"/>
    <w:rsid w:val="005F6AF6"/>
    <w:rsid w:val="005F6B92"/>
    <w:rsid w:val="005F6C0B"/>
    <w:rsid w:val="005F6CB5"/>
    <w:rsid w:val="005F6D26"/>
    <w:rsid w:val="005F7574"/>
    <w:rsid w:val="005F7659"/>
    <w:rsid w:val="005F76CC"/>
    <w:rsid w:val="005F776C"/>
    <w:rsid w:val="005F77D0"/>
    <w:rsid w:val="005F7AAD"/>
    <w:rsid w:val="005F7BEB"/>
    <w:rsid w:val="005F7D9E"/>
    <w:rsid w:val="005F7EFD"/>
    <w:rsid w:val="00600156"/>
    <w:rsid w:val="00600381"/>
    <w:rsid w:val="006003D9"/>
    <w:rsid w:val="00600606"/>
    <w:rsid w:val="00600652"/>
    <w:rsid w:val="00600725"/>
    <w:rsid w:val="0060072E"/>
    <w:rsid w:val="006008C4"/>
    <w:rsid w:val="00600C83"/>
    <w:rsid w:val="00600D22"/>
    <w:rsid w:val="00600E99"/>
    <w:rsid w:val="00601252"/>
    <w:rsid w:val="006012FF"/>
    <w:rsid w:val="00601313"/>
    <w:rsid w:val="006016EB"/>
    <w:rsid w:val="0060173B"/>
    <w:rsid w:val="0060185D"/>
    <w:rsid w:val="006018CE"/>
    <w:rsid w:val="00601B1D"/>
    <w:rsid w:val="00601BB0"/>
    <w:rsid w:val="00601BF3"/>
    <w:rsid w:val="00601CAE"/>
    <w:rsid w:val="00601E64"/>
    <w:rsid w:val="00601EA3"/>
    <w:rsid w:val="00601EF8"/>
    <w:rsid w:val="00601F09"/>
    <w:rsid w:val="00601F80"/>
    <w:rsid w:val="00602297"/>
    <w:rsid w:val="0060241A"/>
    <w:rsid w:val="00602508"/>
    <w:rsid w:val="0060270A"/>
    <w:rsid w:val="0060282B"/>
    <w:rsid w:val="00602A4A"/>
    <w:rsid w:val="00602A73"/>
    <w:rsid w:val="00602B2B"/>
    <w:rsid w:val="00602B6E"/>
    <w:rsid w:val="00602B82"/>
    <w:rsid w:val="00602D1E"/>
    <w:rsid w:val="00602F45"/>
    <w:rsid w:val="00603061"/>
    <w:rsid w:val="0060307A"/>
    <w:rsid w:val="00603189"/>
    <w:rsid w:val="0060319E"/>
    <w:rsid w:val="00603258"/>
    <w:rsid w:val="00603481"/>
    <w:rsid w:val="006034E1"/>
    <w:rsid w:val="006037AC"/>
    <w:rsid w:val="006037B8"/>
    <w:rsid w:val="0060382A"/>
    <w:rsid w:val="0060393C"/>
    <w:rsid w:val="00603A25"/>
    <w:rsid w:val="00603D30"/>
    <w:rsid w:val="006040E1"/>
    <w:rsid w:val="006041DD"/>
    <w:rsid w:val="006043E8"/>
    <w:rsid w:val="0060460E"/>
    <w:rsid w:val="006047A3"/>
    <w:rsid w:val="00604826"/>
    <w:rsid w:val="00604A40"/>
    <w:rsid w:val="00604C40"/>
    <w:rsid w:val="00604F89"/>
    <w:rsid w:val="0060500F"/>
    <w:rsid w:val="00605162"/>
    <w:rsid w:val="006053A9"/>
    <w:rsid w:val="00605504"/>
    <w:rsid w:val="0060563E"/>
    <w:rsid w:val="00605660"/>
    <w:rsid w:val="006057A4"/>
    <w:rsid w:val="006057AB"/>
    <w:rsid w:val="006058FE"/>
    <w:rsid w:val="006059C3"/>
    <w:rsid w:val="00605A6B"/>
    <w:rsid w:val="00605BE8"/>
    <w:rsid w:val="00605C89"/>
    <w:rsid w:val="00605CC3"/>
    <w:rsid w:val="00605E42"/>
    <w:rsid w:val="00605EE3"/>
    <w:rsid w:val="00605F32"/>
    <w:rsid w:val="00606066"/>
    <w:rsid w:val="006061B2"/>
    <w:rsid w:val="006062B7"/>
    <w:rsid w:val="006064A2"/>
    <w:rsid w:val="006066F4"/>
    <w:rsid w:val="0060671A"/>
    <w:rsid w:val="006067CD"/>
    <w:rsid w:val="00606852"/>
    <w:rsid w:val="00606AD2"/>
    <w:rsid w:val="00606C80"/>
    <w:rsid w:val="00606CE4"/>
    <w:rsid w:val="00606CEA"/>
    <w:rsid w:val="00606DC9"/>
    <w:rsid w:val="00606F79"/>
    <w:rsid w:val="00607106"/>
    <w:rsid w:val="00607143"/>
    <w:rsid w:val="006073E2"/>
    <w:rsid w:val="00607578"/>
    <w:rsid w:val="00607689"/>
    <w:rsid w:val="006077D5"/>
    <w:rsid w:val="006078C6"/>
    <w:rsid w:val="006078CA"/>
    <w:rsid w:val="00607C75"/>
    <w:rsid w:val="00607D51"/>
    <w:rsid w:val="00607D58"/>
    <w:rsid w:val="00607E2E"/>
    <w:rsid w:val="00607FE9"/>
    <w:rsid w:val="00610283"/>
    <w:rsid w:val="006102CF"/>
    <w:rsid w:val="006103BA"/>
    <w:rsid w:val="00610469"/>
    <w:rsid w:val="00610480"/>
    <w:rsid w:val="0061061E"/>
    <w:rsid w:val="00610776"/>
    <w:rsid w:val="0061077A"/>
    <w:rsid w:val="00610884"/>
    <w:rsid w:val="00610C92"/>
    <w:rsid w:val="00610EAE"/>
    <w:rsid w:val="0061106F"/>
    <w:rsid w:val="006111A4"/>
    <w:rsid w:val="0061129D"/>
    <w:rsid w:val="00611359"/>
    <w:rsid w:val="006113BD"/>
    <w:rsid w:val="0061146C"/>
    <w:rsid w:val="0061161E"/>
    <w:rsid w:val="00611755"/>
    <w:rsid w:val="006117A5"/>
    <w:rsid w:val="006117EE"/>
    <w:rsid w:val="006118EA"/>
    <w:rsid w:val="00611B85"/>
    <w:rsid w:val="00611DA9"/>
    <w:rsid w:val="00611F6B"/>
    <w:rsid w:val="0061222A"/>
    <w:rsid w:val="0061244D"/>
    <w:rsid w:val="00612578"/>
    <w:rsid w:val="00612617"/>
    <w:rsid w:val="006126EF"/>
    <w:rsid w:val="0061275C"/>
    <w:rsid w:val="006127F0"/>
    <w:rsid w:val="0061286A"/>
    <w:rsid w:val="006128A1"/>
    <w:rsid w:val="00612B5B"/>
    <w:rsid w:val="00612DDA"/>
    <w:rsid w:val="00612DFB"/>
    <w:rsid w:val="00612E16"/>
    <w:rsid w:val="00612F2A"/>
    <w:rsid w:val="006133A3"/>
    <w:rsid w:val="006134D8"/>
    <w:rsid w:val="006134FC"/>
    <w:rsid w:val="0061376C"/>
    <w:rsid w:val="006137C7"/>
    <w:rsid w:val="00613808"/>
    <w:rsid w:val="00613B04"/>
    <w:rsid w:val="00613FE3"/>
    <w:rsid w:val="0061400A"/>
    <w:rsid w:val="006140B8"/>
    <w:rsid w:val="0061417E"/>
    <w:rsid w:val="00614230"/>
    <w:rsid w:val="00614294"/>
    <w:rsid w:val="0061436F"/>
    <w:rsid w:val="006143A6"/>
    <w:rsid w:val="00614548"/>
    <w:rsid w:val="00614631"/>
    <w:rsid w:val="0061473C"/>
    <w:rsid w:val="0061474E"/>
    <w:rsid w:val="00614848"/>
    <w:rsid w:val="00614853"/>
    <w:rsid w:val="0061498E"/>
    <w:rsid w:val="006149D9"/>
    <w:rsid w:val="00614C4C"/>
    <w:rsid w:val="00614EE6"/>
    <w:rsid w:val="00615144"/>
    <w:rsid w:val="00615453"/>
    <w:rsid w:val="006154ED"/>
    <w:rsid w:val="0061550D"/>
    <w:rsid w:val="00615516"/>
    <w:rsid w:val="006156D9"/>
    <w:rsid w:val="006157DF"/>
    <w:rsid w:val="006158C9"/>
    <w:rsid w:val="00615CBD"/>
    <w:rsid w:val="00615CE4"/>
    <w:rsid w:val="00615DA3"/>
    <w:rsid w:val="00615EB9"/>
    <w:rsid w:val="00615FA7"/>
    <w:rsid w:val="0061619A"/>
    <w:rsid w:val="0061651D"/>
    <w:rsid w:val="00616556"/>
    <w:rsid w:val="006165A0"/>
    <w:rsid w:val="00616612"/>
    <w:rsid w:val="006166BB"/>
    <w:rsid w:val="006167F2"/>
    <w:rsid w:val="00616800"/>
    <w:rsid w:val="0061689C"/>
    <w:rsid w:val="00616B7E"/>
    <w:rsid w:val="00616C7A"/>
    <w:rsid w:val="00616CF7"/>
    <w:rsid w:val="00617038"/>
    <w:rsid w:val="006171B8"/>
    <w:rsid w:val="00617426"/>
    <w:rsid w:val="006174DA"/>
    <w:rsid w:val="00617654"/>
    <w:rsid w:val="006176D2"/>
    <w:rsid w:val="00617753"/>
    <w:rsid w:val="00617957"/>
    <w:rsid w:val="00617B29"/>
    <w:rsid w:val="00617D45"/>
    <w:rsid w:val="00617D7E"/>
    <w:rsid w:val="00617E14"/>
    <w:rsid w:val="00617E86"/>
    <w:rsid w:val="0061F0A3"/>
    <w:rsid w:val="00620002"/>
    <w:rsid w:val="00620834"/>
    <w:rsid w:val="00620915"/>
    <w:rsid w:val="00620929"/>
    <w:rsid w:val="00620B79"/>
    <w:rsid w:val="00620D09"/>
    <w:rsid w:val="00620D5F"/>
    <w:rsid w:val="00620E11"/>
    <w:rsid w:val="0062123B"/>
    <w:rsid w:val="0062135A"/>
    <w:rsid w:val="0062153D"/>
    <w:rsid w:val="006215E3"/>
    <w:rsid w:val="0062178D"/>
    <w:rsid w:val="0062186C"/>
    <w:rsid w:val="00621C53"/>
    <w:rsid w:val="00621FAC"/>
    <w:rsid w:val="00622199"/>
    <w:rsid w:val="0062219D"/>
    <w:rsid w:val="00622345"/>
    <w:rsid w:val="00622454"/>
    <w:rsid w:val="006226D0"/>
    <w:rsid w:val="00622842"/>
    <w:rsid w:val="006228CA"/>
    <w:rsid w:val="0062290B"/>
    <w:rsid w:val="006229F9"/>
    <w:rsid w:val="00622A28"/>
    <w:rsid w:val="00622B00"/>
    <w:rsid w:val="00622B77"/>
    <w:rsid w:val="00622C3A"/>
    <w:rsid w:val="00622C5C"/>
    <w:rsid w:val="00622D42"/>
    <w:rsid w:val="00622E48"/>
    <w:rsid w:val="00622F58"/>
    <w:rsid w:val="00623144"/>
    <w:rsid w:val="0062316F"/>
    <w:rsid w:val="006236E4"/>
    <w:rsid w:val="00623765"/>
    <w:rsid w:val="006239C3"/>
    <w:rsid w:val="00623A0D"/>
    <w:rsid w:val="00623C76"/>
    <w:rsid w:val="00623D96"/>
    <w:rsid w:val="00623F0C"/>
    <w:rsid w:val="00623F39"/>
    <w:rsid w:val="006240E5"/>
    <w:rsid w:val="006242F4"/>
    <w:rsid w:val="0062445B"/>
    <w:rsid w:val="006248B6"/>
    <w:rsid w:val="00624B44"/>
    <w:rsid w:val="00624EAB"/>
    <w:rsid w:val="006250E1"/>
    <w:rsid w:val="00625303"/>
    <w:rsid w:val="0062532B"/>
    <w:rsid w:val="006253A8"/>
    <w:rsid w:val="006253BE"/>
    <w:rsid w:val="00625464"/>
    <w:rsid w:val="0062583C"/>
    <w:rsid w:val="006258D2"/>
    <w:rsid w:val="0062599E"/>
    <w:rsid w:val="006259BB"/>
    <w:rsid w:val="00625B8E"/>
    <w:rsid w:val="00625CD6"/>
    <w:rsid w:val="00625DC8"/>
    <w:rsid w:val="00625F43"/>
    <w:rsid w:val="00625FE9"/>
    <w:rsid w:val="00626053"/>
    <w:rsid w:val="00626142"/>
    <w:rsid w:val="0062619D"/>
    <w:rsid w:val="0062634D"/>
    <w:rsid w:val="0062647E"/>
    <w:rsid w:val="006264F1"/>
    <w:rsid w:val="0062656F"/>
    <w:rsid w:val="00626635"/>
    <w:rsid w:val="006267D4"/>
    <w:rsid w:val="00626898"/>
    <w:rsid w:val="006268B6"/>
    <w:rsid w:val="00626955"/>
    <w:rsid w:val="00626C6F"/>
    <w:rsid w:val="00626D9D"/>
    <w:rsid w:val="00626E1F"/>
    <w:rsid w:val="00626E2C"/>
    <w:rsid w:val="00626F15"/>
    <w:rsid w:val="00627061"/>
    <w:rsid w:val="00627138"/>
    <w:rsid w:val="006274AD"/>
    <w:rsid w:val="006275A8"/>
    <w:rsid w:val="006277DB"/>
    <w:rsid w:val="006279E7"/>
    <w:rsid w:val="006279F5"/>
    <w:rsid w:val="00627A24"/>
    <w:rsid w:val="00627B66"/>
    <w:rsid w:val="00627D92"/>
    <w:rsid w:val="00627E1C"/>
    <w:rsid w:val="00627EA1"/>
    <w:rsid w:val="00627EC4"/>
    <w:rsid w:val="00627F1F"/>
    <w:rsid w:val="00627F22"/>
    <w:rsid w:val="00627F2D"/>
    <w:rsid w:val="0063001E"/>
    <w:rsid w:val="00630050"/>
    <w:rsid w:val="0063037A"/>
    <w:rsid w:val="006305C0"/>
    <w:rsid w:val="006305D8"/>
    <w:rsid w:val="00630678"/>
    <w:rsid w:val="006306AC"/>
    <w:rsid w:val="006306F6"/>
    <w:rsid w:val="00630A52"/>
    <w:rsid w:val="00630BE3"/>
    <w:rsid w:val="00630DB4"/>
    <w:rsid w:val="00630FDA"/>
    <w:rsid w:val="00630FFF"/>
    <w:rsid w:val="006310E9"/>
    <w:rsid w:val="006312CE"/>
    <w:rsid w:val="00631795"/>
    <w:rsid w:val="00631905"/>
    <w:rsid w:val="006319C0"/>
    <w:rsid w:val="00631B1D"/>
    <w:rsid w:val="00631B45"/>
    <w:rsid w:val="00631B86"/>
    <w:rsid w:val="00631DF2"/>
    <w:rsid w:val="00631E27"/>
    <w:rsid w:val="006320C9"/>
    <w:rsid w:val="006320FD"/>
    <w:rsid w:val="00632106"/>
    <w:rsid w:val="006321EE"/>
    <w:rsid w:val="00632266"/>
    <w:rsid w:val="0063230E"/>
    <w:rsid w:val="006325B2"/>
    <w:rsid w:val="00632621"/>
    <w:rsid w:val="00632655"/>
    <w:rsid w:val="00632797"/>
    <w:rsid w:val="00632800"/>
    <w:rsid w:val="00632980"/>
    <w:rsid w:val="00632A4C"/>
    <w:rsid w:val="00632B63"/>
    <w:rsid w:val="00632BDB"/>
    <w:rsid w:val="00632E56"/>
    <w:rsid w:val="00632FAA"/>
    <w:rsid w:val="00633370"/>
    <w:rsid w:val="0063339F"/>
    <w:rsid w:val="006334C4"/>
    <w:rsid w:val="0063366F"/>
    <w:rsid w:val="00633876"/>
    <w:rsid w:val="00633930"/>
    <w:rsid w:val="00633AEB"/>
    <w:rsid w:val="00633AF7"/>
    <w:rsid w:val="00633BDF"/>
    <w:rsid w:val="00633C29"/>
    <w:rsid w:val="00633DA7"/>
    <w:rsid w:val="00633DCD"/>
    <w:rsid w:val="0063424D"/>
    <w:rsid w:val="006346B7"/>
    <w:rsid w:val="006348FF"/>
    <w:rsid w:val="006349E3"/>
    <w:rsid w:val="00634B67"/>
    <w:rsid w:val="00634B95"/>
    <w:rsid w:val="00634C30"/>
    <w:rsid w:val="00634D7A"/>
    <w:rsid w:val="00634D7B"/>
    <w:rsid w:val="00634E06"/>
    <w:rsid w:val="00634E1A"/>
    <w:rsid w:val="00634F2F"/>
    <w:rsid w:val="00634FAE"/>
    <w:rsid w:val="0063532A"/>
    <w:rsid w:val="0063548D"/>
    <w:rsid w:val="0063556B"/>
    <w:rsid w:val="00635756"/>
    <w:rsid w:val="006357EC"/>
    <w:rsid w:val="0063588E"/>
    <w:rsid w:val="006358A5"/>
    <w:rsid w:val="006358DD"/>
    <w:rsid w:val="00635941"/>
    <w:rsid w:val="00635963"/>
    <w:rsid w:val="00635A52"/>
    <w:rsid w:val="00635D24"/>
    <w:rsid w:val="00635EC4"/>
    <w:rsid w:val="00635EC9"/>
    <w:rsid w:val="00635F16"/>
    <w:rsid w:val="0063627F"/>
    <w:rsid w:val="00636309"/>
    <w:rsid w:val="006363F6"/>
    <w:rsid w:val="006364BC"/>
    <w:rsid w:val="00636506"/>
    <w:rsid w:val="0063654E"/>
    <w:rsid w:val="00636604"/>
    <w:rsid w:val="00636919"/>
    <w:rsid w:val="00636ADB"/>
    <w:rsid w:val="00636BA6"/>
    <w:rsid w:val="00636BFC"/>
    <w:rsid w:val="00636C14"/>
    <w:rsid w:val="00636DAD"/>
    <w:rsid w:val="00636E7E"/>
    <w:rsid w:val="00637102"/>
    <w:rsid w:val="0063710A"/>
    <w:rsid w:val="00637140"/>
    <w:rsid w:val="00637210"/>
    <w:rsid w:val="0063725B"/>
    <w:rsid w:val="00637370"/>
    <w:rsid w:val="0063747F"/>
    <w:rsid w:val="006376B6"/>
    <w:rsid w:val="00637724"/>
    <w:rsid w:val="00637846"/>
    <w:rsid w:val="0063786A"/>
    <w:rsid w:val="006378C4"/>
    <w:rsid w:val="0063799F"/>
    <w:rsid w:val="00637A49"/>
    <w:rsid w:val="00637B09"/>
    <w:rsid w:val="00637BAC"/>
    <w:rsid w:val="00637CFB"/>
    <w:rsid w:val="00637D4B"/>
    <w:rsid w:val="00637FF4"/>
    <w:rsid w:val="0064003F"/>
    <w:rsid w:val="006400C2"/>
    <w:rsid w:val="00640408"/>
    <w:rsid w:val="00640539"/>
    <w:rsid w:val="00640987"/>
    <w:rsid w:val="00640F7F"/>
    <w:rsid w:val="00640FAC"/>
    <w:rsid w:val="00641045"/>
    <w:rsid w:val="006410FD"/>
    <w:rsid w:val="0064173B"/>
    <w:rsid w:val="00641775"/>
    <w:rsid w:val="006417A2"/>
    <w:rsid w:val="00641838"/>
    <w:rsid w:val="00641880"/>
    <w:rsid w:val="006418DB"/>
    <w:rsid w:val="00641A29"/>
    <w:rsid w:val="00641E92"/>
    <w:rsid w:val="00641FDE"/>
    <w:rsid w:val="00642155"/>
    <w:rsid w:val="00642406"/>
    <w:rsid w:val="00642414"/>
    <w:rsid w:val="006424D5"/>
    <w:rsid w:val="00642654"/>
    <w:rsid w:val="006427B4"/>
    <w:rsid w:val="006429B4"/>
    <w:rsid w:val="00642AB8"/>
    <w:rsid w:val="00642AC3"/>
    <w:rsid w:val="00642BA1"/>
    <w:rsid w:val="00642C7E"/>
    <w:rsid w:val="00642D0C"/>
    <w:rsid w:val="00642DFD"/>
    <w:rsid w:val="0064304E"/>
    <w:rsid w:val="006430ED"/>
    <w:rsid w:val="00643195"/>
    <w:rsid w:val="006432E3"/>
    <w:rsid w:val="00643321"/>
    <w:rsid w:val="006435C8"/>
    <w:rsid w:val="00643623"/>
    <w:rsid w:val="00643769"/>
    <w:rsid w:val="006437F0"/>
    <w:rsid w:val="00643849"/>
    <w:rsid w:val="006438CE"/>
    <w:rsid w:val="00643962"/>
    <w:rsid w:val="006439E4"/>
    <w:rsid w:val="00643A18"/>
    <w:rsid w:val="00643A9E"/>
    <w:rsid w:val="00643C3A"/>
    <w:rsid w:val="00643C6E"/>
    <w:rsid w:val="00643DDB"/>
    <w:rsid w:val="00643F26"/>
    <w:rsid w:val="00643F95"/>
    <w:rsid w:val="00643FF3"/>
    <w:rsid w:val="0064402B"/>
    <w:rsid w:val="00644146"/>
    <w:rsid w:val="0064427D"/>
    <w:rsid w:val="006444D9"/>
    <w:rsid w:val="00644657"/>
    <w:rsid w:val="00644671"/>
    <w:rsid w:val="006446A2"/>
    <w:rsid w:val="006446F0"/>
    <w:rsid w:val="00644808"/>
    <w:rsid w:val="00644834"/>
    <w:rsid w:val="00644916"/>
    <w:rsid w:val="00644C33"/>
    <w:rsid w:val="00644C38"/>
    <w:rsid w:val="00644C9E"/>
    <w:rsid w:val="00644CE8"/>
    <w:rsid w:val="00644E4C"/>
    <w:rsid w:val="00644EAA"/>
    <w:rsid w:val="00644FC0"/>
    <w:rsid w:val="00645049"/>
    <w:rsid w:val="00645255"/>
    <w:rsid w:val="0064534D"/>
    <w:rsid w:val="006455EA"/>
    <w:rsid w:val="00645676"/>
    <w:rsid w:val="006457AD"/>
    <w:rsid w:val="00645AE5"/>
    <w:rsid w:val="00645B47"/>
    <w:rsid w:val="00645B77"/>
    <w:rsid w:val="00645F30"/>
    <w:rsid w:val="00645F9C"/>
    <w:rsid w:val="00646070"/>
    <w:rsid w:val="0064614B"/>
    <w:rsid w:val="006461E1"/>
    <w:rsid w:val="006464DA"/>
    <w:rsid w:val="00646514"/>
    <w:rsid w:val="00646519"/>
    <w:rsid w:val="00646523"/>
    <w:rsid w:val="00646532"/>
    <w:rsid w:val="0064654F"/>
    <w:rsid w:val="0064659D"/>
    <w:rsid w:val="006465EB"/>
    <w:rsid w:val="00646618"/>
    <w:rsid w:val="00646718"/>
    <w:rsid w:val="00646757"/>
    <w:rsid w:val="00646AF8"/>
    <w:rsid w:val="00646B8A"/>
    <w:rsid w:val="00646C3C"/>
    <w:rsid w:val="00646D81"/>
    <w:rsid w:val="00646F7E"/>
    <w:rsid w:val="00647036"/>
    <w:rsid w:val="006471D5"/>
    <w:rsid w:val="006472F6"/>
    <w:rsid w:val="00647381"/>
    <w:rsid w:val="006474BE"/>
    <w:rsid w:val="0064786C"/>
    <w:rsid w:val="00647BC9"/>
    <w:rsid w:val="00647D42"/>
    <w:rsid w:val="00647FD8"/>
    <w:rsid w:val="006502A0"/>
    <w:rsid w:val="00650495"/>
    <w:rsid w:val="00650508"/>
    <w:rsid w:val="0065051A"/>
    <w:rsid w:val="00650EA5"/>
    <w:rsid w:val="00651828"/>
    <w:rsid w:val="00651840"/>
    <w:rsid w:val="006518A0"/>
    <w:rsid w:val="006518D7"/>
    <w:rsid w:val="00651940"/>
    <w:rsid w:val="00651BDF"/>
    <w:rsid w:val="00651DD3"/>
    <w:rsid w:val="00651E15"/>
    <w:rsid w:val="006521C4"/>
    <w:rsid w:val="006522B0"/>
    <w:rsid w:val="006523EC"/>
    <w:rsid w:val="0065249B"/>
    <w:rsid w:val="0065249D"/>
    <w:rsid w:val="00652644"/>
    <w:rsid w:val="0065281E"/>
    <w:rsid w:val="0065284B"/>
    <w:rsid w:val="006528C8"/>
    <w:rsid w:val="00652A47"/>
    <w:rsid w:val="00652BAF"/>
    <w:rsid w:val="00652C82"/>
    <w:rsid w:val="00652CA5"/>
    <w:rsid w:val="00652F2F"/>
    <w:rsid w:val="00652FA5"/>
    <w:rsid w:val="0065329D"/>
    <w:rsid w:val="00653357"/>
    <w:rsid w:val="00653589"/>
    <w:rsid w:val="006537D2"/>
    <w:rsid w:val="0065381C"/>
    <w:rsid w:val="00653AC5"/>
    <w:rsid w:val="00653C5C"/>
    <w:rsid w:val="00653C99"/>
    <w:rsid w:val="00653CE4"/>
    <w:rsid w:val="00653DB5"/>
    <w:rsid w:val="00653EF3"/>
    <w:rsid w:val="00654037"/>
    <w:rsid w:val="006541C7"/>
    <w:rsid w:val="00654427"/>
    <w:rsid w:val="00654498"/>
    <w:rsid w:val="0065474A"/>
    <w:rsid w:val="006547A2"/>
    <w:rsid w:val="00654838"/>
    <w:rsid w:val="00654978"/>
    <w:rsid w:val="006549D6"/>
    <w:rsid w:val="00654B1B"/>
    <w:rsid w:val="00654B58"/>
    <w:rsid w:val="00654BA4"/>
    <w:rsid w:val="00654C85"/>
    <w:rsid w:val="00654D3E"/>
    <w:rsid w:val="00654F1B"/>
    <w:rsid w:val="00654F27"/>
    <w:rsid w:val="00654FCC"/>
    <w:rsid w:val="006554D1"/>
    <w:rsid w:val="00655834"/>
    <w:rsid w:val="00655904"/>
    <w:rsid w:val="00655A35"/>
    <w:rsid w:val="00655A93"/>
    <w:rsid w:val="00655C0F"/>
    <w:rsid w:val="00655E37"/>
    <w:rsid w:val="00656113"/>
    <w:rsid w:val="006561C6"/>
    <w:rsid w:val="006562AB"/>
    <w:rsid w:val="00656633"/>
    <w:rsid w:val="00656794"/>
    <w:rsid w:val="00656CC6"/>
    <w:rsid w:val="00656D82"/>
    <w:rsid w:val="00656E19"/>
    <w:rsid w:val="00656F67"/>
    <w:rsid w:val="006570E8"/>
    <w:rsid w:val="0065726A"/>
    <w:rsid w:val="0065768F"/>
    <w:rsid w:val="0065777A"/>
    <w:rsid w:val="006577A2"/>
    <w:rsid w:val="006578BD"/>
    <w:rsid w:val="006579B7"/>
    <w:rsid w:val="00657B21"/>
    <w:rsid w:val="00657B28"/>
    <w:rsid w:val="00657BC8"/>
    <w:rsid w:val="00657F31"/>
    <w:rsid w:val="0065E9A8"/>
    <w:rsid w:val="00660102"/>
    <w:rsid w:val="006602A0"/>
    <w:rsid w:val="006604E4"/>
    <w:rsid w:val="006605F3"/>
    <w:rsid w:val="0066070C"/>
    <w:rsid w:val="006607C0"/>
    <w:rsid w:val="00660AF7"/>
    <w:rsid w:val="00660BA6"/>
    <w:rsid w:val="00660BC5"/>
    <w:rsid w:val="00660EC1"/>
    <w:rsid w:val="00661390"/>
    <w:rsid w:val="006613D3"/>
    <w:rsid w:val="006614AA"/>
    <w:rsid w:val="0066151D"/>
    <w:rsid w:val="006617E0"/>
    <w:rsid w:val="00661A96"/>
    <w:rsid w:val="00661AB4"/>
    <w:rsid w:val="00661D67"/>
    <w:rsid w:val="00661DCE"/>
    <w:rsid w:val="006621B8"/>
    <w:rsid w:val="0066287E"/>
    <w:rsid w:val="00662D60"/>
    <w:rsid w:val="00663029"/>
    <w:rsid w:val="006632E1"/>
    <w:rsid w:val="0066339A"/>
    <w:rsid w:val="00663477"/>
    <w:rsid w:val="006634F5"/>
    <w:rsid w:val="00663683"/>
    <w:rsid w:val="006636E9"/>
    <w:rsid w:val="006638A4"/>
    <w:rsid w:val="00663953"/>
    <w:rsid w:val="00663A55"/>
    <w:rsid w:val="00663BAD"/>
    <w:rsid w:val="00663BB9"/>
    <w:rsid w:val="00663D15"/>
    <w:rsid w:val="00663EAE"/>
    <w:rsid w:val="00663F35"/>
    <w:rsid w:val="00664042"/>
    <w:rsid w:val="00664059"/>
    <w:rsid w:val="0066408F"/>
    <w:rsid w:val="006644FF"/>
    <w:rsid w:val="0066452C"/>
    <w:rsid w:val="0066460F"/>
    <w:rsid w:val="00664653"/>
    <w:rsid w:val="00664966"/>
    <w:rsid w:val="00664A49"/>
    <w:rsid w:val="00664A5C"/>
    <w:rsid w:val="00664A88"/>
    <w:rsid w:val="00664B05"/>
    <w:rsid w:val="00664B5E"/>
    <w:rsid w:val="00664C0E"/>
    <w:rsid w:val="00664CC3"/>
    <w:rsid w:val="00664EE4"/>
    <w:rsid w:val="00665164"/>
    <w:rsid w:val="00665336"/>
    <w:rsid w:val="0066543B"/>
    <w:rsid w:val="00665500"/>
    <w:rsid w:val="0066574E"/>
    <w:rsid w:val="00665A1D"/>
    <w:rsid w:val="00665C84"/>
    <w:rsid w:val="00665E08"/>
    <w:rsid w:val="00665E7A"/>
    <w:rsid w:val="00665EE8"/>
    <w:rsid w:val="00666223"/>
    <w:rsid w:val="006667FD"/>
    <w:rsid w:val="00666818"/>
    <w:rsid w:val="00666C1E"/>
    <w:rsid w:val="00666D3A"/>
    <w:rsid w:val="00666F2F"/>
    <w:rsid w:val="00667078"/>
    <w:rsid w:val="00667083"/>
    <w:rsid w:val="006672EA"/>
    <w:rsid w:val="006672FA"/>
    <w:rsid w:val="006673D4"/>
    <w:rsid w:val="0066747D"/>
    <w:rsid w:val="00667676"/>
    <w:rsid w:val="00667829"/>
    <w:rsid w:val="0066788E"/>
    <w:rsid w:val="0066791C"/>
    <w:rsid w:val="00667DDF"/>
    <w:rsid w:val="00667E30"/>
    <w:rsid w:val="00667F83"/>
    <w:rsid w:val="00670098"/>
    <w:rsid w:val="00670160"/>
    <w:rsid w:val="006701B4"/>
    <w:rsid w:val="00670460"/>
    <w:rsid w:val="0067054D"/>
    <w:rsid w:val="00670552"/>
    <w:rsid w:val="0067077B"/>
    <w:rsid w:val="006708BD"/>
    <w:rsid w:val="006709E0"/>
    <w:rsid w:val="00670A8E"/>
    <w:rsid w:val="00670B5E"/>
    <w:rsid w:val="00670D84"/>
    <w:rsid w:val="00670DF6"/>
    <w:rsid w:val="00671183"/>
    <w:rsid w:val="00671245"/>
    <w:rsid w:val="00671345"/>
    <w:rsid w:val="006715B6"/>
    <w:rsid w:val="00671631"/>
    <w:rsid w:val="00671632"/>
    <w:rsid w:val="006716A1"/>
    <w:rsid w:val="006716A3"/>
    <w:rsid w:val="006716A4"/>
    <w:rsid w:val="006716A5"/>
    <w:rsid w:val="0067176B"/>
    <w:rsid w:val="00671879"/>
    <w:rsid w:val="00671884"/>
    <w:rsid w:val="006718F7"/>
    <w:rsid w:val="006719E9"/>
    <w:rsid w:val="00671A4D"/>
    <w:rsid w:val="00671A82"/>
    <w:rsid w:val="00671B00"/>
    <w:rsid w:val="00671BCB"/>
    <w:rsid w:val="00671D5F"/>
    <w:rsid w:val="00671D64"/>
    <w:rsid w:val="00671DBE"/>
    <w:rsid w:val="00671FB1"/>
    <w:rsid w:val="00672018"/>
    <w:rsid w:val="00672114"/>
    <w:rsid w:val="0067214F"/>
    <w:rsid w:val="006721DB"/>
    <w:rsid w:val="00672236"/>
    <w:rsid w:val="00672367"/>
    <w:rsid w:val="00672373"/>
    <w:rsid w:val="0067252E"/>
    <w:rsid w:val="00672588"/>
    <w:rsid w:val="006725B2"/>
    <w:rsid w:val="006725C9"/>
    <w:rsid w:val="006725E6"/>
    <w:rsid w:val="00672764"/>
    <w:rsid w:val="00672822"/>
    <w:rsid w:val="00672847"/>
    <w:rsid w:val="006728DB"/>
    <w:rsid w:val="00672ACD"/>
    <w:rsid w:val="00672AD3"/>
    <w:rsid w:val="00672B92"/>
    <w:rsid w:val="00672C30"/>
    <w:rsid w:val="00672CC1"/>
    <w:rsid w:val="00672E0D"/>
    <w:rsid w:val="00673023"/>
    <w:rsid w:val="00673081"/>
    <w:rsid w:val="006736EC"/>
    <w:rsid w:val="00673798"/>
    <w:rsid w:val="006737CD"/>
    <w:rsid w:val="00673A92"/>
    <w:rsid w:val="00673C4E"/>
    <w:rsid w:val="00673CAB"/>
    <w:rsid w:val="00673EA8"/>
    <w:rsid w:val="00673F9D"/>
    <w:rsid w:val="006742AD"/>
    <w:rsid w:val="0067446E"/>
    <w:rsid w:val="006746B4"/>
    <w:rsid w:val="00674845"/>
    <w:rsid w:val="0067496B"/>
    <w:rsid w:val="006750E8"/>
    <w:rsid w:val="006750F7"/>
    <w:rsid w:val="0067543D"/>
    <w:rsid w:val="00675440"/>
    <w:rsid w:val="00675514"/>
    <w:rsid w:val="00675591"/>
    <w:rsid w:val="0067579B"/>
    <w:rsid w:val="006759AB"/>
    <w:rsid w:val="00675D54"/>
    <w:rsid w:val="0067603F"/>
    <w:rsid w:val="00676199"/>
    <w:rsid w:val="006762CF"/>
    <w:rsid w:val="006762EE"/>
    <w:rsid w:val="00676308"/>
    <w:rsid w:val="0067632F"/>
    <w:rsid w:val="006769EA"/>
    <w:rsid w:val="00676A75"/>
    <w:rsid w:val="00676B91"/>
    <w:rsid w:val="00676CA6"/>
    <w:rsid w:val="00676CE6"/>
    <w:rsid w:val="00676D52"/>
    <w:rsid w:val="00676F37"/>
    <w:rsid w:val="00676F51"/>
    <w:rsid w:val="00676FFF"/>
    <w:rsid w:val="00677034"/>
    <w:rsid w:val="006771A1"/>
    <w:rsid w:val="00677287"/>
    <w:rsid w:val="0067737D"/>
    <w:rsid w:val="006773BC"/>
    <w:rsid w:val="006773F6"/>
    <w:rsid w:val="006775DD"/>
    <w:rsid w:val="006777DA"/>
    <w:rsid w:val="006777F0"/>
    <w:rsid w:val="0067793D"/>
    <w:rsid w:val="00677ACB"/>
    <w:rsid w:val="00677C63"/>
    <w:rsid w:val="00677C70"/>
    <w:rsid w:val="00677E0C"/>
    <w:rsid w:val="00677F2B"/>
    <w:rsid w:val="00680070"/>
    <w:rsid w:val="006801A9"/>
    <w:rsid w:val="00680214"/>
    <w:rsid w:val="006803D0"/>
    <w:rsid w:val="006804B3"/>
    <w:rsid w:val="0068056D"/>
    <w:rsid w:val="006805FF"/>
    <w:rsid w:val="006806FB"/>
    <w:rsid w:val="0068075F"/>
    <w:rsid w:val="0068079E"/>
    <w:rsid w:val="00680A9C"/>
    <w:rsid w:val="00680C2D"/>
    <w:rsid w:val="00680D27"/>
    <w:rsid w:val="00680DE0"/>
    <w:rsid w:val="00680E67"/>
    <w:rsid w:val="00680EE9"/>
    <w:rsid w:val="00681297"/>
    <w:rsid w:val="006812FC"/>
    <w:rsid w:val="00681377"/>
    <w:rsid w:val="00681419"/>
    <w:rsid w:val="00681444"/>
    <w:rsid w:val="006814DC"/>
    <w:rsid w:val="006814FA"/>
    <w:rsid w:val="00681596"/>
    <w:rsid w:val="00681687"/>
    <w:rsid w:val="0068176E"/>
    <w:rsid w:val="00681794"/>
    <w:rsid w:val="006818F1"/>
    <w:rsid w:val="00681CEF"/>
    <w:rsid w:val="00681D58"/>
    <w:rsid w:val="00682101"/>
    <w:rsid w:val="006821EF"/>
    <w:rsid w:val="00682359"/>
    <w:rsid w:val="006823DE"/>
    <w:rsid w:val="006825A3"/>
    <w:rsid w:val="0068278B"/>
    <w:rsid w:val="0068296A"/>
    <w:rsid w:val="00682AC9"/>
    <w:rsid w:val="00682FD0"/>
    <w:rsid w:val="006831F8"/>
    <w:rsid w:val="00683235"/>
    <w:rsid w:val="006833BD"/>
    <w:rsid w:val="00683527"/>
    <w:rsid w:val="0068353F"/>
    <w:rsid w:val="00683566"/>
    <w:rsid w:val="006835AE"/>
    <w:rsid w:val="006836CF"/>
    <w:rsid w:val="00683785"/>
    <w:rsid w:val="006837C5"/>
    <w:rsid w:val="006837E7"/>
    <w:rsid w:val="006837F0"/>
    <w:rsid w:val="006838E6"/>
    <w:rsid w:val="00683BAA"/>
    <w:rsid w:val="00683C3E"/>
    <w:rsid w:val="00683C75"/>
    <w:rsid w:val="00683C8D"/>
    <w:rsid w:val="00683D5B"/>
    <w:rsid w:val="00683DD4"/>
    <w:rsid w:val="00683F9D"/>
    <w:rsid w:val="00683FFE"/>
    <w:rsid w:val="006840E6"/>
    <w:rsid w:val="00684110"/>
    <w:rsid w:val="00684254"/>
    <w:rsid w:val="00684287"/>
    <w:rsid w:val="00684364"/>
    <w:rsid w:val="0068444C"/>
    <w:rsid w:val="006844A7"/>
    <w:rsid w:val="006844EA"/>
    <w:rsid w:val="0068467D"/>
    <w:rsid w:val="00684692"/>
    <w:rsid w:val="00684989"/>
    <w:rsid w:val="00684A33"/>
    <w:rsid w:val="00684AF8"/>
    <w:rsid w:val="00684B0C"/>
    <w:rsid w:val="00684DA4"/>
    <w:rsid w:val="00685299"/>
    <w:rsid w:val="006853E7"/>
    <w:rsid w:val="00685453"/>
    <w:rsid w:val="00685468"/>
    <w:rsid w:val="00685480"/>
    <w:rsid w:val="00685746"/>
    <w:rsid w:val="006857B6"/>
    <w:rsid w:val="00685D10"/>
    <w:rsid w:val="00685D99"/>
    <w:rsid w:val="00685E20"/>
    <w:rsid w:val="00685EFE"/>
    <w:rsid w:val="006860C7"/>
    <w:rsid w:val="00686159"/>
    <w:rsid w:val="006861C9"/>
    <w:rsid w:val="00686253"/>
    <w:rsid w:val="0068626B"/>
    <w:rsid w:val="006865B9"/>
    <w:rsid w:val="00686681"/>
    <w:rsid w:val="0068682A"/>
    <w:rsid w:val="0068683C"/>
    <w:rsid w:val="00686B5A"/>
    <w:rsid w:val="00686BC5"/>
    <w:rsid w:val="00686D8A"/>
    <w:rsid w:val="00686ED5"/>
    <w:rsid w:val="00686F26"/>
    <w:rsid w:val="00686F4D"/>
    <w:rsid w:val="006870E9"/>
    <w:rsid w:val="00687170"/>
    <w:rsid w:val="00687215"/>
    <w:rsid w:val="006873DD"/>
    <w:rsid w:val="006874EB"/>
    <w:rsid w:val="00687648"/>
    <w:rsid w:val="006876E0"/>
    <w:rsid w:val="006878EC"/>
    <w:rsid w:val="00687C5A"/>
    <w:rsid w:val="00687E66"/>
    <w:rsid w:val="006900BA"/>
    <w:rsid w:val="00690240"/>
    <w:rsid w:val="00690270"/>
    <w:rsid w:val="006902B1"/>
    <w:rsid w:val="0069037E"/>
    <w:rsid w:val="0069053D"/>
    <w:rsid w:val="0069061A"/>
    <w:rsid w:val="006906F7"/>
    <w:rsid w:val="006907AC"/>
    <w:rsid w:val="006908AE"/>
    <w:rsid w:val="006908B7"/>
    <w:rsid w:val="00690B11"/>
    <w:rsid w:val="00690D11"/>
    <w:rsid w:val="00690DF3"/>
    <w:rsid w:val="00690F25"/>
    <w:rsid w:val="00690FC4"/>
    <w:rsid w:val="00691040"/>
    <w:rsid w:val="00691070"/>
    <w:rsid w:val="0069142F"/>
    <w:rsid w:val="00691595"/>
    <w:rsid w:val="00691677"/>
    <w:rsid w:val="00691696"/>
    <w:rsid w:val="006917E5"/>
    <w:rsid w:val="00691854"/>
    <w:rsid w:val="006918AB"/>
    <w:rsid w:val="0069191C"/>
    <w:rsid w:val="006919E8"/>
    <w:rsid w:val="00691C35"/>
    <w:rsid w:val="00691C62"/>
    <w:rsid w:val="00692069"/>
    <w:rsid w:val="0069226F"/>
    <w:rsid w:val="006922DA"/>
    <w:rsid w:val="00692382"/>
    <w:rsid w:val="00692448"/>
    <w:rsid w:val="0069248E"/>
    <w:rsid w:val="006924DD"/>
    <w:rsid w:val="00692543"/>
    <w:rsid w:val="00692AA5"/>
    <w:rsid w:val="00692B28"/>
    <w:rsid w:val="00692C3C"/>
    <w:rsid w:val="00692C71"/>
    <w:rsid w:val="00692D87"/>
    <w:rsid w:val="00692F7A"/>
    <w:rsid w:val="006930D3"/>
    <w:rsid w:val="00693167"/>
    <w:rsid w:val="0069318F"/>
    <w:rsid w:val="006932EA"/>
    <w:rsid w:val="006933E2"/>
    <w:rsid w:val="00693462"/>
    <w:rsid w:val="0069347A"/>
    <w:rsid w:val="00693485"/>
    <w:rsid w:val="006934E5"/>
    <w:rsid w:val="006936FA"/>
    <w:rsid w:val="00693726"/>
    <w:rsid w:val="00693DC9"/>
    <w:rsid w:val="00693DCF"/>
    <w:rsid w:val="00693F80"/>
    <w:rsid w:val="0069452C"/>
    <w:rsid w:val="006945FE"/>
    <w:rsid w:val="0069466B"/>
    <w:rsid w:val="00694EAF"/>
    <w:rsid w:val="00695060"/>
    <w:rsid w:val="006950A6"/>
    <w:rsid w:val="0069530C"/>
    <w:rsid w:val="00695550"/>
    <w:rsid w:val="0069556E"/>
    <w:rsid w:val="0069564F"/>
    <w:rsid w:val="006957D1"/>
    <w:rsid w:val="00695997"/>
    <w:rsid w:val="00695A53"/>
    <w:rsid w:val="00695A5A"/>
    <w:rsid w:val="00695BA5"/>
    <w:rsid w:val="00695C73"/>
    <w:rsid w:val="00695CEB"/>
    <w:rsid w:val="00695E0F"/>
    <w:rsid w:val="00695E9D"/>
    <w:rsid w:val="00696087"/>
    <w:rsid w:val="00696381"/>
    <w:rsid w:val="00696543"/>
    <w:rsid w:val="00696875"/>
    <w:rsid w:val="00696CEC"/>
    <w:rsid w:val="006972F0"/>
    <w:rsid w:val="006974A4"/>
    <w:rsid w:val="006978CE"/>
    <w:rsid w:val="00697935"/>
    <w:rsid w:val="00697949"/>
    <w:rsid w:val="00697BE5"/>
    <w:rsid w:val="00697C4F"/>
    <w:rsid w:val="00697D40"/>
    <w:rsid w:val="00697D4D"/>
    <w:rsid w:val="006A02B7"/>
    <w:rsid w:val="006A02CB"/>
    <w:rsid w:val="006A0798"/>
    <w:rsid w:val="006A08D0"/>
    <w:rsid w:val="006A091B"/>
    <w:rsid w:val="006A0AB7"/>
    <w:rsid w:val="006A0B22"/>
    <w:rsid w:val="006A0CE1"/>
    <w:rsid w:val="006A0D1A"/>
    <w:rsid w:val="006A0F88"/>
    <w:rsid w:val="006A0FEA"/>
    <w:rsid w:val="006A104A"/>
    <w:rsid w:val="006A125B"/>
    <w:rsid w:val="006A12D1"/>
    <w:rsid w:val="006A1417"/>
    <w:rsid w:val="006A180B"/>
    <w:rsid w:val="006A1AAA"/>
    <w:rsid w:val="006A1AF4"/>
    <w:rsid w:val="006A1C2D"/>
    <w:rsid w:val="006A1D9A"/>
    <w:rsid w:val="006A201D"/>
    <w:rsid w:val="006A2364"/>
    <w:rsid w:val="006A24ED"/>
    <w:rsid w:val="006A26AF"/>
    <w:rsid w:val="006A26EE"/>
    <w:rsid w:val="006A2912"/>
    <w:rsid w:val="006A2996"/>
    <w:rsid w:val="006A29DA"/>
    <w:rsid w:val="006A2C31"/>
    <w:rsid w:val="006A2DDE"/>
    <w:rsid w:val="006A3068"/>
    <w:rsid w:val="006A325C"/>
    <w:rsid w:val="006A36B4"/>
    <w:rsid w:val="006A36B8"/>
    <w:rsid w:val="006A3757"/>
    <w:rsid w:val="006A3D8E"/>
    <w:rsid w:val="006A3E4C"/>
    <w:rsid w:val="006A40CD"/>
    <w:rsid w:val="006A419C"/>
    <w:rsid w:val="006A41E4"/>
    <w:rsid w:val="006A42CF"/>
    <w:rsid w:val="006A4339"/>
    <w:rsid w:val="006A4413"/>
    <w:rsid w:val="006A48CB"/>
    <w:rsid w:val="006A49A0"/>
    <w:rsid w:val="006A49FC"/>
    <w:rsid w:val="006A4B59"/>
    <w:rsid w:val="006A4BCB"/>
    <w:rsid w:val="006A4C9C"/>
    <w:rsid w:val="006A4DAA"/>
    <w:rsid w:val="006A4EAA"/>
    <w:rsid w:val="006A4EAC"/>
    <w:rsid w:val="006A50FD"/>
    <w:rsid w:val="006A521A"/>
    <w:rsid w:val="006A5355"/>
    <w:rsid w:val="006A5386"/>
    <w:rsid w:val="006A5433"/>
    <w:rsid w:val="006A54C4"/>
    <w:rsid w:val="006A5511"/>
    <w:rsid w:val="006A55D0"/>
    <w:rsid w:val="006A5766"/>
    <w:rsid w:val="006A582F"/>
    <w:rsid w:val="006A59E8"/>
    <w:rsid w:val="006A5A8E"/>
    <w:rsid w:val="006A5BE2"/>
    <w:rsid w:val="006A5D6A"/>
    <w:rsid w:val="006A5ED8"/>
    <w:rsid w:val="006A5F8D"/>
    <w:rsid w:val="006A6043"/>
    <w:rsid w:val="006A60BF"/>
    <w:rsid w:val="006A615E"/>
    <w:rsid w:val="006A627D"/>
    <w:rsid w:val="006A6348"/>
    <w:rsid w:val="006A64FA"/>
    <w:rsid w:val="006A6535"/>
    <w:rsid w:val="006A65DB"/>
    <w:rsid w:val="006A66F9"/>
    <w:rsid w:val="006A67BA"/>
    <w:rsid w:val="006A689E"/>
    <w:rsid w:val="006A6CDC"/>
    <w:rsid w:val="006A70F5"/>
    <w:rsid w:val="006A7543"/>
    <w:rsid w:val="006A78CD"/>
    <w:rsid w:val="006A7B1E"/>
    <w:rsid w:val="006A7BD5"/>
    <w:rsid w:val="006A7CDC"/>
    <w:rsid w:val="006A7E51"/>
    <w:rsid w:val="006A7E55"/>
    <w:rsid w:val="006A7E5D"/>
    <w:rsid w:val="006B0058"/>
    <w:rsid w:val="006B036D"/>
    <w:rsid w:val="006B0411"/>
    <w:rsid w:val="006B04D4"/>
    <w:rsid w:val="006B0635"/>
    <w:rsid w:val="006B0669"/>
    <w:rsid w:val="006B0784"/>
    <w:rsid w:val="006B0A2E"/>
    <w:rsid w:val="006B0A4D"/>
    <w:rsid w:val="006B0B50"/>
    <w:rsid w:val="006B0BAF"/>
    <w:rsid w:val="006B0D14"/>
    <w:rsid w:val="006B0EDB"/>
    <w:rsid w:val="006B1043"/>
    <w:rsid w:val="006B12F2"/>
    <w:rsid w:val="006B12FF"/>
    <w:rsid w:val="006B13E4"/>
    <w:rsid w:val="006B1405"/>
    <w:rsid w:val="006B140C"/>
    <w:rsid w:val="006B141D"/>
    <w:rsid w:val="006B1438"/>
    <w:rsid w:val="006B1462"/>
    <w:rsid w:val="006B1741"/>
    <w:rsid w:val="006B178D"/>
    <w:rsid w:val="006B1935"/>
    <w:rsid w:val="006B19A1"/>
    <w:rsid w:val="006B1A3D"/>
    <w:rsid w:val="006B1A43"/>
    <w:rsid w:val="006B1AEF"/>
    <w:rsid w:val="006B1B5F"/>
    <w:rsid w:val="006B1BA8"/>
    <w:rsid w:val="006B1F6D"/>
    <w:rsid w:val="006B200B"/>
    <w:rsid w:val="006B2089"/>
    <w:rsid w:val="006B20F7"/>
    <w:rsid w:val="006B2215"/>
    <w:rsid w:val="006B22D8"/>
    <w:rsid w:val="006B231F"/>
    <w:rsid w:val="006B2364"/>
    <w:rsid w:val="006B23D7"/>
    <w:rsid w:val="006B2548"/>
    <w:rsid w:val="006B2680"/>
    <w:rsid w:val="006B2863"/>
    <w:rsid w:val="006B28A6"/>
    <w:rsid w:val="006B2906"/>
    <w:rsid w:val="006B2922"/>
    <w:rsid w:val="006B2A63"/>
    <w:rsid w:val="006B2BCD"/>
    <w:rsid w:val="006B2BFB"/>
    <w:rsid w:val="006B2CE5"/>
    <w:rsid w:val="006B2CF0"/>
    <w:rsid w:val="006B2DF5"/>
    <w:rsid w:val="006B2E8C"/>
    <w:rsid w:val="006B30F9"/>
    <w:rsid w:val="006B323E"/>
    <w:rsid w:val="006B333C"/>
    <w:rsid w:val="006B3377"/>
    <w:rsid w:val="006B3701"/>
    <w:rsid w:val="006B386C"/>
    <w:rsid w:val="006B3A61"/>
    <w:rsid w:val="006B3E45"/>
    <w:rsid w:val="006B3F3F"/>
    <w:rsid w:val="006B4049"/>
    <w:rsid w:val="006B4562"/>
    <w:rsid w:val="006B4667"/>
    <w:rsid w:val="006B4901"/>
    <w:rsid w:val="006B4B01"/>
    <w:rsid w:val="006B4B9B"/>
    <w:rsid w:val="006B4C2C"/>
    <w:rsid w:val="006B4DD2"/>
    <w:rsid w:val="006B4EEB"/>
    <w:rsid w:val="006B4FEA"/>
    <w:rsid w:val="006B5127"/>
    <w:rsid w:val="006B52AE"/>
    <w:rsid w:val="006B530B"/>
    <w:rsid w:val="006B547F"/>
    <w:rsid w:val="006B56E8"/>
    <w:rsid w:val="006B5751"/>
    <w:rsid w:val="006B588E"/>
    <w:rsid w:val="006B5917"/>
    <w:rsid w:val="006B5941"/>
    <w:rsid w:val="006B599B"/>
    <w:rsid w:val="006B5DF1"/>
    <w:rsid w:val="006B5E33"/>
    <w:rsid w:val="006B5E63"/>
    <w:rsid w:val="006B5F39"/>
    <w:rsid w:val="006B5F9A"/>
    <w:rsid w:val="006B6034"/>
    <w:rsid w:val="006B6079"/>
    <w:rsid w:val="006B6125"/>
    <w:rsid w:val="006B6138"/>
    <w:rsid w:val="006B63D3"/>
    <w:rsid w:val="006B650E"/>
    <w:rsid w:val="006B6981"/>
    <w:rsid w:val="006B698C"/>
    <w:rsid w:val="006B69C8"/>
    <w:rsid w:val="006B6A7C"/>
    <w:rsid w:val="006B6B5F"/>
    <w:rsid w:val="006B6E8D"/>
    <w:rsid w:val="006B70DE"/>
    <w:rsid w:val="006B72AC"/>
    <w:rsid w:val="006B72CC"/>
    <w:rsid w:val="006B72CD"/>
    <w:rsid w:val="006B7615"/>
    <w:rsid w:val="006B77AA"/>
    <w:rsid w:val="006B79BB"/>
    <w:rsid w:val="006B7A91"/>
    <w:rsid w:val="006B7B9F"/>
    <w:rsid w:val="006B7C3F"/>
    <w:rsid w:val="006B7DD1"/>
    <w:rsid w:val="006B7E07"/>
    <w:rsid w:val="006B7F79"/>
    <w:rsid w:val="006B7FDA"/>
    <w:rsid w:val="006C01C0"/>
    <w:rsid w:val="006C03BA"/>
    <w:rsid w:val="006C03D9"/>
    <w:rsid w:val="006C043B"/>
    <w:rsid w:val="006C07C6"/>
    <w:rsid w:val="006C0D8A"/>
    <w:rsid w:val="006C0F05"/>
    <w:rsid w:val="006C0FF9"/>
    <w:rsid w:val="006C1118"/>
    <w:rsid w:val="006C11DC"/>
    <w:rsid w:val="006C143B"/>
    <w:rsid w:val="006C1458"/>
    <w:rsid w:val="006C14B0"/>
    <w:rsid w:val="006C161A"/>
    <w:rsid w:val="006C170E"/>
    <w:rsid w:val="006C18A5"/>
    <w:rsid w:val="006C1D22"/>
    <w:rsid w:val="006C1EF0"/>
    <w:rsid w:val="006C266F"/>
    <w:rsid w:val="006C28BC"/>
    <w:rsid w:val="006C2A30"/>
    <w:rsid w:val="006C2AAD"/>
    <w:rsid w:val="006C2AE4"/>
    <w:rsid w:val="006C2B0F"/>
    <w:rsid w:val="006C30F3"/>
    <w:rsid w:val="006C3306"/>
    <w:rsid w:val="006C331B"/>
    <w:rsid w:val="006C3381"/>
    <w:rsid w:val="006C34CF"/>
    <w:rsid w:val="006C3765"/>
    <w:rsid w:val="006C38C0"/>
    <w:rsid w:val="006C390F"/>
    <w:rsid w:val="006C3B24"/>
    <w:rsid w:val="006C402D"/>
    <w:rsid w:val="006C432E"/>
    <w:rsid w:val="006C437A"/>
    <w:rsid w:val="006C453D"/>
    <w:rsid w:val="006C4573"/>
    <w:rsid w:val="006C4596"/>
    <w:rsid w:val="006C45E7"/>
    <w:rsid w:val="006C46D6"/>
    <w:rsid w:val="006C4716"/>
    <w:rsid w:val="006C486D"/>
    <w:rsid w:val="006C498A"/>
    <w:rsid w:val="006C4AAD"/>
    <w:rsid w:val="006C4CD4"/>
    <w:rsid w:val="006C4EC5"/>
    <w:rsid w:val="006C4F7D"/>
    <w:rsid w:val="006C505E"/>
    <w:rsid w:val="006C515D"/>
    <w:rsid w:val="006C525C"/>
    <w:rsid w:val="006C52F0"/>
    <w:rsid w:val="006C540D"/>
    <w:rsid w:val="006C5563"/>
    <w:rsid w:val="006C563E"/>
    <w:rsid w:val="006C5795"/>
    <w:rsid w:val="006C5856"/>
    <w:rsid w:val="006C5EF7"/>
    <w:rsid w:val="006C5F8C"/>
    <w:rsid w:val="006C620E"/>
    <w:rsid w:val="006C6265"/>
    <w:rsid w:val="006C62B6"/>
    <w:rsid w:val="006C6384"/>
    <w:rsid w:val="006C6619"/>
    <w:rsid w:val="006C682A"/>
    <w:rsid w:val="006C68C7"/>
    <w:rsid w:val="006C690A"/>
    <w:rsid w:val="006C6964"/>
    <w:rsid w:val="006C6A71"/>
    <w:rsid w:val="006C6B5C"/>
    <w:rsid w:val="006C6BF5"/>
    <w:rsid w:val="006C6EE9"/>
    <w:rsid w:val="006C7010"/>
    <w:rsid w:val="006C707F"/>
    <w:rsid w:val="006C724C"/>
    <w:rsid w:val="006C7289"/>
    <w:rsid w:val="006C7498"/>
    <w:rsid w:val="006C74B7"/>
    <w:rsid w:val="006C74EB"/>
    <w:rsid w:val="006C761D"/>
    <w:rsid w:val="006C76CF"/>
    <w:rsid w:val="006C783D"/>
    <w:rsid w:val="006C799A"/>
    <w:rsid w:val="006C79A5"/>
    <w:rsid w:val="006C7ABA"/>
    <w:rsid w:val="006C7C14"/>
    <w:rsid w:val="006C7C29"/>
    <w:rsid w:val="006C7CFF"/>
    <w:rsid w:val="006C7E1C"/>
    <w:rsid w:val="006C7E35"/>
    <w:rsid w:val="006C7E96"/>
    <w:rsid w:val="006D01FF"/>
    <w:rsid w:val="006D031D"/>
    <w:rsid w:val="006D07D0"/>
    <w:rsid w:val="006D07F1"/>
    <w:rsid w:val="006D09D0"/>
    <w:rsid w:val="006D0B7C"/>
    <w:rsid w:val="006D0BA5"/>
    <w:rsid w:val="006D0C24"/>
    <w:rsid w:val="006D0ECD"/>
    <w:rsid w:val="006D1055"/>
    <w:rsid w:val="006D138C"/>
    <w:rsid w:val="006D13B2"/>
    <w:rsid w:val="006D1438"/>
    <w:rsid w:val="006D151C"/>
    <w:rsid w:val="006D1647"/>
    <w:rsid w:val="006D19C1"/>
    <w:rsid w:val="006D1B45"/>
    <w:rsid w:val="006D1D4F"/>
    <w:rsid w:val="006D1DBF"/>
    <w:rsid w:val="006D1FAA"/>
    <w:rsid w:val="006D2158"/>
    <w:rsid w:val="006D21A0"/>
    <w:rsid w:val="006D23B0"/>
    <w:rsid w:val="006D23C4"/>
    <w:rsid w:val="006D2498"/>
    <w:rsid w:val="006D2592"/>
    <w:rsid w:val="006D27D8"/>
    <w:rsid w:val="006D286D"/>
    <w:rsid w:val="006D2B21"/>
    <w:rsid w:val="006D2F79"/>
    <w:rsid w:val="006D301E"/>
    <w:rsid w:val="006D339E"/>
    <w:rsid w:val="006D375D"/>
    <w:rsid w:val="006D37FE"/>
    <w:rsid w:val="006D3879"/>
    <w:rsid w:val="006D38D7"/>
    <w:rsid w:val="006D3A77"/>
    <w:rsid w:val="006D3D7B"/>
    <w:rsid w:val="006D3F90"/>
    <w:rsid w:val="006D3FA6"/>
    <w:rsid w:val="006D4545"/>
    <w:rsid w:val="006D45C5"/>
    <w:rsid w:val="006D47F4"/>
    <w:rsid w:val="006D4989"/>
    <w:rsid w:val="006D49F2"/>
    <w:rsid w:val="006D4A67"/>
    <w:rsid w:val="006D501A"/>
    <w:rsid w:val="006D521F"/>
    <w:rsid w:val="006D5305"/>
    <w:rsid w:val="006D5357"/>
    <w:rsid w:val="006D53FB"/>
    <w:rsid w:val="006D5709"/>
    <w:rsid w:val="006D5D21"/>
    <w:rsid w:val="006D5ECA"/>
    <w:rsid w:val="006D60A7"/>
    <w:rsid w:val="006D6287"/>
    <w:rsid w:val="006D62A5"/>
    <w:rsid w:val="006D64CA"/>
    <w:rsid w:val="006D67EC"/>
    <w:rsid w:val="006D682C"/>
    <w:rsid w:val="006D69EB"/>
    <w:rsid w:val="006D6BCC"/>
    <w:rsid w:val="006D6F76"/>
    <w:rsid w:val="006D70BD"/>
    <w:rsid w:val="006D734E"/>
    <w:rsid w:val="006D75D3"/>
    <w:rsid w:val="006D768A"/>
    <w:rsid w:val="006D770C"/>
    <w:rsid w:val="006D7777"/>
    <w:rsid w:val="006D77BC"/>
    <w:rsid w:val="006D7884"/>
    <w:rsid w:val="006D7933"/>
    <w:rsid w:val="006D7ABC"/>
    <w:rsid w:val="006D7AF7"/>
    <w:rsid w:val="006D7B4C"/>
    <w:rsid w:val="006D7B95"/>
    <w:rsid w:val="006D7C5C"/>
    <w:rsid w:val="006D7C9B"/>
    <w:rsid w:val="006D7F10"/>
    <w:rsid w:val="006D7FB7"/>
    <w:rsid w:val="006DC8CB"/>
    <w:rsid w:val="006E000D"/>
    <w:rsid w:val="006E02FE"/>
    <w:rsid w:val="006E05A8"/>
    <w:rsid w:val="006E06AE"/>
    <w:rsid w:val="006E06FF"/>
    <w:rsid w:val="006E072C"/>
    <w:rsid w:val="006E0792"/>
    <w:rsid w:val="006E0A46"/>
    <w:rsid w:val="006E0B36"/>
    <w:rsid w:val="006E0C48"/>
    <w:rsid w:val="006E0D3A"/>
    <w:rsid w:val="006E0D75"/>
    <w:rsid w:val="006E0D8B"/>
    <w:rsid w:val="006E0DDE"/>
    <w:rsid w:val="006E13F5"/>
    <w:rsid w:val="006E14DC"/>
    <w:rsid w:val="006E14E2"/>
    <w:rsid w:val="006E16AE"/>
    <w:rsid w:val="006E16FA"/>
    <w:rsid w:val="006E18B3"/>
    <w:rsid w:val="006E19C0"/>
    <w:rsid w:val="006E1AE4"/>
    <w:rsid w:val="006E1B69"/>
    <w:rsid w:val="006E1C26"/>
    <w:rsid w:val="006E1C31"/>
    <w:rsid w:val="006E1E4C"/>
    <w:rsid w:val="006E1EF1"/>
    <w:rsid w:val="006E1F4D"/>
    <w:rsid w:val="006E1FA5"/>
    <w:rsid w:val="006E2064"/>
    <w:rsid w:val="006E2094"/>
    <w:rsid w:val="006E24BD"/>
    <w:rsid w:val="006E258C"/>
    <w:rsid w:val="006E285C"/>
    <w:rsid w:val="006E2A61"/>
    <w:rsid w:val="006E2A6D"/>
    <w:rsid w:val="006E2B0D"/>
    <w:rsid w:val="006E2B66"/>
    <w:rsid w:val="006E2C8A"/>
    <w:rsid w:val="006E3359"/>
    <w:rsid w:val="006E3366"/>
    <w:rsid w:val="006E336C"/>
    <w:rsid w:val="006E3510"/>
    <w:rsid w:val="006E35E7"/>
    <w:rsid w:val="006E36F2"/>
    <w:rsid w:val="006E3C6D"/>
    <w:rsid w:val="006E40A1"/>
    <w:rsid w:val="006E4120"/>
    <w:rsid w:val="006E41C5"/>
    <w:rsid w:val="006E420D"/>
    <w:rsid w:val="006E44A7"/>
    <w:rsid w:val="006E44C4"/>
    <w:rsid w:val="006E4585"/>
    <w:rsid w:val="006E4A33"/>
    <w:rsid w:val="006E4B90"/>
    <w:rsid w:val="006E4E57"/>
    <w:rsid w:val="006E4E5D"/>
    <w:rsid w:val="006E5064"/>
    <w:rsid w:val="006E50B9"/>
    <w:rsid w:val="006E5245"/>
    <w:rsid w:val="006E52A0"/>
    <w:rsid w:val="006E536D"/>
    <w:rsid w:val="006E54DA"/>
    <w:rsid w:val="006E562F"/>
    <w:rsid w:val="006E5640"/>
    <w:rsid w:val="006E58FD"/>
    <w:rsid w:val="006E59FD"/>
    <w:rsid w:val="006E5B1D"/>
    <w:rsid w:val="006E5C18"/>
    <w:rsid w:val="006E5F92"/>
    <w:rsid w:val="006E6038"/>
    <w:rsid w:val="006E6173"/>
    <w:rsid w:val="006E61CF"/>
    <w:rsid w:val="006E620B"/>
    <w:rsid w:val="006E6221"/>
    <w:rsid w:val="006E6372"/>
    <w:rsid w:val="006E6513"/>
    <w:rsid w:val="006E6621"/>
    <w:rsid w:val="006E66EB"/>
    <w:rsid w:val="006E68A9"/>
    <w:rsid w:val="006E6A48"/>
    <w:rsid w:val="006E6B52"/>
    <w:rsid w:val="006E6BE7"/>
    <w:rsid w:val="006E6E78"/>
    <w:rsid w:val="006E6ECE"/>
    <w:rsid w:val="006E6EDE"/>
    <w:rsid w:val="006E6F17"/>
    <w:rsid w:val="006E6F38"/>
    <w:rsid w:val="006E7108"/>
    <w:rsid w:val="006E72AC"/>
    <w:rsid w:val="006E72AD"/>
    <w:rsid w:val="006E75C0"/>
    <w:rsid w:val="006E763D"/>
    <w:rsid w:val="006E7770"/>
    <w:rsid w:val="006E78EF"/>
    <w:rsid w:val="006E7957"/>
    <w:rsid w:val="006E7A30"/>
    <w:rsid w:val="006E7B13"/>
    <w:rsid w:val="006E7F01"/>
    <w:rsid w:val="006F0006"/>
    <w:rsid w:val="006F00CB"/>
    <w:rsid w:val="006F0254"/>
    <w:rsid w:val="006F0305"/>
    <w:rsid w:val="006F0310"/>
    <w:rsid w:val="006F0370"/>
    <w:rsid w:val="006F0421"/>
    <w:rsid w:val="006F04CB"/>
    <w:rsid w:val="006F04DD"/>
    <w:rsid w:val="006F07A3"/>
    <w:rsid w:val="006F0841"/>
    <w:rsid w:val="006F0851"/>
    <w:rsid w:val="006F09AA"/>
    <w:rsid w:val="006F09B0"/>
    <w:rsid w:val="006F0C79"/>
    <w:rsid w:val="006F0D67"/>
    <w:rsid w:val="006F0DE4"/>
    <w:rsid w:val="006F0E64"/>
    <w:rsid w:val="006F13F5"/>
    <w:rsid w:val="006F1518"/>
    <w:rsid w:val="006F1659"/>
    <w:rsid w:val="006F176C"/>
    <w:rsid w:val="006F17B6"/>
    <w:rsid w:val="006F1897"/>
    <w:rsid w:val="006F196A"/>
    <w:rsid w:val="006F1A2B"/>
    <w:rsid w:val="006F1BD4"/>
    <w:rsid w:val="006F1C6D"/>
    <w:rsid w:val="006F1E26"/>
    <w:rsid w:val="006F1E54"/>
    <w:rsid w:val="006F1E56"/>
    <w:rsid w:val="006F1F15"/>
    <w:rsid w:val="006F1F85"/>
    <w:rsid w:val="006F201E"/>
    <w:rsid w:val="006F2190"/>
    <w:rsid w:val="006F2554"/>
    <w:rsid w:val="006F27B9"/>
    <w:rsid w:val="006F2AC1"/>
    <w:rsid w:val="006F2B45"/>
    <w:rsid w:val="006F2BC9"/>
    <w:rsid w:val="006F2E04"/>
    <w:rsid w:val="006F2E36"/>
    <w:rsid w:val="006F2F20"/>
    <w:rsid w:val="006F311B"/>
    <w:rsid w:val="006F3198"/>
    <w:rsid w:val="006F32F9"/>
    <w:rsid w:val="006F3302"/>
    <w:rsid w:val="006F3349"/>
    <w:rsid w:val="006F3364"/>
    <w:rsid w:val="006F3392"/>
    <w:rsid w:val="006F3814"/>
    <w:rsid w:val="006F397A"/>
    <w:rsid w:val="006F3AF6"/>
    <w:rsid w:val="006F3BAB"/>
    <w:rsid w:val="006F3BD7"/>
    <w:rsid w:val="006F3DAE"/>
    <w:rsid w:val="006F3EEA"/>
    <w:rsid w:val="006F4110"/>
    <w:rsid w:val="006F4167"/>
    <w:rsid w:val="006F457A"/>
    <w:rsid w:val="006F4681"/>
    <w:rsid w:val="006F4742"/>
    <w:rsid w:val="006F4769"/>
    <w:rsid w:val="006F476B"/>
    <w:rsid w:val="006F4916"/>
    <w:rsid w:val="006F4B02"/>
    <w:rsid w:val="006F4C8F"/>
    <w:rsid w:val="006F4D74"/>
    <w:rsid w:val="006F50C2"/>
    <w:rsid w:val="006F5354"/>
    <w:rsid w:val="006F5435"/>
    <w:rsid w:val="006F548F"/>
    <w:rsid w:val="006F55A7"/>
    <w:rsid w:val="006F560A"/>
    <w:rsid w:val="006F5645"/>
    <w:rsid w:val="006F566A"/>
    <w:rsid w:val="006F5DC0"/>
    <w:rsid w:val="006F6196"/>
    <w:rsid w:val="006F6255"/>
    <w:rsid w:val="006F6379"/>
    <w:rsid w:val="006F63D5"/>
    <w:rsid w:val="006F6605"/>
    <w:rsid w:val="006F66EC"/>
    <w:rsid w:val="006F67A7"/>
    <w:rsid w:val="006F6A5D"/>
    <w:rsid w:val="006F6CBC"/>
    <w:rsid w:val="006F6F5C"/>
    <w:rsid w:val="006F70FF"/>
    <w:rsid w:val="006F7A40"/>
    <w:rsid w:val="006F7AEC"/>
    <w:rsid w:val="006F7B1E"/>
    <w:rsid w:val="006F7B2C"/>
    <w:rsid w:val="006F7D90"/>
    <w:rsid w:val="006F7EBD"/>
    <w:rsid w:val="006F7F19"/>
    <w:rsid w:val="006F7F1D"/>
    <w:rsid w:val="006F7FBA"/>
    <w:rsid w:val="006FD624"/>
    <w:rsid w:val="00700157"/>
    <w:rsid w:val="00700184"/>
    <w:rsid w:val="00700299"/>
    <w:rsid w:val="007002C5"/>
    <w:rsid w:val="007003B2"/>
    <w:rsid w:val="007003C4"/>
    <w:rsid w:val="00700510"/>
    <w:rsid w:val="00700554"/>
    <w:rsid w:val="0070056E"/>
    <w:rsid w:val="0070084A"/>
    <w:rsid w:val="007009D9"/>
    <w:rsid w:val="00700A74"/>
    <w:rsid w:val="00700ABE"/>
    <w:rsid w:val="00700CA2"/>
    <w:rsid w:val="00700D05"/>
    <w:rsid w:val="00700E17"/>
    <w:rsid w:val="00700E66"/>
    <w:rsid w:val="00701046"/>
    <w:rsid w:val="007010AF"/>
    <w:rsid w:val="007011F9"/>
    <w:rsid w:val="0070133C"/>
    <w:rsid w:val="007015CE"/>
    <w:rsid w:val="007015F5"/>
    <w:rsid w:val="007015FE"/>
    <w:rsid w:val="00701698"/>
    <w:rsid w:val="0070188E"/>
    <w:rsid w:val="00701926"/>
    <w:rsid w:val="00701932"/>
    <w:rsid w:val="00701B7B"/>
    <w:rsid w:val="00701C27"/>
    <w:rsid w:val="00701C33"/>
    <w:rsid w:val="00701E89"/>
    <w:rsid w:val="00701EC3"/>
    <w:rsid w:val="00701EC9"/>
    <w:rsid w:val="0070214C"/>
    <w:rsid w:val="007024AF"/>
    <w:rsid w:val="0070262B"/>
    <w:rsid w:val="00702653"/>
    <w:rsid w:val="00702665"/>
    <w:rsid w:val="00702675"/>
    <w:rsid w:val="007026B4"/>
    <w:rsid w:val="007028B3"/>
    <w:rsid w:val="0070292F"/>
    <w:rsid w:val="00702B2C"/>
    <w:rsid w:val="00702BAA"/>
    <w:rsid w:val="00702D46"/>
    <w:rsid w:val="00702DD6"/>
    <w:rsid w:val="00702F5A"/>
    <w:rsid w:val="00703121"/>
    <w:rsid w:val="00703240"/>
    <w:rsid w:val="007033F9"/>
    <w:rsid w:val="00703503"/>
    <w:rsid w:val="00703615"/>
    <w:rsid w:val="00703885"/>
    <w:rsid w:val="0070394A"/>
    <w:rsid w:val="007039E9"/>
    <w:rsid w:val="00703B31"/>
    <w:rsid w:val="00703B68"/>
    <w:rsid w:val="00703CE8"/>
    <w:rsid w:val="00703D2B"/>
    <w:rsid w:val="00703E80"/>
    <w:rsid w:val="00703EAD"/>
    <w:rsid w:val="00703F83"/>
    <w:rsid w:val="0070401E"/>
    <w:rsid w:val="0070422F"/>
    <w:rsid w:val="00704315"/>
    <w:rsid w:val="00704386"/>
    <w:rsid w:val="00704684"/>
    <w:rsid w:val="00704741"/>
    <w:rsid w:val="00704973"/>
    <w:rsid w:val="00704A23"/>
    <w:rsid w:val="00704A63"/>
    <w:rsid w:val="00704B34"/>
    <w:rsid w:val="00704B8B"/>
    <w:rsid w:val="00704C13"/>
    <w:rsid w:val="00704DA1"/>
    <w:rsid w:val="00704F43"/>
    <w:rsid w:val="007054F5"/>
    <w:rsid w:val="007056BA"/>
    <w:rsid w:val="0070570C"/>
    <w:rsid w:val="007057D8"/>
    <w:rsid w:val="00705879"/>
    <w:rsid w:val="0070588F"/>
    <w:rsid w:val="007059BF"/>
    <w:rsid w:val="00705B18"/>
    <w:rsid w:val="00705B76"/>
    <w:rsid w:val="00705D6D"/>
    <w:rsid w:val="00705DB1"/>
    <w:rsid w:val="00705EDF"/>
    <w:rsid w:val="00706154"/>
    <w:rsid w:val="00706482"/>
    <w:rsid w:val="007064B2"/>
    <w:rsid w:val="007064D9"/>
    <w:rsid w:val="00706598"/>
    <w:rsid w:val="00706960"/>
    <w:rsid w:val="00706B5B"/>
    <w:rsid w:val="00706BE7"/>
    <w:rsid w:val="0070749F"/>
    <w:rsid w:val="00707578"/>
    <w:rsid w:val="00707650"/>
    <w:rsid w:val="0070769F"/>
    <w:rsid w:val="0070774A"/>
    <w:rsid w:val="00707961"/>
    <w:rsid w:val="00707A75"/>
    <w:rsid w:val="00707BE8"/>
    <w:rsid w:val="00707CA0"/>
    <w:rsid w:val="00707D0E"/>
    <w:rsid w:val="00707F6E"/>
    <w:rsid w:val="00707FC4"/>
    <w:rsid w:val="007101C4"/>
    <w:rsid w:val="0071020B"/>
    <w:rsid w:val="0071023A"/>
    <w:rsid w:val="00710366"/>
    <w:rsid w:val="00710410"/>
    <w:rsid w:val="00710607"/>
    <w:rsid w:val="0071086F"/>
    <w:rsid w:val="0071098E"/>
    <w:rsid w:val="00710AAD"/>
    <w:rsid w:val="0071102B"/>
    <w:rsid w:val="007110A8"/>
    <w:rsid w:val="0071136F"/>
    <w:rsid w:val="00711412"/>
    <w:rsid w:val="00711448"/>
    <w:rsid w:val="00711598"/>
    <w:rsid w:val="00711877"/>
    <w:rsid w:val="00711960"/>
    <w:rsid w:val="007119B4"/>
    <w:rsid w:val="007119CA"/>
    <w:rsid w:val="00711DF6"/>
    <w:rsid w:val="007120AF"/>
    <w:rsid w:val="007121B7"/>
    <w:rsid w:val="0071232A"/>
    <w:rsid w:val="007123C0"/>
    <w:rsid w:val="007124E8"/>
    <w:rsid w:val="00712597"/>
    <w:rsid w:val="00712755"/>
    <w:rsid w:val="00712777"/>
    <w:rsid w:val="00712813"/>
    <w:rsid w:val="00712896"/>
    <w:rsid w:val="00712B31"/>
    <w:rsid w:val="00712B7B"/>
    <w:rsid w:val="00712D7F"/>
    <w:rsid w:val="00712FF2"/>
    <w:rsid w:val="0071302C"/>
    <w:rsid w:val="007131E2"/>
    <w:rsid w:val="007132CE"/>
    <w:rsid w:val="0071347D"/>
    <w:rsid w:val="007135B6"/>
    <w:rsid w:val="00713627"/>
    <w:rsid w:val="007137C8"/>
    <w:rsid w:val="0071394A"/>
    <w:rsid w:val="00713A7F"/>
    <w:rsid w:val="00713BC7"/>
    <w:rsid w:val="00713D6B"/>
    <w:rsid w:val="00713D77"/>
    <w:rsid w:val="00713E14"/>
    <w:rsid w:val="00713E8A"/>
    <w:rsid w:val="00713FB8"/>
    <w:rsid w:val="007141FC"/>
    <w:rsid w:val="00714282"/>
    <w:rsid w:val="007146D5"/>
    <w:rsid w:val="00714933"/>
    <w:rsid w:val="00714CFB"/>
    <w:rsid w:val="00714E0F"/>
    <w:rsid w:val="00714ECC"/>
    <w:rsid w:val="00714F68"/>
    <w:rsid w:val="00715015"/>
    <w:rsid w:val="007150BC"/>
    <w:rsid w:val="00715170"/>
    <w:rsid w:val="0071579E"/>
    <w:rsid w:val="0071590E"/>
    <w:rsid w:val="00715AB8"/>
    <w:rsid w:val="00715BC3"/>
    <w:rsid w:val="00715F6A"/>
    <w:rsid w:val="0071606A"/>
    <w:rsid w:val="007160FC"/>
    <w:rsid w:val="00716161"/>
    <w:rsid w:val="00716421"/>
    <w:rsid w:val="0071663C"/>
    <w:rsid w:val="00716642"/>
    <w:rsid w:val="007168CA"/>
    <w:rsid w:val="007168FF"/>
    <w:rsid w:val="00716992"/>
    <w:rsid w:val="00716B25"/>
    <w:rsid w:val="00716B36"/>
    <w:rsid w:val="00716BF5"/>
    <w:rsid w:val="00716C67"/>
    <w:rsid w:val="00716D62"/>
    <w:rsid w:val="00716D6F"/>
    <w:rsid w:val="00716E0E"/>
    <w:rsid w:val="007175BA"/>
    <w:rsid w:val="00717A40"/>
    <w:rsid w:val="00717AD2"/>
    <w:rsid w:val="00717AFE"/>
    <w:rsid w:val="00717B6E"/>
    <w:rsid w:val="00717BD6"/>
    <w:rsid w:val="00717D14"/>
    <w:rsid w:val="00717D17"/>
    <w:rsid w:val="007204C8"/>
    <w:rsid w:val="00720AD1"/>
    <w:rsid w:val="00720CBA"/>
    <w:rsid w:val="00720DD2"/>
    <w:rsid w:val="00721019"/>
    <w:rsid w:val="007210FD"/>
    <w:rsid w:val="007211B4"/>
    <w:rsid w:val="007211EA"/>
    <w:rsid w:val="00721203"/>
    <w:rsid w:val="00721378"/>
    <w:rsid w:val="007213E5"/>
    <w:rsid w:val="0072140B"/>
    <w:rsid w:val="00721B31"/>
    <w:rsid w:val="00721DDA"/>
    <w:rsid w:val="00721EA1"/>
    <w:rsid w:val="0072205F"/>
    <w:rsid w:val="00722133"/>
    <w:rsid w:val="007223FC"/>
    <w:rsid w:val="00722448"/>
    <w:rsid w:val="00722548"/>
    <w:rsid w:val="0072257F"/>
    <w:rsid w:val="0072276A"/>
    <w:rsid w:val="0072279E"/>
    <w:rsid w:val="007227FD"/>
    <w:rsid w:val="007229B2"/>
    <w:rsid w:val="00722DEE"/>
    <w:rsid w:val="00722E4E"/>
    <w:rsid w:val="00722F34"/>
    <w:rsid w:val="00722FAA"/>
    <w:rsid w:val="0072303A"/>
    <w:rsid w:val="0072313C"/>
    <w:rsid w:val="00723167"/>
    <w:rsid w:val="00723195"/>
    <w:rsid w:val="007234AF"/>
    <w:rsid w:val="0072355A"/>
    <w:rsid w:val="00723772"/>
    <w:rsid w:val="0072379B"/>
    <w:rsid w:val="00723836"/>
    <w:rsid w:val="00723850"/>
    <w:rsid w:val="00723978"/>
    <w:rsid w:val="00723F17"/>
    <w:rsid w:val="00724052"/>
    <w:rsid w:val="0072420C"/>
    <w:rsid w:val="00724219"/>
    <w:rsid w:val="00724264"/>
    <w:rsid w:val="00724383"/>
    <w:rsid w:val="007244AF"/>
    <w:rsid w:val="007245DB"/>
    <w:rsid w:val="00724679"/>
    <w:rsid w:val="00724830"/>
    <w:rsid w:val="0072496D"/>
    <w:rsid w:val="00724A1B"/>
    <w:rsid w:val="00724B80"/>
    <w:rsid w:val="00724B8E"/>
    <w:rsid w:val="00724BB3"/>
    <w:rsid w:val="00724BCE"/>
    <w:rsid w:val="00724C03"/>
    <w:rsid w:val="00724C5A"/>
    <w:rsid w:val="00724D37"/>
    <w:rsid w:val="00724E62"/>
    <w:rsid w:val="00724EF8"/>
    <w:rsid w:val="00724FEA"/>
    <w:rsid w:val="00725160"/>
    <w:rsid w:val="00725215"/>
    <w:rsid w:val="0072532F"/>
    <w:rsid w:val="0072584C"/>
    <w:rsid w:val="0072591F"/>
    <w:rsid w:val="00725ABC"/>
    <w:rsid w:val="00725AE4"/>
    <w:rsid w:val="00725C2E"/>
    <w:rsid w:val="00725E42"/>
    <w:rsid w:val="00725EB4"/>
    <w:rsid w:val="0072605B"/>
    <w:rsid w:val="00726141"/>
    <w:rsid w:val="0072653A"/>
    <w:rsid w:val="007269B1"/>
    <w:rsid w:val="007269E5"/>
    <w:rsid w:val="00726A08"/>
    <w:rsid w:val="00726F63"/>
    <w:rsid w:val="0072701C"/>
    <w:rsid w:val="007271A4"/>
    <w:rsid w:val="007271B9"/>
    <w:rsid w:val="007273F0"/>
    <w:rsid w:val="00727661"/>
    <w:rsid w:val="007278F3"/>
    <w:rsid w:val="00727A8A"/>
    <w:rsid w:val="00727BC0"/>
    <w:rsid w:val="00727DD7"/>
    <w:rsid w:val="00727E20"/>
    <w:rsid w:val="00727FB1"/>
    <w:rsid w:val="0073001A"/>
    <w:rsid w:val="00730176"/>
    <w:rsid w:val="00730178"/>
    <w:rsid w:val="007303C6"/>
    <w:rsid w:val="007303D4"/>
    <w:rsid w:val="007305B4"/>
    <w:rsid w:val="007305E0"/>
    <w:rsid w:val="0073063A"/>
    <w:rsid w:val="0073066E"/>
    <w:rsid w:val="00730685"/>
    <w:rsid w:val="00730826"/>
    <w:rsid w:val="00730857"/>
    <w:rsid w:val="0073092D"/>
    <w:rsid w:val="007309FD"/>
    <w:rsid w:val="00730A24"/>
    <w:rsid w:val="00730BA9"/>
    <w:rsid w:val="00730BB0"/>
    <w:rsid w:val="00730CB2"/>
    <w:rsid w:val="00730CD6"/>
    <w:rsid w:val="00730D10"/>
    <w:rsid w:val="00730D86"/>
    <w:rsid w:val="00730E0C"/>
    <w:rsid w:val="00730F49"/>
    <w:rsid w:val="0073100F"/>
    <w:rsid w:val="0073121F"/>
    <w:rsid w:val="00731357"/>
    <w:rsid w:val="0073147D"/>
    <w:rsid w:val="0073178B"/>
    <w:rsid w:val="007318EC"/>
    <w:rsid w:val="00731A9D"/>
    <w:rsid w:val="00731AEA"/>
    <w:rsid w:val="00731B04"/>
    <w:rsid w:val="00731DB3"/>
    <w:rsid w:val="00731E49"/>
    <w:rsid w:val="0073207F"/>
    <w:rsid w:val="007325CF"/>
    <w:rsid w:val="00732785"/>
    <w:rsid w:val="007327BB"/>
    <w:rsid w:val="00732A03"/>
    <w:rsid w:val="00732A90"/>
    <w:rsid w:val="00732B33"/>
    <w:rsid w:val="00732B60"/>
    <w:rsid w:val="00732BFD"/>
    <w:rsid w:val="00732C85"/>
    <w:rsid w:val="00732D89"/>
    <w:rsid w:val="00732D9F"/>
    <w:rsid w:val="00732DBA"/>
    <w:rsid w:val="00732E63"/>
    <w:rsid w:val="00732EB1"/>
    <w:rsid w:val="00733014"/>
    <w:rsid w:val="007330F6"/>
    <w:rsid w:val="007331A3"/>
    <w:rsid w:val="00733218"/>
    <w:rsid w:val="007332EB"/>
    <w:rsid w:val="00733520"/>
    <w:rsid w:val="007336A9"/>
    <w:rsid w:val="007336EA"/>
    <w:rsid w:val="00733A9C"/>
    <w:rsid w:val="00733BC6"/>
    <w:rsid w:val="00733D73"/>
    <w:rsid w:val="00733ECA"/>
    <w:rsid w:val="0073402E"/>
    <w:rsid w:val="00734042"/>
    <w:rsid w:val="00734260"/>
    <w:rsid w:val="0073431F"/>
    <w:rsid w:val="0073435D"/>
    <w:rsid w:val="0073452A"/>
    <w:rsid w:val="00734578"/>
    <w:rsid w:val="00734628"/>
    <w:rsid w:val="0073473B"/>
    <w:rsid w:val="0073477D"/>
    <w:rsid w:val="0073482B"/>
    <w:rsid w:val="00734966"/>
    <w:rsid w:val="0073498F"/>
    <w:rsid w:val="007349E3"/>
    <w:rsid w:val="00734A0E"/>
    <w:rsid w:val="00734AB9"/>
    <w:rsid w:val="00734D7D"/>
    <w:rsid w:val="00734F5C"/>
    <w:rsid w:val="0073530F"/>
    <w:rsid w:val="0073542E"/>
    <w:rsid w:val="00735716"/>
    <w:rsid w:val="0073587C"/>
    <w:rsid w:val="00735944"/>
    <w:rsid w:val="00735A0E"/>
    <w:rsid w:val="00735BF2"/>
    <w:rsid w:val="00735CFC"/>
    <w:rsid w:val="00735E9A"/>
    <w:rsid w:val="0073618C"/>
    <w:rsid w:val="007361EB"/>
    <w:rsid w:val="007361F7"/>
    <w:rsid w:val="007363A3"/>
    <w:rsid w:val="00736419"/>
    <w:rsid w:val="0073651C"/>
    <w:rsid w:val="0073680F"/>
    <w:rsid w:val="0073689E"/>
    <w:rsid w:val="0073690E"/>
    <w:rsid w:val="00736A8B"/>
    <w:rsid w:val="00736C0B"/>
    <w:rsid w:val="00736DB6"/>
    <w:rsid w:val="00736EE0"/>
    <w:rsid w:val="00736F0E"/>
    <w:rsid w:val="00737208"/>
    <w:rsid w:val="00737227"/>
    <w:rsid w:val="00737298"/>
    <w:rsid w:val="0073732A"/>
    <w:rsid w:val="00737493"/>
    <w:rsid w:val="00737548"/>
    <w:rsid w:val="0073760E"/>
    <w:rsid w:val="00737720"/>
    <w:rsid w:val="007378CB"/>
    <w:rsid w:val="007379B5"/>
    <w:rsid w:val="007379D5"/>
    <w:rsid w:val="00737D1C"/>
    <w:rsid w:val="0074014D"/>
    <w:rsid w:val="00740252"/>
    <w:rsid w:val="00740382"/>
    <w:rsid w:val="00740483"/>
    <w:rsid w:val="007404D4"/>
    <w:rsid w:val="00740608"/>
    <w:rsid w:val="00740737"/>
    <w:rsid w:val="00740C19"/>
    <w:rsid w:val="00740E95"/>
    <w:rsid w:val="00740EE0"/>
    <w:rsid w:val="00740FD5"/>
    <w:rsid w:val="00740FF0"/>
    <w:rsid w:val="0074121A"/>
    <w:rsid w:val="00741220"/>
    <w:rsid w:val="007412B4"/>
    <w:rsid w:val="007412C1"/>
    <w:rsid w:val="007414FF"/>
    <w:rsid w:val="0074152D"/>
    <w:rsid w:val="007415C2"/>
    <w:rsid w:val="007415D1"/>
    <w:rsid w:val="007416C7"/>
    <w:rsid w:val="007417D2"/>
    <w:rsid w:val="0074192F"/>
    <w:rsid w:val="007419A4"/>
    <w:rsid w:val="00741B62"/>
    <w:rsid w:val="00741DAC"/>
    <w:rsid w:val="007421D8"/>
    <w:rsid w:val="007421E2"/>
    <w:rsid w:val="007423B5"/>
    <w:rsid w:val="007424E3"/>
    <w:rsid w:val="00742502"/>
    <w:rsid w:val="00742541"/>
    <w:rsid w:val="00742549"/>
    <w:rsid w:val="00742CA8"/>
    <w:rsid w:val="00742E9C"/>
    <w:rsid w:val="00742F46"/>
    <w:rsid w:val="00742F7A"/>
    <w:rsid w:val="007431F4"/>
    <w:rsid w:val="00743333"/>
    <w:rsid w:val="00743366"/>
    <w:rsid w:val="007433AD"/>
    <w:rsid w:val="007435B4"/>
    <w:rsid w:val="00743699"/>
    <w:rsid w:val="00743977"/>
    <w:rsid w:val="00743F3B"/>
    <w:rsid w:val="00743FE4"/>
    <w:rsid w:val="007445BB"/>
    <w:rsid w:val="007447F1"/>
    <w:rsid w:val="007449BD"/>
    <w:rsid w:val="007449DD"/>
    <w:rsid w:val="00744B24"/>
    <w:rsid w:val="00744BC1"/>
    <w:rsid w:val="00744C24"/>
    <w:rsid w:val="00744CA6"/>
    <w:rsid w:val="00744CCA"/>
    <w:rsid w:val="00744CD4"/>
    <w:rsid w:val="00744EAF"/>
    <w:rsid w:val="00744F83"/>
    <w:rsid w:val="00744F84"/>
    <w:rsid w:val="00745278"/>
    <w:rsid w:val="007454A0"/>
    <w:rsid w:val="00745585"/>
    <w:rsid w:val="007455A0"/>
    <w:rsid w:val="007456D7"/>
    <w:rsid w:val="00745769"/>
    <w:rsid w:val="00745790"/>
    <w:rsid w:val="007458EB"/>
    <w:rsid w:val="00745979"/>
    <w:rsid w:val="00745C74"/>
    <w:rsid w:val="00745CBD"/>
    <w:rsid w:val="00745D72"/>
    <w:rsid w:val="00745E00"/>
    <w:rsid w:val="00745E44"/>
    <w:rsid w:val="00745F35"/>
    <w:rsid w:val="00745F57"/>
    <w:rsid w:val="0074616A"/>
    <w:rsid w:val="007461B7"/>
    <w:rsid w:val="0074630B"/>
    <w:rsid w:val="0074650E"/>
    <w:rsid w:val="007465B7"/>
    <w:rsid w:val="0074661B"/>
    <w:rsid w:val="007467CC"/>
    <w:rsid w:val="007467F5"/>
    <w:rsid w:val="00746828"/>
    <w:rsid w:val="00746901"/>
    <w:rsid w:val="00746C5D"/>
    <w:rsid w:val="007473A8"/>
    <w:rsid w:val="0074754B"/>
    <w:rsid w:val="00747852"/>
    <w:rsid w:val="0074798B"/>
    <w:rsid w:val="00747A57"/>
    <w:rsid w:val="00747CF9"/>
    <w:rsid w:val="00747D1A"/>
    <w:rsid w:val="00747D52"/>
    <w:rsid w:val="00747D8A"/>
    <w:rsid w:val="00747E02"/>
    <w:rsid w:val="00747E79"/>
    <w:rsid w:val="0075008C"/>
    <w:rsid w:val="00750188"/>
    <w:rsid w:val="00750249"/>
    <w:rsid w:val="00750521"/>
    <w:rsid w:val="0075054A"/>
    <w:rsid w:val="007505EC"/>
    <w:rsid w:val="0075060E"/>
    <w:rsid w:val="0075080F"/>
    <w:rsid w:val="00750850"/>
    <w:rsid w:val="0075095F"/>
    <w:rsid w:val="007509F1"/>
    <w:rsid w:val="00750A17"/>
    <w:rsid w:val="00750A7B"/>
    <w:rsid w:val="00750BFA"/>
    <w:rsid w:val="00750F0C"/>
    <w:rsid w:val="00750F44"/>
    <w:rsid w:val="00750F76"/>
    <w:rsid w:val="00751118"/>
    <w:rsid w:val="00751169"/>
    <w:rsid w:val="00751174"/>
    <w:rsid w:val="0075121B"/>
    <w:rsid w:val="0075131A"/>
    <w:rsid w:val="007515E7"/>
    <w:rsid w:val="0075163E"/>
    <w:rsid w:val="007516FE"/>
    <w:rsid w:val="00751909"/>
    <w:rsid w:val="00751A72"/>
    <w:rsid w:val="00751A90"/>
    <w:rsid w:val="00751B94"/>
    <w:rsid w:val="00751CF6"/>
    <w:rsid w:val="00751D3E"/>
    <w:rsid w:val="00751D9A"/>
    <w:rsid w:val="00751ECE"/>
    <w:rsid w:val="00751F2D"/>
    <w:rsid w:val="00751F2E"/>
    <w:rsid w:val="00751FCA"/>
    <w:rsid w:val="00752010"/>
    <w:rsid w:val="0075204E"/>
    <w:rsid w:val="00752227"/>
    <w:rsid w:val="00752309"/>
    <w:rsid w:val="007524A1"/>
    <w:rsid w:val="007526CD"/>
    <w:rsid w:val="007526CF"/>
    <w:rsid w:val="007528B9"/>
    <w:rsid w:val="00752959"/>
    <w:rsid w:val="00752A6F"/>
    <w:rsid w:val="00752B99"/>
    <w:rsid w:val="00752BE1"/>
    <w:rsid w:val="00752C92"/>
    <w:rsid w:val="00752D2F"/>
    <w:rsid w:val="00753034"/>
    <w:rsid w:val="007530B8"/>
    <w:rsid w:val="0075319E"/>
    <w:rsid w:val="00753206"/>
    <w:rsid w:val="00753235"/>
    <w:rsid w:val="0075326F"/>
    <w:rsid w:val="00753421"/>
    <w:rsid w:val="00753429"/>
    <w:rsid w:val="007534E1"/>
    <w:rsid w:val="00753539"/>
    <w:rsid w:val="007537EC"/>
    <w:rsid w:val="007537F4"/>
    <w:rsid w:val="007538CB"/>
    <w:rsid w:val="00753925"/>
    <w:rsid w:val="00753B09"/>
    <w:rsid w:val="00753B31"/>
    <w:rsid w:val="00753B32"/>
    <w:rsid w:val="00753B53"/>
    <w:rsid w:val="00753C1C"/>
    <w:rsid w:val="00753D7F"/>
    <w:rsid w:val="00753E8F"/>
    <w:rsid w:val="00753FCB"/>
    <w:rsid w:val="0075410C"/>
    <w:rsid w:val="007541CE"/>
    <w:rsid w:val="00754205"/>
    <w:rsid w:val="007542AF"/>
    <w:rsid w:val="007544EF"/>
    <w:rsid w:val="0075450E"/>
    <w:rsid w:val="00754558"/>
    <w:rsid w:val="007545A1"/>
    <w:rsid w:val="00754682"/>
    <w:rsid w:val="007546FD"/>
    <w:rsid w:val="0075480C"/>
    <w:rsid w:val="00754869"/>
    <w:rsid w:val="007548B5"/>
    <w:rsid w:val="00754A10"/>
    <w:rsid w:val="00754AD1"/>
    <w:rsid w:val="00754BF7"/>
    <w:rsid w:val="00754C67"/>
    <w:rsid w:val="00754D96"/>
    <w:rsid w:val="0075503B"/>
    <w:rsid w:val="0075512E"/>
    <w:rsid w:val="007551E0"/>
    <w:rsid w:val="0075527E"/>
    <w:rsid w:val="007554A4"/>
    <w:rsid w:val="007556BC"/>
    <w:rsid w:val="007556CC"/>
    <w:rsid w:val="00755890"/>
    <w:rsid w:val="00755B65"/>
    <w:rsid w:val="007560FD"/>
    <w:rsid w:val="00756219"/>
    <w:rsid w:val="0075628C"/>
    <w:rsid w:val="00756732"/>
    <w:rsid w:val="0075674E"/>
    <w:rsid w:val="007567A8"/>
    <w:rsid w:val="00756815"/>
    <w:rsid w:val="00756A7D"/>
    <w:rsid w:val="00756A8D"/>
    <w:rsid w:val="00756C0B"/>
    <w:rsid w:val="00756C76"/>
    <w:rsid w:val="00756DC4"/>
    <w:rsid w:val="00756E00"/>
    <w:rsid w:val="00756E1A"/>
    <w:rsid w:val="00756F0D"/>
    <w:rsid w:val="007570F6"/>
    <w:rsid w:val="00757324"/>
    <w:rsid w:val="00757596"/>
    <w:rsid w:val="007575A8"/>
    <w:rsid w:val="00757ADA"/>
    <w:rsid w:val="00757B65"/>
    <w:rsid w:val="00757D1B"/>
    <w:rsid w:val="00757D39"/>
    <w:rsid w:val="00757DC0"/>
    <w:rsid w:val="00757FAB"/>
    <w:rsid w:val="00760367"/>
    <w:rsid w:val="00760494"/>
    <w:rsid w:val="00760756"/>
    <w:rsid w:val="0076094D"/>
    <w:rsid w:val="00760A12"/>
    <w:rsid w:val="00760C15"/>
    <w:rsid w:val="00760CF4"/>
    <w:rsid w:val="00760DC8"/>
    <w:rsid w:val="00760DCB"/>
    <w:rsid w:val="00760EB1"/>
    <w:rsid w:val="00760F11"/>
    <w:rsid w:val="00760F2C"/>
    <w:rsid w:val="00760FC9"/>
    <w:rsid w:val="007611DC"/>
    <w:rsid w:val="007612EC"/>
    <w:rsid w:val="007613F3"/>
    <w:rsid w:val="0076157E"/>
    <w:rsid w:val="0076165F"/>
    <w:rsid w:val="0076176E"/>
    <w:rsid w:val="0076186C"/>
    <w:rsid w:val="00761873"/>
    <w:rsid w:val="00761886"/>
    <w:rsid w:val="007618E9"/>
    <w:rsid w:val="0076195C"/>
    <w:rsid w:val="00761B2D"/>
    <w:rsid w:val="00761BDF"/>
    <w:rsid w:val="00761BE3"/>
    <w:rsid w:val="00761C38"/>
    <w:rsid w:val="00761DA5"/>
    <w:rsid w:val="00761ECB"/>
    <w:rsid w:val="00762025"/>
    <w:rsid w:val="0076206D"/>
    <w:rsid w:val="007623A1"/>
    <w:rsid w:val="00762659"/>
    <w:rsid w:val="00762782"/>
    <w:rsid w:val="00762815"/>
    <w:rsid w:val="00762880"/>
    <w:rsid w:val="00762916"/>
    <w:rsid w:val="007629A9"/>
    <w:rsid w:val="00762A81"/>
    <w:rsid w:val="00762B13"/>
    <w:rsid w:val="00762B50"/>
    <w:rsid w:val="00762B7E"/>
    <w:rsid w:val="00762C73"/>
    <w:rsid w:val="00762E1F"/>
    <w:rsid w:val="00762EF8"/>
    <w:rsid w:val="00762F2C"/>
    <w:rsid w:val="007631A9"/>
    <w:rsid w:val="00763291"/>
    <w:rsid w:val="00763357"/>
    <w:rsid w:val="0076341E"/>
    <w:rsid w:val="00763865"/>
    <w:rsid w:val="007639F3"/>
    <w:rsid w:val="00763AD4"/>
    <w:rsid w:val="00763C53"/>
    <w:rsid w:val="00763CA2"/>
    <w:rsid w:val="00763CA8"/>
    <w:rsid w:val="00763CF3"/>
    <w:rsid w:val="00763D23"/>
    <w:rsid w:val="00763D3B"/>
    <w:rsid w:val="00763D73"/>
    <w:rsid w:val="00763F96"/>
    <w:rsid w:val="0076402A"/>
    <w:rsid w:val="007641C6"/>
    <w:rsid w:val="00764244"/>
    <w:rsid w:val="007642AD"/>
    <w:rsid w:val="007645C5"/>
    <w:rsid w:val="007645E4"/>
    <w:rsid w:val="00764689"/>
    <w:rsid w:val="007648C0"/>
    <w:rsid w:val="00764A91"/>
    <w:rsid w:val="00764AEC"/>
    <w:rsid w:val="00764DB5"/>
    <w:rsid w:val="00764DF6"/>
    <w:rsid w:val="00764F35"/>
    <w:rsid w:val="00764F86"/>
    <w:rsid w:val="00765022"/>
    <w:rsid w:val="00765419"/>
    <w:rsid w:val="0076547C"/>
    <w:rsid w:val="00765488"/>
    <w:rsid w:val="007654B0"/>
    <w:rsid w:val="00765581"/>
    <w:rsid w:val="007657E0"/>
    <w:rsid w:val="0076596C"/>
    <w:rsid w:val="00765A8B"/>
    <w:rsid w:val="00765C20"/>
    <w:rsid w:val="00765E05"/>
    <w:rsid w:val="007660BD"/>
    <w:rsid w:val="00766283"/>
    <w:rsid w:val="00766498"/>
    <w:rsid w:val="007664B1"/>
    <w:rsid w:val="00766517"/>
    <w:rsid w:val="00766585"/>
    <w:rsid w:val="0076664C"/>
    <w:rsid w:val="00766707"/>
    <w:rsid w:val="00766781"/>
    <w:rsid w:val="0076694B"/>
    <w:rsid w:val="00766A2B"/>
    <w:rsid w:val="00766AB7"/>
    <w:rsid w:val="00766B75"/>
    <w:rsid w:val="00766D95"/>
    <w:rsid w:val="00766F0E"/>
    <w:rsid w:val="007670CA"/>
    <w:rsid w:val="0076722A"/>
    <w:rsid w:val="0076732C"/>
    <w:rsid w:val="00767427"/>
    <w:rsid w:val="0076752C"/>
    <w:rsid w:val="00767640"/>
    <w:rsid w:val="007676C5"/>
    <w:rsid w:val="007677BD"/>
    <w:rsid w:val="00767B85"/>
    <w:rsid w:val="00767D8B"/>
    <w:rsid w:val="00767D94"/>
    <w:rsid w:val="00767E52"/>
    <w:rsid w:val="00768260"/>
    <w:rsid w:val="007700FD"/>
    <w:rsid w:val="007701C8"/>
    <w:rsid w:val="007701F9"/>
    <w:rsid w:val="0077050C"/>
    <w:rsid w:val="007705F4"/>
    <w:rsid w:val="00770776"/>
    <w:rsid w:val="00770882"/>
    <w:rsid w:val="00770952"/>
    <w:rsid w:val="00770998"/>
    <w:rsid w:val="00770A12"/>
    <w:rsid w:val="00770AB3"/>
    <w:rsid w:val="00770ACA"/>
    <w:rsid w:val="00770B36"/>
    <w:rsid w:val="00770C8D"/>
    <w:rsid w:val="00770D22"/>
    <w:rsid w:val="007711A5"/>
    <w:rsid w:val="00771607"/>
    <w:rsid w:val="0077182F"/>
    <w:rsid w:val="007718D8"/>
    <w:rsid w:val="00771A9C"/>
    <w:rsid w:val="00771C2A"/>
    <w:rsid w:val="00771DC9"/>
    <w:rsid w:val="0077210E"/>
    <w:rsid w:val="00772147"/>
    <w:rsid w:val="0077231A"/>
    <w:rsid w:val="00772623"/>
    <w:rsid w:val="0077277F"/>
    <w:rsid w:val="007728D0"/>
    <w:rsid w:val="00772908"/>
    <w:rsid w:val="00772A50"/>
    <w:rsid w:val="00772C2A"/>
    <w:rsid w:val="00772C2F"/>
    <w:rsid w:val="00772C38"/>
    <w:rsid w:val="00772C8F"/>
    <w:rsid w:val="00772CD7"/>
    <w:rsid w:val="00772D24"/>
    <w:rsid w:val="00772E5C"/>
    <w:rsid w:val="00772F4B"/>
    <w:rsid w:val="00773052"/>
    <w:rsid w:val="00773336"/>
    <w:rsid w:val="0077335E"/>
    <w:rsid w:val="0077349C"/>
    <w:rsid w:val="0077358B"/>
    <w:rsid w:val="007739E4"/>
    <w:rsid w:val="00773A55"/>
    <w:rsid w:val="00773B96"/>
    <w:rsid w:val="00773C9C"/>
    <w:rsid w:val="007740A5"/>
    <w:rsid w:val="00774311"/>
    <w:rsid w:val="00774482"/>
    <w:rsid w:val="00774586"/>
    <w:rsid w:val="007745E6"/>
    <w:rsid w:val="00774633"/>
    <w:rsid w:val="00774838"/>
    <w:rsid w:val="00774B62"/>
    <w:rsid w:val="00774B81"/>
    <w:rsid w:val="00774B8C"/>
    <w:rsid w:val="00774B9B"/>
    <w:rsid w:val="00774C62"/>
    <w:rsid w:val="00774DC5"/>
    <w:rsid w:val="00774F64"/>
    <w:rsid w:val="00774FC7"/>
    <w:rsid w:val="00775097"/>
    <w:rsid w:val="007750F9"/>
    <w:rsid w:val="00775232"/>
    <w:rsid w:val="007753F4"/>
    <w:rsid w:val="0077543A"/>
    <w:rsid w:val="0077586A"/>
    <w:rsid w:val="00775B85"/>
    <w:rsid w:val="00775D18"/>
    <w:rsid w:val="0077640D"/>
    <w:rsid w:val="00776542"/>
    <w:rsid w:val="0077665E"/>
    <w:rsid w:val="00776665"/>
    <w:rsid w:val="0077687C"/>
    <w:rsid w:val="00776CDC"/>
    <w:rsid w:val="00776D38"/>
    <w:rsid w:val="00776E16"/>
    <w:rsid w:val="00776FA5"/>
    <w:rsid w:val="00776FBC"/>
    <w:rsid w:val="007776E0"/>
    <w:rsid w:val="00777A9A"/>
    <w:rsid w:val="00777AB7"/>
    <w:rsid w:val="00777BC2"/>
    <w:rsid w:val="00777C70"/>
    <w:rsid w:val="00777DD1"/>
    <w:rsid w:val="007802C8"/>
    <w:rsid w:val="0078057C"/>
    <w:rsid w:val="007806A1"/>
    <w:rsid w:val="0078071A"/>
    <w:rsid w:val="00780905"/>
    <w:rsid w:val="0078096A"/>
    <w:rsid w:val="00780A5F"/>
    <w:rsid w:val="00780AFF"/>
    <w:rsid w:val="00780B59"/>
    <w:rsid w:val="00780BA6"/>
    <w:rsid w:val="00780DA1"/>
    <w:rsid w:val="00780E63"/>
    <w:rsid w:val="00780F23"/>
    <w:rsid w:val="00780F4C"/>
    <w:rsid w:val="00780F9A"/>
    <w:rsid w:val="007810CA"/>
    <w:rsid w:val="007813E6"/>
    <w:rsid w:val="00781435"/>
    <w:rsid w:val="007815C2"/>
    <w:rsid w:val="00781692"/>
    <w:rsid w:val="007817E9"/>
    <w:rsid w:val="00781911"/>
    <w:rsid w:val="0078194E"/>
    <w:rsid w:val="00781B12"/>
    <w:rsid w:val="00781B16"/>
    <w:rsid w:val="00781B1B"/>
    <w:rsid w:val="00781B24"/>
    <w:rsid w:val="00781B7A"/>
    <w:rsid w:val="00781EEF"/>
    <w:rsid w:val="00782152"/>
    <w:rsid w:val="0078217E"/>
    <w:rsid w:val="007822DE"/>
    <w:rsid w:val="00782360"/>
    <w:rsid w:val="00782437"/>
    <w:rsid w:val="00782517"/>
    <w:rsid w:val="00782675"/>
    <w:rsid w:val="00782F3E"/>
    <w:rsid w:val="00782FE9"/>
    <w:rsid w:val="00783298"/>
    <w:rsid w:val="00783318"/>
    <w:rsid w:val="007837FB"/>
    <w:rsid w:val="0078382F"/>
    <w:rsid w:val="00783865"/>
    <w:rsid w:val="00783C1A"/>
    <w:rsid w:val="00783D49"/>
    <w:rsid w:val="00784162"/>
    <w:rsid w:val="00784229"/>
    <w:rsid w:val="0078484C"/>
    <w:rsid w:val="0078488E"/>
    <w:rsid w:val="007849E6"/>
    <w:rsid w:val="00784D9F"/>
    <w:rsid w:val="00784EBB"/>
    <w:rsid w:val="00784FFD"/>
    <w:rsid w:val="00785459"/>
    <w:rsid w:val="00785518"/>
    <w:rsid w:val="00785856"/>
    <w:rsid w:val="00785AC6"/>
    <w:rsid w:val="00785B1F"/>
    <w:rsid w:val="00785B58"/>
    <w:rsid w:val="00785BEA"/>
    <w:rsid w:val="00785C23"/>
    <w:rsid w:val="00786316"/>
    <w:rsid w:val="007863ED"/>
    <w:rsid w:val="007864E6"/>
    <w:rsid w:val="007865B7"/>
    <w:rsid w:val="007866FF"/>
    <w:rsid w:val="0078670A"/>
    <w:rsid w:val="007867D9"/>
    <w:rsid w:val="0078683B"/>
    <w:rsid w:val="0078704A"/>
    <w:rsid w:val="00787060"/>
    <w:rsid w:val="007870DA"/>
    <w:rsid w:val="007872CB"/>
    <w:rsid w:val="007875A0"/>
    <w:rsid w:val="00787930"/>
    <w:rsid w:val="00787A49"/>
    <w:rsid w:val="00787AA9"/>
    <w:rsid w:val="00787AB2"/>
    <w:rsid w:val="00787BBB"/>
    <w:rsid w:val="00787BFD"/>
    <w:rsid w:val="00787CD0"/>
    <w:rsid w:val="00787F1E"/>
    <w:rsid w:val="00787F76"/>
    <w:rsid w:val="00787FB4"/>
    <w:rsid w:val="0079029C"/>
    <w:rsid w:val="00790336"/>
    <w:rsid w:val="0079039F"/>
    <w:rsid w:val="007904C8"/>
    <w:rsid w:val="0079060F"/>
    <w:rsid w:val="007906A1"/>
    <w:rsid w:val="00790786"/>
    <w:rsid w:val="00790828"/>
    <w:rsid w:val="00790C65"/>
    <w:rsid w:val="00790D5E"/>
    <w:rsid w:val="00791181"/>
    <w:rsid w:val="0079123A"/>
    <w:rsid w:val="00791287"/>
    <w:rsid w:val="0079138F"/>
    <w:rsid w:val="007917A3"/>
    <w:rsid w:val="007917D8"/>
    <w:rsid w:val="007919E2"/>
    <w:rsid w:val="00791B0F"/>
    <w:rsid w:val="00791B42"/>
    <w:rsid w:val="00791B72"/>
    <w:rsid w:val="00791D71"/>
    <w:rsid w:val="00791F8D"/>
    <w:rsid w:val="00792013"/>
    <w:rsid w:val="00792169"/>
    <w:rsid w:val="00792538"/>
    <w:rsid w:val="0079259C"/>
    <w:rsid w:val="007928BA"/>
    <w:rsid w:val="007928C6"/>
    <w:rsid w:val="00792A05"/>
    <w:rsid w:val="00792C1F"/>
    <w:rsid w:val="00792C8C"/>
    <w:rsid w:val="00792D74"/>
    <w:rsid w:val="00792E46"/>
    <w:rsid w:val="00792E97"/>
    <w:rsid w:val="00792E9F"/>
    <w:rsid w:val="00792F3A"/>
    <w:rsid w:val="007930E5"/>
    <w:rsid w:val="00793137"/>
    <w:rsid w:val="007932F0"/>
    <w:rsid w:val="0079330C"/>
    <w:rsid w:val="0079333F"/>
    <w:rsid w:val="0079354C"/>
    <w:rsid w:val="00793814"/>
    <w:rsid w:val="007938F7"/>
    <w:rsid w:val="00793981"/>
    <w:rsid w:val="00793A98"/>
    <w:rsid w:val="00793C0A"/>
    <w:rsid w:val="00793D8F"/>
    <w:rsid w:val="00793EF7"/>
    <w:rsid w:val="00794065"/>
    <w:rsid w:val="0079415D"/>
    <w:rsid w:val="0079425E"/>
    <w:rsid w:val="0079434E"/>
    <w:rsid w:val="00794401"/>
    <w:rsid w:val="00794543"/>
    <w:rsid w:val="0079459A"/>
    <w:rsid w:val="0079480B"/>
    <w:rsid w:val="00794903"/>
    <w:rsid w:val="0079490F"/>
    <w:rsid w:val="00794A68"/>
    <w:rsid w:val="00794B2C"/>
    <w:rsid w:val="00794D77"/>
    <w:rsid w:val="00794DDF"/>
    <w:rsid w:val="00794E59"/>
    <w:rsid w:val="00794EC3"/>
    <w:rsid w:val="00794F31"/>
    <w:rsid w:val="00794F85"/>
    <w:rsid w:val="00794FAC"/>
    <w:rsid w:val="007950F4"/>
    <w:rsid w:val="0079515D"/>
    <w:rsid w:val="0079524E"/>
    <w:rsid w:val="0079527C"/>
    <w:rsid w:val="007952C2"/>
    <w:rsid w:val="007954D4"/>
    <w:rsid w:val="007957F2"/>
    <w:rsid w:val="007958B3"/>
    <w:rsid w:val="007959F1"/>
    <w:rsid w:val="00795DDE"/>
    <w:rsid w:val="00795F19"/>
    <w:rsid w:val="00795F27"/>
    <w:rsid w:val="007962A7"/>
    <w:rsid w:val="007962F0"/>
    <w:rsid w:val="00796594"/>
    <w:rsid w:val="0079673B"/>
    <w:rsid w:val="007967D2"/>
    <w:rsid w:val="0079695B"/>
    <w:rsid w:val="0079695C"/>
    <w:rsid w:val="00796A66"/>
    <w:rsid w:val="00796BED"/>
    <w:rsid w:val="00796C01"/>
    <w:rsid w:val="00796FB6"/>
    <w:rsid w:val="00797298"/>
    <w:rsid w:val="0079741A"/>
    <w:rsid w:val="0079745F"/>
    <w:rsid w:val="00797640"/>
    <w:rsid w:val="00797788"/>
    <w:rsid w:val="007977A3"/>
    <w:rsid w:val="00797910"/>
    <w:rsid w:val="00797A33"/>
    <w:rsid w:val="00797A46"/>
    <w:rsid w:val="00797C10"/>
    <w:rsid w:val="00797DF1"/>
    <w:rsid w:val="007A00AA"/>
    <w:rsid w:val="007A00C3"/>
    <w:rsid w:val="007A00E3"/>
    <w:rsid w:val="007A035E"/>
    <w:rsid w:val="007A0438"/>
    <w:rsid w:val="007A050A"/>
    <w:rsid w:val="007A06A6"/>
    <w:rsid w:val="007A0917"/>
    <w:rsid w:val="007A09EF"/>
    <w:rsid w:val="007A09F2"/>
    <w:rsid w:val="007A0B9D"/>
    <w:rsid w:val="007A0CDE"/>
    <w:rsid w:val="007A0CF7"/>
    <w:rsid w:val="007A0F2B"/>
    <w:rsid w:val="007A0FE4"/>
    <w:rsid w:val="007A1096"/>
    <w:rsid w:val="007A116B"/>
    <w:rsid w:val="007A1175"/>
    <w:rsid w:val="007A11C8"/>
    <w:rsid w:val="007A1200"/>
    <w:rsid w:val="007A13AC"/>
    <w:rsid w:val="007A14C7"/>
    <w:rsid w:val="007A1527"/>
    <w:rsid w:val="007A1808"/>
    <w:rsid w:val="007A1865"/>
    <w:rsid w:val="007A1920"/>
    <w:rsid w:val="007A1C25"/>
    <w:rsid w:val="007A1C47"/>
    <w:rsid w:val="007A1CD0"/>
    <w:rsid w:val="007A1E64"/>
    <w:rsid w:val="007A1EC1"/>
    <w:rsid w:val="007A1F3D"/>
    <w:rsid w:val="007A1FB3"/>
    <w:rsid w:val="007A2288"/>
    <w:rsid w:val="007A2315"/>
    <w:rsid w:val="007A2334"/>
    <w:rsid w:val="007A2353"/>
    <w:rsid w:val="007A2400"/>
    <w:rsid w:val="007A2425"/>
    <w:rsid w:val="007A248F"/>
    <w:rsid w:val="007A25B6"/>
    <w:rsid w:val="007A2685"/>
    <w:rsid w:val="007A27FF"/>
    <w:rsid w:val="007A2903"/>
    <w:rsid w:val="007A2912"/>
    <w:rsid w:val="007A2A4D"/>
    <w:rsid w:val="007A2A63"/>
    <w:rsid w:val="007A2C69"/>
    <w:rsid w:val="007A2C76"/>
    <w:rsid w:val="007A2D1C"/>
    <w:rsid w:val="007A2F82"/>
    <w:rsid w:val="007A3309"/>
    <w:rsid w:val="007A3315"/>
    <w:rsid w:val="007A3386"/>
    <w:rsid w:val="007A3564"/>
    <w:rsid w:val="007A39FF"/>
    <w:rsid w:val="007A3A49"/>
    <w:rsid w:val="007A3BFA"/>
    <w:rsid w:val="007A3CCF"/>
    <w:rsid w:val="007A3D85"/>
    <w:rsid w:val="007A3F4A"/>
    <w:rsid w:val="007A3FB1"/>
    <w:rsid w:val="007A406A"/>
    <w:rsid w:val="007A40FB"/>
    <w:rsid w:val="007A4190"/>
    <w:rsid w:val="007A41D4"/>
    <w:rsid w:val="007A41DC"/>
    <w:rsid w:val="007A432B"/>
    <w:rsid w:val="007A45F6"/>
    <w:rsid w:val="007A4674"/>
    <w:rsid w:val="007A492A"/>
    <w:rsid w:val="007A4B39"/>
    <w:rsid w:val="007A4B84"/>
    <w:rsid w:val="007A4C07"/>
    <w:rsid w:val="007A4E21"/>
    <w:rsid w:val="007A4E5E"/>
    <w:rsid w:val="007A511F"/>
    <w:rsid w:val="007A51B6"/>
    <w:rsid w:val="007A5505"/>
    <w:rsid w:val="007A5695"/>
    <w:rsid w:val="007A56AE"/>
    <w:rsid w:val="007A57E3"/>
    <w:rsid w:val="007A585E"/>
    <w:rsid w:val="007A5AD4"/>
    <w:rsid w:val="007A5C5A"/>
    <w:rsid w:val="007A5C7D"/>
    <w:rsid w:val="007A5E19"/>
    <w:rsid w:val="007A5E79"/>
    <w:rsid w:val="007A5F14"/>
    <w:rsid w:val="007A604C"/>
    <w:rsid w:val="007A62DB"/>
    <w:rsid w:val="007A6322"/>
    <w:rsid w:val="007A6382"/>
    <w:rsid w:val="007A6429"/>
    <w:rsid w:val="007A6434"/>
    <w:rsid w:val="007A6443"/>
    <w:rsid w:val="007A6654"/>
    <w:rsid w:val="007A6808"/>
    <w:rsid w:val="007A6811"/>
    <w:rsid w:val="007A6850"/>
    <w:rsid w:val="007A698D"/>
    <w:rsid w:val="007A6C2E"/>
    <w:rsid w:val="007A6F81"/>
    <w:rsid w:val="007A708E"/>
    <w:rsid w:val="007A73C1"/>
    <w:rsid w:val="007A74FC"/>
    <w:rsid w:val="007A7569"/>
    <w:rsid w:val="007A7727"/>
    <w:rsid w:val="007A77B7"/>
    <w:rsid w:val="007A7887"/>
    <w:rsid w:val="007A7AA8"/>
    <w:rsid w:val="007A7B0E"/>
    <w:rsid w:val="007A7B7B"/>
    <w:rsid w:val="007A7DFE"/>
    <w:rsid w:val="007A7E7C"/>
    <w:rsid w:val="007A7FA5"/>
    <w:rsid w:val="007B028D"/>
    <w:rsid w:val="007B0403"/>
    <w:rsid w:val="007B0466"/>
    <w:rsid w:val="007B0794"/>
    <w:rsid w:val="007B07C0"/>
    <w:rsid w:val="007B0A84"/>
    <w:rsid w:val="007B0B00"/>
    <w:rsid w:val="007B0BCC"/>
    <w:rsid w:val="007B0DA0"/>
    <w:rsid w:val="007B0EE5"/>
    <w:rsid w:val="007B1075"/>
    <w:rsid w:val="007B1476"/>
    <w:rsid w:val="007B14BD"/>
    <w:rsid w:val="007B15A6"/>
    <w:rsid w:val="007B1679"/>
    <w:rsid w:val="007B1788"/>
    <w:rsid w:val="007B17E5"/>
    <w:rsid w:val="007B192E"/>
    <w:rsid w:val="007B1D25"/>
    <w:rsid w:val="007B2029"/>
    <w:rsid w:val="007B2039"/>
    <w:rsid w:val="007B218C"/>
    <w:rsid w:val="007B2276"/>
    <w:rsid w:val="007B2442"/>
    <w:rsid w:val="007B2460"/>
    <w:rsid w:val="007B24E0"/>
    <w:rsid w:val="007B25D7"/>
    <w:rsid w:val="007B26C4"/>
    <w:rsid w:val="007B2741"/>
    <w:rsid w:val="007B2763"/>
    <w:rsid w:val="007B28BD"/>
    <w:rsid w:val="007B29A8"/>
    <w:rsid w:val="007B2B98"/>
    <w:rsid w:val="007B2BE5"/>
    <w:rsid w:val="007B2C2A"/>
    <w:rsid w:val="007B31E7"/>
    <w:rsid w:val="007B3773"/>
    <w:rsid w:val="007B381A"/>
    <w:rsid w:val="007B3CBA"/>
    <w:rsid w:val="007B3D1B"/>
    <w:rsid w:val="007B3DB7"/>
    <w:rsid w:val="007B3E4C"/>
    <w:rsid w:val="007B4068"/>
    <w:rsid w:val="007B4379"/>
    <w:rsid w:val="007B4640"/>
    <w:rsid w:val="007B46E4"/>
    <w:rsid w:val="007B48DB"/>
    <w:rsid w:val="007B490D"/>
    <w:rsid w:val="007B49F0"/>
    <w:rsid w:val="007B4BAB"/>
    <w:rsid w:val="007B4C26"/>
    <w:rsid w:val="007B4C38"/>
    <w:rsid w:val="007B4CB4"/>
    <w:rsid w:val="007B4F99"/>
    <w:rsid w:val="007B5026"/>
    <w:rsid w:val="007B53A0"/>
    <w:rsid w:val="007B575C"/>
    <w:rsid w:val="007B5899"/>
    <w:rsid w:val="007B58B1"/>
    <w:rsid w:val="007B58FE"/>
    <w:rsid w:val="007B590E"/>
    <w:rsid w:val="007B5D54"/>
    <w:rsid w:val="007B5DBD"/>
    <w:rsid w:val="007B5DCE"/>
    <w:rsid w:val="007B5DFE"/>
    <w:rsid w:val="007B5E34"/>
    <w:rsid w:val="007B5E7D"/>
    <w:rsid w:val="007B5F7C"/>
    <w:rsid w:val="007B62CF"/>
    <w:rsid w:val="007B64ED"/>
    <w:rsid w:val="007B66CA"/>
    <w:rsid w:val="007B678B"/>
    <w:rsid w:val="007B6ACB"/>
    <w:rsid w:val="007B6B45"/>
    <w:rsid w:val="007B6C7E"/>
    <w:rsid w:val="007B6FD9"/>
    <w:rsid w:val="007B7222"/>
    <w:rsid w:val="007B7302"/>
    <w:rsid w:val="007B7303"/>
    <w:rsid w:val="007B731B"/>
    <w:rsid w:val="007B73A4"/>
    <w:rsid w:val="007B73BC"/>
    <w:rsid w:val="007B73E4"/>
    <w:rsid w:val="007B743C"/>
    <w:rsid w:val="007B755F"/>
    <w:rsid w:val="007B787E"/>
    <w:rsid w:val="007B7C82"/>
    <w:rsid w:val="007B7EE8"/>
    <w:rsid w:val="007C02B3"/>
    <w:rsid w:val="007C0361"/>
    <w:rsid w:val="007C03D2"/>
    <w:rsid w:val="007C043A"/>
    <w:rsid w:val="007C062A"/>
    <w:rsid w:val="007C0655"/>
    <w:rsid w:val="007C0762"/>
    <w:rsid w:val="007C07B6"/>
    <w:rsid w:val="007C0825"/>
    <w:rsid w:val="007C0A89"/>
    <w:rsid w:val="007C0C2B"/>
    <w:rsid w:val="007C0D6F"/>
    <w:rsid w:val="007C0E37"/>
    <w:rsid w:val="007C0E93"/>
    <w:rsid w:val="007C10E3"/>
    <w:rsid w:val="007C1112"/>
    <w:rsid w:val="007C1119"/>
    <w:rsid w:val="007C15AE"/>
    <w:rsid w:val="007C162F"/>
    <w:rsid w:val="007C16DF"/>
    <w:rsid w:val="007C180A"/>
    <w:rsid w:val="007C197D"/>
    <w:rsid w:val="007C1B3D"/>
    <w:rsid w:val="007C1B3F"/>
    <w:rsid w:val="007C1B6F"/>
    <w:rsid w:val="007C1EFA"/>
    <w:rsid w:val="007C2108"/>
    <w:rsid w:val="007C220D"/>
    <w:rsid w:val="007C2240"/>
    <w:rsid w:val="007C2540"/>
    <w:rsid w:val="007C26AA"/>
    <w:rsid w:val="007C27A2"/>
    <w:rsid w:val="007C27D0"/>
    <w:rsid w:val="007C29B5"/>
    <w:rsid w:val="007C2A70"/>
    <w:rsid w:val="007C2AA2"/>
    <w:rsid w:val="007C32F5"/>
    <w:rsid w:val="007C35D4"/>
    <w:rsid w:val="007C35E4"/>
    <w:rsid w:val="007C3670"/>
    <w:rsid w:val="007C387A"/>
    <w:rsid w:val="007C3DC5"/>
    <w:rsid w:val="007C3E2C"/>
    <w:rsid w:val="007C4290"/>
    <w:rsid w:val="007C44BD"/>
    <w:rsid w:val="007C48B8"/>
    <w:rsid w:val="007C4906"/>
    <w:rsid w:val="007C4A72"/>
    <w:rsid w:val="007C4B2D"/>
    <w:rsid w:val="007C4DCD"/>
    <w:rsid w:val="007C5605"/>
    <w:rsid w:val="007C56CB"/>
    <w:rsid w:val="007C5747"/>
    <w:rsid w:val="007C58B9"/>
    <w:rsid w:val="007C597D"/>
    <w:rsid w:val="007C59D8"/>
    <w:rsid w:val="007C5A77"/>
    <w:rsid w:val="007C5A82"/>
    <w:rsid w:val="007C5B84"/>
    <w:rsid w:val="007C5F6D"/>
    <w:rsid w:val="007C601D"/>
    <w:rsid w:val="007C6252"/>
    <w:rsid w:val="007C632E"/>
    <w:rsid w:val="007C6330"/>
    <w:rsid w:val="007C645B"/>
    <w:rsid w:val="007C6468"/>
    <w:rsid w:val="007C64B2"/>
    <w:rsid w:val="007C6542"/>
    <w:rsid w:val="007C66D9"/>
    <w:rsid w:val="007C67AF"/>
    <w:rsid w:val="007C68F0"/>
    <w:rsid w:val="007C6977"/>
    <w:rsid w:val="007C6A4D"/>
    <w:rsid w:val="007C6AB8"/>
    <w:rsid w:val="007C6C06"/>
    <w:rsid w:val="007C6DE9"/>
    <w:rsid w:val="007C6EE4"/>
    <w:rsid w:val="007C6F3B"/>
    <w:rsid w:val="007C704E"/>
    <w:rsid w:val="007C7064"/>
    <w:rsid w:val="007C7165"/>
    <w:rsid w:val="007C71E2"/>
    <w:rsid w:val="007C7305"/>
    <w:rsid w:val="007C73DB"/>
    <w:rsid w:val="007C74CA"/>
    <w:rsid w:val="007C7551"/>
    <w:rsid w:val="007C761E"/>
    <w:rsid w:val="007C7724"/>
    <w:rsid w:val="007C79D1"/>
    <w:rsid w:val="007C7ABD"/>
    <w:rsid w:val="007C7C0B"/>
    <w:rsid w:val="007C7C28"/>
    <w:rsid w:val="007C7DC8"/>
    <w:rsid w:val="007C7FCF"/>
    <w:rsid w:val="007D02E1"/>
    <w:rsid w:val="007D03F4"/>
    <w:rsid w:val="007D04FC"/>
    <w:rsid w:val="007D054A"/>
    <w:rsid w:val="007D06E2"/>
    <w:rsid w:val="007D0896"/>
    <w:rsid w:val="007D0B07"/>
    <w:rsid w:val="007D0C2A"/>
    <w:rsid w:val="007D0DF9"/>
    <w:rsid w:val="007D0EBF"/>
    <w:rsid w:val="007D11F4"/>
    <w:rsid w:val="007D1219"/>
    <w:rsid w:val="007D14FC"/>
    <w:rsid w:val="007D14FF"/>
    <w:rsid w:val="007D164E"/>
    <w:rsid w:val="007D1747"/>
    <w:rsid w:val="007D17C4"/>
    <w:rsid w:val="007D1A92"/>
    <w:rsid w:val="007D1DC4"/>
    <w:rsid w:val="007D1DF6"/>
    <w:rsid w:val="007D1EE1"/>
    <w:rsid w:val="007D1F3D"/>
    <w:rsid w:val="007D2038"/>
    <w:rsid w:val="007D2278"/>
    <w:rsid w:val="007D2297"/>
    <w:rsid w:val="007D245C"/>
    <w:rsid w:val="007D2727"/>
    <w:rsid w:val="007D27B6"/>
    <w:rsid w:val="007D28C3"/>
    <w:rsid w:val="007D2AF9"/>
    <w:rsid w:val="007D2C47"/>
    <w:rsid w:val="007D2CA8"/>
    <w:rsid w:val="007D2CD7"/>
    <w:rsid w:val="007D2DEA"/>
    <w:rsid w:val="007D2FD5"/>
    <w:rsid w:val="007D30E6"/>
    <w:rsid w:val="007D3184"/>
    <w:rsid w:val="007D31C4"/>
    <w:rsid w:val="007D329F"/>
    <w:rsid w:val="007D3459"/>
    <w:rsid w:val="007D353D"/>
    <w:rsid w:val="007D3700"/>
    <w:rsid w:val="007D3707"/>
    <w:rsid w:val="007D37F4"/>
    <w:rsid w:val="007D3A2D"/>
    <w:rsid w:val="007D3A73"/>
    <w:rsid w:val="007D3E91"/>
    <w:rsid w:val="007D4166"/>
    <w:rsid w:val="007D4239"/>
    <w:rsid w:val="007D4271"/>
    <w:rsid w:val="007D429B"/>
    <w:rsid w:val="007D4331"/>
    <w:rsid w:val="007D437A"/>
    <w:rsid w:val="007D438D"/>
    <w:rsid w:val="007D455A"/>
    <w:rsid w:val="007D45E3"/>
    <w:rsid w:val="007D4865"/>
    <w:rsid w:val="007D4DA6"/>
    <w:rsid w:val="007D4E8A"/>
    <w:rsid w:val="007D4F65"/>
    <w:rsid w:val="007D51AE"/>
    <w:rsid w:val="007D5408"/>
    <w:rsid w:val="007D541E"/>
    <w:rsid w:val="007D5499"/>
    <w:rsid w:val="007D56D4"/>
    <w:rsid w:val="007D5BBD"/>
    <w:rsid w:val="007D5C71"/>
    <w:rsid w:val="007D5CFA"/>
    <w:rsid w:val="007D630B"/>
    <w:rsid w:val="007D6B3C"/>
    <w:rsid w:val="007D6C0E"/>
    <w:rsid w:val="007D6DCF"/>
    <w:rsid w:val="007D6E1B"/>
    <w:rsid w:val="007D6EAC"/>
    <w:rsid w:val="007D723C"/>
    <w:rsid w:val="007D724D"/>
    <w:rsid w:val="007D788A"/>
    <w:rsid w:val="007D7C75"/>
    <w:rsid w:val="007D7E2C"/>
    <w:rsid w:val="007D7F74"/>
    <w:rsid w:val="007E0113"/>
    <w:rsid w:val="007E029E"/>
    <w:rsid w:val="007E03FC"/>
    <w:rsid w:val="007E07E0"/>
    <w:rsid w:val="007E093C"/>
    <w:rsid w:val="007E0CB5"/>
    <w:rsid w:val="007E0D85"/>
    <w:rsid w:val="007E0F85"/>
    <w:rsid w:val="007E1707"/>
    <w:rsid w:val="007E1845"/>
    <w:rsid w:val="007E18C7"/>
    <w:rsid w:val="007E1D18"/>
    <w:rsid w:val="007E1E57"/>
    <w:rsid w:val="007E1EE9"/>
    <w:rsid w:val="007E1F3F"/>
    <w:rsid w:val="007E21A4"/>
    <w:rsid w:val="007E244B"/>
    <w:rsid w:val="007E24F9"/>
    <w:rsid w:val="007E260D"/>
    <w:rsid w:val="007E27A5"/>
    <w:rsid w:val="007E27B8"/>
    <w:rsid w:val="007E2877"/>
    <w:rsid w:val="007E29D8"/>
    <w:rsid w:val="007E2CD3"/>
    <w:rsid w:val="007E2DB0"/>
    <w:rsid w:val="007E3113"/>
    <w:rsid w:val="007E31E1"/>
    <w:rsid w:val="007E34AA"/>
    <w:rsid w:val="007E350D"/>
    <w:rsid w:val="007E39B9"/>
    <w:rsid w:val="007E3E06"/>
    <w:rsid w:val="007E3ECA"/>
    <w:rsid w:val="007E3F9D"/>
    <w:rsid w:val="007E4223"/>
    <w:rsid w:val="007E439E"/>
    <w:rsid w:val="007E43A4"/>
    <w:rsid w:val="007E4533"/>
    <w:rsid w:val="007E457B"/>
    <w:rsid w:val="007E4591"/>
    <w:rsid w:val="007E46F1"/>
    <w:rsid w:val="007E4780"/>
    <w:rsid w:val="007E47C9"/>
    <w:rsid w:val="007E4851"/>
    <w:rsid w:val="007E4B62"/>
    <w:rsid w:val="007E4BBB"/>
    <w:rsid w:val="007E4C98"/>
    <w:rsid w:val="007E4CE9"/>
    <w:rsid w:val="007E4E3A"/>
    <w:rsid w:val="007E5186"/>
    <w:rsid w:val="007E5193"/>
    <w:rsid w:val="007E5264"/>
    <w:rsid w:val="007E5310"/>
    <w:rsid w:val="007E536D"/>
    <w:rsid w:val="007E5381"/>
    <w:rsid w:val="007E54CD"/>
    <w:rsid w:val="007E5543"/>
    <w:rsid w:val="007E5740"/>
    <w:rsid w:val="007E57B2"/>
    <w:rsid w:val="007E5A22"/>
    <w:rsid w:val="007E5A77"/>
    <w:rsid w:val="007E5AF4"/>
    <w:rsid w:val="007E5B24"/>
    <w:rsid w:val="007E5C56"/>
    <w:rsid w:val="007E64BC"/>
    <w:rsid w:val="007E6522"/>
    <w:rsid w:val="007E6534"/>
    <w:rsid w:val="007E6591"/>
    <w:rsid w:val="007E66AC"/>
    <w:rsid w:val="007E6A07"/>
    <w:rsid w:val="007E6CA1"/>
    <w:rsid w:val="007E6D4A"/>
    <w:rsid w:val="007E6D9F"/>
    <w:rsid w:val="007E6EAB"/>
    <w:rsid w:val="007E7118"/>
    <w:rsid w:val="007E7245"/>
    <w:rsid w:val="007E739C"/>
    <w:rsid w:val="007E73C5"/>
    <w:rsid w:val="007E740D"/>
    <w:rsid w:val="007E74E0"/>
    <w:rsid w:val="007E75FC"/>
    <w:rsid w:val="007E789B"/>
    <w:rsid w:val="007E7995"/>
    <w:rsid w:val="007E79F6"/>
    <w:rsid w:val="007E7A64"/>
    <w:rsid w:val="007E7C47"/>
    <w:rsid w:val="007E7E55"/>
    <w:rsid w:val="007E7E5E"/>
    <w:rsid w:val="007E7FCE"/>
    <w:rsid w:val="007F011F"/>
    <w:rsid w:val="007F0181"/>
    <w:rsid w:val="007F0187"/>
    <w:rsid w:val="007F0261"/>
    <w:rsid w:val="007F03E1"/>
    <w:rsid w:val="007F07DB"/>
    <w:rsid w:val="007F0809"/>
    <w:rsid w:val="007F0880"/>
    <w:rsid w:val="007F0886"/>
    <w:rsid w:val="007F08E1"/>
    <w:rsid w:val="007F0A92"/>
    <w:rsid w:val="007F0DA3"/>
    <w:rsid w:val="007F0DB9"/>
    <w:rsid w:val="007F0E62"/>
    <w:rsid w:val="007F0F03"/>
    <w:rsid w:val="007F0F5D"/>
    <w:rsid w:val="007F11CD"/>
    <w:rsid w:val="007F131B"/>
    <w:rsid w:val="007F14E4"/>
    <w:rsid w:val="007F167E"/>
    <w:rsid w:val="007F17F2"/>
    <w:rsid w:val="007F1CCD"/>
    <w:rsid w:val="007F1D00"/>
    <w:rsid w:val="007F1F51"/>
    <w:rsid w:val="007F2225"/>
    <w:rsid w:val="007F2248"/>
    <w:rsid w:val="007F23AB"/>
    <w:rsid w:val="007F2424"/>
    <w:rsid w:val="007F2685"/>
    <w:rsid w:val="007F28BA"/>
    <w:rsid w:val="007F2A10"/>
    <w:rsid w:val="007F2AA3"/>
    <w:rsid w:val="007F2EB9"/>
    <w:rsid w:val="007F2EBE"/>
    <w:rsid w:val="007F300E"/>
    <w:rsid w:val="007F30BC"/>
    <w:rsid w:val="007F3192"/>
    <w:rsid w:val="007F32C5"/>
    <w:rsid w:val="007F3472"/>
    <w:rsid w:val="007F3483"/>
    <w:rsid w:val="007F3532"/>
    <w:rsid w:val="007F357D"/>
    <w:rsid w:val="007F3652"/>
    <w:rsid w:val="007F3948"/>
    <w:rsid w:val="007F3D7C"/>
    <w:rsid w:val="007F3EDF"/>
    <w:rsid w:val="007F3F3D"/>
    <w:rsid w:val="007F404F"/>
    <w:rsid w:val="007F4182"/>
    <w:rsid w:val="007F4369"/>
    <w:rsid w:val="007F4398"/>
    <w:rsid w:val="007F44B5"/>
    <w:rsid w:val="007F44E9"/>
    <w:rsid w:val="007F4679"/>
    <w:rsid w:val="007F46F7"/>
    <w:rsid w:val="007F47A6"/>
    <w:rsid w:val="007F4A31"/>
    <w:rsid w:val="007F4B29"/>
    <w:rsid w:val="007F4B9C"/>
    <w:rsid w:val="007F4D50"/>
    <w:rsid w:val="007F4DF1"/>
    <w:rsid w:val="007F4F95"/>
    <w:rsid w:val="007F5000"/>
    <w:rsid w:val="007F5027"/>
    <w:rsid w:val="007F5146"/>
    <w:rsid w:val="007F51A6"/>
    <w:rsid w:val="007F5478"/>
    <w:rsid w:val="007F55C8"/>
    <w:rsid w:val="007F5646"/>
    <w:rsid w:val="007F564A"/>
    <w:rsid w:val="007F576F"/>
    <w:rsid w:val="007F5A08"/>
    <w:rsid w:val="007F5EE1"/>
    <w:rsid w:val="007F5F2B"/>
    <w:rsid w:val="007F5F2D"/>
    <w:rsid w:val="007F614F"/>
    <w:rsid w:val="007F624E"/>
    <w:rsid w:val="007F655D"/>
    <w:rsid w:val="007F6750"/>
    <w:rsid w:val="007F68ED"/>
    <w:rsid w:val="007F6A44"/>
    <w:rsid w:val="007F6A95"/>
    <w:rsid w:val="007F6FFF"/>
    <w:rsid w:val="007F7095"/>
    <w:rsid w:val="007F7238"/>
    <w:rsid w:val="007F761F"/>
    <w:rsid w:val="007F777A"/>
    <w:rsid w:val="007F7B97"/>
    <w:rsid w:val="007F7BFB"/>
    <w:rsid w:val="007F7C44"/>
    <w:rsid w:val="007F7C6E"/>
    <w:rsid w:val="007F7C98"/>
    <w:rsid w:val="007F7CDD"/>
    <w:rsid w:val="007F7EFE"/>
    <w:rsid w:val="007F7F10"/>
    <w:rsid w:val="00800073"/>
    <w:rsid w:val="008000B0"/>
    <w:rsid w:val="00800122"/>
    <w:rsid w:val="00800199"/>
    <w:rsid w:val="008001C8"/>
    <w:rsid w:val="008003BE"/>
    <w:rsid w:val="0080066D"/>
    <w:rsid w:val="008008FC"/>
    <w:rsid w:val="00800A57"/>
    <w:rsid w:val="00800ADA"/>
    <w:rsid w:val="00800C53"/>
    <w:rsid w:val="00800D19"/>
    <w:rsid w:val="00800E1B"/>
    <w:rsid w:val="00801199"/>
    <w:rsid w:val="008013B1"/>
    <w:rsid w:val="00801403"/>
    <w:rsid w:val="008015B4"/>
    <w:rsid w:val="00801910"/>
    <w:rsid w:val="00801D3B"/>
    <w:rsid w:val="00801D57"/>
    <w:rsid w:val="00801FA8"/>
    <w:rsid w:val="00802063"/>
    <w:rsid w:val="00802236"/>
    <w:rsid w:val="0080228F"/>
    <w:rsid w:val="0080250E"/>
    <w:rsid w:val="008025EB"/>
    <w:rsid w:val="00802638"/>
    <w:rsid w:val="0080269B"/>
    <w:rsid w:val="008026EF"/>
    <w:rsid w:val="008027FB"/>
    <w:rsid w:val="008028B1"/>
    <w:rsid w:val="008028BD"/>
    <w:rsid w:val="00802A2D"/>
    <w:rsid w:val="00802ACE"/>
    <w:rsid w:val="00802B31"/>
    <w:rsid w:val="00802C97"/>
    <w:rsid w:val="00802D11"/>
    <w:rsid w:val="00802D3C"/>
    <w:rsid w:val="00802E42"/>
    <w:rsid w:val="00802EB4"/>
    <w:rsid w:val="00803075"/>
    <w:rsid w:val="008034A5"/>
    <w:rsid w:val="008035AC"/>
    <w:rsid w:val="00803886"/>
    <w:rsid w:val="008038A2"/>
    <w:rsid w:val="008039FC"/>
    <w:rsid w:val="00803AC8"/>
    <w:rsid w:val="00803BAF"/>
    <w:rsid w:val="00803F81"/>
    <w:rsid w:val="008040D4"/>
    <w:rsid w:val="0080438F"/>
    <w:rsid w:val="008043A6"/>
    <w:rsid w:val="008043CB"/>
    <w:rsid w:val="00804570"/>
    <w:rsid w:val="00804573"/>
    <w:rsid w:val="00804644"/>
    <w:rsid w:val="0080468D"/>
    <w:rsid w:val="008046A0"/>
    <w:rsid w:val="00804701"/>
    <w:rsid w:val="008047A9"/>
    <w:rsid w:val="00804A32"/>
    <w:rsid w:val="00804C23"/>
    <w:rsid w:val="00804C98"/>
    <w:rsid w:val="0080502A"/>
    <w:rsid w:val="00805191"/>
    <w:rsid w:val="008053B9"/>
    <w:rsid w:val="00805590"/>
    <w:rsid w:val="00805638"/>
    <w:rsid w:val="0080574B"/>
    <w:rsid w:val="00805BA0"/>
    <w:rsid w:val="00805DB4"/>
    <w:rsid w:val="00805FF6"/>
    <w:rsid w:val="00806014"/>
    <w:rsid w:val="008060ED"/>
    <w:rsid w:val="008061CB"/>
    <w:rsid w:val="00806294"/>
    <w:rsid w:val="0080684C"/>
    <w:rsid w:val="00806879"/>
    <w:rsid w:val="00806951"/>
    <w:rsid w:val="00806B7F"/>
    <w:rsid w:val="00806BE0"/>
    <w:rsid w:val="00806C0A"/>
    <w:rsid w:val="00806C87"/>
    <w:rsid w:val="00806F28"/>
    <w:rsid w:val="00807053"/>
    <w:rsid w:val="0080722E"/>
    <w:rsid w:val="0080731C"/>
    <w:rsid w:val="008073C7"/>
    <w:rsid w:val="0080749C"/>
    <w:rsid w:val="00807631"/>
    <w:rsid w:val="008076B3"/>
    <w:rsid w:val="008076B4"/>
    <w:rsid w:val="00807723"/>
    <w:rsid w:val="008079DA"/>
    <w:rsid w:val="00807A4D"/>
    <w:rsid w:val="00807C46"/>
    <w:rsid w:val="00807D5C"/>
    <w:rsid w:val="00807FA8"/>
    <w:rsid w:val="00810073"/>
    <w:rsid w:val="0081019C"/>
    <w:rsid w:val="008103C7"/>
    <w:rsid w:val="00810434"/>
    <w:rsid w:val="008104E9"/>
    <w:rsid w:val="00810558"/>
    <w:rsid w:val="0081065B"/>
    <w:rsid w:val="0081074C"/>
    <w:rsid w:val="00810846"/>
    <w:rsid w:val="0081086E"/>
    <w:rsid w:val="00810993"/>
    <w:rsid w:val="00810A37"/>
    <w:rsid w:val="00810D49"/>
    <w:rsid w:val="00810D96"/>
    <w:rsid w:val="00810D9C"/>
    <w:rsid w:val="00810E20"/>
    <w:rsid w:val="00810E73"/>
    <w:rsid w:val="00810F0D"/>
    <w:rsid w:val="0081100E"/>
    <w:rsid w:val="00811104"/>
    <w:rsid w:val="008111FE"/>
    <w:rsid w:val="0081135C"/>
    <w:rsid w:val="008117B9"/>
    <w:rsid w:val="00811A66"/>
    <w:rsid w:val="00811BAA"/>
    <w:rsid w:val="00811DE4"/>
    <w:rsid w:val="00812015"/>
    <w:rsid w:val="00812035"/>
    <w:rsid w:val="00812063"/>
    <w:rsid w:val="00812148"/>
    <w:rsid w:val="00812197"/>
    <w:rsid w:val="008123DA"/>
    <w:rsid w:val="0081273A"/>
    <w:rsid w:val="0081281D"/>
    <w:rsid w:val="0081293C"/>
    <w:rsid w:val="0081294E"/>
    <w:rsid w:val="00812998"/>
    <w:rsid w:val="00812A14"/>
    <w:rsid w:val="00812A8A"/>
    <w:rsid w:val="00812BAF"/>
    <w:rsid w:val="00812CFE"/>
    <w:rsid w:val="00812D1E"/>
    <w:rsid w:val="00812DA7"/>
    <w:rsid w:val="00812FF4"/>
    <w:rsid w:val="0081316A"/>
    <w:rsid w:val="008131CF"/>
    <w:rsid w:val="0081334F"/>
    <w:rsid w:val="008133D3"/>
    <w:rsid w:val="00813482"/>
    <w:rsid w:val="008134A8"/>
    <w:rsid w:val="0081351E"/>
    <w:rsid w:val="00813605"/>
    <w:rsid w:val="00813678"/>
    <w:rsid w:val="00813794"/>
    <w:rsid w:val="00813AEC"/>
    <w:rsid w:val="00813B3D"/>
    <w:rsid w:val="00813B41"/>
    <w:rsid w:val="00813C0F"/>
    <w:rsid w:val="00813CAF"/>
    <w:rsid w:val="00813D26"/>
    <w:rsid w:val="00813EA8"/>
    <w:rsid w:val="00813F7C"/>
    <w:rsid w:val="008141CB"/>
    <w:rsid w:val="008143F6"/>
    <w:rsid w:val="0081442E"/>
    <w:rsid w:val="00814661"/>
    <w:rsid w:val="008147E5"/>
    <w:rsid w:val="008149F0"/>
    <w:rsid w:val="00814BA0"/>
    <w:rsid w:val="00814C9C"/>
    <w:rsid w:val="00814F38"/>
    <w:rsid w:val="0081505C"/>
    <w:rsid w:val="00815116"/>
    <w:rsid w:val="0081514F"/>
    <w:rsid w:val="008151D9"/>
    <w:rsid w:val="00815324"/>
    <w:rsid w:val="0081533C"/>
    <w:rsid w:val="00815362"/>
    <w:rsid w:val="00815374"/>
    <w:rsid w:val="0081542C"/>
    <w:rsid w:val="0081551C"/>
    <w:rsid w:val="00815596"/>
    <w:rsid w:val="008157E2"/>
    <w:rsid w:val="00815870"/>
    <w:rsid w:val="008158FC"/>
    <w:rsid w:val="00815906"/>
    <w:rsid w:val="00815A10"/>
    <w:rsid w:val="00815A5E"/>
    <w:rsid w:val="00815D95"/>
    <w:rsid w:val="00815F3D"/>
    <w:rsid w:val="00816061"/>
    <w:rsid w:val="00816242"/>
    <w:rsid w:val="00816282"/>
    <w:rsid w:val="008167D6"/>
    <w:rsid w:val="00816876"/>
    <w:rsid w:val="00816997"/>
    <w:rsid w:val="00816AC6"/>
    <w:rsid w:val="00816DCF"/>
    <w:rsid w:val="00816E89"/>
    <w:rsid w:val="00816E8F"/>
    <w:rsid w:val="00816F47"/>
    <w:rsid w:val="0081704D"/>
    <w:rsid w:val="008170AB"/>
    <w:rsid w:val="008170D2"/>
    <w:rsid w:val="0081728C"/>
    <w:rsid w:val="008173FD"/>
    <w:rsid w:val="00817477"/>
    <w:rsid w:val="008174B8"/>
    <w:rsid w:val="00817938"/>
    <w:rsid w:val="00817963"/>
    <w:rsid w:val="00817B44"/>
    <w:rsid w:val="00817BE7"/>
    <w:rsid w:val="00817F45"/>
    <w:rsid w:val="00817F59"/>
    <w:rsid w:val="00817F7D"/>
    <w:rsid w:val="00817FDC"/>
    <w:rsid w:val="00820045"/>
    <w:rsid w:val="0082007C"/>
    <w:rsid w:val="008200D5"/>
    <w:rsid w:val="00820201"/>
    <w:rsid w:val="008203E1"/>
    <w:rsid w:val="00820449"/>
    <w:rsid w:val="00820478"/>
    <w:rsid w:val="00820487"/>
    <w:rsid w:val="008204D8"/>
    <w:rsid w:val="008206A8"/>
    <w:rsid w:val="00820753"/>
    <w:rsid w:val="00820798"/>
    <w:rsid w:val="00820864"/>
    <w:rsid w:val="008208DD"/>
    <w:rsid w:val="00820A1E"/>
    <w:rsid w:val="00820AB8"/>
    <w:rsid w:val="00820B4E"/>
    <w:rsid w:val="00820D8E"/>
    <w:rsid w:val="00820EE6"/>
    <w:rsid w:val="008210FC"/>
    <w:rsid w:val="00821174"/>
    <w:rsid w:val="00821218"/>
    <w:rsid w:val="0082126E"/>
    <w:rsid w:val="008212CB"/>
    <w:rsid w:val="0082138E"/>
    <w:rsid w:val="008214E6"/>
    <w:rsid w:val="00821515"/>
    <w:rsid w:val="00821786"/>
    <w:rsid w:val="00821B78"/>
    <w:rsid w:val="00821C3D"/>
    <w:rsid w:val="00821E0A"/>
    <w:rsid w:val="008221F4"/>
    <w:rsid w:val="00822210"/>
    <w:rsid w:val="00822452"/>
    <w:rsid w:val="00822470"/>
    <w:rsid w:val="00822939"/>
    <w:rsid w:val="008229C2"/>
    <w:rsid w:val="00822C02"/>
    <w:rsid w:val="00822F5B"/>
    <w:rsid w:val="00823115"/>
    <w:rsid w:val="00823399"/>
    <w:rsid w:val="008233B2"/>
    <w:rsid w:val="0082343C"/>
    <w:rsid w:val="00823582"/>
    <w:rsid w:val="0082363D"/>
    <w:rsid w:val="0082364B"/>
    <w:rsid w:val="008236BD"/>
    <w:rsid w:val="00823783"/>
    <w:rsid w:val="008238E8"/>
    <w:rsid w:val="0082394B"/>
    <w:rsid w:val="00823A0D"/>
    <w:rsid w:val="00823A16"/>
    <w:rsid w:val="00823A48"/>
    <w:rsid w:val="00823D06"/>
    <w:rsid w:val="00823D66"/>
    <w:rsid w:val="00823E8B"/>
    <w:rsid w:val="00823EBA"/>
    <w:rsid w:val="0082421B"/>
    <w:rsid w:val="008243B5"/>
    <w:rsid w:val="00824404"/>
    <w:rsid w:val="00824ABB"/>
    <w:rsid w:val="00824BD5"/>
    <w:rsid w:val="00824C28"/>
    <w:rsid w:val="00824C4F"/>
    <w:rsid w:val="00824C98"/>
    <w:rsid w:val="00824D58"/>
    <w:rsid w:val="00824DD5"/>
    <w:rsid w:val="00824EA2"/>
    <w:rsid w:val="00824EC5"/>
    <w:rsid w:val="00824F1A"/>
    <w:rsid w:val="00824FE3"/>
    <w:rsid w:val="00825181"/>
    <w:rsid w:val="008252B6"/>
    <w:rsid w:val="00825313"/>
    <w:rsid w:val="00825321"/>
    <w:rsid w:val="008254EE"/>
    <w:rsid w:val="00825B92"/>
    <w:rsid w:val="00825ED9"/>
    <w:rsid w:val="00825F86"/>
    <w:rsid w:val="008260A5"/>
    <w:rsid w:val="008260D0"/>
    <w:rsid w:val="00826490"/>
    <w:rsid w:val="00826712"/>
    <w:rsid w:val="00826760"/>
    <w:rsid w:val="008268EA"/>
    <w:rsid w:val="00826A89"/>
    <w:rsid w:val="00826E50"/>
    <w:rsid w:val="00826E97"/>
    <w:rsid w:val="0082707C"/>
    <w:rsid w:val="00827349"/>
    <w:rsid w:val="00827401"/>
    <w:rsid w:val="008274E7"/>
    <w:rsid w:val="008275F0"/>
    <w:rsid w:val="0082765D"/>
    <w:rsid w:val="008276A7"/>
    <w:rsid w:val="00827726"/>
    <w:rsid w:val="00827792"/>
    <w:rsid w:val="008277F1"/>
    <w:rsid w:val="00827840"/>
    <w:rsid w:val="008278AC"/>
    <w:rsid w:val="00827A2F"/>
    <w:rsid w:val="00827A33"/>
    <w:rsid w:val="00827C2A"/>
    <w:rsid w:val="00827DB2"/>
    <w:rsid w:val="00827FB0"/>
    <w:rsid w:val="008301FA"/>
    <w:rsid w:val="008302C4"/>
    <w:rsid w:val="00830306"/>
    <w:rsid w:val="00830321"/>
    <w:rsid w:val="00830524"/>
    <w:rsid w:val="008305DF"/>
    <w:rsid w:val="0083065C"/>
    <w:rsid w:val="00830A53"/>
    <w:rsid w:val="00830AB7"/>
    <w:rsid w:val="00830B53"/>
    <w:rsid w:val="00830BC6"/>
    <w:rsid w:val="00830BEB"/>
    <w:rsid w:val="00830C27"/>
    <w:rsid w:val="00830DDE"/>
    <w:rsid w:val="00830E71"/>
    <w:rsid w:val="008313E5"/>
    <w:rsid w:val="00831781"/>
    <w:rsid w:val="008319A1"/>
    <w:rsid w:val="00831A37"/>
    <w:rsid w:val="00831B51"/>
    <w:rsid w:val="00831B96"/>
    <w:rsid w:val="00831CCC"/>
    <w:rsid w:val="00831D6F"/>
    <w:rsid w:val="00831DA6"/>
    <w:rsid w:val="00831F7D"/>
    <w:rsid w:val="00832321"/>
    <w:rsid w:val="00832351"/>
    <w:rsid w:val="00832965"/>
    <w:rsid w:val="00832F26"/>
    <w:rsid w:val="00833343"/>
    <w:rsid w:val="00833447"/>
    <w:rsid w:val="008335C6"/>
    <w:rsid w:val="008337B7"/>
    <w:rsid w:val="00833961"/>
    <w:rsid w:val="00833A06"/>
    <w:rsid w:val="00833A2D"/>
    <w:rsid w:val="00833C5A"/>
    <w:rsid w:val="00833E00"/>
    <w:rsid w:val="00833E9C"/>
    <w:rsid w:val="00833FD8"/>
    <w:rsid w:val="00834070"/>
    <w:rsid w:val="00834087"/>
    <w:rsid w:val="0083410B"/>
    <w:rsid w:val="0083410E"/>
    <w:rsid w:val="00834176"/>
    <w:rsid w:val="008345EF"/>
    <w:rsid w:val="00834713"/>
    <w:rsid w:val="008348D8"/>
    <w:rsid w:val="00834A9E"/>
    <w:rsid w:val="00834AE8"/>
    <w:rsid w:val="00834D9E"/>
    <w:rsid w:val="00834DF2"/>
    <w:rsid w:val="00834E18"/>
    <w:rsid w:val="00834F73"/>
    <w:rsid w:val="00835035"/>
    <w:rsid w:val="0083526E"/>
    <w:rsid w:val="0083558F"/>
    <w:rsid w:val="00835633"/>
    <w:rsid w:val="0083564D"/>
    <w:rsid w:val="00835A2E"/>
    <w:rsid w:val="00835CDB"/>
    <w:rsid w:val="00835D69"/>
    <w:rsid w:val="00835E48"/>
    <w:rsid w:val="00835F64"/>
    <w:rsid w:val="00835FA8"/>
    <w:rsid w:val="008361A6"/>
    <w:rsid w:val="0083627D"/>
    <w:rsid w:val="0083637C"/>
    <w:rsid w:val="008365B8"/>
    <w:rsid w:val="00836772"/>
    <w:rsid w:val="008367A9"/>
    <w:rsid w:val="0083685F"/>
    <w:rsid w:val="008369B6"/>
    <w:rsid w:val="00836C02"/>
    <w:rsid w:val="00836C54"/>
    <w:rsid w:val="00836D45"/>
    <w:rsid w:val="00836EA8"/>
    <w:rsid w:val="00836F0F"/>
    <w:rsid w:val="00836FFE"/>
    <w:rsid w:val="0083705B"/>
    <w:rsid w:val="008376D9"/>
    <w:rsid w:val="00837922"/>
    <w:rsid w:val="00837A3F"/>
    <w:rsid w:val="00837AB7"/>
    <w:rsid w:val="00837ABB"/>
    <w:rsid w:val="00837BFA"/>
    <w:rsid w:val="00837C1A"/>
    <w:rsid w:val="00837CC0"/>
    <w:rsid w:val="00837D76"/>
    <w:rsid w:val="00837E4C"/>
    <w:rsid w:val="00837F39"/>
    <w:rsid w:val="00840098"/>
    <w:rsid w:val="0084010D"/>
    <w:rsid w:val="008401CD"/>
    <w:rsid w:val="0084029E"/>
    <w:rsid w:val="0084036A"/>
    <w:rsid w:val="008404E9"/>
    <w:rsid w:val="00840524"/>
    <w:rsid w:val="00840637"/>
    <w:rsid w:val="008406FA"/>
    <w:rsid w:val="008408E4"/>
    <w:rsid w:val="0084093E"/>
    <w:rsid w:val="00840B32"/>
    <w:rsid w:val="00840C7B"/>
    <w:rsid w:val="00840DAE"/>
    <w:rsid w:val="008410A0"/>
    <w:rsid w:val="00841165"/>
    <w:rsid w:val="0084119B"/>
    <w:rsid w:val="008411F1"/>
    <w:rsid w:val="0084169C"/>
    <w:rsid w:val="00841950"/>
    <w:rsid w:val="00841A80"/>
    <w:rsid w:val="00841E5F"/>
    <w:rsid w:val="00841F83"/>
    <w:rsid w:val="0084205F"/>
    <w:rsid w:val="0084215E"/>
    <w:rsid w:val="00842278"/>
    <w:rsid w:val="00842381"/>
    <w:rsid w:val="008423D3"/>
    <w:rsid w:val="008423DB"/>
    <w:rsid w:val="0084251A"/>
    <w:rsid w:val="00842522"/>
    <w:rsid w:val="008425F7"/>
    <w:rsid w:val="00842606"/>
    <w:rsid w:val="008428FC"/>
    <w:rsid w:val="00842923"/>
    <w:rsid w:val="00842978"/>
    <w:rsid w:val="00842A46"/>
    <w:rsid w:val="00842A7E"/>
    <w:rsid w:val="00842BB9"/>
    <w:rsid w:val="00842D58"/>
    <w:rsid w:val="00843063"/>
    <w:rsid w:val="008430FD"/>
    <w:rsid w:val="00843389"/>
    <w:rsid w:val="0084347A"/>
    <w:rsid w:val="008436DB"/>
    <w:rsid w:val="00843724"/>
    <w:rsid w:val="00843974"/>
    <w:rsid w:val="00843BCD"/>
    <w:rsid w:val="00843C2E"/>
    <w:rsid w:val="00843D8A"/>
    <w:rsid w:val="00843F99"/>
    <w:rsid w:val="0084402C"/>
    <w:rsid w:val="008440D3"/>
    <w:rsid w:val="00844382"/>
    <w:rsid w:val="008446A1"/>
    <w:rsid w:val="00844789"/>
    <w:rsid w:val="008447BE"/>
    <w:rsid w:val="0084485E"/>
    <w:rsid w:val="00844ACC"/>
    <w:rsid w:val="00844B3E"/>
    <w:rsid w:val="00844DD7"/>
    <w:rsid w:val="00844F9F"/>
    <w:rsid w:val="0084505D"/>
    <w:rsid w:val="00845194"/>
    <w:rsid w:val="00845209"/>
    <w:rsid w:val="008453E6"/>
    <w:rsid w:val="00845429"/>
    <w:rsid w:val="00845589"/>
    <w:rsid w:val="00845827"/>
    <w:rsid w:val="008458B3"/>
    <w:rsid w:val="008458E2"/>
    <w:rsid w:val="00845B5C"/>
    <w:rsid w:val="00845DEE"/>
    <w:rsid w:val="00845E67"/>
    <w:rsid w:val="00846012"/>
    <w:rsid w:val="0084608F"/>
    <w:rsid w:val="008460E4"/>
    <w:rsid w:val="008461E2"/>
    <w:rsid w:val="00846309"/>
    <w:rsid w:val="00846343"/>
    <w:rsid w:val="00846461"/>
    <w:rsid w:val="0084648C"/>
    <w:rsid w:val="008465FB"/>
    <w:rsid w:val="008467B1"/>
    <w:rsid w:val="008467D0"/>
    <w:rsid w:val="0084698E"/>
    <w:rsid w:val="008469CD"/>
    <w:rsid w:val="00846A8A"/>
    <w:rsid w:val="00846C6A"/>
    <w:rsid w:val="00846CA3"/>
    <w:rsid w:val="00846F89"/>
    <w:rsid w:val="008471D4"/>
    <w:rsid w:val="008471E9"/>
    <w:rsid w:val="008472AA"/>
    <w:rsid w:val="008475B7"/>
    <w:rsid w:val="008476FA"/>
    <w:rsid w:val="00847912"/>
    <w:rsid w:val="00847919"/>
    <w:rsid w:val="008479E3"/>
    <w:rsid w:val="008479EF"/>
    <w:rsid w:val="00847AE5"/>
    <w:rsid w:val="00847B5D"/>
    <w:rsid w:val="00847C00"/>
    <w:rsid w:val="00847C31"/>
    <w:rsid w:val="00847CEE"/>
    <w:rsid w:val="00847D4A"/>
    <w:rsid w:val="00847F41"/>
    <w:rsid w:val="0085011C"/>
    <w:rsid w:val="008504B8"/>
    <w:rsid w:val="008507EA"/>
    <w:rsid w:val="0085094A"/>
    <w:rsid w:val="00850AD7"/>
    <w:rsid w:val="00850B4E"/>
    <w:rsid w:val="00850BB2"/>
    <w:rsid w:val="00850CBC"/>
    <w:rsid w:val="00850D1E"/>
    <w:rsid w:val="00850E50"/>
    <w:rsid w:val="00850E98"/>
    <w:rsid w:val="00851007"/>
    <w:rsid w:val="0085133F"/>
    <w:rsid w:val="008513E0"/>
    <w:rsid w:val="00851834"/>
    <w:rsid w:val="0085185D"/>
    <w:rsid w:val="00851967"/>
    <w:rsid w:val="008519E1"/>
    <w:rsid w:val="00851A90"/>
    <w:rsid w:val="00851B0D"/>
    <w:rsid w:val="00851D1B"/>
    <w:rsid w:val="00851DC0"/>
    <w:rsid w:val="00851E61"/>
    <w:rsid w:val="00851FA2"/>
    <w:rsid w:val="00851FB8"/>
    <w:rsid w:val="008522D4"/>
    <w:rsid w:val="00852638"/>
    <w:rsid w:val="0085263C"/>
    <w:rsid w:val="00852679"/>
    <w:rsid w:val="008528E4"/>
    <w:rsid w:val="00852964"/>
    <w:rsid w:val="008529CD"/>
    <w:rsid w:val="00852A5A"/>
    <w:rsid w:val="00852E24"/>
    <w:rsid w:val="00852E9A"/>
    <w:rsid w:val="00852F6F"/>
    <w:rsid w:val="0085318F"/>
    <w:rsid w:val="00853530"/>
    <w:rsid w:val="008535A1"/>
    <w:rsid w:val="00853638"/>
    <w:rsid w:val="008536AC"/>
    <w:rsid w:val="0085381A"/>
    <w:rsid w:val="00853906"/>
    <w:rsid w:val="00853952"/>
    <w:rsid w:val="00853A4D"/>
    <w:rsid w:val="00853BC9"/>
    <w:rsid w:val="00853DEF"/>
    <w:rsid w:val="00854063"/>
    <w:rsid w:val="0085410E"/>
    <w:rsid w:val="00854236"/>
    <w:rsid w:val="00854644"/>
    <w:rsid w:val="008546A6"/>
    <w:rsid w:val="008546EF"/>
    <w:rsid w:val="008548DC"/>
    <w:rsid w:val="008549C7"/>
    <w:rsid w:val="008549DB"/>
    <w:rsid w:val="00854A28"/>
    <w:rsid w:val="00854BBA"/>
    <w:rsid w:val="00854C8C"/>
    <w:rsid w:val="00854CDA"/>
    <w:rsid w:val="00854D09"/>
    <w:rsid w:val="00854D77"/>
    <w:rsid w:val="00854EE5"/>
    <w:rsid w:val="00855037"/>
    <w:rsid w:val="008551E9"/>
    <w:rsid w:val="0085531A"/>
    <w:rsid w:val="008553E5"/>
    <w:rsid w:val="008553F2"/>
    <w:rsid w:val="008554A9"/>
    <w:rsid w:val="008554C9"/>
    <w:rsid w:val="008557D2"/>
    <w:rsid w:val="00855831"/>
    <w:rsid w:val="0085587B"/>
    <w:rsid w:val="00855908"/>
    <w:rsid w:val="00855ABE"/>
    <w:rsid w:val="00855CB6"/>
    <w:rsid w:val="00855EA7"/>
    <w:rsid w:val="00855FF1"/>
    <w:rsid w:val="00855FFA"/>
    <w:rsid w:val="008560D4"/>
    <w:rsid w:val="0085632C"/>
    <w:rsid w:val="0085640E"/>
    <w:rsid w:val="00856423"/>
    <w:rsid w:val="008564C2"/>
    <w:rsid w:val="008565E0"/>
    <w:rsid w:val="0085665D"/>
    <w:rsid w:val="00856A14"/>
    <w:rsid w:val="00856B7B"/>
    <w:rsid w:val="00856BA1"/>
    <w:rsid w:val="00856BA2"/>
    <w:rsid w:val="00856C22"/>
    <w:rsid w:val="00857119"/>
    <w:rsid w:val="008572CA"/>
    <w:rsid w:val="00857440"/>
    <w:rsid w:val="00857448"/>
    <w:rsid w:val="00857562"/>
    <w:rsid w:val="00857598"/>
    <w:rsid w:val="008575FA"/>
    <w:rsid w:val="00857958"/>
    <w:rsid w:val="00857B27"/>
    <w:rsid w:val="00860151"/>
    <w:rsid w:val="0086038E"/>
    <w:rsid w:val="00860484"/>
    <w:rsid w:val="0086048B"/>
    <w:rsid w:val="0086073F"/>
    <w:rsid w:val="00860D50"/>
    <w:rsid w:val="00860D8F"/>
    <w:rsid w:val="0086131D"/>
    <w:rsid w:val="00861561"/>
    <w:rsid w:val="008615E4"/>
    <w:rsid w:val="0086184E"/>
    <w:rsid w:val="00861896"/>
    <w:rsid w:val="008619D0"/>
    <w:rsid w:val="008619DB"/>
    <w:rsid w:val="00861A8D"/>
    <w:rsid w:val="00861ACD"/>
    <w:rsid w:val="00861CBE"/>
    <w:rsid w:val="00861E10"/>
    <w:rsid w:val="00861E1B"/>
    <w:rsid w:val="00861EED"/>
    <w:rsid w:val="00861FAF"/>
    <w:rsid w:val="00861FFC"/>
    <w:rsid w:val="00862014"/>
    <w:rsid w:val="00862339"/>
    <w:rsid w:val="00862362"/>
    <w:rsid w:val="008624AB"/>
    <w:rsid w:val="008624E1"/>
    <w:rsid w:val="00862647"/>
    <w:rsid w:val="008627E4"/>
    <w:rsid w:val="00862964"/>
    <w:rsid w:val="0086299C"/>
    <w:rsid w:val="008629CC"/>
    <w:rsid w:val="008629E7"/>
    <w:rsid w:val="00862B97"/>
    <w:rsid w:val="00862CBA"/>
    <w:rsid w:val="00862FAE"/>
    <w:rsid w:val="00862FB1"/>
    <w:rsid w:val="008631E4"/>
    <w:rsid w:val="008632D3"/>
    <w:rsid w:val="00863347"/>
    <w:rsid w:val="00863507"/>
    <w:rsid w:val="00863623"/>
    <w:rsid w:val="008636FC"/>
    <w:rsid w:val="0086373B"/>
    <w:rsid w:val="0086388A"/>
    <w:rsid w:val="008638D6"/>
    <w:rsid w:val="00863B26"/>
    <w:rsid w:val="00863B52"/>
    <w:rsid w:val="0086401B"/>
    <w:rsid w:val="008640C9"/>
    <w:rsid w:val="008641FB"/>
    <w:rsid w:val="00864286"/>
    <w:rsid w:val="008642F9"/>
    <w:rsid w:val="0086443B"/>
    <w:rsid w:val="008644A1"/>
    <w:rsid w:val="0086487D"/>
    <w:rsid w:val="00864A26"/>
    <w:rsid w:val="00864ABA"/>
    <w:rsid w:val="00864B0E"/>
    <w:rsid w:val="00864B86"/>
    <w:rsid w:val="00864E39"/>
    <w:rsid w:val="00864FEC"/>
    <w:rsid w:val="0086513A"/>
    <w:rsid w:val="008651FA"/>
    <w:rsid w:val="00865459"/>
    <w:rsid w:val="008654BB"/>
    <w:rsid w:val="00865530"/>
    <w:rsid w:val="0086553A"/>
    <w:rsid w:val="008656FD"/>
    <w:rsid w:val="00865863"/>
    <w:rsid w:val="0086587F"/>
    <w:rsid w:val="00865919"/>
    <w:rsid w:val="0086595A"/>
    <w:rsid w:val="00865C31"/>
    <w:rsid w:val="00865C5F"/>
    <w:rsid w:val="00865E12"/>
    <w:rsid w:val="00865E2B"/>
    <w:rsid w:val="00865FB5"/>
    <w:rsid w:val="00866029"/>
    <w:rsid w:val="008660CA"/>
    <w:rsid w:val="0086624D"/>
    <w:rsid w:val="008667E7"/>
    <w:rsid w:val="008668BD"/>
    <w:rsid w:val="00866910"/>
    <w:rsid w:val="00866C08"/>
    <w:rsid w:val="00866E95"/>
    <w:rsid w:val="00866EA6"/>
    <w:rsid w:val="00867235"/>
    <w:rsid w:val="008672E2"/>
    <w:rsid w:val="00867308"/>
    <w:rsid w:val="008674DD"/>
    <w:rsid w:val="00867521"/>
    <w:rsid w:val="0086787B"/>
    <w:rsid w:val="00867893"/>
    <w:rsid w:val="008678B4"/>
    <w:rsid w:val="0086790A"/>
    <w:rsid w:val="00867A6F"/>
    <w:rsid w:val="00867ADE"/>
    <w:rsid w:val="00867AED"/>
    <w:rsid w:val="00867B60"/>
    <w:rsid w:val="00867B90"/>
    <w:rsid w:val="00867E2B"/>
    <w:rsid w:val="00867E79"/>
    <w:rsid w:val="00867F13"/>
    <w:rsid w:val="008700AC"/>
    <w:rsid w:val="0087011D"/>
    <w:rsid w:val="00870245"/>
    <w:rsid w:val="00870484"/>
    <w:rsid w:val="00870490"/>
    <w:rsid w:val="008704B2"/>
    <w:rsid w:val="008705AA"/>
    <w:rsid w:val="008705C0"/>
    <w:rsid w:val="00870674"/>
    <w:rsid w:val="008706AD"/>
    <w:rsid w:val="008706E0"/>
    <w:rsid w:val="008708DB"/>
    <w:rsid w:val="008709B3"/>
    <w:rsid w:val="00870D5F"/>
    <w:rsid w:val="00870EEE"/>
    <w:rsid w:val="00870FEF"/>
    <w:rsid w:val="0087111C"/>
    <w:rsid w:val="00871243"/>
    <w:rsid w:val="008712AB"/>
    <w:rsid w:val="0087136D"/>
    <w:rsid w:val="00871419"/>
    <w:rsid w:val="008714C2"/>
    <w:rsid w:val="008714F7"/>
    <w:rsid w:val="008715D9"/>
    <w:rsid w:val="008715F6"/>
    <w:rsid w:val="008715FF"/>
    <w:rsid w:val="00871605"/>
    <w:rsid w:val="00871778"/>
    <w:rsid w:val="00871AA8"/>
    <w:rsid w:val="00871B7A"/>
    <w:rsid w:val="00871C23"/>
    <w:rsid w:val="00871C83"/>
    <w:rsid w:val="00871CFA"/>
    <w:rsid w:val="00871E70"/>
    <w:rsid w:val="00871ED1"/>
    <w:rsid w:val="00872038"/>
    <w:rsid w:val="0087215B"/>
    <w:rsid w:val="008721E6"/>
    <w:rsid w:val="00872222"/>
    <w:rsid w:val="00872303"/>
    <w:rsid w:val="008725D6"/>
    <w:rsid w:val="008727DC"/>
    <w:rsid w:val="008727FF"/>
    <w:rsid w:val="0087282D"/>
    <w:rsid w:val="0087284B"/>
    <w:rsid w:val="00872940"/>
    <w:rsid w:val="00872A3C"/>
    <w:rsid w:val="00872A45"/>
    <w:rsid w:val="00872A7C"/>
    <w:rsid w:val="00872B26"/>
    <w:rsid w:val="00872C71"/>
    <w:rsid w:val="0087309D"/>
    <w:rsid w:val="0087309F"/>
    <w:rsid w:val="008730AB"/>
    <w:rsid w:val="008730B1"/>
    <w:rsid w:val="0087343C"/>
    <w:rsid w:val="00873596"/>
    <w:rsid w:val="008738E6"/>
    <w:rsid w:val="00873997"/>
    <w:rsid w:val="00873C43"/>
    <w:rsid w:val="00873DD7"/>
    <w:rsid w:val="00873F3D"/>
    <w:rsid w:val="0087401E"/>
    <w:rsid w:val="00874053"/>
    <w:rsid w:val="008740A0"/>
    <w:rsid w:val="008740B7"/>
    <w:rsid w:val="008740CF"/>
    <w:rsid w:val="008744D3"/>
    <w:rsid w:val="00874550"/>
    <w:rsid w:val="00874735"/>
    <w:rsid w:val="00874AFA"/>
    <w:rsid w:val="00874C91"/>
    <w:rsid w:val="00874EC4"/>
    <w:rsid w:val="00874F0A"/>
    <w:rsid w:val="00875071"/>
    <w:rsid w:val="00875074"/>
    <w:rsid w:val="008751AC"/>
    <w:rsid w:val="00875233"/>
    <w:rsid w:val="00875252"/>
    <w:rsid w:val="0087545A"/>
    <w:rsid w:val="00875723"/>
    <w:rsid w:val="008757B1"/>
    <w:rsid w:val="00875827"/>
    <w:rsid w:val="00875843"/>
    <w:rsid w:val="00875921"/>
    <w:rsid w:val="00875A4A"/>
    <w:rsid w:val="00875C65"/>
    <w:rsid w:val="00875F08"/>
    <w:rsid w:val="00875FBD"/>
    <w:rsid w:val="00875FC6"/>
    <w:rsid w:val="008760AF"/>
    <w:rsid w:val="008763CA"/>
    <w:rsid w:val="008763DF"/>
    <w:rsid w:val="008763F2"/>
    <w:rsid w:val="008764D2"/>
    <w:rsid w:val="00876693"/>
    <w:rsid w:val="0087669F"/>
    <w:rsid w:val="008766E2"/>
    <w:rsid w:val="008767CF"/>
    <w:rsid w:val="00876802"/>
    <w:rsid w:val="00876BA8"/>
    <w:rsid w:val="00876D68"/>
    <w:rsid w:val="00876D86"/>
    <w:rsid w:val="00876F33"/>
    <w:rsid w:val="00876F48"/>
    <w:rsid w:val="008772A0"/>
    <w:rsid w:val="00877354"/>
    <w:rsid w:val="00877503"/>
    <w:rsid w:val="0087761B"/>
    <w:rsid w:val="0087764D"/>
    <w:rsid w:val="008777A4"/>
    <w:rsid w:val="00877A56"/>
    <w:rsid w:val="00877ADF"/>
    <w:rsid w:val="00877B37"/>
    <w:rsid w:val="00877B64"/>
    <w:rsid w:val="00877BAC"/>
    <w:rsid w:val="00877C49"/>
    <w:rsid w:val="00877D1A"/>
    <w:rsid w:val="00877D2D"/>
    <w:rsid w:val="00877F51"/>
    <w:rsid w:val="00877FF2"/>
    <w:rsid w:val="00880045"/>
    <w:rsid w:val="008801C0"/>
    <w:rsid w:val="0088038F"/>
    <w:rsid w:val="008803D3"/>
    <w:rsid w:val="0088046F"/>
    <w:rsid w:val="00880474"/>
    <w:rsid w:val="0088072B"/>
    <w:rsid w:val="00880736"/>
    <w:rsid w:val="00880EED"/>
    <w:rsid w:val="00880F9C"/>
    <w:rsid w:val="0088109E"/>
    <w:rsid w:val="008813D1"/>
    <w:rsid w:val="00881494"/>
    <w:rsid w:val="00881510"/>
    <w:rsid w:val="008815CE"/>
    <w:rsid w:val="0088162D"/>
    <w:rsid w:val="0088176B"/>
    <w:rsid w:val="00881794"/>
    <w:rsid w:val="0088191E"/>
    <w:rsid w:val="00881A63"/>
    <w:rsid w:val="00881C76"/>
    <w:rsid w:val="00881CC1"/>
    <w:rsid w:val="00881D9D"/>
    <w:rsid w:val="00881DA2"/>
    <w:rsid w:val="00881E0D"/>
    <w:rsid w:val="00882259"/>
    <w:rsid w:val="008822C0"/>
    <w:rsid w:val="00882392"/>
    <w:rsid w:val="00882609"/>
    <w:rsid w:val="008827BE"/>
    <w:rsid w:val="008828A7"/>
    <w:rsid w:val="008828FE"/>
    <w:rsid w:val="00882967"/>
    <w:rsid w:val="00882A74"/>
    <w:rsid w:val="00882D23"/>
    <w:rsid w:val="00882FAA"/>
    <w:rsid w:val="008830E9"/>
    <w:rsid w:val="0088324F"/>
    <w:rsid w:val="008836A8"/>
    <w:rsid w:val="0088391F"/>
    <w:rsid w:val="008839EE"/>
    <w:rsid w:val="00883A9B"/>
    <w:rsid w:val="00883B93"/>
    <w:rsid w:val="00883BEF"/>
    <w:rsid w:val="00883C7A"/>
    <w:rsid w:val="00883D88"/>
    <w:rsid w:val="00883E7A"/>
    <w:rsid w:val="00884019"/>
    <w:rsid w:val="0088423F"/>
    <w:rsid w:val="008842BF"/>
    <w:rsid w:val="00884303"/>
    <w:rsid w:val="00884420"/>
    <w:rsid w:val="008846F2"/>
    <w:rsid w:val="008847E1"/>
    <w:rsid w:val="008847E4"/>
    <w:rsid w:val="008853AE"/>
    <w:rsid w:val="00885465"/>
    <w:rsid w:val="0088547E"/>
    <w:rsid w:val="0088567B"/>
    <w:rsid w:val="00885778"/>
    <w:rsid w:val="00885A57"/>
    <w:rsid w:val="00885C0E"/>
    <w:rsid w:val="00885DAB"/>
    <w:rsid w:val="00885E28"/>
    <w:rsid w:val="00885FBF"/>
    <w:rsid w:val="00886010"/>
    <w:rsid w:val="00886126"/>
    <w:rsid w:val="008861D0"/>
    <w:rsid w:val="0088628E"/>
    <w:rsid w:val="008867BD"/>
    <w:rsid w:val="008868A4"/>
    <w:rsid w:val="008868AF"/>
    <w:rsid w:val="00886ABE"/>
    <w:rsid w:val="00886B86"/>
    <w:rsid w:val="00886C2F"/>
    <w:rsid w:val="00886CA1"/>
    <w:rsid w:val="00886F02"/>
    <w:rsid w:val="00886F99"/>
    <w:rsid w:val="00886FD8"/>
    <w:rsid w:val="0088704A"/>
    <w:rsid w:val="008871C4"/>
    <w:rsid w:val="008873AC"/>
    <w:rsid w:val="008874C1"/>
    <w:rsid w:val="00887582"/>
    <w:rsid w:val="0088764C"/>
    <w:rsid w:val="0088785E"/>
    <w:rsid w:val="008878B6"/>
    <w:rsid w:val="0088794E"/>
    <w:rsid w:val="008879DF"/>
    <w:rsid w:val="00887A86"/>
    <w:rsid w:val="00887C40"/>
    <w:rsid w:val="00887DA5"/>
    <w:rsid w:val="00887DC1"/>
    <w:rsid w:val="00887DD6"/>
    <w:rsid w:val="00887E8E"/>
    <w:rsid w:val="00887EC8"/>
    <w:rsid w:val="00887F84"/>
    <w:rsid w:val="00890091"/>
    <w:rsid w:val="00890170"/>
    <w:rsid w:val="00890335"/>
    <w:rsid w:val="00890398"/>
    <w:rsid w:val="008904F6"/>
    <w:rsid w:val="00890685"/>
    <w:rsid w:val="008908D1"/>
    <w:rsid w:val="008909EB"/>
    <w:rsid w:val="00890A1D"/>
    <w:rsid w:val="00890A4B"/>
    <w:rsid w:val="00890D92"/>
    <w:rsid w:val="00890DC2"/>
    <w:rsid w:val="00890DD2"/>
    <w:rsid w:val="008910CA"/>
    <w:rsid w:val="008913CF"/>
    <w:rsid w:val="008915A7"/>
    <w:rsid w:val="008915B3"/>
    <w:rsid w:val="008916FA"/>
    <w:rsid w:val="008918C9"/>
    <w:rsid w:val="008919C2"/>
    <w:rsid w:val="00891B62"/>
    <w:rsid w:val="00891DB6"/>
    <w:rsid w:val="0089201F"/>
    <w:rsid w:val="00892338"/>
    <w:rsid w:val="0089236E"/>
    <w:rsid w:val="00892427"/>
    <w:rsid w:val="008924A3"/>
    <w:rsid w:val="0089275F"/>
    <w:rsid w:val="00892881"/>
    <w:rsid w:val="008928D7"/>
    <w:rsid w:val="008929FD"/>
    <w:rsid w:val="00892D9F"/>
    <w:rsid w:val="00892E17"/>
    <w:rsid w:val="0089308A"/>
    <w:rsid w:val="008931F5"/>
    <w:rsid w:val="0089333E"/>
    <w:rsid w:val="00893495"/>
    <w:rsid w:val="00893850"/>
    <w:rsid w:val="008939DD"/>
    <w:rsid w:val="00893F33"/>
    <w:rsid w:val="008940D8"/>
    <w:rsid w:val="008941A5"/>
    <w:rsid w:val="008942E2"/>
    <w:rsid w:val="00894303"/>
    <w:rsid w:val="00894557"/>
    <w:rsid w:val="00894765"/>
    <w:rsid w:val="00894A24"/>
    <w:rsid w:val="00894A34"/>
    <w:rsid w:val="00894AE2"/>
    <w:rsid w:val="00894AF6"/>
    <w:rsid w:val="00894B28"/>
    <w:rsid w:val="00894B7E"/>
    <w:rsid w:val="00894C85"/>
    <w:rsid w:val="00894C93"/>
    <w:rsid w:val="00894D43"/>
    <w:rsid w:val="00894D7F"/>
    <w:rsid w:val="00894F93"/>
    <w:rsid w:val="00895225"/>
    <w:rsid w:val="0089523D"/>
    <w:rsid w:val="00895621"/>
    <w:rsid w:val="0089576F"/>
    <w:rsid w:val="008957E3"/>
    <w:rsid w:val="00895925"/>
    <w:rsid w:val="00895951"/>
    <w:rsid w:val="00895B84"/>
    <w:rsid w:val="00895F23"/>
    <w:rsid w:val="00895FAD"/>
    <w:rsid w:val="0089602D"/>
    <w:rsid w:val="0089607F"/>
    <w:rsid w:val="008960CE"/>
    <w:rsid w:val="008961BC"/>
    <w:rsid w:val="008961E3"/>
    <w:rsid w:val="008962FE"/>
    <w:rsid w:val="00896302"/>
    <w:rsid w:val="00896314"/>
    <w:rsid w:val="0089643E"/>
    <w:rsid w:val="00896458"/>
    <w:rsid w:val="00896582"/>
    <w:rsid w:val="008965E8"/>
    <w:rsid w:val="008966FA"/>
    <w:rsid w:val="00896BD6"/>
    <w:rsid w:val="00896C7C"/>
    <w:rsid w:val="00896D83"/>
    <w:rsid w:val="00896D88"/>
    <w:rsid w:val="00896DCC"/>
    <w:rsid w:val="00896DE5"/>
    <w:rsid w:val="00896FF1"/>
    <w:rsid w:val="00897102"/>
    <w:rsid w:val="00897108"/>
    <w:rsid w:val="008971AE"/>
    <w:rsid w:val="008971CA"/>
    <w:rsid w:val="0089720C"/>
    <w:rsid w:val="00897245"/>
    <w:rsid w:val="0089730A"/>
    <w:rsid w:val="008973FA"/>
    <w:rsid w:val="00897433"/>
    <w:rsid w:val="008974AB"/>
    <w:rsid w:val="008975B9"/>
    <w:rsid w:val="008975E7"/>
    <w:rsid w:val="00897949"/>
    <w:rsid w:val="00897A47"/>
    <w:rsid w:val="00897A48"/>
    <w:rsid w:val="00897C60"/>
    <w:rsid w:val="00897D68"/>
    <w:rsid w:val="008A0198"/>
    <w:rsid w:val="008A02BD"/>
    <w:rsid w:val="008A036D"/>
    <w:rsid w:val="008A0472"/>
    <w:rsid w:val="008A047F"/>
    <w:rsid w:val="008A04CB"/>
    <w:rsid w:val="008A072A"/>
    <w:rsid w:val="008A0752"/>
    <w:rsid w:val="008A077C"/>
    <w:rsid w:val="008A07CA"/>
    <w:rsid w:val="008A097A"/>
    <w:rsid w:val="008A0A3A"/>
    <w:rsid w:val="008A0C86"/>
    <w:rsid w:val="008A0E96"/>
    <w:rsid w:val="008A0F1B"/>
    <w:rsid w:val="008A1130"/>
    <w:rsid w:val="008A14D2"/>
    <w:rsid w:val="008A1639"/>
    <w:rsid w:val="008A1733"/>
    <w:rsid w:val="008A1F81"/>
    <w:rsid w:val="008A224E"/>
    <w:rsid w:val="008A22A6"/>
    <w:rsid w:val="008A243E"/>
    <w:rsid w:val="008A258C"/>
    <w:rsid w:val="008A25C8"/>
    <w:rsid w:val="008A2630"/>
    <w:rsid w:val="008A2634"/>
    <w:rsid w:val="008A2717"/>
    <w:rsid w:val="008A2B00"/>
    <w:rsid w:val="008A2B63"/>
    <w:rsid w:val="008A2C3B"/>
    <w:rsid w:val="008A2C6A"/>
    <w:rsid w:val="008A2F0E"/>
    <w:rsid w:val="008A2FDD"/>
    <w:rsid w:val="008A313F"/>
    <w:rsid w:val="008A33A4"/>
    <w:rsid w:val="008A33D4"/>
    <w:rsid w:val="008A33ED"/>
    <w:rsid w:val="008A355C"/>
    <w:rsid w:val="008A359B"/>
    <w:rsid w:val="008A35A4"/>
    <w:rsid w:val="008A3873"/>
    <w:rsid w:val="008A38BE"/>
    <w:rsid w:val="008A38D0"/>
    <w:rsid w:val="008A399A"/>
    <w:rsid w:val="008A3B4B"/>
    <w:rsid w:val="008A4237"/>
    <w:rsid w:val="008A42FB"/>
    <w:rsid w:val="008A45C8"/>
    <w:rsid w:val="008A47A6"/>
    <w:rsid w:val="008A483E"/>
    <w:rsid w:val="008A4920"/>
    <w:rsid w:val="008A4E37"/>
    <w:rsid w:val="008A5001"/>
    <w:rsid w:val="008A50F3"/>
    <w:rsid w:val="008A5116"/>
    <w:rsid w:val="008A5225"/>
    <w:rsid w:val="008A5254"/>
    <w:rsid w:val="008A537D"/>
    <w:rsid w:val="008A5442"/>
    <w:rsid w:val="008A5493"/>
    <w:rsid w:val="008A5691"/>
    <w:rsid w:val="008A5859"/>
    <w:rsid w:val="008A5A13"/>
    <w:rsid w:val="008A5A34"/>
    <w:rsid w:val="008A5B8C"/>
    <w:rsid w:val="008A5C12"/>
    <w:rsid w:val="008A5C8D"/>
    <w:rsid w:val="008A5CCA"/>
    <w:rsid w:val="008A5F9B"/>
    <w:rsid w:val="008A5FE8"/>
    <w:rsid w:val="008A6001"/>
    <w:rsid w:val="008A6096"/>
    <w:rsid w:val="008A630E"/>
    <w:rsid w:val="008A63BE"/>
    <w:rsid w:val="008A6520"/>
    <w:rsid w:val="008A6561"/>
    <w:rsid w:val="008A65A5"/>
    <w:rsid w:val="008A66F3"/>
    <w:rsid w:val="008A67D0"/>
    <w:rsid w:val="008A6B51"/>
    <w:rsid w:val="008A6C8B"/>
    <w:rsid w:val="008A6CEB"/>
    <w:rsid w:val="008A6D95"/>
    <w:rsid w:val="008A6EDE"/>
    <w:rsid w:val="008A701D"/>
    <w:rsid w:val="008A70CD"/>
    <w:rsid w:val="008A72A2"/>
    <w:rsid w:val="008A7554"/>
    <w:rsid w:val="008A76F3"/>
    <w:rsid w:val="008A79A0"/>
    <w:rsid w:val="008A7A61"/>
    <w:rsid w:val="008A7C6C"/>
    <w:rsid w:val="008A7D9E"/>
    <w:rsid w:val="008A7F6E"/>
    <w:rsid w:val="008B0107"/>
    <w:rsid w:val="008B01FB"/>
    <w:rsid w:val="008B0350"/>
    <w:rsid w:val="008B0360"/>
    <w:rsid w:val="008B0396"/>
    <w:rsid w:val="008B04A2"/>
    <w:rsid w:val="008B04B3"/>
    <w:rsid w:val="008B0572"/>
    <w:rsid w:val="008B08AB"/>
    <w:rsid w:val="008B0984"/>
    <w:rsid w:val="008B098A"/>
    <w:rsid w:val="008B0994"/>
    <w:rsid w:val="008B0A7E"/>
    <w:rsid w:val="008B0AC3"/>
    <w:rsid w:val="008B0C86"/>
    <w:rsid w:val="008B0C9B"/>
    <w:rsid w:val="008B0CCC"/>
    <w:rsid w:val="008B0D3E"/>
    <w:rsid w:val="008B0E12"/>
    <w:rsid w:val="008B0F8D"/>
    <w:rsid w:val="008B0FC3"/>
    <w:rsid w:val="008B1018"/>
    <w:rsid w:val="008B10DE"/>
    <w:rsid w:val="008B11FD"/>
    <w:rsid w:val="008B13ED"/>
    <w:rsid w:val="008B151C"/>
    <w:rsid w:val="008B1615"/>
    <w:rsid w:val="008B1643"/>
    <w:rsid w:val="008B165D"/>
    <w:rsid w:val="008B1A60"/>
    <w:rsid w:val="008B1B5C"/>
    <w:rsid w:val="008B1BAD"/>
    <w:rsid w:val="008B1E83"/>
    <w:rsid w:val="008B1EF8"/>
    <w:rsid w:val="008B1FEF"/>
    <w:rsid w:val="008B2130"/>
    <w:rsid w:val="008B2251"/>
    <w:rsid w:val="008B2308"/>
    <w:rsid w:val="008B23DE"/>
    <w:rsid w:val="008B23F1"/>
    <w:rsid w:val="008B250A"/>
    <w:rsid w:val="008B2623"/>
    <w:rsid w:val="008B26B5"/>
    <w:rsid w:val="008B2706"/>
    <w:rsid w:val="008B2730"/>
    <w:rsid w:val="008B27FC"/>
    <w:rsid w:val="008B2D24"/>
    <w:rsid w:val="008B2D60"/>
    <w:rsid w:val="008B3037"/>
    <w:rsid w:val="008B3205"/>
    <w:rsid w:val="008B3215"/>
    <w:rsid w:val="008B33B0"/>
    <w:rsid w:val="008B343B"/>
    <w:rsid w:val="008B354D"/>
    <w:rsid w:val="008B35DA"/>
    <w:rsid w:val="008B3670"/>
    <w:rsid w:val="008B39A9"/>
    <w:rsid w:val="008B3ABA"/>
    <w:rsid w:val="008B3C4A"/>
    <w:rsid w:val="008B3D1A"/>
    <w:rsid w:val="008B3F1B"/>
    <w:rsid w:val="008B3FA3"/>
    <w:rsid w:val="008B42FC"/>
    <w:rsid w:val="008B43D8"/>
    <w:rsid w:val="008B43E2"/>
    <w:rsid w:val="008B43E3"/>
    <w:rsid w:val="008B44D8"/>
    <w:rsid w:val="008B450A"/>
    <w:rsid w:val="008B472B"/>
    <w:rsid w:val="008B48ED"/>
    <w:rsid w:val="008B494A"/>
    <w:rsid w:val="008B4AF8"/>
    <w:rsid w:val="008B4C86"/>
    <w:rsid w:val="008B4D20"/>
    <w:rsid w:val="008B4E02"/>
    <w:rsid w:val="008B4F0F"/>
    <w:rsid w:val="008B5103"/>
    <w:rsid w:val="008B5197"/>
    <w:rsid w:val="008B5372"/>
    <w:rsid w:val="008B5382"/>
    <w:rsid w:val="008B53AA"/>
    <w:rsid w:val="008B55AC"/>
    <w:rsid w:val="008B570F"/>
    <w:rsid w:val="008B578D"/>
    <w:rsid w:val="008B5A43"/>
    <w:rsid w:val="008B5A54"/>
    <w:rsid w:val="008B5EA6"/>
    <w:rsid w:val="008B5FAA"/>
    <w:rsid w:val="008B60BC"/>
    <w:rsid w:val="008B6158"/>
    <w:rsid w:val="008B630A"/>
    <w:rsid w:val="008B63B0"/>
    <w:rsid w:val="008B645F"/>
    <w:rsid w:val="008B64A1"/>
    <w:rsid w:val="008B6554"/>
    <w:rsid w:val="008B657C"/>
    <w:rsid w:val="008B6582"/>
    <w:rsid w:val="008B6602"/>
    <w:rsid w:val="008B67AA"/>
    <w:rsid w:val="008B6A8E"/>
    <w:rsid w:val="008B6C8F"/>
    <w:rsid w:val="008B6D91"/>
    <w:rsid w:val="008B7008"/>
    <w:rsid w:val="008B70B2"/>
    <w:rsid w:val="008B7412"/>
    <w:rsid w:val="008B75B6"/>
    <w:rsid w:val="008B778B"/>
    <w:rsid w:val="008B7830"/>
    <w:rsid w:val="008B7A01"/>
    <w:rsid w:val="008B7B57"/>
    <w:rsid w:val="008B7C38"/>
    <w:rsid w:val="008B7E91"/>
    <w:rsid w:val="008B7ECF"/>
    <w:rsid w:val="008C0193"/>
    <w:rsid w:val="008C0582"/>
    <w:rsid w:val="008C0858"/>
    <w:rsid w:val="008C0890"/>
    <w:rsid w:val="008C0AFE"/>
    <w:rsid w:val="008C0DFD"/>
    <w:rsid w:val="008C0F9F"/>
    <w:rsid w:val="008C0FF3"/>
    <w:rsid w:val="008C0FFA"/>
    <w:rsid w:val="008C12BA"/>
    <w:rsid w:val="008C153E"/>
    <w:rsid w:val="008C1584"/>
    <w:rsid w:val="008C161A"/>
    <w:rsid w:val="008C190D"/>
    <w:rsid w:val="008C1960"/>
    <w:rsid w:val="008C1CF4"/>
    <w:rsid w:val="008C1E71"/>
    <w:rsid w:val="008C1F13"/>
    <w:rsid w:val="008C21F8"/>
    <w:rsid w:val="008C223B"/>
    <w:rsid w:val="008C2342"/>
    <w:rsid w:val="008C242C"/>
    <w:rsid w:val="008C2515"/>
    <w:rsid w:val="008C254D"/>
    <w:rsid w:val="008C256A"/>
    <w:rsid w:val="008C29ED"/>
    <w:rsid w:val="008C29F2"/>
    <w:rsid w:val="008C2A07"/>
    <w:rsid w:val="008C2AD7"/>
    <w:rsid w:val="008C2CDB"/>
    <w:rsid w:val="008C2F7F"/>
    <w:rsid w:val="008C313E"/>
    <w:rsid w:val="008C32F8"/>
    <w:rsid w:val="008C337C"/>
    <w:rsid w:val="008C342D"/>
    <w:rsid w:val="008C349F"/>
    <w:rsid w:val="008C3519"/>
    <w:rsid w:val="008C3967"/>
    <w:rsid w:val="008C3B41"/>
    <w:rsid w:val="008C3B90"/>
    <w:rsid w:val="008C3C3E"/>
    <w:rsid w:val="008C3C62"/>
    <w:rsid w:val="008C3ECC"/>
    <w:rsid w:val="008C4055"/>
    <w:rsid w:val="008C4248"/>
    <w:rsid w:val="008C4436"/>
    <w:rsid w:val="008C463B"/>
    <w:rsid w:val="008C4C19"/>
    <w:rsid w:val="008C4CF2"/>
    <w:rsid w:val="008C5029"/>
    <w:rsid w:val="008C5470"/>
    <w:rsid w:val="008C561B"/>
    <w:rsid w:val="008C5715"/>
    <w:rsid w:val="008C598C"/>
    <w:rsid w:val="008C5ABE"/>
    <w:rsid w:val="008C5FFD"/>
    <w:rsid w:val="008C6194"/>
    <w:rsid w:val="008C61D6"/>
    <w:rsid w:val="008C650D"/>
    <w:rsid w:val="008C68BE"/>
    <w:rsid w:val="008C69AB"/>
    <w:rsid w:val="008C6BA5"/>
    <w:rsid w:val="008C6BFC"/>
    <w:rsid w:val="008C6D31"/>
    <w:rsid w:val="008C6D8A"/>
    <w:rsid w:val="008C6DD5"/>
    <w:rsid w:val="008C6F23"/>
    <w:rsid w:val="008C71D2"/>
    <w:rsid w:val="008C730F"/>
    <w:rsid w:val="008C73DF"/>
    <w:rsid w:val="008C75B7"/>
    <w:rsid w:val="008C76AE"/>
    <w:rsid w:val="008C7747"/>
    <w:rsid w:val="008C7A0C"/>
    <w:rsid w:val="008C7D89"/>
    <w:rsid w:val="008D0080"/>
    <w:rsid w:val="008D030E"/>
    <w:rsid w:val="008D03E1"/>
    <w:rsid w:val="008D0532"/>
    <w:rsid w:val="008D0869"/>
    <w:rsid w:val="008D0929"/>
    <w:rsid w:val="008D0969"/>
    <w:rsid w:val="008D0A59"/>
    <w:rsid w:val="008D0CF4"/>
    <w:rsid w:val="008D0DAB"/>
    <w:rsid w:val="008D12C6"/>
    <w:rsid w:val="008D134B"/>
    <w:rsid w:val="008D13E8"/>
    <w:rsid w:val="008D148D"/>
    <w:rsid w:val="008D15C5"/>
    <w:rsid w:val="008D15E4"/>
    <w:rsid w:val="008D1808"/>
    <w:rsid w:val="008D1963"/>
    <w:rsid w:val="008D1E64"/>
    <w:rsid w:val="008D1EB5"/>
    <w:rsid w:val="008D20B7"/>
    <w:rsid w:val="008D21C6"/>
    <w:rsid w:val="008D231A"/>
    <w:rsid w:val="008D254F"/>
    <w:rsid w:val="008D2602"/>
    <w:rsid w:val="008D26B2"/>
    <w:rsid w:val="008D26DB"/>
    <w:rsid w:val="008D2747"/>
    <w:rsid w:val="008D2ED4"/>
    <w:rsid w:val="008D3011"/>
    <w:rsid w:val="008D3149"/>
    <w:rsid w:val="008D3164"/>
    <w:rsid w:val="008D32D8"/>
    <w:rsid w:val="008D3435"/>
    <w:rsid w:val="008D35A7"/>
    <w:rsid w:val="008D36AE"/>
    <w:rsid w:val="008D36B1"/>
    <w:rsid w:val="008D37D5"/>
    <w:rsid w:val="008D391A"/>
    <w:rsid w:val="008D3BD5"/>
    <w:rsid w:val="008D3CD1"/>
    <w:rsid w:val="008D3D01"/>
    <w:rsid w:val="008D3D96"/>
    <w:rsid w:val="008D3E84"/>
    <w:rsid w:val="008D3F73"/>
    <w:rsid w:val="008D4104"/>
    <w:rsid w:val="008D4244"/>
    <w:rsid w:val="008D430C"/>
    <w:rsid w:val="008D4348"/>
    <w:rsid w:val="008D490F"/>
    <w:rsid w:val="008D4D88"/>
    <w:rsid w:val="008D4DCA"/>
    <w:rsid w:val="008D530F"/>
    <w:rsid w:val="008D551B"/>
    <w:rsid w:val="008D5671"/>
    <w:rsid w:val="008D5759"/>
    <w:rsid w:val="008D586B"/>
    <w:rsid w:val="008D598B"/>
    <w:rsid w:val="008D5B3C"/>
    <w:rsid w:val="008D5BEF"/>
    <w:rsid w:val="008D5CA8"/>
    <w:rsid w:val="008D5D78"/>
    <w:rsid w:val="008D5F9E"/>
    <w:rsid w:val="008D60B0"/>
    <w:rsid w:val="008D615E"/>
    <w:rsid w:val="008D629E"/>
    <w:rsid w:val="008D6548"/>
    <w:rsid w:val="008D669F"/>
    <w:rsid w:val="008D67A7"/>
    <w:rsid w:val="008D67F8"/>
    <w:rsid w:val="008D68DD"/>
    <w:rsid w:val="008D6C5D"/>
    <w:rsid w:val="008D6F74"/>
    <w:rsid w:val="008D6FFC"/>
    <w:rsid w:val="008D7064"/>
    <w:rsid w:val="008D715C"/>
    <w:rsid w:val="008D71E9"/>
    <w:rsid w:val="008D768C"/>
    <w:rsid w:val="008D776F"/>
    <w:rsid w:val="008D7875"/>
    <w:rsid w:val="008D7AD5"/>
    <w:rsid w:val="008D7B30"/>
    <w:rsid w:val="008D7DFA"/>
    <w:rsid w:val="008D7F87"/>
    <w:rsid w:val="008D7FA4"/>
    <w:rsid w:val="008E0070"/>
    <w:rsid w:val="008E059E"/>
    <w:rsid w:val="008E0735"/>
    <w:rsid w:val="008E07A4"/>
    <w:rsid w:val="008E0960"/>
    <w:rsid w:val="008E0993"/>
    <w:rsid w:val="008E0AB0"/>
    <w:rsid w:val="008E0B88"/>
    <w:rsid w:val="008E0BCC"/>
    <w:rsid w:val="008E0D89"/>
    <w:rsid w:val="008E0DAE"/>
    <w:rsid w:val="008E0EA7"/>
    <w:rsid w:val="008E0F9A"/>
    <w:rsid w:val="008E101F"/>
    <w:rsid w:val="008E1123"/>
    <w:rsid w:val="008E175B"/>
    <w:rsid w:val="008E1C28"/>
    <w:rsid w:val="008E1CD2"/>
    <w:rsid w:val="008E1E9D"/>
    <w:rsid w:val="008E1F02"/>
    <w:rsid w:val="008E1F0E"/>
    <w:rsid w:val="008E224A"/>
    <w:rsid w:val="008E247E"/>
    <w:rsid w:val="008E25BA"/>
    <w:rsid w:val="008E27E6"/>
    <w:rsid w:val="008E2951"/>
    <w:rsid w:val="008E2A20"/>
    <w:rsid w:val="008E2B85"/>
    <w:rsid w:val="008E2BEE"/>
    <w:rsid w:val="008E2E6F"/>
    <w:rsid w:val="008E32AB"/>
    <w:rsid w:val="008E3301"/>
    <w:rsid w:val="008E3325"/>
    <w:rsid w:val="008E3408"/>
    <w:rsid w:val="008E352D"/>
    <w:rsid w:val="008E35BB"/>
    <w:rsid w:val="008E3718"/>
    <w:rsid w:val="008E3C90"/>
    <w:rsid w:val="008E3DA4"/>
    <w:rsid w:val="008E3F09"/>
    <w:rsid w:val="008E43F6"/>
    <w:rsid w:val="008E441C"/>
    <w:rsid w:val="008E46F5"/>
    <w:rsid w:val="008E4716"/>
    <w:rsid w:val="008E4873"/>
    <w:rsid w:val="008E4986"/>
    <w:rsid w:val="008E4AFF"/>
    <w:rsid w:val="008E4BB6"/>
    <w:rsid w:val="008E4BBD"/>
    <w:rsid w:val="008E4BDF"/>
    <w:rsid w:val="008E4D9E"/>
    <w:rsid w:val="008E4E0E"/>
    <w:rsid w:val="008E4E76"/>
    <w:rsid w:val="008E4F9E"/>
    <w:rsid w:val="008E5117"/>
    <w:rsid w:val="008E5208"/>
    <w:rsid w:val="008E521B"/>
    <w:rsid w:val="008E5323"/>
    <w:rsid w:val="008E533D"/>
    <w:rsid w:val="008E54A4"/>
    <w:rsid w:val="008E54A5"/>
    <w:rsid w:val="008E54AB"/>
    <w:rsid w:val="008E559B"/>
    <w:rsid w:val="008E55B3"/>
    <w:rsid w:val="008E571F"/>
    <w:rsid w:val="008E5785"/>
    <w:rsid w:val="008E581A"/>
    <w:rsid w:val="008E5833"/>
    <w:rsid w:val="008E5A74"/>
    <w:rsid w:val="008E5AAC"/>
    <w:rsid w:val="008E5AC7"/>
    <w:rsid w:val="008E5B2A"/>
    <w:rsid w:val="008E5B8B"/>
    <w:rsid w:val="008E5D3A"/>
    <w:rsid w:val="008E5FE0"/>
    <w:rsid w:val="008E6025"/>
    <w:rsid w:val="008E613E"/>
    <w:rsid w:val="008E619E"/>
    <w:rsid w:val="008E61CC"/>
    <w:rsid w:val="008E62A0"/>
    <w:rsid w:val="008E62C5"/>
    <w:rsid w:val="008E6387"/>
    <w:rsid w:val="008E672B"/>
    <w:rsid w:val="008E6969"/>
    <w:rsid w:val="008E69FF"/>
    <w:rsid w:val="008E6A69"/>
    <w:rsid w:val="008E6B88"/>
    <w:rsid w:val="008E6C7C"/>
    <w:rsid w:val="008E6CBD"/>
    <w:rsid w:val="008E6D2E"/>
    <w:rsid w:val="008E6ED9"/>
    <w:rsid w:val="008E7279"/>
    <w:rsid w:val="008E758D"/>
    <w:rsid w:val="008E75FC"/>
    <w:rsid w:val="008E7816"/>
    <w:rsid w:val="008E78A0"/>
    <w:rsid w:val="008E78E9"/>
    <w:rsid w:val="008E7969"/>
    <w:rsid w:val="008E7B93"/>
    <w:rsid w:val="008E7D7D"/>
    <w:rsid w:val="008E7F89"/>
    <w:rsid w:val="008F0619"/>
    <w:rsid w:val="008F06AB"/>
    <w:rsid w:val="008F09DA"/>
    <w:rsid w:val="008F0BFD"/>
    <w:rsid w:val="008F0EEA"/>
    <w:rsid w:val="008F0F50"/>
    <w:rsid w:val="008F10C8"/>
    <w:rsid w:val="008F123F"/>
    <w:rsid w:val="008F1341"/>
    <w:rsid w:val="008F16D1"/>
    <w:rsid w:val="008F178B"/>
    <w:rsid w:val="008F1794"/>
    <w:rsid w:val="008F1F65"/>
    <w:rsid w:val="008F2225"/>
    <w:rsid w:val="008F223A"/>
    <w:rsid w:val="008F242E"/>
    <w:rsid w:val="008F24FD"/>
    <w:rsid w:val="008F2560"/>
    <w:rsid w:val="008F284F"/>
    <w:rsid w:val="008F2891"/>
    <w:rsid w:val="008F2994"/>
    <w:rsid w:val="008F2A25"/>
    <w:rsid w:val="008F2ACC"/>
    <w:rsid w:val="008F2BF9"/>
    <w:rsid w:val="008F2D80"/>
    <w:rsid w:val="008F2D8F"/>
    <w:rsid w:val="008F319B"/>
    <w:rsid w:val="008F332C"/>
    <w:rsid w:val="008F378F"/>
    <w:rsid w:val="008F381F"/>
    <w:rsid w:val="008F3C26"/>
    <w:rsid w:val="008F3DD1"/>
    <w:rsid w:val="008F3F1D"/>
    <w:rsid w:val="008F3FA0"/>
    <w:rsid w:val="008F40EC"/>
    <w:rsid w:val="008F41BA"/>
    <w:rsid w:val="008F41C2"/>
    <w:rsid w:val="008F424D"/>
    <w:rsid w:val="008F4443"/>
    <w:rsid w:val="008F4487"/>
    <w:rsid w:val="008F44C1"/>
    <w:rsid w:val="008F44EB"/>
    <w:rsid w:val="008F4596"/>
    <w:rsid w:val="008F46CE"/>
    <w:rsid w:val="008F46CF"/>
    <w:rsid w:val="008F474A"/>
    <w:rsid w:val="008F497D"/>
    <w:rsid w:val="008F4A6E"/>
    <w:rsid w:val="008F4AE4"/>
    <w:rsid w:val="008F4B0F"/>
    <w:rsid w:val="008F4B3E"/>
    <w:rsid w:val="008F4C03"/>
    <w:rsid w:val="008F4DAC"/>
    <w:rsid w:val="008F4FF7"/>
    <w:rsid w:val="008F5229"/>
    <w:rsid w:val="008F523D"/>
    <w:rsid w:val="008F542A"/>
    <w:rsid w:val="008F54BD"/>
    <w:rsid w:val="008F55B5"/>
    <w:rsid w:val="008F5874"/>
    <w:rsid w:val="008F593F"/>
    <w:rsid w:val="008F5F30"/>
    <w:rsid w:val="008F6200"/>
    <w:rsid w:val="008F63B4"/>
    <w:rsid w:val="008F66C4"/>
    <w:rsid w:val="008F6892"/>
    <w:rsid w:val="008F6A45"/>
    <w:rsid w:val="008F6B16"/>
    <w:rsid w:val="008F6E83"/>
    <w:rsid w:val="008F707B"/>
    <w:rsid w:val="008F708F"/>
    <w:rsid w:val="008F7168"/>
    <w:rsid w:val="008F7362"/>
    <w:rsid w:val="008F7398"/>
    <w:rsid w:val="008F73C9"/>
    <w:rsid w:val="008F743D"/>
    <w:rsid w:val="008F74B9"/>
    <w:rsid w:val="008F75A0"/>
    <w:rsid w:val="008F77F0"/>
    <w:rsid w:val="008F79C2"/>
    <w:rsid w:val="008F7AA2"/>
    <w:rsid w:val="008F7AE4"/>
    <w:rsid w:val="008F7D5E"/>
    <w:rsid w:val="008F7DA6"/>
    <w:rsid w:val="008F7E66"/>
    <w:rsid w:val="008F7E9B"/>
    <w:rsid w:val="00900021"/>
    <w:rsid w:val="0090006C"/>
    <w:rsid w:val="00900086"/>
    <w:rsid w:val="00900288"/>
    <w:rsid w:val="009003AE"/>
    <w:rsid w:val="00900472"/>
    <w:rsid w:val="009006B9"/>
    <w:rsid w:val="00900757"/>
    <w:rsid w:val="00900813"/>
    <w:rsid w:val="00900960"/>
    <w:rsid w:val="00900985"/>
    <w:rsid w:val="009009D6"/>
    <w:rsid w:val="00900BB0"/>
    <w:rsid w:val="00900C52"/>
    <w:rsid w:val="0090124C"/>
    <w:rsid w:val="00901277"/>
    <w:rsid w:val="009012F4"/>
    <w:rsid w:val="00901328"/>
    <w:rsid w:val="00901449"/>
    <w:rsid w:val="00901977"/>
    <w:rsid w:val="009019DC"/>
    <w:rsid w:val="00901BA0"/>
    <w:rsid w:val="00901E20"/>
    <w:rsid w:val="00901E3E"/>
    <w:rsid w:val="009021E8"/>
    <w:rsid w:val="009023A5"/>
    <w:rsid w:val="009024F6"/>
    <w:rsid w:val="009026A5"/>
    <w:rsid w:val="009026EF"/>
    <w:rsid w:val="00902788"/>
    <w:rsid w:val="009027C6"/>
    <w:rsid w:val="0090281E"/>
    <w:rsid w:val="0090293E"/>
    <w:rsid w:val="00902A8B"/>
    <w:rsid w:val="00902ED2"/>
    <w:rsid w:val="009030AD"/>
    <w:rsid w:val="00903359"/>
    <w:rsid w:val="0090335C"/>
    <w:rsid w:val="00903448"/>
    <w:rsid w:val="00903784"/>
    <w:rsid w:val="00903860"/>
    <w:rsid w:val="00903A6C"/>
    <w:rsid w:val="00903BBA"/>
    <w:rsid w:val="00903E61"/>
    <w:rsid w:val="00903F45"/>
    <w:rsid w:val="00904148"/>
    <w:rsid w:val="0090422F"/>
    <w:rsid w:val="0090452B"/>
    <w:rsid w:val="009046E4"/>
    <w:rsid w:val="0090482F"/>
    <w:rsid w:val="009049E3"/>
    <w:rsid w:val="00904A74"/>
    <w:rsid w:val="00904BD0"/>
    <w:rsid w:val="00904BE0"/>
    <w:rsid w:val="00904C98"/>
    <w:rsid w:val="00904DA4"/>
    <w:rsid w:val="00904E51"/>
    <w:rsid w:val="00904E67"/>
    <w:rsid w:val="00904F71"/>
    <w:rsid w:val="0090509E"/>
    <w:rsid w:val="009052DA"/>
    <w:rsid w:val="00905360"/>
    <w:rsid w:val="009054B0"/>
    <w:rsid w:val="00905831"/>
    <w:rsid w:val="00905F3D"/>
    <w:rsid w:val="00905FB6"/>
    <w:rsid w:val="00905FF5"/>
    <w:rsid w:val="00906084"/>
    <w:rsid w:val="009060D4"/>
    <w:rsid w:val="00906184"/>
    <w:rsid w:val="009061BB"/>
    <w:rsid w:val="00906428"/>
    <w:rsid w:val="00906536"/>
    <w:rsid w:val="00906637"/>
    <w:rsid w:val="00906680"/>
    <w:rsid w:val="0090677D"/>
    <w:rsid w:val="00906A2D"/>
    <w:rsid w:val="00906AFF"/>
    <w:rsid w:val="00906B7B"/>
    <w:rsid w:val="00906DC3"/>
    <w:rsid w:val="00906E87"/>
    <w:rsid w:val="00906E9F"/>
    <w:rsid w:val="00906F83"/>
    <w:rsid w:val="009070B4"/>
    <w:rsid w:val="009071AD"/>
    <w:rsid w:val="009072B6"/>
    <w:rsid w:val="009074BF"/>
    <w:rsid w:val="009077DB"/>
    <w:rsid w:val="00907844"/>
    <w:rsid w:val="009079D9"/>
    <w:rsid w:val="00907A55"/>
    <w:rsid w:val="00907BE1"/>
    <w:rsid w:val="00907CD2"/>
    <w:rsid w:val="00907D43"/>
    <w:rsid w:val="00910012"/>
    <w:rsid w:val="0091004D"/>
    <w:rsid w:val="00910431"/>
    <w:rsid w:val="00910518"/>
    <w:rsid w:val="009106B7"/>
    <w:rsid w:val="009107F4"/>
    <w:rsid w:val="00910844"/>
    <w:rsid w:val="009108D0"/>
    <w:rsid w:val="00910984"/>
    <w:rsid w:val="00910B33"/>
    <w:rsid w:val="00910CA4"/>
    <w:rsid w:val="00910D8F"/>
    <w:rsid w:val="00910F11"/>
    <w:rsid w:val="00910FA4"/>
    <w:rsid w:val="0091121A"/>
    <w:rsid w:val="009112DC"/>
    <w:rsid w:val="00911480"/>
    <w:rsid w:val="00911A1F"/>
    <w:rsid w:val="00911B4D"/>
    <w:rsid w:val="00911C84"/>
    <w:rsid w:val="00911D0A"/>
    <w:rsid w:val="00912074"/>
    <w:rsid w:val="00912234"/>
    <w:rsid w:val="0091229E"/>
    <w:rsid w:val="00912345"/>
    <w:rsid w:val="00912656"/>
    <w:rsid w:val="0091267D"/>
    <w:rsid w:val="00912944"/>
    <w:rsid w:val="00912AC1"/>
    <w:rsid w:val="00912AC6"/>
    <w:rsid w:val="00912BB6"/>
    <w:rsid w:val="00912E97"/>
    <w:rsid w:val="00912FBC"/>
    <w:rsid w:val="009130CB"/>
    <w:rsid w:val="009131D0"/>
    <w:rsid w:val="0091332C"/>
    <w:rsid w:val="0091338E"/>
    <w:rsid w:val="009134D3"/>
    <w:rsid w:val="0091352C"/>
    <w:rsid w:val="009136B5"/>
    <w:rsid w:val="00913797"/>
    <w:rsid w:val="0091383F"/>
    <w:rsid w:val="00913D4C"/>
    <w:rsid w:val="00913D89"/>
    <w:rsid w:val="00913FCB"/>
    <w:rsid w:val="00913FF4"/>
    <w:rsid w:val="0091425B"/>
    <w:rsid w:val="00914270"/>
    <w:rsid w:val="00914274"/>
    <w:rsid w:val="00914485"/>
    <w:rsid w:val="00914A0B"/>
    <w:rsid w:val="00914C2E"/>
    <w:rsid w:val="00914D56"/>
    <w:rsid w:val="00914F23"/>
    <w:rsid w:val="009151E8"/>
    <w:rsid w:val="00915232"/>
    <w:rsid w:val="00915506"/>
    <w:rsid w:val="00915538"/>
    <w:rsid w:val="00915659"/>
    <w:rsid w:val="009156BC"/>
    <w:rsid w:val="009156ED"/>
    <w:rsid w:val="0091580B"/>
    <w:rsid w:val="0091587C"/>
    <w:rsid w:val="00915938"/>
    <w:rsid w:val="00915A4F"/>
    <w:rsid w:val="00915B2A"/>
    <w:rsid w:val="00915C03"/>
    <w:rsid w:val="00915D91"/>
    <w:rsid w:val="00915EBE"/>
    <w:rsid w:val="00915EF7"/>
    <w:rsid w:val="00915F38"/>
    <w:rsid w:val="00916220"/>
    <w:rsid w:val="0091625D"/>
    <w:rsid w:val="0091643F"/>
    <w:rsid w:val="00916554"/>
    <w:rsid w:val="0091658E"/>
    <w:rsid w:val="009165EF"/>
    <w:rsid w:val="00916680"/>
    <w:rsid w:val="00916789"/>
    <w:rsid w:val="00916A3A"/>
    <w:rsid w:val="00916B8C"/>
    <w:rsid w:val="00916BCF"/>
    <w:rsid w:val="00916C89"/>
    <w:rsid w:val="00916CBB"/>
    <w:rsid w:val="00916D4C"/>
    <w:rsid w:val="00916EC7"/>
    <w:rsid w:val="00916F10"/>
    <w:rsid w:val="00916FB2"/>
    <w:rsid w:val="0091707A"/>
    <w:rsid w:val="00917286"/>
    <w:rsid w:val="009172D5"/>
    <w:rsid w:val="00917397"/>
    <w:rsid w:val="00917471"/>
    <w:rsid w:val="009175E8"/>
    <w:rsid w:val="00917853"/>
    <w:rsid w:val="00917AE2"/>
    <w:rsid w:val="00917B0D"/>
    <w:rsid w:val="00917CDB"/>
    <w:rsid w:val="00917CE7"/>
    <w:rsid w:val="00917E74"/>
    <w:rsid w:val="00917EC5"/>
    <w:rsid w:val="00917F7B"/>
    <w:rsid w:val="009200DE"/>
    <w:rsid w:val="00920164"/>
    <w:rsid w:val="0092033A"/>
    <w:rsid w:val="009203C9"/>
    <w:rsid w:val="00920622"/>
    <w:rsid w:val="0092068F"/>
    <w:rsid w:val="00920724"/>
    <w:rsid w:val="00920840"/>
    <w:rsid w:val="009209A9"/>
    <w:rsid w:val="00920A5B"/>
    <w:rsid w:val="00920AAD"/>
    <w:rsid w:val="00920C2C"/>
    <w:rsid w:val="00920CFC"/>
    <w:rsid w:val="00920D3B"/>
    <w:rsid w:val="00920F1F"/>
    <w:rsid w:val="0092152A"/>
    <w:rsid w:val="0092154F"/>
    <w:rsid w:val="009219B3"/>
    <w:rsid w:val="00921DA9"/>
    <w:rsid w:val="00921DBE"/>
    <w:rsid w:val="00921F63"/>
    <w:rsid w:val="00922291"/>
    <w:rsid w:val="009222FA"/>
    <w:rsid w:val="00922304"/>
    <w:rsid w:val="00922394"/>
    <w:rsid w:val="009224E0"/>
    <w:rsid w:val="009224E4"/>
    <w:rsid w:val="009225C5"/>
    <w:rsid w:val="00922692"/>
    <w:rsid w:val="0092290F"/>
    <w:rsid w:val="00922C28"/>
    <w:rsid w:val="00922C32"/>
    <w:rsid w:val="00922D8E"/>
    <w:rsid w:val="00922E06"/>
    <w:rsid w:val="00922FB7"/>
    <w:rsid w:val="0092301E"/>
    <w:rsid w:val="00923092"/>
    <w:rsid w:val="00923380"/>
    <w:rsid w:val="0092346D"/>
    <w:rsid w:val="0092372E"/>
    <w:rsid w:val="00923941"/>
    <w:rsid w:val="009239AD"/>
    <w:rsid w:val="00923A65"/>
    <w:rsid w:val="00923AC6"/>
    <w:rsid w:val="00923B40"/>
    <w:rsid w:val="00923CCF"/>
    <w:rsid w:val="00923F64"/>
    <w:rsid w:val="009242D1"/>
    <w:rsid w:val="00924325"/>
    <w:rsid w:val="009244CE"/>
    <w:rsid w:val="0092457C"/>
    <w:rsid w:val="00924756"/>
    <w:rsid w:val="00924999"/>
    <w:rsid w:val="00924A38"/>
    <w:rsid w:val="00924CF6"/>
    <w:rsid w:val="00924D01"/>
    <w:rsid w:val="00924E05"/>
    <w:rsid w:val="00924E0B"/>
    <w:rsid w:val="00924FA3"/>
    <w:rsid w:val="0092500C"/>
    <w:rsid w:val="00925451"/>
    <w:rsid w:val="009256BE"/>
    <w:rsid w:val="0092581F"/>
    <w:rsid w:val="00925970"/>
    <w:rsid w:val="00925B0B"/>
    <w:rsid w:val="00925C56"/>
    <w:rsid w:val="00925C7C"/>
    <w:rsid w:val="00925D07"/>
    <w:rsid w:val="00925F67"/>
    <w:rsid w:val="00925FD5"/>
    <w:rsid w:val="00926014"/>
    <w:rsid w:val="009260BD"/>
    <w:rsid w:val="00926140"/>
    <w:rsid w:val="0092622A"/>
    <w:rsid w:val="00926530"/>
    <w:rsid w:val="00926724"/>
    <w:rsid w:val="009269AE"/>
    <w:rsid w:val="009269E2"/>
    <w:rsid w:val="00926C1B"/>
    <w:rsid w:val="00926C97"/>
    <w:rsid w:val="00926C9F"/>
    <w:rsid w:val="00926DA7"/>
    <w:rsid w:val="00926DE3"/>
    <w:rsid w:val="009270A1"/>
    <w:rsid w:val="009270DC"/>
    <w:rsid w:val="00927177"/>
    <w:rsid w:val="0092718E"/>
    <w:rsid w:val="009272E0"/>
    <w:rsid w:val="0092750B"/>
    <w:rsid w:val="00927680"/>
    <w:rsid w:val="009276FC"/>
    <w:rsid w:val="00927735"/>
    <w:rsid w:val="00927BBE"/>
    <w:rsid w:val="00927C0B"/>
    <w:rsid w:val="0093021E"/>
    <w:rsid w:val="00930282"/>
    <w:rsid w:val="009303DA"/>
    <w:rsid w:val="00930531"/>
    <w:rsid w:val="00930629"/>
    <w:rsid w:val="00930656"/>
    <w:rsid w:val="00930661"/>
    <w:rsid w:val="009306F2"/>
    <w:rsid w:val="00930777"/>
    <w:rsid w:val="0093078B"/>
    <w:rsid w:val="00930938"/>
    <w:rsid w:val="00930946"/>
    <w:rsid w:val="00930973"/>
    <w:rsid w:val="00930D52"/>
    <w:rsid w:val="00931008"/>
    <w:rsid w:val="0093149A"/>
    <w:rsid w:val="009314E9"/>
    <w:rsid w:val="009315A1"/>
    <w:rsid w:val="00931962"/>
    <w:rsid w:val="0093197E"/>
    <w:rsid w:val="00931C96"/>
    <w:rsid w:val="00931CA2"/>
    <w:rsid w:val="00931DEB"/>
    <w:rsid w:val="00931E6B"/>
    <w:rsid w:val="00931F45"/>
    <w:rsid w:val="00931F46"/>
    <w:rsid w:val="0093216F"/>
    <w:rsid w:val="009321F2"/>
    <w:rsid w:val="0093229C"/>
    <w:rsid w:val="0093236C"/>
    <w:rsid w:val="0093265B"/>
    <w:rsid w:val="00932778"/>
    <w:rsid w:val="00932859"/>
    <w:rsid w:val="009328B8"/>
    <w:rsid w:val="00932A2A"/>
    <w:rsid w:val="00932CC0"/>
    <w:rsid w:val="00932CC1"/>
    <w:rsid w:val="00932E9E"/>
    <w:rsid w:val="00933045"/>
    <w:rsid w:val="009331D7"/>
    <w:rsid w:val="009337E0"/>
    <w:rsid w:val="00933806"/>
    <w:rsid w:val="009338A0"/>
    <w:rsid w:val="00933B7D"/>
    <w:rsid w:val="00933BC3"/>
    <w:rsid w:val="00933D40"/>
    <w:rsid w:val="00933DD3"/>
    <w:rsid w:val="00933ED4"/>
    <w:rsid w:val="00933F99"/>
    <w:rsid w:val="00934027"/>
    <w:rsid w:val="009341AE"/>
    <w:rsid w:val="00934237"/>
    <w:rsid w:val="009342A1"/>
    <w:rsid w:val="009343E9"/>
    <w:rsid w:val="00934495"/>
    <w:rsid w:val="009344E6"/>
    <w:rsid w:val="00934698"/>
    <w:rsid w:val="009346D3"/>
    <w:rsid w:val="00934902"/>
    <w:rsid w:val="00934934"/>
    <w:rsid w:val="00934A73"/>
    <w:rsid w:val="00934B53"/>
    <w:rsid w:val="00934E61"/>
    <w:rsid w:val="00934F96"/>
    <w:rsid w:val="00935093"/>
    <w:rsid w:val="009350A2"/>
    <w:rsid w:val="0093557A"/>
    <w:rsid w:val="00935647"/>
    <w:rsid w:val="009359D6"/>
    <w:rsid w:val="00935AA2"/>
    <w:rsid w:val="00935AE5"/>
    <w:rsid w:val="00935C35"/>
    <w:rsid w:val="00936558"/>
    <w:rsid w:val="00936743"/>
    <w:rsid w:val="009367B9"/>
    <w:rsid w:val="00936814"/>
    <w:rsid w:val="00936933"/>
    <w:rsid w:val="00936986"/>
    <w:rsid w:val="00936B41"/>
    <w:rsid w:val="00936B7C"/>
    <w:rsid w:val="00936E59"/>
    <w:rsid w:val="00936FCF"/>
    <w:rsid w:val="00936FE8"/>
    <w:rsid w:val="0093700A"/>
    <w:rsid w:val="009370D3"/>
    <w:rsid w:val="009371A1"/>
    <w:rsid w:val="009371CE"/>
    <w:rsid w:val="009374D9"/>
    <w:rsid w:val="00937691"/>
    <w:rsid w:val="00937700"/>
    <w:rsid w:val="00937750"/>
    <w:rsid w:val="009377A4"/>
    <w:rsid w:val="00937B30"/>
    <w:rsid w:val="00937D16"/>
    <w:rsid w:val="00937F63"/>
    <w:rsid w:val="00937F9B"/>
    <w:rsid w:val="009400D9"/>
    <w:rsid w:val="009400E9"/>
    <w:rsid w:val="00940198"/>
    <w:rsid w:val="009401D9"/>
    <w:rsid w:val="0094039C"/>
    <w:rsid w:val="00940A18"/>
    <w:rsid w:val="00940F9D"/>
    <w:rsid w:val="00941105"/>
    <w:rsid w:val="009411D6"/>
    <w:rsid w:val="009411E5"/>
    <w:rsid w:val="0094120D"/>
    <w:rsid w:val="00941295"/>
    <w:rsid w:val="0094146E"/>
    <w:rsid w:val="0094190B"/>
    <w:rsid w:val="00941911"/>
    <w:rsid w:val="00941B6F"/>
    <w:rsid w:val="00941C0A"/>
    <w:rsid w:val="00941C66"/>
    <w:rsid w:val="00941D6E"/>
    <w:rsid w:val="00941E76"/>
    <w:rsid w:val="00942073"/>
    <w:rsid w:val="00942130"/>
    <w:rsid w:val="00942401"/>
    <w:rsid w:val="0094240C"/>
    <w:rsid w:val="009424F5"/>
    <w:rsid w:val="0094255B"/>
    <w:rsid w:val="00942574"/>
    <w:rsid w:val="0094257C"/>
    <w:rsid w:val="009427ED"/>
    <w:rsid w:val="00942828"/>
    <w:rsid w:val="00942AB4"/>
    <w:rsid w:val="00942D14"/>
    <w:rsid w:val="00942D76"/>
    <w:rsid w:val="00942F87"/>
    <w:rsid w:val="009430BE"/>
    <w:rsid w:val="009431DE"/>
    <w:rsid w:val="009435B7"/>
    <w:rsid w:val="00943683"/>
    <w:rsid w:val="00943758"/>
    <w:rsid w:val="00943882"/>
    <w:rsid w:val="00943987"/>
    <w:rsid w:val="00943A94"/>
    <w:rsid w:val="00943B23"/>
    <w:rsid w:val="00943C8C"/>
    <w:rsid w:val="00943D1D"/>
    <w:rsid w:val="00943D78"/>
    <w:rsid w:val="00943E89"/>
    <w:rsid w:val="00943F05"/>
    <w:rsid w:val="00943FC3"/>
    <w:rsid w:val="00944081"/>
    <w:rsid w:val="009441D8"/>
    <w:rsid w:val="00944534"/>
    <w:rsid w:val="009445AE"/>
    <w:rsid w:val="00944773"/>
    <w:rsid w:val="009447B7"/>
    <w:rsid w:val="009448B5"/>
    <w:rsid w:val="00944A17"/>
    <w:rsid w:val="00944A5A"/>
    <w:rsid w:val="00944DCD"/>
    <w:rsid w:val="00944E54"/>
    <w:rsid w:val="009450DB"/>
    <w:rsid w:val="0094531D"/>
    <w:rsid w:val="009453E9"/>
    <w:rsid w:val="00945935"/>
    <w:rsid w:val="00945959"/>
    <w:rsid w:val="009459A3"/>
    <w:rsid w:val="00945B04"/>
    <w:rsid w:val="00945B99"/>
    <w:rsid w:val="00945E6E"/>
    <w:rsid w:val="00945F94"/>
    <w:rsid w:val="0094619A"/>
    <w:rsid w:val="0094620F"/>
    <w:rsid w:val="0094632B"/>
    <w:rsid w:val="00946394"/>
    <w:rsid w:val="0094656A"/>
    <w:rsid w:val="0094668B"/>
    <w:rsid w:val="009468A9"/>
    <w:rsid w:val="00946A28"/>
    <w:rsid w:val="00946F7E"/>
    <w:rsid w:val="00946F99"/>
    <w:rsid w:val="00946F9C"/>
    <w:rsid w:val="00946FB6"/>
    <w:rsid w:val="0094711A"/>
    <w:rsid w:val="00947234"/>
    <w:rsid w:val="00947294"/>
    <w:rsid w:val="00947474"/>
    <w:rsid w:val="00947A4C"/>
    <w:rsid w:val="00947E7F"/>
    <w:rsid w:val="00947E88"/>
    <w:rsid w:val="00947FC1"/>
    <w:rsid w:val="00947FE5"/>
    <w:rsid w:val="00950379"/>
    <w:rsid w:val="00950716"/>
    <w:rsid w:val="009508FB"/>
    <w:rsid w:val="009509A7"/>
    <w:rsid w:val="00950ADF"/>
    <w:rsid w:val="00950BBA"/>
    <w:rsid w:val="00950C62"/>
    <w:rsid w:val="00950E90"/>
    <w:rsid w:val="00951092"/>
    <w:rsid w:val="009510C9"/>
    <w:rsid w:val="009511B7"/>
    <w:rsid w:val="00951280"/>
    <w:rsid w:val="009515AD"/>
    <w:rsid w:val="009515E8"/>
    <w:rsid w:val="00951746"/>
    <w:rsid w:val="00951B3C"/>
    <w:rsid w:val="00951B8E"/>
    <w:rsid w:val="00951D7B"/>
    <w:rsid w:val="00951FC5"/>
    <w:rsid w:val="0095265E"/>
    <w:rsid w:val="009526D0"/>
    <w:rsid w:val="0095297B"/>
    <w:rsid w:val="009529B2"/>
    <w:rsid w:val="00952C94"/>
    <w:rsid w:val="00952D9D"/>
    <w:rsid w:val="00952DD7"/>
    <w:rsid w:val="00952F10"/>
    <w:rsid w:val="00953108"/>
    <w:rsid w:val="00953314"/>
    <w:rsid w:val="00953357"/>
    <w:rsid w:val="0095337B"/>
    <w:rsid w:val="00953468"/>
    <w:rsid w:val="009534B4"/>
    <w:rsid w:val="00953543"/>
    <w:rsid w:val="009537A5"/>
    <w:rsid w:val="00953816"/>
    <w:rsid w:val="0095384D"/>
    <w:rsid w:val="0095387D"/>
    <w:rsid w:val="009538DA"/>
    <w:rsid w:val="009538E7"/>
    <w:rsid w:val="00953D78"/>
    <w:rsid w:val="00953E8F"/>
    <w:rsid w:val="00953ECA"/>
    <w:rsid w:val="00953EE3"/>
    <w:rsid w:val="00953FE9"/>
    <w:rsid w:val="009540E9"/>
    <w:rsid w:val="0095412E"/>
    <w:rsid w:val="00954621"/>
    <w:rsid w:val="00954631"/>
    <w:rsid w:val="00954675"/>
    <w:rsid w:val="00954720"/>
    <w:rsid w:val="00954831"/>
    <w:rsid w:val="00954889"/>
    <w:rsid w:val="00954937"/>
    <w:rsid w:val="009549CC"/>
    <w:rsid w:val="009549E6"/>
    <w:rsid w:val="00954A74"/>
    <w:rsid w:val="00954C79"/>
    <w:rsid w:val="00954CDD"/>
    <w:rsid w:val="00954D71"/>
    <w:rsid w:val="00955053"/>
    <w:rsid w:val="00955509"/>
    <w:rsid w:val="009555F8"/>
    <w:rsid w:val="00955CB1"/>
    <w:rsid w:val="00955DE9"/>
    <w:rsid w:val="009565B4"/>
    <w:rsid w:val="009566AF"/>
    <w:rsid w:val="009568A8"/>
    <w:rsid w:val="009569C3"/>
    <w:rsid w:val="00956A84"/>
    <w:rsid w:val="00956A88"/>
    <w:rsid w:val="00956AD1"/>
    <w:rsid w:val="00956C13"/>
    <w:rsid w:val="00956D74"/>
    <w:rsid w:val="00956F34"/>
    <w:rsid w:val="00957177"/>
    <w:rsid w:val="009571B4"/>
    <w:rsid w:val="009573F1"/>
    <w:rsid w:val="00957461"/>
    <w:rsid w:val="009576BF"/>
    <w:rsid w:val="009578B6"/>
    <w:rsid w:val="00957AC3"/>
    <w:rsid w:val="00957ADF"/>
    <w:rsid w:val="00957CC6"/>
    <w:rsid w:val="00957D0A"/>
    <w:rsid w:val="00957D4E"/>
    <w:rsid w:val="00957D70"/>
    <w:rsid w:val="00957DED"/>
    <w:rsid w:val="00957F2C"/>
    <w:rsid w:val="009600FE"/>
    <w:rsid w:val="0096012E"/>
    <w:rsid w:val="0096013A"/>
    <w:rsid w:val="0096024B"/>
    <w:rsid w:val="00960366"/>
    <w:rsid w:val="009603E1"/>
    <w:rsid w:val="00960432"/>
    <w:rsid w:val="009605DD"/>
    <w:rsid w:val="00960799"/>
    <w:rsid w:val="00960801"/>
    <w:rsid w:val="00960A76"/>
    <w:rsid w:val="00960AC4"/>
    <w:rsid w:val="00960C50"/>
    <w:rsid w:val="00960D2B"/>
    <w:rsid w:val="00960E5D"/>
    <w:rsid w:val="00960EDF"/>
    <w:rsid w:val="00960F5D"/>
    <w:rsid w:val="00960FF3"/>
    <w:rsid w:val="00960FF4"/>
    <w:rsid w:val="00961043"/>
    <w:rsid w:val="009610A6"/>
    <w:rsid w:val="009610DA"/>
    <w:rsid w:val="00961181"/>
    <w:rsid w:val="009613D1"/>
    <w:rsid w:val="0096141D"/>
    <w:rsid w:val="009614BD"/>
    <w:rsid w:val="00961529"/>
    <w:rsid w:val="00961884"/>
    <w:rsid w:val="0096196B"/>
    <w:rsid w:val="00961C44"/>
    <w:rsid w:val="00961DE5"/>
    <w:rsid w:val="00961E31"/>
    <w:rsid w:val="00961ECC"/>
    <w:rsid w:val="0096208F"/>
    <w:rsid w:val="00962092"/>
    <w:rsid w:val="00962235"/>
    <w:rsid w:val="009622B5"/>
    <w:rsid w:val="009623A1"/>
    <w:rsid w:val="00962466"/>
    <w:rsid w:val="00962611"/>
    <w:rsid w:val="009626BE"/>
    <w:rsid w:val="0096270B"/>
    <w:rsid w:val="009627CE"/>
    <w:rsid w:val="009628A9"/>
    <w:rsid w:val="0096312C"/>
    <w:rsid w:val="00963352"/>
    <w:rsid w:val="0096346A"/>
    <w:rsid w:val="00963677"/>
    <w:rsid w:val="0096384B"/>
    <w:rsid w:val="0096397E"/>
    <w:rsid w:val="00963B59"/>
    <w:rsid w:val="00963E29"/>
    <w:rsid w:val="00963ED0"/>
    <w:rsid w:val="00963F43"/>
    <w:rsid w:val="00964027"/>
    <w:rsid w:val="00964045"/>
    <w:rsid w:val="009641C1"/>
    <w:rsid w:val="00964519"/>
    <w:rsid w:val="009645A9"/>
    <w:rsid w:val="0096475F"/>
    <w:rsid w:val="00964833"/>
    <w:rsid w:val="00964A2D"/>
    <w:rsid w:val="00964BE9"/>
    <w:rsid w:val="00964C73"/>
    <w:rsid w:val="00964CD3"/>
    <w:rsid w:val="00964D58"/>
    <w:rsid w:val="00964DA0"/>
    <w:rsid w:val="00964E1C"/>
    <w:rsid w:val="00964EBF"/>
    <w:rsid w:val="0096501C"/>
    <w:rsid w:val="009654BE"/>
    <w:rsid w:val="00965955"/>
    <w:rsid w:val="009659DB"/>
    <w:rsid w:val="00965AA9"/>
    <w:rsid w:val="00965AB0"/>
    <w:rsid w:val="00965ECD"/>
    <w:rsid w:val="00965F70"/>
    <w:rsid w:val="00965FB9"/>
    <w:rsid w:val="009661E9"/>
    <w:rsid w:val="0096625B"/>
    <w:rsid w:val="00966279"/>
    <w:rsid w:val="009663D8"/>
    <w:rsid w:val="009667AA"/>
    <w:rsid w:val="009668A4"/>
    <w:rsid w:val="00966A4D"/>
    <w:rsid w:val="00966E30"/>
    <w:rsid w:val="00966F5A"/>
    <w:rsid w:val="00966F76"/>
    <w:rsid w:val="00966FA5"/>
    <w:rsid w:val="00967154"/>
    <w:rsid w:val="00967206"/>
    <w:rsid w:val="00967234"/>
    <w:rsid w:val="009673BD"/>
    <w:rsid w:val="00967400"/>
    <w:rsid w:val="0096744C"/>
    <w:rsid w:val="009675CE"/>
    <w:rsid w:val="0096763C"/>
    <w:rsid w:val="009676FB"/>
    <w:rsid w:val="00967723"/>
    <w:rsid w:val="00967862"/>
    <w:rsid w:val="00967899"/>
    <w:rsid w:val="009679D3"/>
    <w:rsid w:val="00967A84"/>
    <w:rsid w:val="00967AD3"/>
    <w:rsid w:val="00967C2A"/>
    <w:rsid w:val="00967F90"/>
    <w:rsid w:val="009702E8"/>
    <w:rsid w:val="00970356"/>
    <w:rsid w:val="009703C7"/>
    <w:rsid w:val="00970454"/>
    <w:rsid w:val="00970567"/>
    <w:rsid w:val="009705E3"/>
    <w:rsid w:val="0097065F"/>
    <w:rsid w:val="009707F9"/>
    <w:rsid w:val="00970929"/>
    <w:rsid w:val="00970A0D"/>
    <w:rsid w:val="00970A28"/>
    <w:rsid w:val="00970E36"/>
    <w:rsid w:val="00970F12"/>
    <w:rsid w:val="0097114D"/>
    <w:rsid w:val="00971233"/>
    <w:rsid w:val="00971389"/>
    <w:rsid w:val="0097190D"/>
    <w:rsid w:val="00971917"/>
    <w:rsid w:val="00971AC2"/>
    <w:rsid w:val="00971B45"/>
    <w:rsid w:val="00971CFF"/>
    <w:rsid w:val="00971D34"/>
    <w:rsid w:val="00972088"/>
    <w:rsid w:val="009720E1"/>
    <w:rsid w:val="009721F9"/>
    <w:rsid w:val="009722A9"/>
    <w:rsid w:val="0097265B"/>
    <w:rsid w:val="0097272E"/>
    <w:rsid w:val="0097279F"/>
    <w:rsid w:val="009727CF"/>
    <w:rsid w:val="00972867"/>
    <w:rsid w:val="009729BC"/>
    <w:rsid w:val="00972BF0"/>
    <w:rsid w:val="00972DDD"/>
    <w:rsid w:val="00972E6E"/>
    <w:rsid w:val="00972EBB"/>
    <w:rsid w:val="00972F31"/>
    <w:rsid w:val="00972F48"/>
    <w:rsid w:val="009730F9"/>
    <w:rsid w:val="009733A6"/>
    <w:rsid w:val="009736CD"/>
    <w:rsid w:val="009738F4"/>
    <w:rsid w:val="00973917"/>
    <w:rsid w:val="00973D2D"/>
    <w:rsid w:val="00973EEB"/>
    <w:rsid w:val="009740C9"/>
    <w:rsid w:val="009740E0"/>
    <w:rsid w:val="00974276"/>
    <w:rsid w:val="009744B4"/>
    <w:rsid w:val="009747ED"/>
    <w:rsid w:val="0097481D"/>
    <w:rsid w:val="00974984"/>
    <w:rsid w:val="00974B01"/>
    <w:rsid w:val="00974D42"/>
    <w:rsid w:val="00974E3B"/>
    <w:rsid w:val="00974F68"/>
    <w:rsid w:val="00974FDE"/>
    <w:rsid w:val="00974FE8"/>
    <w:rsid w:val="0097503D"/>
    <w:rsid w:val="009752BC"/>
    <w:rsid w:val="009752D1"/>
    <w:rsid w:val="00975313"/>
    <w:rsid w:val="009753F0"/>
    <w:rsid w:val="0097544B"/>
    <w:rsid w:val="0097545A"/>
    <w:rsid w:val="00975530"/>
    <w:rsid w:val="00975578"/>
    <w:rsid w:val="00975790"/>
    <w:rsid w:val="00975A48"/>
    <w:rsid w:val="00975B66"/>
    <w:rsid w:val="00975CE0"/>
    <w:rsid w:val="00975DFE"/>
    <w:rsid w:val="00975E54"/>
    <w:rsid w:val="00975EBC"/>
    <w:rsid w:val="009760E6"/>
    <w:rsid w:val="009763B5"/>
    <w:rsid w:val="00976761"/>
    <w:rsid w:val="00976928"/>
    <w:rsid w:val="0097699F"/>
    <w:rsid w:val="00976CD4"/>
    <w:rsid w:val="00976D98"/>
    <w:rsid w:val="00976D9C"/>
    <w:rsid w:val="00976F73"/>
    <w:rsid w:val="00976FF5"/>
    <w:rsid w:val="009771E1"/>
    <w:rsid w:val="009776D3"/>
    <w:rsid w:val="009776E4"/>
    <w:rsid w:val="00977713"/>
    <w:rsid w:val="009777C4"/>
    <w:rsid w:val="009777C5"/>
    <w:rsid w:val="00977844"/>
    <w:rsid w:val="00977A8B"/>
    <w:rsid w:val="00977B6E"/>
    <w:rsid w:val="00977B71"/>
    <w:rsid w:val="00977B98"/>
    <w:rsid w:val="00977C1B"/>
    <w:rsid w:val="00977CDB"/>
    <w:rsid w:val="00977DEA"/>
    <w:rsid w:val="00977F29"/>
    <w:rsid w:val="00977F6B"/>
    <w:rsid w:val="00977F8B"/>
    <w:rsid w:val="00980008"/>
    <w:rsid w:val="00980020"/>
    <w:rsid w:val="009801E8"/>
    <w:rsid w:val="00980234"/>
    <w:rsid w:val="009803DE"/>
    <w:rsid w:val="00980561"/>
    <w:rsid w:val="0098061C"/>
    <w:rsid w:val="009809B9"/>
    <w:rsid w:val="00980BD6"/>
    <w:rsid w:val="00980CF2"/>
    <w:rsid w:val="00980D43"/>
    <w:rsid w:val="00980F3F"/>
    <w:rsid w:val="0098102A"/>
    <w:rsid w:val="00981099"/>
    <w:rsid w:val="009810BC"/>
    <w:rsid w:val="00981146"/>
    <w:rsid w:val="0098128E"/>
    <w:rsid w:val="00981660"/>
    <w:rsid w:val="009816C4"/>
    <w:rsid w:val="0098174F"/>
    <w:rsid w:val="00981A7C"/>
    <w:rsid w:val="00981E3E"/>
    <w:rsid w:val="00981EFF"/>
    <w:rsid w:val="0098211E"/>
    <w:rsid w:val="00982163"/>
    <w:rsid w:val="00982241"/>
    <w:rsid w:val="009824E4"/>
    <w:rsid w:val="00982509"/>
    <w:rsid w:val="0098250F"/>
    <w:rsid w:val="009827B7"/>
    <w:rsid w:val="0098280D"/>
    <w:rsid w:val="0098295B"/>
    <w:rsid w:val="00982B77"/>
    <w:rsid w:val="00982B85"/>
    <w:rsid w:val="00982B90"/>
    <w:rsid w:val="00982BCD"/>
    <w:rsid w:val="00982C28"/>
    <w:rsid w:val="00982C8F"/>
    <w:rsid w:val="00982E96"/>
    <w:rsid w:val="00983395"/>
    <w:rsid w:val="00983449"/>
    <w:rsid w:val="0098354D"/>
    <w:rsid w:val="009838B5"/>
    <w:rsid w:val="00983914"/>
    <w:rsid w:val="00983923"/>
    <w:rsid w:val="00983A44"/>
    <w:rsid w:val="00983C9A"/>
    <w:rsid w:val="00983CC2"/>
    <w:rsid w:val="00983DFF"/>
    <w:rsid w:val="0098405B"/>
    <w:rsid w:val="009841BF"/>
    <w:rsid w:val="009843D3"/>
    <w:rsid w:val="009846F6"/>
    <w:rsid w:val="00984B8B"/>
    <w:rsid w:val="00984DB1"/>
    <w:rsid w:val="0098511A"/>
    <w:rsid w:val="0098541B"/>
    <w:rsid w:val="00985507"/>
    <w:rsid w:val="009856FE"/>
    <w:rsid w:val="0098570C"/>
    <w:rsid w:val="009857D8"/>
    <w:rsid w:val="00985BF3"/>
    <w:rsid w:val="00985D75"/>
    <w:rsid w:val="00985F4F"/>
    <w:rsid w:val="00986392"/>
    <w:rsid w:val="0098657C"/>
    <w:rsid w:val="00986663"/>
    <w:rsid w:val="00986793"/>
    <w:rsid w:val="00986914"/>
    <w:rsid w:val="00986AFA"/>
    <w:rsid w:val="00986C6E"/>
    <w:rsid w:val="00986C88"/>
    <w:rsid w:val="00986D45"/>
    <w:rsid w:val="00986EC9"/>
    <w:rsid w:val="0098715E"/>
    <w:rsid w:val="00987186"/>
    <w:rsid w:val="0098718C"/>
    <w:rsid w:val="00987341"/>
    <w:rsid w:val="009875B5"/>
    <w:rsid w:val="009876F2"/>
    <w:rsid w:val="009876F4"/>
    <w:rsid w:val="00987785"/>
    <w:rsid w:val="009877A4"/>
    <w:rsid w:val="009879A2"/>
    <w:rsid w:val="009879A5"/>
    <w:rsid w:val="00987B7E"/>
    <w:rsid w:val="00987F11"/>
    <w:rsid w:val="00987F13"/>
    <w:rsid w:val="00990013"/>
    <w:rsid w:val="0099005F"/>
    <w:rsid w:val="00990074"/>
    <w:rsid w:val="00990228"/>
    <w:rsid w:val="009903F4"/>
    <w:rsid w:val="009906FA"/>
    <w:rsid w:val="00990745"/>
    <w:rsid w:val="009907C6"/>
    <w:rsid w:val="009908AA"/>
    <w:rsid w:val="00990CCD"/>
    <w:rsid w:val="00990D76"/>
    <w:rsid w:val="00990E53"/>
    <w:rsid w:val="00990EA5"/>
    <w:rsid w:val="00990F31"/>
    <w:rsid w:val="00991261"/>
    <w:rsid w:val="009912FC"/>
    <w:rsid w:val="00991545"/>
    <w:rsid w:val="009915E6"/>
    <w:rsid w:val="00991794"/>
    <w:rsid w:val="00991868"/>
    <w:rsid w:val="00991928"/>
    <w:rsid w:val="009919CB"/>
    <w:rsid w:val="009919EB"/>
    <w:rsid w:val="00991B08"/>
    <w:rsid w:val="00991F50"/>
    <w:rsid w:val="00992049"/>
    <w:rsid w:val="009920F2"/>
    <w:rsid w:val="00992160"/>
    <w:rsid w:val="009922BA"/>
    <w:rsid w:val="00992506"/>
    <w:rsid w:val="00992918"/>
    <w:rsid w:val="00992945"/>
    <w:rsid w:val="00992950"/>
    <w:rsid w:val="009929D1"/>
    <w:rsid w:val="00992A1B"/>
    <w:rsid w:val="00992B37"/>
    <w:rsid w:val="00992CDB"/>
    <w:rsid w:val="00992EB4"/>
    <w:rsid w:val="00992FA2"/>
    <w:rsid w:val="00993031"/>
    <w:rsid w:val="009930E8"/>
    <w:rsid w:val="00993103"/>
    <w:rsid w:val="0099315A"/>
    <w:rsid w:val="00993213"/>
    <w:rsid w:val="009932E5"/>
    <w:rsid w:val="009933F5"/>
    <w:rsid w:val="00993578"/>
    <w:rsid w:val="00993AD1"/>
    <w:rsid w:val="00993BE5"/>
    <w:rsid w:val="00993E97"/>
    <w:rsid w:val="00993FA3"/>
    <w:rsid w:val="00993FFC"/>
    <w:rsid w:val="00994084"/>
    <w:rsid w:val="00994773"/>
    <w:rsid w:val="009947B8"/>
    <w:rsid w:val="009947E4"/>
    <w:rsid w:val="00994A69"/>
    <w:rsid w:val="00994B41"/>
    <w:rsid w:val="00994B8B"/>
    <w:rsid w:val="00994D9F"/>
    <w:rsid w:val="00994EEB"/>
    <w:rsid w:val="00995302"/>
    <w:rsid w:val="009955B5"/>
    <w:rsid w:val="009956C7"/>
    <w:rsid w:val="0099575C"/>
    <w:rsid w:val="00995884"/>
    <w:rsid w:val="0099589C"/>
    <w:rsid w:val="009958DB"/>
    <w:rsid w:val="009958ED"/>
    <w:rsid w:val="00995929"/>
    <w:rsid w:val="00995957"/>
    <w:rsid w:val="00995BFB"/>
    <w:rsid w:val="00995DB8"/>
    <w:rsid w:val="00995FBE"/>
    <w:rsid w:val="00995FC4"/>
    <w:rsid w:val="009961A6"/>
    <w:rsid w:val="009961B4"/>
    <w:rsid w:val="009962E8"/>
    <w:rsid w:val="00996694"/>
    <w:rsid w:val="00996714"/>
    <w:rsid w:val="00996744"/>
    <w:rsid w:val="0099677A"/>
    <w:rsid w:val="009969D8"/>
    <w:rsid w:val="00996C3B"/>
    <w:rsid w:val="00996C6E"/>
    <w:rsid w:val="00996E7E"/>
    <w:rsid w:val="0099703F"/>
    <w:rsid w:val="00997283"/>
    <w:rsid w:val="009972F5"/>
    <w:rsid w:val="00997352"/>
    <w:rsid w:val="0099738C"/>
    <w:rsid w:val="0099743D"/>
    <w:rsid w:val="0099749F"/>
    <w:rsid w:val="00997590"/>
    <w:rsid w:val="009976F6"/>
    <w:rsid w:val="009977D5"/>
    <w:rsid w:val="0099785B"/>
    <w:rsid w:val="00997875"/>
    <w:rsid w:val="009978F5"/>
    <w:rsid w:val="00997A8B"/>
    <w:rsid w:val="00997B08"/>
    <w:rsid w:val="00997BC4"/>
    <w:rsid w:val="00997DD2"/>
    <w:rsid w:val="00997E39"/>
    <w:rsid w:val="00997F56"/>
    <w:rsid w:val="009A0076"/>
    <w:rsid w:val="009A008C"/>
    <w:rsid w:val="009A0115"/>
    <w:rsid w:val="009A0498"/>
    <w:rsid w:val="009A060D"/>
    <w:rsid w:val="009A065A"/>
    <w:rsid w:val="009A07A9"/>
    <w:rsid w:val="009A07F9"/>
    <w:rsid w:val="009A090A"/>
    <w:rsid w:val="009A0A49"/>
    <w:rsid w:val="009A0BBF"/>
    <w:rsid w:val="009A0C28"/>
    <w:rsid w:val="009A0C3C"/>
    <w:rsid w:val="009A0CB8"/>
    <w:rsid w:val="009A0FFF"/>
    <w:rsid w:val="009A1176"/>
    <w:rsid w:val="009A1243"/>
    <w:rsid w:val="009A14CE"/>
    <w:rsid w:val="009A15E3"/>
    <w:rsid w:val="009A17D0"/>
    <w:rsid w:val="009A19C3"/>
    <w:rsid w:val="009A19F3"/>
    <w:rsid w:val="009A1A6B"/>
    <w:rsid w:val="009A1B23"/>
    <w:rsid w:val="009A1B8F"/>
    <w:rsid w:val="009A1CC6"/>
    <w:rsid w:val="009A1E1B"/>
    <w:rsid w:val="009A1F52"/>
    <w:rsid w:val="009A23E6"/>
    <w:rsid w:val="009A24C1"/>
    <w:rsid w:val="009A2523"/>
    <w:rsid w:val="009A2552"/>
    <w:rsid w:val="009A25B6"/>
    <w:rsid w:val="009A27E4"/>
    <w:rsid w:val="009A2802"/>
    <w:rsid w:val="009A28B4"/>
    <w:rsid w:val="009A28D7"/>
    <w:rsid w:val="009A2BDF"/>
    <w:rsid w:val="009A2D56"/>
    <w:rsid w:val="009A2ECF"/>
    <w:rsid w:val="009A3000"/>
    <w:rsid w:val="009A317D"/>
    <w:rsid w:val="009A33BA"/>
    <w:rsid w:val="009A33C7"/>
    <w:rsid w:val="009A3407"/>
    <w:rsid w:val="009A3447"/>
    <w:rsid w:val="009A34EE"/>
    <w:rsid w:val="009A3692"/>
    <w:rsid w:val="009A377E"/>
    <w:rsid w:val="009A37EB"/>
    <w:rsid w:val="009A3A8C"/>
    <w:rsid w:val="009A3AAE"/>
    <w:rsid w:val="009A3BA0"/>
    <w:rsid w:val="009A47E8"/>
    <w:rsid w:val="009A485C"/>
    <w:rsid w:val="009A49E6"/>
    <w:rsid w:val="009A4B7D"/>
    <w:rsid w:val="009A4CAC"/>
    <w:rsid w:val="009A4E09"/>
    <w:rsid w:val="009A4F14"/>
    <w:rsid w:val="009A4FD1"/>
    <w:rsid w:val="009A50D2"/>
    <w:rsid w:val="009A50DC"/>
    <w:rsid w:val="009A5426"/>
    <w:rsid w:val="009A5485"/>
    <w:rsid w:val="009A5E2B"/>
    <w:rsid w:val="009A5FC5"/>
    <w:rsid w:val="009A60EE"/>
    <w:rsid w:val="009A60FF"/>
    <w:rsid w:val="009A62E0"/>
    <w:rsid w:val="009A6336"/>
    <w:rsid w:val="009A63FD"/>
    <w:rsid w:val="009A6439"/>
    <w:rsid w:val="009A6447"/>
    <w:rsid w:val="009A6B98"/>
    <w:rsid w:val="009A6C85"/>
    <w:rsid w:val="009A6DB4"/>
    <w:rsid w:val="009A7289"/>
    <w:rsid w:val="009A72EB"/>
    <w:rsid w:val="009A74FF"/>
    <w:rsid w:val="009A7987"/>
    <w:rsid w:val="009A7A43"/>
    <w:rsid w:val="009A7AD3"/>
    <w:rsid w:val="009A7AEE"/>
    <w:rsid w:val="009B04B8"/>
    <w:rsid w:val="009B0517"/>
    <w:rsid w:val="009B075E"/>
    <w:rsid w:val="009B0988"/>
    <w:rsid w:val="009B0A8C"/>
    <w:rsid w:val="009B0B0D"/>
    <w:rsid w:val="009B0DD4"/>
    <w:rsid w:val="009B0E24"/>
    <w:rsid w:val="009B0F10"/>
    <w:rsid w:val="009B103B"/>
    <w:rsid w:val="009B13FC"/>
    <w:rsid w:val="009B1829"/>
    <w:rsid w:val="009B1B31"/>
    <w:rsid w:val="009B1D98"/>
    <w:rsid w:val="009B1ED9"/>
    <w:rsid w:val="009B20EA"/>
    <w:rsid w:val="009B26DA"/>
    <w:rsid w:val="009B2A04"/>
    <w:rsid w:val="009B2AFB"/>
    <w:rsid w:val="009B2B5A"/>
    <w:rsid w:val="009B2C1D"/>
    <w:rsid w:val="009B2C43"/>
    <w:rsid w:val="009B2C46"/>
    <w:rsid w:val="009B2CB9"/>
    <w:rsid w:val="009B2D3C"/>
    <w:rsid w:val="009B309F"/>
    <w:rsid w:val="009B3183"/>
    <w:rsid w:val="009B3413"/>
    <w:rsid w:val="009B34C5"/>
    <w:rsid w:val="009B35C7"/>
    <w:rsid w:val="009B365A"/>
    <w:rsid w:val="009B3982"/>
    <w:rsid w:val="009B3B43"/>
    <w:rsid w:val="009B3B73"/>
    <w:rsid w:val="009B3B7C"/>
    <w:rsid w:val="009B3C8F"/>
    <w:rsid w:val="009B3D03"/>
    <w:rsid w:val="009B3EB6"/>
    <w:rsid w:val="009B4127"/>
    <w:rsid w:val="009B4250"/>
    <w:rsid w:val="009B4267"/>
    <w:rsid w:val="009B430B"/>
    <w:rsid w:val="009B432E"/>
    <w:rsid w:val="009B43BB"/>
    <w:rsid w:val="009B4553"/>
    <w:rsid w:val="009B4619"/>
    <w:rsid w:val="009B47E3"/>
    <w:rsid w:val="009B497C"/>
    <w:rsid w:val="009B49C3"/>
    <w:rsid w:val="009B4A38"/>
    <w:rsid w:val="009B4AA8"/>
    <w:rsid w:val="009B4AAF"/>
    <w:rsid w:val="009B4ADC"/>
    <w:rsid w:val="009B4B34"/>
    <w:rsid w:val="009B4B43"/>
    <w:rsid w:val="009B4CB1"/>
    <w:rsid w:val="009B4EB9"/>
    <w:rsid w:val="009B4F20"/>
    <w:rsid w:val="009B5040"/>
    <w:rsid w:val="009B5132"/>
    <w:rsid w:val="009B513D"/>
    <w:rsid w:val="009B5373"/>
    <w:rsid w:val="009B5485"/>
    <w:rsid w:val="009B5553"/>
    <w:rsid w:val="009B5571"/>
    <w:rsid w:val="009B56B6"/>
    <w:rsid w:val="009B57B6"/>
    <w:rsid w:val="009B589A"/>
    <w:rsid w:val="009B58B6"/>
    <w:rsid w:val="009B5A50"/>
    <w:rsid w:val="009B5B03"/>
    <w:rsid w:val="009B5B8D"/>
    <w:rsid w:val="009B5CFC"/>
    <w:rsid w:val="009B5D9B"/>
    <w:rsid w:val="009B6058"/>
    <w:rsid w:val="009B610E"/>
    <w:rsid w:val="009B626B"/>
    <w:rsid w:val="009B6440"/>
    <w:rsid w:val="009B6490"/>
    <w:rsid w:val="009B655F"/>
    <w:rsid w:val="009B6575"/>
    <w:rsid w:val="009B66B8"/>
    <w:rsid w:val="009B6A46"/>
    <w:rsid w:val="009B6B9A"/>
    <w:rsid w:val="009B6C01"/>
    <w:rsid w:val="009B6D6B"/>
    <w:rsid w:val="009B6E0A"/>
    <w:rsid w:val="009B7028"/>
    <w:rsid w:val="009B7047"/>
    <w:rsid w:val="009B70CA"/>
    <w:rsid w:val="009B7137"/>
    <w:rsid w:val="009B71F9"/>
    <w:rsid w:val="009B73CE"/>
    <w:rsid w:val="009B73E7"/>
    <w:rsid w:val="009B76AA"/>
    <w:rsid w:val="009B7A1F"/>
    <w:rsid w:val="009B7A37"/>
    <w:rsid w:val="009B7A39"/>
    <w:rsid w:val="009B7A58"/>
    <w:rsid w:val="009B7E65"/>
    <w:rsid w:val="009B7F00"/>
    <w:rsid w:val="009B7F3E"/>
    <w:rsid w:val="009C009A"/>
    <w:rsid w:val="009C01A3"/>
    <w:rsid w:val="009C070F"/>
    <w:rsid w:val="009C076C"/>
    <w:rsid w:val="009C081E"/>
    <w:rsid w:val="009C0906"/>
    <w:rsid w:val="009C0A4D"/>
    <w:rsid w:val="009C0B04"/>
    <w:rsid w:val="009C0CF6"/>
    <w:rsid w:val="009C0E18"/>
    <w:rsid w:val="009C0E65"/>
    <w:rsid w:val="009C129D"/>
    <w:rsid w:val="009C163E"/>
    <w:rsid w:val="009C1654"/>
    <w:rsid w:val="009C1703"/>
    <w:rsid w:val="009C181E"/>
    <w:rsid w:val="009C1852"/>
    <w:rsid w:val="009C19F8"/>
    <w:rsid w:val="009C1A3D"/>
    <w:rsid w:val="009C1A83"/>
    <w:rsid w:val="009C1B7B"/>
    <w:rsid w:val="009C1F83"/>
    <w:rsid w:val="009C218C"/>
    <w:rsid w:val="009C224B"/>
    <w:rsid w:val="009C277E"/>
    <w:rsid w:val="009C28EE"/>
    <w:rsid w:val="009C2904"/>
    <w:rsid w:val="009C2918"/>
    <w:rsid w:val="009C292C"/>
    <w:rsid w:val="009C2A2E"/>
    <w:rsid w:val="009C2A5E"/>
    <w:rsid w:val="009C2D16"/>
    <w:rsid w:val="009C2F65"/>
    <w:rsid w:val="009C2FA3"/>
    <w:rsid w:val="009C2FBD"/>
    <w:rsid w:val="009C3238"/>
    <w:rsid w:val="009C3567"/>
    <w:rsid w:val="009C3580"/>
    <w:rsid w:val="009C3706"/>
    <w:rsid w:val="009C3BE7"/>
    <w:rsid w:val="009C3C1F"/>
    <w:rsid w:val="009C3C38"/>
    <w:rsid w:val="009C3F56"/>
    <w:rsid w:val="009C41E8"/>
    <w:rsid w:val="009C4225"/>
    <w:rsid w:val="009C4374"/>
    <w:rsid w:val="009C4434"/>
    <w:rsid w:val="009C44CA"/>
    <w:rsid w:val="009C4B78"/>
    <w:rsid w:val="009C4F29"/>
    <w:rsid w:val="009C50AB"/>
    <w:rsid w:val="009C513D"/>
    <w:rsid w:val="009C52CC"/>
    <w:rsid w:val="009C5410"/>
    <w:rsid w:val="009C5574"/>
    <w:rsid w:val="009C56A3"/>
    <w:rsid w:val="009C579E"/>
    <w:rsid w:val="009C580B"/>
    <w:rsid w:val="009C5820"/>
    <w:rsid w:val="009C5836"/>
    <w:rsid w:val="009C5883"/>
    <w:rsid w:val="009C5A06"/>
    <w:rsid w:val="009C5AA5"/>
    <w:rsid w:val="009C5C04"/>
    <w:rsid w:val="009C5CB8"/>
    <w:rsid w:val="009C5D18"/>
    <w:rsid w:val="009C5D27"/>
    <w:rsid w:val="009C5EAE"/>
    <w:rsid w:val="009C5ED2"/>
    <w:rsid w:val="009C5F39"/>
    <w:rsid w:val="009C62CA"/>
    <w:rsid w:val="009C63C7"/>
    <w:rsid w:val="009C63E7"/>
    <w:rsid w:val="009C6426"/>
    <w:rsid w:val="009C654B"/>
    <w:rsid w:val="009C6645"/>
    <w:rsid w:val="009C6755"/>
    <w:rsid w:val="009C67DB"/>
    <w:rsid w:val="009C6E7C"/>
    <w:rsid w:val="009C6F73"/>
    <w:rsid w:val="009C6F80"/>
    <w:rsid w:val="009C6F8B"/>
    <w:rsid w:val="009C7040"/>
    <w:rsid w:val="009C70FA"/>
    <w:rsid w:val="009C75B9"/>
    <w:rsid w:val="009C7676"/>
    <w:rsid w:val="009C77A4"/>
    <w:rsid w:val="009C7810"/>
    <w:rsid w:val="009C78B2"/>
    <w:rsid w:val="009C7AC2"/>
    <w:rsid w:val="009C7ACB"/>
    <w:rsid w:val="009C7E17"/>
    <w:rsid w:val="009D0395"/>
    <w:rsid w:val="009D041A"/>
    <w:rsid w:val="009D0428"/>
    <w:rsid w:val="009D0479"/>
    <w:rsid w:val="009D0B3E"/>
    <w:rsid w:val="009D0D58"/>
    <w:rsid w:val="009D0DA8"/>
    <w:rsid w:val="009D0E17"/>
    <w:rsid w:val="009D1142"/>
    <w:rsid w:val="009D128C"/>
    <w:rsid w:val="009D1399"/>
    <w:rsid w:val="009D14B1"/>
    <w:rsid w:val="009D15F4"/>
    <w:rsid w:val="009D1765"/>
    <w:rsid w:val="009D188A"/>
    <w:rsid w:val="009D18B8"/>
    <w:rsid w:val="009D19A2"/>
    <w:rsid w:val="009D1A03"/>
    <w:rsid w:val="009D1A17"/>
    <w:rsid w:val="009D1BD7"/>
    <w:rsid w:val="009D1D60"/>
    <w:rsid w:val="009D1E6D"/>
    <w:rsid w:val="009D2135"/>
    <w:rsid w:val="009D25A0"/>
    <w:rsid w:val="009D2638"/>
    <w:rsid w:val="009D2689"/>
    <w:rsid w:val="009D291D"/>
    <w:rsid w:val="009D2B32"/>
    <w:rsid w:val="009D2BCB"/>
    <w:rsid w:val="009D2C6D"/>
    <w:rsid w:val="009D2E2A"/>
    <w:rsid w:val="009D2E5D"/>
    <w:rsid w:val="009D320A"/>
    <w:rsid w:val="009D32D5"/>
    <w:rsid w:val="009D347B"/>
    <w:rsid w:val="009D36A0"/>
    <w:rsid w:val="009D38BD"/>
    <w:rsid w:val="009D3A08"/>
    <w:rsid w:val="009D3A29"/>
    <w:rsid w:val="009D3C99"/>
    <w:rsid w:val="009D3CB5"/>
    <w:rsid w:val="009D3CD9"/>
    <w:rsid w:val="009D41FA"/>
    <w:rsid w:val="009D4395"/>
    <w:rsid w:val="009D4539"/>
    <w:rsid w:val="009D468A"/>
    <w:rsid w:val="009D4875"/>
    <w:rsid w:val="009D4B90"/>
    <w:rsid w:val="009D4C7C"/>
    <w:rsid w:val="009D52FD"/>
    <w:rsid w:val="009D5401"/>
    <w:rsid w:val="009D5488"/>
    <w:rsid w:val="009D54AD"/>
    <w:rsid w:val="009D58E6"/>
    <w:rsid w:val="009D5A1A"/>
    <w:rsid w:val="009D5DB0"/>
    <w:rsid w:val="009D5DB4"/>
    <w:rsid w:val="009D5FEB"/>
    <w:rsid w:val="009D61CE"/>
    <w:rsid w:val="009D6339"/>
    <w:rsid w:val="009D6455"/>
    <w:rsid w:val="009D6510"/>
    <w:rsid w:val="009D6613"/>
    <w:rsid w:val="009D696F"/>
    <w:rsid w:val="009D69D8"/>
    <w:rsid w:val="009D69EB"/>
    <w:rsid w:val="009D6A63"/>
    <w:rsid w:val="009D6AEA"/>
    <w:rsid w:val="009D6B14"/>
    <w:rsid w:val="009D6C66"/>
    <w:rsid w:val="009D6C87"/>
    <w:rsid w:val="009D6CA6"/>
    <w:rsid w:val="009D70E4"/>
    <w:rsid w:val="009D76DB"/>
    <w:rsid w:val="009D7720"/>
    <w:rsid w:val="009D7793"/>
    <w:rsid w:val="009D7951"/>
    <w:rsid w:val="009D7997"/>
    <w:rsid w:val="009D7A90"/>
    <w:rsid w:val="009D7BFF"/>
    <w:rsid w:val="009D7D45"/>
    <w:rsid w:val="009D7D9A"/>
    <w:rsid w:val="009D7E3A"/>
    <w:rsid w:val="009D7FD7"/>
    <w:rsid w:val="009D80AC"/>
    <w:rsid w:val="009E009D"/>
    <w:rsid w:val="009E02C9"/>
    <w:rsid w:val="009E0454"/>
    <w:rsid w:val="009E04A9"/>
    <w:rsid w:val="009E0641"/>
    <w:rsid w:val="009E0896"/>
    <w:rsid w:val="009E0A1D"/>
    <w:rsid w:val="009E0C35"/>
    <w:rsid w:val="009E0C5A"/>
    <w:rsid w:val="009E0DCB"/>
    <w:rsid w:val="009E1156"/>
    <w:rsid w:val="009E1238"/>
    <w:rsid w:val="009E12D0"/>
    <w:rsid w:val="009E1387"/>
    <w:rsid w:val="009E13A6"/>
    <w:rsid w:val="009E1737"/>
    <w:rsid w:val="009E1780"/>
    <w:rsid w:val="009E1879"/>
    <w:rsid w:val="009E187B"/>
    <w:rsid w:val="009E1A04"/>
    <w:rsid w:val="009E1A38"/>
    <w:rsid w:val="009E1A79"/>
    <w:rsid w:val="009E1ADF"/>
    <w:rsid w:val="009E1B58"/>
    <w:rsid w:val="009E1C4B"/>
    <w:rsid w:val="009E1CC2"/>
    <w:rsid w:val="009E1D29"/>
    <w:rsid w:val="009E1FEB"/>
    <w:rsid w:val="009E200E"/>
    <w:rsid w:val="009E2072"/>
    <w:rsid w:val="009E20EB"/>
    <w:rsid w:val="009E229A"/>
    <w:rsid w:val="009E23B5"/>
    <w:rsid w:val="009E2532"/>
    <w:rsid w:val="009E263B"/>
    <w:rsid w:val="009E2692"/>
    <w:rsid w:val="009E2696"/>
    <w:rsid w:val="009E2744"/>
    <w:rsid w:val="009E2789"/>
    <w:rsid w:val="009E2B64"/>
    <w:rsid w:val="009E2CAB"/>
    <w:rsid w:val="009E2D1F"/>
    <w:rsid w:val="009E2EA9"/>
    <w:rsid w:val="009E2F49"/>
    <w:rsid w:val="009E3139"/>
    <w:rsid w:val="009E3212"/>
    <w:rsid w:val="009E3253"/>
    <w:rsid w:val="009E333D"/>
    <w:rsid w:val="009E3343"/>
    <w:rsid w:val="009E34F6"/>
    <w:rsid w:val="009E35D5"/>
    <w:rsid w:val="009E3699"/>
    <w:rsid w:val="009E36AE"/>
    <w:rsid w:val="009E3A38"/>
    <w:rsid w:val="009E3B03"/>
    <w:rsid w:val="009E3C3E"/>
    <w:rsid w:val="009E3E1E"/>
    <w:rsid w:val="009E40C0"/>
    <w:rsid w:val="009E43C4"/>
    <w:rsid w:val="009E4434"/>
    <w:rsid w:val="009E453F"/>
    <w:rsid w:val="009E4832"/>
    <w:rsid w:val="009E483A"/>
    <w:rsid w:val="009E4929"/>
    <w:rsid w:val="009E499B"/>
    <w:rsid w:val="009E49CE"/>
    <w:rsid w:val="009E4A29"/>
    <w:rsid w:val="009E4B3C"/>
    <w:rsid w:val="009E4E0C"/>
    <w:rsid w:val="009E4E1F"/>
    <w:rsid w:val="009E4E98"/>
    <w:rsid w:val="009E4ED5"/>
    <w:rsid w:val="009E4F11"/>
    <w:rsid w:val="009E519B"/>
    <w:rsid w:val="009E5287"/>
    <w:rsid w:val="009E52FA"/>
    <w:rsid w:val="009E53EA"/>
    <w:rsid w:val="009E5596"/>
    <w:rsid w:val="009E579E"/>
    <w:rsid w:val="009E5873"/>
    <w:rsid w:val="009E58D1"/>
    <w:rsid w:val="009E5964"/>
    <w:rsid w:val="009E5BF5"/>
    <w:rsid w:val="009E5C02"/>
    <w:rsid w:val="009E5D90"/>
    <w:rsid w:val="009E6028"/>
    <w:rsid w:val="009E616A"/>
    <w:rsid w:val="009E619E"/>
    <w:rsid w:val="009E621C"/>
    <w:rsid w:val="009E627B"/>
    <w:rsid w:val="009E63B1"/>
    <w:rsid w:val="009E63E1"/>
    <w:rsid w:val="009E64EB"/>
    <w:rsid w:val="009E66B9"/>
    <w:rsid w:val="009E67EF"/>
    <w:rsid w:val="009E68A0"/>
    <w:rsid w:val="009E69E1"/>
    <w:rsid w:val="009E6AAD"/>
    <w:rsid w:val="009E6BAA"/>
    <w:rsid w:val="009E6C74"/>
    <w:rsid w:val="009E6D42"/>
    <w:rsid w:val="009E6D64"/>
    <w:rsid w:val="009E70D1"/>
    <w:rsid w:val="009E70E7"/>
    <w:rsid w:val="009E71E3"/>
    <w:rsid w:val="009E74CB"/>
    <w:rsid w:val="009E7845"/>
    <w:rsid w:val="009E7855"/>
    <w:rsid w:val="009E7CA6"/>
    <w:rsid w:val="009E7FC9"/>
    <w:rsid w:val="009F0142"/>
    <w:rsid w:val="009F054F"/>
    <w:rsid w:val="009F05CD"/>
    <w:rsid w:val="009F0B05"/>
    <w:rsid w:val="009F0DD6"/>
    <w:rsid w:val="009F12AE"/>
    <w:rsid w:val="009F13E7"/>
    <w:rsid w:val="009F14A0"/>
    <w:rsid w:val="009F1542"/>
    <w:rsid w:val="009F176D"/>
    <w:rsid w:val="009F1872"/>
    <w:rsid w:val="009F19D1"/>
    <w:rsid w:val="009F1A84"/>
    <w:rsid w:val="009F1BF2"/>
    <w:rsid w:val="009F1CB5"/>
    <w:rsid w:val="009F1F72"/>
    <w:rsid w:val="009F1FB4"/>
    <w:rsid w:val="009F2028"/>
    <w:rsid w:val="009F20DE"/>
    <w:rsid w:val="009F2140"/>
    <w:rsid w:val="009F2297"/>
    <w:rsid w:val="009F244F"/>
    <w:rsid w:val="009F2470"/>
    <w:rsid w:val="009F25BA"/>
    <w:rsid w:val="009F26A8"/>
    <w:rsid w:val="009F27C6"/>
    <w:rsid w:val="009F2B6E"/>
    <w:rsid w:val="009F2BF5"/>
    <w:rsid w:val="009F2EE2"/>
    <w:rsid w:val="009F3020"/>
    <w:rsid w:val="009F36F3"/>
    <w:rsid w:val="009F39FB"/>
    <w:rsid w:val="009F3A35"/>
    <w:rsid w:val="009F3AA8"/>
    <w:rsid w:val="009F3B81"/>
    <w:rsid w:val="009F3B8E"/>
    <w:rsid w:val="009F3C06"/>
    <w:rsid w:val="009F3C7D"/>
    <w:rsid w:val="009F3D19"/>
    <w:rsid w:val="009F3D1D"/>
    <w:rsid w:val="009F3D70"/>
    <w:rsid w:val="009F3DE7"/>
    <w:rsid w:val="009F3E41"/>
    <w:rsid w:val="009F40A8"/>
    <w:rsid w:val="009F413B"/>
    <w:rsid w:val="009F4332"/>
    <w:rsid w:val="009F499A"/>
    <w:rsid w:val="009F49BB"/>
    <w:rsid w:val="009F4CC0"/>
    <w:rsid w:val="009F4F47"/>
    <w:rsid w:val="009F4F84"/>
    <w:rsid w:val="009F5402"/>
    <w:rsid w:val="009F5622"/>
    <w:rsid w:val="009F57C4"/>
    <w:rsid w:val="009F589D"/>
    <w:rsid w:val="009F58E2"/>
    <w:rsid w:val="009F595F"/>
    <w:rsid w:val="009F599C"/>
    <w:rsid w:val="009F5D38"/>
    <w:rsid w:val="009F5F0B"/>
    <w:rsid w:val="009F609C"/>
    <w:rsid w:val="009F60C6"/>
    <w:rsid w:val="009F61A7"/>
    <w:rsid w:val="009F641E"/>
    <w:rsid w:val="009F655D"/>
    <w:rsid w:val="009F660C"/>
    <w:rsid w:val="009F6674"/>
    <w:rsid w:val="009F6805"/>
    <w:rsid w:val="009F69DC"/>
    <w:rsid w:val="009F6AD5"/>
    <w:rsid w:val="009F6C25"/>
    <w:rsid w:val="009F6EBA"/>
    <w:rsid w:val="009F771A"/>
    <w:rsid w:val="009F789F"/>
    <w:rsid w:val="009F78FD"/>
    <w:rsid w:val="009F7958"/>
    <w:rsid w:val="009F7BB2"/>
    <w:rsid w:val="009F7BD0"/>
    <w:rsid w:val="009F7BE3"/>
    <w:rsid w:val="009F7C32"/>
    <w:rsid w:val="009F7C82"/>
    <w:rsid w:val="00A00226"/>
    <w:rsid w:val="00A0033B"/>
    <w:rsid w:val="00A0046A"/>
    <w:rsid w:val="00A004B8"/>
    <w:rsid w:val="00A00B21"/>
    <w:rsid w:val="00A00BB0"/>
    <w:rsid w:val="00A00C44"/>
    <w:rsid w:val="00A00C4E"/>
    <w:rsid w:val="00A00F03"/>
    <w:rsid w:val="00A00F36"/>
    <w:rsid w:val="00A00F89"/>
    <w:rsid w:val="00A01069"/>
    <w:rsid w:val="00A01086"/>
    <w:rsid w:val="00A011A3"/>
    <w:rsid w:val="00A011EF"/>
    <w:rsid w:val="00A012D1"/>
    <w:rsid w:val="00A0157F"/>
    <w:rsid w:val="00A01598"/>
    <w:rsid w:val="00A01792"/>
    <w:rsid w:val="00A017C8"/>
    <w:rsid w:val="00A0184F"/>
    <w:rsid w:val="00A01916"/>
    <w:rsid w:val="00A0197A"/>
    <w:rsid w:val="00A01ACA"/>
    <w:rsid w:val="00A01AFD"/>
    <w:rsid w:val="00A01B66"/>
    <w:rsid w:val="00A01DA1"/>
    <w:rsid w:val="00A01EBC"/>
    <w:rsid w:val="00A01F12"/>
    <w:rsid w:val="00A024BC"/>
    <w:rsid w:val="00A02654"/>
    <w:rsid w:val="00A026A8"/>
    <w:rsid w:val="00A0279D"/>
    <w:rsid w:val="00A028F2"/>
    <w:rsid w:val="00A02A10"/>
    <w:rsid w:val="00A02B36"/>
    <w:rsid w:val="00A02C11"/>
    <w:rsid w:val="00A02C8A"/>
    <w:rsid w:val="00A02D36"/>
    <w:rsid w:val="00A02DE7"/>
    <w:rsid w:val="00A02EEB"/>
    <w:rsid w:val="00A02F0D"/>
    <w:rsid w:val="00A02F92"/>
    <w:rsid w:val="00A030E4"/>
    <w:rsid w:val="00A03705"/>
    <w:rsid w:val="00A03890"/>
    <w:rsid w:val="00A038AF"/>
    <w:rsid w:val="00A039B7"/>
    <w:rsid w:val="00A03F55"/>
    <w:rsid w:val="00A040F3"/>
    <w:rsid w:val="00A04390"/>
    <w:rsid w:val="00A04462"/>
    <w:rsid w:val="00A044D6"/>
    <w:rsid w:val="00A046CC"/>
    <w:rsid w:val="00A0478A"/>
    <w:rsid w:val="00A04918"/>
    <w:rsid w:val="00A04948"/>
    <w:rsid w:val="00A04A99"/>
    <w:rsid w:val="00A04DD6"/>
    <w:rsid w:val="00A04EDE"/>
    <w:rsid w:val="00A04F4E"/>
    <w:rsid w:val="00A04FC5"/>
    <w:rsid w:val="00A050EE"/>
    <w:rsid w:val="00A05100"/>
    <w:rsid w:val="00A05110"/>
    <w:rsid w:val="00A051E8"/>
    <w:rsid w:val="00A05376"/>
    <w:rsid w:val="00A053BB"/>
    <w:rsid w:val="00A05505"/>
    <w:rsid w:val="00A05A57"/>
    <w:rsid w:val="00A05AFB"/>
    <w:rsid w:val="00A05C3D"/>
    <w:rsid w:val="00A05CD4"/>
    <w:rsid w:val="00A06023"/>
    <w:rsid w:val="00A0620B"/>
    <w:rsid w:val="00A0624A"/>
    <w:rsid w:val="00A0626D"/>
    <w:rsid w:val="00A0653F"/>
    <w:rsid w:val="00A06A4E"/>
    <w:rsid w:val="00A06AEE"/>
    <w:rsid w:val="00A06C75"/>
    <w:rsid w:val="00A06CFA"/>
    <w:rsid w:val="00A06D8A"/>
    <w:rsid w:val="00A06E26"/>
    <w:rsid w:val="00A06EAA"/>
    <w:rsid w:val="00A070E4"/>
    <w:rsid w:val="00A0715F"/>
    <w:rsid w:val="00A072A8"/>
    <w:rsid w:val="00A072F4"/>
    <w:rsid w:val="00A0735A"/>
    <w:rsid w:val="00A0737E"/>
    <w:rsid w:val="00A07510"/>
    <w:rsid w:val="00A0756B"/>
    <w:rsid w:val="00A075B1"/>
    <w:rsid w:val="00A075F0"/>
    <w:rsid w:val="00A07691"/>
    <w:rsid w:val="00A076A1"/>
    <w:rsid w:val="00A07751"/>
    <w:rsid w:val="00A07754"/>
    <w:rsid w:val="00A07856"/>
    <w:rsid w:val="00A07A4C"/>
    <w:rsid w:val="00A07A7B"/>
    <w:rsid w:val="00A07AE5"/>
    <w:rsid w:val="00A07AFD"/>
    <w:rsid w:val="00A07EE7"/>
    <w:rsid w:val="00A07F87"/>
    <w:rsid w:val="00A07FE2"/>
    <w:rsid w:val="00A10206"/>
    <w:rsid w:val="00A10284"/>
    <w:rsid w:val="00A1051D"/>
    <w:rsid w:val="00A10892"/>
    <w:rsid w:val="00A108DA"/>
    <w:rsid w:val="00A10CA8"/>
    <w:rsid w:val="00A10CDE"/>
    <w:rsid w:val="00A10D47"/>
    <w:rsid w:val="00A10DEA"/>
    <w:rsid w:val="00A10EE4"/>
    <w:rsid w:val="00A10FF7"/>
    <w:rsid w:val="00A11008"/>
    <w:rsid w:val="00A114A7"/>
    <w:rsid w:val="00A115C1"/>
    <w:rsid w:val="00A119C2"/>
    <w:rsid w:val="00A119D9"/>
    <w:rsid w:val="00A11A83"/>
    <w:rsid w:val="00A11BD8"/>
    <w:rsid w:val="00A11D88"/>
    <w:rsid w:val="00A11DC5"/>
    <w:rsid w:val="00A11EAC"/>
    <w:rsid w:val="00A11F26"/>
    <w:rsid w:val="00A11FCC"/>
    <w:rsid w:val="00A11FE0"/>
    <w:rsid w:val="00A121A4"/>
    <w:rsid w:val="00A12249"/>
    <w:rsid w:val="00A12346"/>
    <w:rsid w:val="00A12476"/>
    <w:rsid w:val="00A12676"/>
    <w:rsid w:val="00A1272E"/>
    <w:rsid w:val="00A12778"/>
    <w:rsid w:val="00A1278E"/>
    <w:rsid w:val="00A128BA"/>
    <w:rsid w:val="00A12B50"/>
    <w:rsid w:val="00A12BDE"/>
    <w:rsid w:val="00A12C73"/>
    <w:rsid w:val="00A12C76"/>
    <w:rsid w:val="00A12CCB"/>
    <w:rsid w:val="00A12D1E"/>
    <w:rsid w:val="00A12E4E"/>
    <w:rsid w:val="00A12E5F"/>
    <w:rsid w:val="00A12FF3"/>
    <w:rsid w:val="00A13040"/>
    <w:rsid w:val="00A130B4"/>
    <w:rsid w:val="00A1319D"/>
    <w:rsid w:val="00A13274"/>
    <w:rsid w:val="00A132C6"/>
    <w:rsid w:val="00A133A5"/>
    <w:rsid w:val="00A13429"/>
    <w:rsid w:val="00A134B9"/>
    <w:rsid w:val="00A137E2"/>
    <w:rsid w:val="00A13869"/>
    <w:rsid w:val="00A139E8"/>
    <w:rsid w:val="00A13BF2"/>
    <w:rsid w:val="00A13ED1"/>
    <w:rsid w:val="00A13F7A"/>
    <w:rsid w:val="00A13F88"/>
    <w:rsid w:val="00A14268"/>
    <w:rsid w:val="00A14315"/>
    <w:rsid w:val="00A14375"/>
    <w:rsid w:val="00A143F7"/>
    <w:rsid w:val="00A1447A"/>
    <w:rsid w:val="00A144BE"/>
    <w:rsid w:val="00A14597"/>
    <w:rsid w:val="00A14693"/>
    <w:rsid w:val="00A1497C"/>
    <w:rsid w:val="00A14A52"/>
    <w:rsid w:val="00A14B77"/>
    <w:rsid w:val="00A14D56"/>
    <w:rsid w:val="00A150E3"/>
    <w:rsid w:val="00A150E4"/>
    <w:rsid w:val="00A152E3"/>
    <w:rsid w:val="00A15384"/>
    <w:rsid w:val="00A15562"/>
    <w:rsid w:val="00A1559C"/>
    <w:rsid w:val="00A155F1"/>
    <w:rsid w:val="00A15754"/>
    <w:rsid w:val="00A15808"/>
    <w:rsid w:val="00A15851"/>
    <w:rsid w:val="00A15A5E"/>
    <w:rsid w:val="00A15B49"/>
    <w:rsid w:val="00A15B63"/>
    <w:rsid w:val="00A15B7B"/>
    <w:rsid w:val="00A15C3F"/>
    <w:rsid w:val="00A15CD7"/>
    <w:rsid w:val="00A15DBC"/>
    <w:rsid w:val="00A15DD2"/>
    <w:rsid w:val="00A15DDA"/>
    <w:rsid w:val="00A15F54"/>
    <w:rsid w:val="00A15FE2"/>
    <w:rsid w:val="00A1614B"/>
    <w:rsid w:val="00A16216"/>
    <w:rsid w:val="00A16565"/>
    <w:rsid w:val="00A16685"/>
    <w:rsid w:val="00A167CC"/>
    <w:rsid w:val="00A1688E"/>
    <w:rsid w:val="00A168BE"/>
    <w:rsid w:val="00A169EC"/>
    <w:rsid w:val="00A16BC5"/>
    <w:rsid w:val="00A16D07"/>
    <w:rsid w:val="00A16D33"/>
    <w:rsid w:val="00A16EAB"/>
    <w:rsid w:val="00A16ED6"/>
    <w:rsid w:val="00A17303"/>
    <w:rsid w:val="00A1730E"/>
    <w:rsid w:val="00A17540"/>
    <w:rsid w:val="00A176BC"/>
    <w:rsid w:val="00A1790F"/>
    <w:rsid w:val="00A1793B"/>
    <w:rsid w:val="00A1797D"/>
    <w:rsid w:val="00A17B8A"/>
    <w:rsid w:val="00A17D86"/>
    <w:rsid w:val="00A2007A"/>
    <w:rsid w:val="00A200DF"/>
    <w:rsid w:val="00A201CB"/>
    <w:rsid w:val="00A20510"/>
    <w:rsid w:val="00A205F3"/>
    <w:rsid w:val="00A20A9B"/>
    <w:rsid w:val="00A20C10"/>
    <w:rsid w:val="00A20D72"/>
    <w:rsid w:val="00A20E07"/>
    <w:rsid w:val="00A2104C"/>
    <w:rsid w:val="00A210F4"/>
    <w:rsid w:val="00A21186"/>
    <w:rsid w:val="00A21204"/>
    <w:rsid w:val="00A21326"/>
    <w:rsid w:val="00A2157E"/>
    <w:rsid w:val="00A215C4"/>
    <w:rsid w:val="00A21690"/>
    <w:rsid w:val="00A21A38"/>
    <w:rsid w:val="00A21A68"/>
    <w:rsid w:val="00A21C13"/>
    <w:rsid w:val="00A21C1F"/>
    <w:rsid w:val="00A21EC6"/>
    <w:rsid w:val="00A21F9F"/>
    <w:rsid w:val="00A22024"/>
    <w:rsid w:val="00A22154"/>
    <w:rsid w:val="00A22220"/>
    <w:rsid w:val="00A22236"/>
    <w:rsid w:val="00A2231B"/>
    <w:rsid w:val="00A22347"/>
    <w:rsid w:val="00A22474"/>
    <w:rsid w:val="00A22566"/>
    <w:rsid w:val="00A2271D"/>
    <w:rsid w:val="00A22739"/>
    <w:rsid w:val="00A22859"/>
    <w:rsid w:val="00A228AD"/>
    <w:rsid w:val="00A229EF"/>
    <w:rsid w:val="00A22C96"/>
    <w:rsid w:val="00A22CC9"/>
    <w:rsid w:val="00A22DCD"/>
    <w:rsid w:val="00A22E22"/>
    <w:rsid w:val="00A22F07"/>
    <w:rsid w:val="00A23101"/>
    <w:rsid w:val="00A2316C"/>
    <w:rsid w:val="00A234EF"/>
    <w:rsid w:val="00A235AA"/>
    <w:rsid w:val="00A235F5"/>
    <w:rsid w:val="00A236E2"/>
    <w:rsid w:val="00A2371D"/>
    <w:rsid w:val="00A23B67"/>
    <w:rsid w:val="00A23C99"/>
    <w:rsid w:val="00A24468"/>
    <w:rsid w:val="00A244CF"/>
    <w:rsid w:val="00A2495B"/>
    <w:rsid w:val="00A24B58"/>
    <w:rsid w:val="00A25005"/>
    <w:rsid w:val="00A25021"/>
    <w:rsid w:val="00A25071"/>
    <w:rsid w:val="00A251C2"/>
    <w:rsid w:val="00A251FB"/>
    <w:rsid w:val="00A25324"/>
    <w:rsid w:val="00A2538B"/>
    <w:rsid w:val="00A2544E"/>
    <w:rsid w:val="00A25A31"/>
    <w:rsid w:val="00A25A38"/>
    <w:rsid w:val="00A25C9A"/>
    <w:rsid w:val="00A25D24"/>
    <w:rsid w:val="00A25D2C"/>
    <w:rsid w:val="00A25FD5"/>
    <w:rsid w:val="00A26135"/>
    <w:rsid w:val="00A26452"/>
    <w:rsid w:val="00A26477"/>
    <w:rsid w:val="00A265E8"/>
    <w:rsid w:val="00A2666B"/>
    <w:rsid w:val="00A2680C"/>
    <w:rsid w:val="00A26874"/>
    <w:rsid w:val="00A268FA"/>
    <w:rsid w:val="00A269EA"/>
    <w:rsid w:val="00A26B2A"/>
    <w:rsid w:val="00A26C9C"/>
    <w:rsid w:val="00A26CF1"/>
    <w:rsid w:val="00A26D99"/>
    <w:rsid w:val="00A26DA4"/>
    <w:rsid w:val="00A26DC0"/>
    <w:rsid w:val="00A26E4B"/>
    <w:rsid w:val="00A272B4"/>
    <w:rsid w:val="00A27329"/>
    <w:rsid w:val="00A27354"/>
    <w:rsid w:val="00A273ED"/>
    <w:rsid w:val="00A2757C"/>
    <w:rsid w:val="00A27626"/>
    <w:rsid w:val="00A27658"/>
    <w:rsid w:val="00A277FB"/>
    <w:rsid w:val="00A279DB"/>
    <w:rsid w:val="00A27A9B"/>
    <w:rsid w:val="00A27C3C"/>
    <w:rsid w:val="00A27EF0"/>
    <w:rsid w:val="00A27F7B"/>
    <w:rsid w:val="00A27FBF"/>
    <w:rsid w:val="00A300EB"/>
    <w:rsid w:val="00A303DE"/>
    <w:rsid w:val="00A304E3"/>
    <w:rsid w:val="00A3067C"/>
    <w:rsid w:val="00A30748"/>
    <w:rsid w:val="00A309D9"/>
    <w:rsid w:val="00A309FC"/>
    <w:rsid w:val="00A30A4A"/>
    <w:rsid w:val="00A30BEA"/>
    <w:rsid w:val="00A30C0B"/>
    <w:rsid w:val="00A30CF1"/>
    <w:rsid w:val="00A30E56"/>
    <w:rsid w:val="00A30F6A"/>
    <w:rsid w:val="00A31074"/>
    <w:rsid w:val="00A31272"/>
    <w:rsid w:val="00A31442"/>
    <w:rsid w:val="00A31495"/>
    <w:rsid w:val="00A314FE"/>
    <w:rsid w:val="00A315E6"/>
    <w:rsid w:val="00A31764"/>
    <w:rsid w:val="00A31977"/>
    <w:rsid w:val="00A31A77"/>
    <w:rsid w:val="00A31BC4"/>
    <w:rsid w:val="00A31CA9"/>
    <w:rsid w:val="00A31D83"/>
    <w:rsid w:val="00A31E34"/>
    <w:rsid w:val="00A31F7E"/>
    <w:rsid w:val="00A3209D"/>
    <w:rsid w:val="00A32175"/>
    <w:rsid w:val="00A32340"/>
    <w:rsid w:val="00A32343"/>
    <w:rsid w:val="00A3247F"/>
    <w:rsid w:val="00A324BF"/>
    <w:rsid w:val="00A3254B"/>
    <w:rsid w:val="00A32563"/>
    <w:rsid w:val="00A32745"/>
    <w:rsid w:val="00A32751"/>
    <w:rsid w:val="00A32788"/>
    <w:rsid w:val="00A32C07"/>
    <w:rsid w:val="00A32D4E"/>
    <w:rsid w:val="00A33141"/>
    <w:rsid w:val="00A331ED"/>
    <w:rsid w:val="00A331F6"/>
    <w:rsid w:val="00A334D2"/>
    <w:rsid w:val="00A3359F"/>
    <w:rsid w:val="00A3367F"/>
    <w:rsid w:val="00A336AC"/>
    <w:rsid w:val="00A3392F"/>
    <w:rsid w:val="00A33968"/>
    <w:rsid w:val="00A3398C"/>
    <w:rsid w:val="00A33AF7"/>
    <w:rsid w:val="00A33B18"/>
    <w:rsid w:val="00A33B2F"/>
    <w:rsid w:val="00A33B93"/>
    <w:rsid w:val="00A33E97"/>
    <w:rsid w:val="00A33FF5"/>
    <w:rsid w:val="00A3400D"/>
    <w:rsid w:val="00A34589"/>
    <w:rsid w:val="00A345CC"/>
    <w:rsid w:val="00A348AA"/>
    <w:rsid w:val="00A349C0"/>
    <w:rsid w:val="00A34A4C"/>
    <w:rsid w:val="00A34C9A"/>
    <w:rsid w:val="00A34F1B"/>
    <w:rsid w:val="00A34FF4"/>
    <w:rsid w:val="00A350BA"/>
    <w:rsid w:val="00A3512E"/>
    <w:rsid w:val="00A356A7"/>
    <w:rsid w:val="00A3581E"/>
    <w:rsid w:val="00A35834"/>
    <w:rsid w:val="00A358A4"/>
    <w:rsid w:val="00A35CC7"/>
    <w:rsid w:val="00A35ECF"/>
    <w:rsid w:val="00A3609F"/>
    <w:rsid w:val="00A360E2"/>
    <w:rsid w:val="00A3614F"/>
    <w:rsid w:val="00A361D7"/>
    <w:rsid w:val="00A362D9"/>
    <w:rsid w:val="00A3631B"/>
    <w:rsid w:val="00A3638F"/>
    <w:rsid w:val="00A36668"/>
    <w:rsid w:val="00A3684E"/>
    <w:rsid w:val="00A36C6B"/>
    <w:rsid w:val="00A36E64"/>
    <w:rsid w:val="00A37401"/>
    <w:rsid w:val="00A374D2"/>
    <w:rsid w:val="00A37A81"/>
    <w:rsid w:val="00A37AA8"/>
    <w:rsid w:val="00A37AD3"/>
    <w:rsid w:val="00A37B6D"/>
    <w:rsid w:val="00A37BAA"/>
    <w:rsid w:val="00A37D89"/>
    <w:rsid w:val="00A4019B"/>
    <w:rsid w:val="00A401A7"/>
    <w:rsid w:val="00A4032E"/>
    <w:rsid w:val="00A40753"/>
    <w:rsid w:val="00A408AE"/>
    <w:rsid w:val="00A4092E"/>
    <w:rsid w:val="00A409AF"/>
    <w:rsid w:val="00A40B0F"/>
    <w:rsid w:val="00A40BC9"/>
    <w:rsid w:val="00A40C4B"/>
    <w:rsid w:val="00A40CEC"/>
    <w:rsid w:val="00A40CF8"/>
    <w:rsid w:val="00A40CFE"/>
    <w:rsid w:val="00A40D78"/>
    <w:rsid w:val="00A40E5B"/>
    <w:rsid w:val="00A41202"/>
    <w:rsid w:val="00A41224"/>
    <w:rsid w:val="00A413D0"/>
    <w:rsid w:val="00A4143F"/>
    <w:rsid w:val="00A41580"/>
    <w:rsid w:val="00A417A0"/>
    <w:rsid w:val="00A417E2"/>
    <w:rsid w:val="00A41935"/>
    <w:rsid w:val="00A41AD6"/>
    <w:rsid w:val="00A41AEF"/>
    <w:rsid w:val="00A41BB3"/>
    <w:rsid w:val="00A42095"/>
    <w:rsid w:val="00A42194"/>
    <w:rsid w:val="00A42353"/>
    <w:rsid w:val="00A42540"/>
    <w:rsid w:val="00A425C4"/>
    <w:rsid w:val="00A42AA4"/>
    <w:rsid w:val="00A42E50"/>
    <w:rsid w:val="00A42EEB"/>
    <w:rsid w:val="00A42FBE"/>
    <w:rsid w:val="00A431F5"/>
    <w:rsid w:val="00A43205"/>
    <w:rsid w:val="00A4339C"/>
    <w:rsid w:val="00A433B8"/>
    <w:rsid w:val="00A43454"/>
    <w:rsid w:val="00A435A7"/>
    <w:rsid w:val="00A435DB"/>
    <w:rsid w:val="00A435F5"/>
    <w:rsid w:val="00A435F9"/>
    <w:rsid w:val="00A43762"/>
    <w:rsid w:val="00A437BD"/>
    <w:rsid w:val="00A43AB3"/>
    <w:rsid w:val="00A43BE7"/>
    <w:rsid w:val="00A43F3F"/>
    <w:rsid w:val="00A43F80"/>
    <w:rsid w:val="00A44245"/>
    <w:rsid w:val="00A444B4"/>
    <w:rsid w:val="00A445DB"/>
    <w:rsid w:val="00A44673"/>
    <w:rsid w:val="00A446E6"/>
    <w:rsid w:val="00A44843"/>
    <w:rsid w:val="00A44920"/>
    <w:rsid w:val="00A44936"/>
    <w:rsid w:val="00A449E7"/>
    <w:rsid w:val="00A44AF3"/>
    <w:rsid w:val="00A44B02"/>
    <w:rsid w:val="00A44B07"/>
    <w:rsid w:val="00A44CA2"/>
    <w:rsid w:val="00A44D47"/>
    <w:rsid w:val="00A44D91"/>
    <w:rsid w:val="00A44D93"/>
    <w:rsid w:val="00A44DD5"/>
    <w:rsid w:val="00A44E66"/>
    <w:rsid w:val="00A44F3E"/>
    <w:rsid w:val="00A4512C"/>
    <w:rsid w:val="00A45148"/>
    <w:rsid w:val="00A453E9"/>
    <w:rsid w:val="00A45420"/>
    <w:rsid w:val="00A454F1"/>
    <w:rsid w:val="00A45A31"/>
    <w:rsid w:val="00A45AC1"/>
    <w:rsid w:val="00A45BD8"/>
    <w:rsid w:val="00A45EE2"/>
    <w:rsid w:val="00A45FEE"/>
    <w:rsid w:val="00A46003"/>
    <w:rsid w:val="00A4602E"/>
    <w:rsid w:val="00A461CE"/>
    <w:rsid w:val="00A462A6"/>
    <w:rsid w:val="00A462D9"/>
    <w:rsid w:val="00A464C2"/>
    <w:rsid w:val="00A465E2"/>
    <w:rsid w:val="00A46863"/>
    <w:rsid w:val="00A46A4F"/>
    <w:rsid w:val="00A46A63"/>
    <w:rsid w:val="00A46AB1"/>
    <w:rsid w:val="00A46EF3"/>
    <w:rsid w:val="00A46FA3"/>
    <w:rsid w:val="00A4725C"/>
    <w:rsid w:val="00A4756E"/>
    <w:rsid w:val="00A47646"/>
    <w:rsid w:val="00A47A33"/>
    <w:rsid w:val="00A47C64"/>
    <w:rsid w:val="00A47D03"/>
    <w:rsid w:val="00A47DFD"/>
    <w:rsid w:val="00A47FA2"/>
    <w:rsid w:val="00A50135"/>
    <w:rsid w:val="00A501D0"/>
    <w:rsid w:val="00A50217"/>
    <w:rsid w:val="00A50566"/>
    <w:rsid w:val="00A506BB"/>
    <w:rsid w:val="00A508CF"/>
    <w:rsid w:val="00A509CD"/>
    <w:rsid w:val="00A50A0E"/>
    <w:rsid w:val="00A50B68"/>
    <w:rsid w:val="00A50BF6"/>
    <w:rsid w:val="00A50D0F"/>
    <w:rsid w:val="00A50FC0"/>
    <w:rsid w:val="00A51157"/>
    <w:rsid w:val="00A5132A"/>
    <w:rsid w:val="00A51389"/>
    <w:rsid w:val="00A5158F"/>
    <w:rsid w:val="00A51695"/>
    <w:rsid w:val="00A51743"/>
    <w:rsid w:val="00A518BD"/>
    <w:rsid w:val="00A518D6"/>
    <w:rsid w:val="00A519C6"/>
    <w:rsid w:val="00A51A14"/>
    <w:rsid w:val="00A51A33"/>
    <w:rsid w:val="00A51A5F"/>
    <w:rsid w:val="00A51ADF"/>
    <w:rsid w:val="00A51D14"/>
    <w:rsid w:val="00A51E68"/>
    <w:rsid w:val="00A52409"/>
    <w:rsid w:val="00A5242C"/>
    <w:rsid w:val="00A52528"/>
    <w:rsid w:val="00A52766"/>
    <w:rsid w:val="00A52771"/>
    <w:rsid w:val="00A5286B"/>
    <w:rsid w:val="00A52AAF"/>
    <w:rsid w:val="00A52C69"/>
    <w:rsid w:val="00A52CBE"/>
    <w:rsid w:val="00A52F8D"/>
    <w:rsid w:val="00A52F8E"/>
    <w:rsid w:val="00A530F9"/>
    <w:rsid w:val="00A53152"/>
    <w:rsid w:val="00A531A7"/>
    <w:rsid w:val="00A531FF"/>
    <w:rsid w:val="00A532DA"/>
    <w:rsid w:val="00A532ED"/>
    <w:rsid w:val="00A53451"/>
    <w:rsid w:val="00A537F4"/>
    <w:rsid w:val="00A53A8D"/>
    <w:rsid w:val="00A53E4F"/>
    <w:rsid w:val="00A53EC8"/>
    <w:rsid w:val="00A53F28"/>
    <w:rsid w:val="00A53F71"/>
    <w:rsid w:val="00A541AD"/>
    <w:rsid w:val="00A5439C"/>
    <w:rsid w:val="00A544A4"/>
    <w:rsid w:val="00A54888"/>
    <w:rsid w:val="00A549E8"/>
    <w:rsid w:val="00A54B5F"/>
    <w:rsid w:val="00A54B7B"/>
    <w:rsid w:val="00A54B97"/>
    <w:rsid w:val="00A54BA3"/>
    <w:rsid w:val="00A54C50"/>
    <w:rsid w:val="00A54D6D"/>
    <w:rsid w:val="00A54D90"/>
    <w:rsid w:val="00A54DA7"/>
    <w:rsid w:val="00A54DE1"/>
    <w:rsid w:val="00A54E1B"/>
    <w:rsid w:val="00A54E5E"/>
    <w:rsid w:val="00A54FE8"/>
    <w:rsid w:val="00A5501F"/>
    <w:rsid w:val="00A55098"/>
    <w:rsid w:val="00A55214"/>
    <w:rsid w:val="00A5524F"/>
    <w:rsid w:val="00A55485"/>
    <w:rsid w:val="00A55591"/>
    <w:rsid w:val="00A555BD"/>
    <w:rsid w:val="00A555D3"/>
    <w:rsid w:val="00A558BD"/>
    <w:rsid w:val="00A55A81"/>
    <w:rsid w:val="00A55AF9"/>
    <w:rsid w:val="00A55C35"/>
    <w:rsid w:val="00A55D35"/>
    <w:rsid w:val="00A55D62"/>
    <w:rsid w:val="00A562EF"/>
    <w:rsid w:val="00A564CA"/>
    <w:rsid w:val="00A564D7"/>
    <w:rsid w:val="00A5651E"/>
    <w:rsid w:val="00A565BD"/>
    <w:rsid w:val="00A56738"/>
    <w:rsid w:val="00A567B1"/>
    <w:rsid w:val="00A567C8"/>
    <w:rsid w:val="00A5694C"/>
    <w:rsid w:val="00A56AC0"/>
    <w:rsid w:val="00A56C17"/>
    <w:rsid w:val="00A56C20"/>
    <w:rsid w:val="00A56C89"/>
    <w:rsid w:val="00A56CF7"/>
    <w:rsid w:val="00A56EC2"/>
    <w:rsid w:val="00A56EE4"/>
    <w:rsid w:val="00A57061"/>
    <w:rsid w:val="00A57303"/>
    <w:rsid w:val="00A57364"/>
    <w:rsid w:val="00A574C2"/>
    <w:rsid w:val="00A57673"/>
    <w:rsid w:val="00A576E2"/>
    <w:rsid w:val="00A577C1"/>
    <w:rsid w:val="00A578A2"/>
    <w:rsid w:val="00A5794A"/>
    <w:rsid w:val="00A57A05"/>
    <w:rsid w:val="00A57BB6"/>
    <w:rsid w:val="00A57C54"/>
    <w:rsid w:val="00A57DB3"/>
    <w:rsid w:val="00A57EFA"/>
    <w:rsid w:val="00A57F36"/>
    <w:rsid w:val="00A57F8E"/>
    <w:rsid w:val="00A6001C"/>
    <w:rsid w:val="00A60050"/>
    <w:rsid w:val="00A60083"/>
    <w:rsid w:val="00A6018D"/>
    <w:rsid w:val="00A602E5"/>
    <w:rsid w:val="00A60519"/>
    <w:rsid w:val="00A606C4"/>
    <w:rsid w:val="00A6075F"/>
    <w:rsid w:val="00A607BD"/>
    <w:rsid w:val="00A608E5"/>
    <w:rsid w:val="00A60D1D"/>
    <w:rsid w:val="00A60EDB"/>
    <w:rsid w:val="00A60F15"/>
    <w:rsid w:val="00A61108"/>
    <w:rsid w:val="00A6150B"/>
    <w:rsid w:val="00A61516"/>
    <w:rsid w:val="00A615FE"/>
    <w:rsid w:val="00A6179B"/>
    <w:rsid w:val="00A617E3"/>
    <w:rsid w:val="00A61AA6"/>
    <w:rsid w:val="00A61AD3"/>
    <w:rsid w:val="00A61C2D"/>
    <w:rsid w:val="00A61D25"/>
    <w:rsid w:val="00A61DBC"/>
    <w:rsid w:val="00A61E4F"/>
    <w:rsid w:val="00A61EA6"/>
    <w:rsid w:val="00A62151"/>
    <w:rsid w:val="00A62223"/>
    <w:rsid w:val="00A62618"/>
    <w:rsid w:val="00A62799"/>
    <w:rsid w:val="00A62828"/>
    <w:rsid w:val="00A62E94"/>
    <w:rsid w:val="00A62F34"/>
    <w:rsid w:val="00A631CE"/>
    <w:rsid w:val="00A633C3"/>
    <w:rsid w:val="00A63532"/>
    <w:rsid w:val="00A63601"/>
    <w:rsid w:val="00A63719"/>
    <w:rsid w:val="00A6380A"/>
    <w:rsid w:val="00A63A05"/>
    <w:rsid w:val="00A63B8C"/>
    <w:rsid w:val="00A63DC7"/>
    <w:rsid w:val="00A63F91"/>
    <w:rsid w:val="00A63FCE"/>
    <w:rsid w:val="00A63FFA"/>
    <w:rsid w:val="00A6412B"/>
    <w:rsid w:val="00A64145"/>
    <w:rsid w:val="00A64182"/>
    <w:rsid w:val="00A641C6"/>
    <w:rsid w:val="00A641E2"/>
    <w:rsid w:val="00A641FE"/>
    <w:rsid w:val="00A64662"/>
    <w:rsid w:val="00A6471E"/>
    <w:rsid w:val="00A6475E"/>
    <w:rsid w:val="00A64A6F"/>
    <w:rsid w:val="00A64AFD"/>
    <w:rsid w:val="00A64B36"/>
    <w:rsid w:val="00A64D97"/>
    <w:rsid w:val="00A64EF3"/>
    <w:rsid w:val="00A65280"/>
    <w:rsid w:val="00A65410"/>
    <w:rsid w:val="00A65600"/>
    <w:rsid w:val="00A656C2"/>
    <w:rsid w:val="00A65795"/>
    <w:rsid w:val="00A6590D"/>
    <w:rsid w:val="00A659EE"/>
    <w:rsid w:val="00A65B79"/>
    <w:rsid w:val="00A65BBC"/>
    <w:rsid w:val="00A65BD5"/>
    <w:rsid w:val="00A65CB3"/>
    <w:rsid w:val="00A65CC4"/>
    <w:rsid w:val="00A65CD8"/>
    <w:rsid w:val="00A65D6A"/>
    <w:rsid w:val="00A65D6C"/>
    <w:rsid w:val="00A65ED4"/>
    <w:rsid w:val="00A65FEE"/>
    <w:rsid w:val="00A66016"/>
    <w:rsid w:val="00A66173"/>
    <w:rsid w:val="00A6625A"/>
    <w:rsid w:val="00A66305"/>
    <w:rsid w:val="00A6645E"/>
    <w:rsid w:val="00A66591"/>
    <w:rsid w:val="00A667BD"/>
    <w:rsid w:val="00A668DF"/>
    <w:rsid w:val="00A668F1"/>
    <w:rsid w:val="00A66ADE"/>
    <w:rsid w:val="00A66B7C"/>
    <w:rsid w:val="00A66BAB"/>
    <w:rsid w:val="00A66EDF"/>
    <w:rsid w:val="00A671FC"/>
    <w:rsid w:val="00A67253"/>
    <w:rsid w:val="00A67338"/>
    <w:rsid w:val="00A674AF"/>
    <w:rsid w:val="00A67589"/>
    <w:rsid w:val="00A67616"/>
    <w:rsid w:val="00A6762F"/>
    <w:rsid w:val="00A67664"/>
    <w:rsid w:val="00A676DB"/>
    <w:rsid w:val="00A67776"/>
    <w:rsid w:val="00A677AC"/>
    <w:rsid w:val="00A678F7"/>
    <w:rsid w:val="00A67964"/>
    <w:rsid w:val="00A67A20"/>
    <w:rsid w:val="00A67A85"/>
    <w:rsid w:val="00A67B51"/>
    <w:rsid w:val="00A67B95"/>
    <w:rsid w:val="00A67CFF"/>
    <w:rsid w:val="00A67E7E"/>
    <w:rsid w:val="00A67EE4"/>
    <w:rsid w:val="00A67F04"/>
    <w:rsid w:val="00A700E2"/>
    <w:rsid w:val="00A701EF"/>
    <w:rsid w:val="00A702DB"/>
    <w:rsid w:val="00A7052E"/>
    <w:rsid w:val="00A7053B"/>
    <w:rsid w:val="00A707A9"/>
    <w:rsid w:val="00A709AE"/>
    <w:rsid w:val="00A70A00"/>
    <w:rsid w:val="00A70B1F"/>
    <w:rsid w:val="00A70C01"/>
    <w:rsid w:val="00A70CFE"/>
    <w:rsid w:val="00A70DE8"/>
    <w:rsid w:val="00A71241"/>
    <w:rsid w:val="00A713AD"/>
    <w:rsid w:val="00A716B4"/>
    <w:rsid w:val="00A716CE"/>
    <w:rsid w:val="00A71872"/>
    <w:rsid w:val="00A71A3A"/>
    <w:rsid w:val="00A71B3E"/>
    <w:rsid w:val="00A71BE2"/>
    <w:rsid w:val="00A71C70"/>
    <w:rsid w:val="00A71DDF"/>
    <w:rsid w:val="00A71EE2"/>
    <w:rsid w:val="00A71F44"/>
    <w:rsid w:val="00A71F79"/>
    <w:rsid w:val="00A71F88"/>
    <w:rsid w:val="00A7223E"/>
    <w:rsid w:val="00A7225B"/>
    <w:rsid w:val="00A72455"/>
    <w:rsid w:val="00A729BB"/>
    <w:rsid w:val="00A729C0"/>
    <w:rsid w:val="00A72A7E"/>
    <w:rsid w:val="00A72AB6"/>
    <w:rsid w:val="00A72B6D"/>
    <w:rsid w:val="00A72CA6"/>
    <w:rsid w:val="00A72D0C"/>
    <w:rsid w:val="00A72E33"/>
    <w:rsid w:val="00A72EFD"/>
    <w:rsid w:val="00A7302E"/>
    <w:rsid w:val="00A7304C"/>
    <w:rsid w:val="00A73310"/>
    <w:rsid w:val="00A733E7"/>
    <w:rsid w:val="00A7359E"/>
    <w:rsid w:val="00A73A06"/>
    <w:rsid w:val="00A73B6B"/>
    <w:rsid w:val="00A73C49"/>
    <w:rsid w:val="00A73CC8"/>
    <w:rsid w:val="00A73F8A"/>
    <w:rsid w:val="00A73FE4"/>
    <w:rsid w:val="00A7420D"/>
    <w:rsid w:val="00A74280"/>
    <w:rsid w:val="00A742A2"/>
    <w:rsid w:val="00A743FF"/>
    <w:rsid w:val="00A74674"/>
    <w:rsid w:val="00A746A7"/>
    <w:rsid w:val="00A74917"/>
    <w:rsid w:val="00A74990"/>
    <w:rsid w:val="00A74A48"/>
    <w:rsid w:val="00A74B1A"/>
    <w:rsid w:val="00A74B5D"/>
    <w:rsid w:val="00A74BC3"/>
    <w:rsid w:val="00A74BE8"/>
    <w:rsid w:val="00A751AA"/>
    <w:rsid w:val="00A7528B"/>
    <w:rsid w:val="00A75382"/>
    <w:rsid w:val="00A7538E"/>
    <w:rsid w:val="00A7548A"/>
    <w:rsid w:val="00A7598F"/>
    <w:rsid w:val="00A75CA1"/>
    <w:rsid w:val="00A75DA2"/>
    <w:rsid w:val="00A75E00"/>
    <w:rsid w:val="00A7609D"/>
    <w:rsid w:val="00A7610E"/>
    <w:rsid w:val="00A76248"/>
    <w:rsid w:val="00A76312"/>
    <w:rsid w:val="00A76351"/>
    <w:rsid w:val="00A76361"/>
    <w:rsid w:val="00A76449"/>
    <w:rsid w:val="00A76697"/>
    <w:rsid w:val="00A768AE"/>
    <w:rsid w:val="00A76927"/>
    <w:rsid w:val="00A7693E"/>
    <w:rsid w:val="00A769D4"/>
    <w:rsid w:val="00A76AA9"/>
    <w:rsid w:val="00A76AF4"/>
    <w:rsid w:val="00A76EB5"/>
    <w:rsid w:val="00A77298"/>
    <w:rsid w:val="00A7731C"/>
    <w:rsid w:val="00A774BA"/>
    <w:rsid w:val="00A776A7"/>
    <w:rsid w:val="00A77712"/>
    <w:rsid w:val="00A77985"/>
    <w:rsid w:val="00A77A29"/>
    <w:rsid w:val="00A77E0F"/>
    <w:rsid w:val="00A800ED"/>
    <w:rsid w:val="00A800F0"/>
    <w:rsid w:val="00A8037E"/>
    <w:rsid w:val="00A803D3"/>
    <w:rsid w:val="00A80448"/>
    <w:rsid w:val="00A80461"/>
    <w:rsid w:val="00A8083D"/>
    <w:rsid w:val="00A80880"/>
    <w:rsid w:val="00A808E1"/>
    <w:rsid w:val="00A80B75"/>
    <w:rsid w:val="00A80C82"/>
    <w:rsid w:val="00A80CC3"/>
    <w:rsid w:val="00A80DCF"/>
    <w:rsid w:val="00A80ED4"/>
    <w:rsid w:val="00A810D1"/>
    <w:rsid w:val="00A81255"/>
    <w:rsid w:val="00A814FF"/>
    <w:rsid w:val="00A81698"/>
    <w:rsid w:val="00A817D6"/>
    <w:rsid w:val="00A81912"/>
    <w:rsid w:val="00A81A59"/>
    <w:rsid w:val="00A81E20"/>
    <w:rsid w:val="00A81E6B"/>
    <w:rsid w:val="00A81F37"/>
    <w:rsid w:val="00A8222F"/>
    <w:rsid w:val="00A8257A"/>
    <w:rsid w:val="00A82A5F"/>
    <w:rsid w:val="00A82C69"/>
    <w:rsid w:val="00A82E98"/>
    <w:rsid w:val="00A82F11"/>
    <w:rsid w:val="00A8311F"/>
    <w:rsid w:val="00A831C2"/>
    <w:rsid w:val="00A83278"/>
    <w:rsid w:val="00A83296"/>
    <w:rsid w:val="00A8342A"/>
    <w:rsid w:val="00A835E6"/>
    <w:rsid w:val="00A8378A"/>
    <w:rsid w:val="00A837A8"/>
    <w:rsid w:val="00A83823"/>
    <w:rsid w:val="00A838E7"/>
    <w:rsid w:val="00A83915"/>
    <w:rsid w:val="00A839CD"/>
    <w:rsid w:val="00A83A30"/>
    <w:rsid w:val="00A83BD7"/>
    <w:rsid w:val="00A83BF9"/>
    <w:rsid w:val="00A83C75"/>
    <w:rsid w:val="00A83CA9"/>
    <w:rsid w:val="00A83D14"/>
    <w:rsid w:val="00A83D7C"/>
    <w:rsid w:val="00A83DF5"/>
    <w:rsid w:val="00A83E90"/>
    <w:rsid w:val="00A83F50"/>
    <w:rsid w:val="00A840FC"/>
    <w:rsid w:val="00A8411F"/>
    <w:rsid w:val="00A84178"/>
    <w:rsid w:val="00A841B6"/>
    <w:rsid w:val="00A842D9"/>
    <w:rsid w:val="00A8430A"/>
    <w:rsid w:val="00A84435"/>
    <w:rsid w:val="00A8461E"/>
    <w:rsid w:val="00A846E4"/>
    <w:rsid w:val="00A84A65"/>
    <w:rsid w:val="00A84AA1"/>
    <w:rsid w:val="00A84AE4"/>
    <w:rsid w:val="00A84B79"/>
    <w:rsid w:val="00A84C5C"/>
    <w:rsid w:val="00A84CF4"/>
    <w:rsid w:val="00A84E77"/>
    <w:rsid w:val="00A85003"/>
    <w:rsid w:val="00A8502B"/>
    <w:rsid w:val="00A8503F"/>
    <w:rsid w:val="00A8512B"/>
    <w:rsid w:val="00A8554B"/>
    <w:rsid w:val="00A856DE"/>
    <w:rsid w:val="00A85AA8"/>
    <w:rsid w:val="00A85B6F"/>
    <w:rsid w:val="00A85BC4"/>
    <w:rsid w:val="00A85D5D"/>
    <w:rsid w:val="00A85E03"/>
    <w:rsid w:val="00A8618B"/>
    <w:rsid w:val="00A861D6"/>
    <w:rsid w:val="00A863DD"/>
    <w:rsid w:val="00A864BB"/>
    <w:rsid w:val="00A868A3"/>
    <w:rsid w:val="00A86923"/>
    <w:rsid w:val="00A86958"/>
    <w:rsid w:val="00A86C5B"/>
    <w:rsid w:val="00A86C77"/>
    <w:rsid w:val="00A86C92"/>
    <w:rsid w:val="00A86DE6"/>
    <w:rsid w:val="00A86E29"/>
    <w:rsid w:val="00A86ED1"/>
    <w:rsid w:val="00A86F19"/>
    <w:rsid w:val="00A87138"/>
    <w:rsid w:val="00A8715E"/>
    <w:rsid w:val="00A8735C"/>
    <w:rsid w:val="00A8743D"/>
    <w:rsid w:val="00A8749B"/>
    <w:rsid w:val="00A875D2"/>
    <w:rsid w:val="00A87607"/>
    <w:rsid w:val="00A8762B"/>
    <w:rsid w:val="00A8774D"/>
    <w:rsid w:val="00A87832"/>
    <w:rsid w:val="00A87B98"/>
    <w:rsid w:val="00A87D72"/>
    <w:rsid w:val="00A87D81"/>
    <w:rsid w:val="00A87DEB"/>
    <w:rsid w:val="00A87FE1"/>
    <w:rsid w:val="00A90003"/>
    <w:rsid w:val="00A90135"/>
    <w:rsid w:val="00A90172"/>
    <w:rsid w:val="00A903F8"/>
    <w:rsid w:val="00A904D8"/>
    <w:rsid w:val="00A90525"/>
    <w:rsid w:val="00A9069A"/>
    <w:rsid w:val="00A906C4"/>
    <w:rsid w:val="00A90747"/>
    <w:rsid w:val="00A907E1"/>
    <w:rsid w:val="00A909A8"/>
    <w:rsid w:val="00A90AD0"/>
    <w:rsid w:val="00A90C5E"/>
    <w:rsid w:val="00A90CDC"/>
    <w:rsid w:val="00A90F86"/>
    <w:rsid w:val="00A913A3"/>
    <w:rsid w:val="00A91448"/>
    <w:rsid w:val="00A91602"/>
    <w:rsid w:val="00A91885"/>
    <w:rsid w:val="00A9193D"/>
    <w:rsid w:val="00A91A96"/>
    <w:rsid w:val="00A91B9F"/>
    <w:rsid w:val="00A91BF3"/>
    <w:rsid w:val="00A91CA5"/>
    <w:rsid w:val="00A91FB1"/>
    <w:rsid w:val="00A91FFE"/>
    <w:rsid w:val="00A92105"/>
    <w:rsid w:val="00A921FE"/>
    <w:rsid w:val="00A92220"/>
    <w:rsid w:val="00A9235E"/>
    <w:rsid w:val="00A9240A"/>
    <w:rsid w:val="00A92545"/>
    <w:rsid w:val="00A925C6"/>
    <w:rsid w:val="00A925D0"/>
    <w:rsid w:val="00A927C1"/>
    <w:rsid w:val="00A928D5"/>
    <w:rsid w:val="00A928F4"/>
    <w:rsid w:val="00A92906"/>
    <w:rsid w:val="00A9293D"/>
    <w:rsid w:val="00A92948"/>
    <w:rsid w:val="00A92A05"/>
    <w:rsid w:val="00A92B1C"/>
    <w:rsid w:val="00A92B6E"/>
    <w:rsid w:val="00A92CB1"/>
    <w:rsid w:val="00A92F2A"/>
    <w:rsid w:val="00A9304A"/>
    <w:rsid w:val="00A932A6"/>
    <w:rsid w:val="00A93318"/>
    <w:rsid w:val="00A9348F"/>
    <w:rsid w:val="00A93D93"/>
    <w:rsid w:val="00A93E2E"/>
    <w:rsid w:val="00A93FF1"/>
    <w:rsid w:val="00A9431D"/>
    <w:rsid w:val="00A94378"/>
    <w:rsid w:val="00A94677"/>
    <w:rsid w:val="00A94678"/>
    <w:rsid w:val="00A947FE"/>
    <w:rsid w:val="00A9482A"/>
    <w:rsid w:val="00A94866"/>
    <w:rsid w:val="00A94897"/>
    <w:rsid w:val="00A948C7"/>
    <w:rsid w:val="00A94A00"/>
    <w:rsid w:val="00A94BF9"/>
    <w:rsid w:val="00A94D22"/>
    <w:rsid w:val="00A94E67"/>
    <w:rsid w:val="00A950A6"/>
    <w:rsid w:val="00A950D7"/>
    <w:rsid w:val="00A952EB"/>
    <w:rsid w:val="00A953B0"/>
    <w:rsid w:val="00A953D7"/>
    <w:rsid w:val="00A954CA"/>
    <w:rsid w:val="00A95597"/>
    <w:rsid w:val="00A95605"/>
    <w:rsid w:val="00A957B3"/>
    <w:rsid w:val="00A95837"/>
    <w:rsid w:val="00A95A15"/>
    <w:rsid w:val="00A95EE1"/>
    <w:rsid w:val="00A960F1"/>
    <w:rsid w:val="00A96110"/>
    <w:rsid w:val="00A9612E"/>
    <w:rsid w:val="00A9621D"/>
    <w:rsid w:val="00A963A5"/>
    <w:rsid w:val="00A963EC"/>
    <w:rsid w:val="00A9653E"/>
    <w:rsid w:val="00A965B7"/>
    <w:rsid w:val="00A96615"/>
    <w:rsid w:val="00A96618"/>
    <w:rsid w:val="00A96D46"/>
    <w:rsid w:val="00A96DDA"/>
    <w:rsid w:val="00A96E56"/>
    <w:rsid w:val="00A96F61"/>
    <w:rsid w:val="00A971C2"/>
    <w:rsid w:val="00A972FE"/>
    <w:rsid w:val="00A973B9"/>
    <w:rsid w:val="00A97671"/>
    <w:rsid w:val="00A97719"/>
    <w:rsid w:val="00A9774B"/>
    <w:rsid w:val="00A9785D"/>
    <w:rsid w:val="00A97886"/>
    <w:rsid w:val="00A978BC"/>
    <w:rsid w:val="00A97AA3"/>
    <w:rsid w:val="00A97E17"/>
    <w:rsid w:val="00A97E24"/>
    <w:rsid w:val="00A97E28"/>
    <w:rsid w:val="00A97F91"/>
    <w:rsid w:val="00A97F98"/>
    <w:rsid w:val="00AA0039"/>
    <w:rsid w:val="00AA019B"/>
    <w:rsid w:val="00AA036B"/>
    <w:rsid w:val="00AA0409"/>
    <w:rsid w:val="00AA0494"/>
    <w:rsid w:val="00AA0586"/>
    <w:rsid w:val="00AA0732"/>
    <w:rsid w:val="00AA0A3E"/>
    <w:rsid w:val="00AA0AAA"/>
    <w:rsid w:val="00AA0D3E"/>
    <w:rsid w:val="00AA0DAD"/>
    <w:rsid w:val="00AA0F8B"/>
    <w:rsid w:val="00AA10A8"/>
    <w:rsid w:val="00AA1374"/>
    <w:rsid w:val="00AA15E3"/>
    <w:rsid w:val="00AA166D"/>
    <w:rsid w:val="00AA16CF"/>
    <w:rsid w:val="00AA171A"/>
    <w:rsid w:val="00AA1793"/>
    <w:rsid w:val="00AA18A3"/>
    <w:rsid w:val="00AA1A24"/>
    <w:rsid w:val="00AA1A72"/>
    <w:rsid w:val="00AA1BF5"/>
    <w:rsid w:val="00AA1C66"/>
    <w:rsid w:val="00AA1CDF"/>
    <w:rsid w:val="00AA1CEB"/>
    <w:rsid w:val="00AA1EA8"/>
    <w:rsid w:val="00AA1EFD"/>
    <w:rsid w:val="00AA21AB"/>
    <w:rsid w:val="00AA21B4"/>
    <w:rsid w:val="00AA22DC"/>
    <w:rsid w:val="00AA2649"/>
    <w:rsid w:val="00AA27A5"/>
    <w:rsid w:val="00AA28E0"/>
    <w:rsid w:val="00AA2946"/>
    <w:rsid w:val="00AA2A3D"/>
    <w:rsid w:val="00AA2B4F"/>
    <w:rsid w:val="00AA2C1C"/>
    <w:rsid w:val="00AA2D1D"/>
    <w:rsid w:val="00AA2DA3"/>
    <w:rsid w:val="00AA2E8A"/>
    <w:rsid w:val="00AA2EEB"/>
    <w:rsid w:val="00AA300B"/>
    <w:rsid w:val="00AA305E"/>
    <w:rsid w:val="00AA3466"/>
    <w:rsid w:val="00AA35F1"/>
    <w:rsid w:val="00AA3608"/>
    <w:rsid w:val="00AA368C"/>
    <w:rsid w:val="00AA3796"/>
    <w:rsid w:val="00AA38D3"/>
    <w:rsid w:val="00AA38E9"/>
    <w:rsid w:val="00AA3A62"/>
    <w:rsid w:val="00AA3A77"/>
    <w:rsid w:val="00AA3B6F"/>
    <w:rsid w:val="00AA3BF0"/>
    <w:rsid w:val="00AA3BFA"/>
    <w:rsid w:val="00AA41EF"/>
    <w:rsid w:val="00AA4213"/>
    <w:rsid w:val="00AA424A"/>
    <w:rsid w:val="00AA4486"/>
    <w:rsid w:val="00AA4690"/>
    <w:rsid w:val="00AA4714"/>
    <w:rsid w:val="00AA475F"/>
    <w:rsid w:val="00AA477F"/>
    <w:rsid w:val="00AA4BA3"/>
    <w:rsid w:val="00AA4D1C"/>
    <w:rsid w:val="00AA4E20"/>
    <w:rsid w:val="00AA4F0C"/>
    <w:rsid w:val="00AA4F19"/>
    <w:rsid w:val="00AA502B"/>
    <w:rsid w:val="00AA5092"/>
    <w:rsid w:val="00AA50CA"/>
    <w:rsid w:val="00AA52B6"/>
    <w:rsid w:val="00AA5374"/>
    <w:rsid w:val="00AA5607"/>
    <w:rsid w:val="00AA5659"/>
    <w:rsid w:val="00AA5872"/>
    <w:rsid w:val="00AA5A09"/>
    <w:rsid w:val="00AA5B49"/>
    <w:rsid w:val="00AA5BB9"/>
    <w:rsid w:val="00AA5BCF"/>
    <w:rsid w:val="00AA5D63"/>
    <w:rsid w:val="00AA5DD9"/>
    <w:rsid w:val="00AA5EA2"/>
    <w:rsid w:val="00AA5ED5"/>
    <w:rsid w:val="00AA5F1F"/>
    <w:rsid w:val="00AA5F7F"/>
    <w:rsid w:val="00AA6384"/>
    <w:rsid w:val="00AA63EF"/>
    <w:rsid w:val="00AA66A8"/>
    <w:rsid w:val="00AA66AB"/>
    <w:rsid w:val="00AA68ED"/>
    <w:rsid w:val="00AA69C6"/>
    <w:rsid w:val="00AA6A71"/>
    <w:rsid w:val="00AA6C68"/>
    <w:rsid w:val="00AA6FA1"/>
    <w:rsid w:val="00AA7129"/>
    <w:rsid w:val="00AA72CF"/>
    <w:rsid w:val="00AA7329"/>
    <w:rsid w:val="00AA7715"/>
    <w:rsid w:val="00AA78C4"/>
    <w:rsid w:val="00AA7DA1"/>
    <w:rsid w:val="00AB00AB"/>
    <w:rsid w:val="00AB02B9"/>
    <w:rsid w:val="00AB060A"/>
    <w:rsid w:val="00AB06A7"/>
    <w:rsid w:val="00AB0824"/>
    <w:rsid w:val="00AB0B40"/>
    <w:rsid w:val="00AB0C1F"/>
    <w:rsid w:val="00AB0D2C"/>
    <w:rsid w:val="00AB0D70"/>
    <w:rsid w:val="00AB0DAD"/>
    <w:rsid w:val="00AB0FCD"/>
    <w:rsid w:val="00AB110D"/>
    <w:rsid w:val="00AB112F"/>
    <w:rsid w:val="00AB122A"/>
    <w:rsid w:val="00AB1368"/>
    <w:rsid w:val="00AB139F"/>
    <w:rsid w:val="00AB161F"/>
    <w:rsid w:val="00AB1729"/>
    <w:rsid w:val="00AB176E"/>
    <w:rsid w:val="00AB1842"/>
    <w:rsid w:val="00AB1892"/>
    <w:rsid w:val="00AB189C"/>
    <w:rsid w:val="00AB18C8"/>
    <w:rsid w:val="00AB1A4F"/>
    <w:rsid w:val="00AB1CF7"/>
    <w:rsid w:val="00AB2074"/>
    <w:rsid w:val="00AB20CE"/>
    <w:rsid w:val="00AB2134"/>
    <w:rsid w:val="00AB2349"/>
    <w:rsid w:val="00AB2363"/>
    <w:rsid w:val="00AB23D5"/>
    <w:rsid w:val="00AB244B"/>
    <w:rsid w:val="00AB25C6"/>
    <w:rsid w:val="00AB267C"/>
    <w:rsid w:val="00AB2687"/>
    <w:rsid w:val="00AB2831"/>
    <w:rsid w:val="00AB290E"/>
    <w:rsid w:val="00AB294C"/>
    <w:rsid w:val="00AB29CA"/>
    <w:rsid w:val="00AB29D3"/>
    <w:rsid w:val="00AB2B75"/>
    <w:rsid w:val="00AB2F7D"/>
    <w:rsid w:val="00AB2FAA"/>
    <w:rsid w:val="00AB2FF2"/>
    <w:rsid w:val="00AB303E"/>
    <w:rsid w:val="00AB30F3"/>
    <w:rsid w:val="00AB3130"/>
    <w:rsid w:val="00AB3445"/>
    <w:rsid w:val="00AB3464"/>
    <w:rsid w:val="00AB3509"/>
    <w:rsid w:val="00AB3592"/>
    <w:rsid w:val="00AB35D3"/>
    <w:rsid w:val="00AB364E"/>
    <w:rsid w:val="00AB372C"/>
    <w:rsid w:val="00AB3789"/>
    <w:rsid w:val="00AB384E"/>
    <w:rsid w:val="00AB38C3"/>
    <w:rsid w:val="00AB3A31"/>
    <w:rsid w:val="00AB3D00"/>
    <w:rsid w:val="00AB3D56"/>
    <w:rsid w:val="00AB3E76"/>
    <w:rsid w:val="00AB428B"/>
    <w:rsid w:val="00AB42E7"/>
    <w:rsid w:val="00AB437F"/>
    <w:rsid w:val="00AB44B7"/>
    <w:rsid w:val="00AB45D1"/>
    <w:rsid w:val="00AB48D3"/>
    <w:rsid w:val="00AB49A2"/>
    <w:rsid w:val="00AB4A19"/>
    <w:rsid w:val="00AB4BFE"/>
    <w:rsid w:val="00AB4C13"/>
    <w:rsid w:val="00AB4DB9"/>
    <w:rsid w:val="00AB4DDA"/>
    <w:rsid w:val="00AB4E09"/>
    <w:rsid w:val="00AB4E79"/>
    <w:rsid w:val="00AB5015"/>
    <w:rsid w:val="00AB50BF"/>
    <w:rsid w:val="00AB53E2"/>
    <w:rsid w:val="00AB558C"/>
    <w:rsid w:val="00AB568C"/>
    <w:rsid w:val="00AB57A5"/>
    <w:rsid w:val="00AB5940"/>
    <w:rsid w:val="00AB5993"/>
    <w:rsid w:val="00AB5A48"/>
    <w:rsid w:val="00AB5C77"/>
    <w:rsid w:val="00AB5DEC"/>
    <w:rsid w:val="00AB5E0A"/>
    <w:rsid w:val="00AB5F36"/>
    <w:rsid w:val="00AB5F3D"/>
    <w:rsid w:val="00AB6255"/>
    <w:rsid w:val="00AB63ED"/>
    <w:rsid w:val="00AB65EA"/>
    <w:rsid w:val="00AB6843"/>
    <w:rsid w:val="00AB6988"/>
    <w:rsid w:val="00AB69B0"/>
    <w:rsid w:val="00AB6AD9"/>
    <w:rsid w:val="00AB6B4E"/>
    <w:rsid w:val="00AB6B59"/>
    <w:rsid w:val="00AB6C68"/>
    <w:rsid w:val="00AB6CA9"/>
    <w:rsid w:val="00AB6CAD"/>
    <w:rsid w:val="00AB7000"/>
    <w:rsid w:val="00AB7021"/>
    <w:rsid w:val="00AB73C5"/>
    <w:rsid w:val="00AB73FA"/>
    <w:rsid w:val="00AB7612"/>
    <w:rsid w:val="00AB7768"/>
    <w:rsid w:val="00AB77F6"/>
    <w:rsid w:val="00AB7991"/>
    <w:rsid w:val="00AB7A90"/>
    <w:rsid w:val="00AB7B77"/>
    <w:rsid w:val="00AB7FAA"/>
    <w:rsid w:val="00AC0009"/>
    <w:rsid w:val="00AC01CC"/>
    <w:rsid w:val="00AC0322"/>
    <w:rsid w:val="00AC036E"/>
    <w:rsid w:val="00AC04ED"/>
    <w:rsid w:val="00AC0568"/>
    <w:rsid w:val="00AC0690"/>
    <w:rsid w:val="00AC07B5"/>
    <w:rsid w:val="00AC08B0"/>
    <w:rsid w:val="00AC0AB3"/>
    <w:rsid w:val="00AC0D4B"/>
    <w:rsid w:val="00AC0F46"/>
    <w:rsid w:val="00AC0FA6"/>
    <w:rsid w:val="00AC1144"/>
    <w:rsid w:val="00AC1310"/>
    <w:rsid w:val="00AC1649"/>
    <w:rsid w:val="00AC1973"/>
    <w:rsid w:val="00AC1A72"/>
    <w:rsid w:val="00AC1AE7"/>
    <w:rsid w:val="00AC1B0B"/>
    <w:rsid w:val="00AC1B95"/>
    <w:rsid w:val="00AC1D2F"/>
    <w:rsid w:val="00AC1DF3"/>
    <w:rsid w:val="00AC1F09"/>
    <w:rsid w:val="00AC1FDE"/>
    <w:rsid w:val="00AC2072"/>
    <w:rsid w:val="00AC21A7"/>
    <w:rsid w:val="00AC2279"/>
    <w:rsid w:val="00AC265C"/>
    <w:rsid w:val="00AC2714"/>
    <w:rsid w:val="00AC2878"/>
    <w:rsid w:val="00AC2B98"/>
    <w:rsid w:val="00AC2BEA"/>
    <w:rsid w:val="00AC2BEB"/>
    <w:rsid w:val="00AC2D14"/>
    <w:rsid w:val="00AC2EC1"/>
    <w:rsid w:val="00AC2F23"/>
    <w:rsid w:val="00AC2F2C"/>
    <w:rsid w:val="00AC2F63"/>
    <w:rsid w:val="00AC3168"/>
    <w:rsid w:val="00AC3325"/>
    <w:rsid w:val="00AC3425"/>
    <w:rsid w:val="00AC34D4"/>
    <w:rsid w:val="00AC34DD"/>
    <w:rsid w:val="00AC3662"/>
    <w:rsid w:val="00AC36D7"/>
    <w:rsid w:val="00AC3777"/>
    <w:rsid w:val="00AC380C"/>
    <w:rsid w:val="00AC38BE"/>
    <w:rsid w:val="00AC3906"/>
    <w:rsid w:val="00AC3909"/>
    <w:rsid w:val="00AC3988"/>
    <w:rsid w:val="00AC3B99"/>
    <w:rsid w:val="00AC3BC3"/>
    <w:rsid w:val="00AC3E44"/>
    <w:rsid w:val="00AC3EA3"/>
    <w:rsid w:val="00AC3F57"/>
    <w:rsid w:val="00AC40AF"/>
    <w:rsid w:val="00AC40B1"/>
    <w:rsid w:val="00AC4175"/>
    <w:rsid w:val="00AC41AA"/>
    <w:rsid w:val="00AC41CF"/>
    <w:rsid w:val="00AC41FD"/>
    <w:rsid w:val="00AC421B"/>
    <w:rsid w:val="00AC4403"/>
    <w:rsid w:val="00AC44C5"/>
    <w:rsid w:val="00AC48F7"/>
    <w:rsid w:val="00AC4A1E"/>
    <w:rsid w:val="00AC4BA0"/>
    <w:rsid w:val="00AC4C24"/>
    <w:rsid w:val="00AC4C5D"/>
    <w:rsid w:val="00AC4CD7"/>
    <w:rsid w:val="00AC4D11"/>
    <w:rsid w:val="00AC4D8B"/>
    <w:rsid w:val="00AC4EEE"/>
    <w:rsid w:val="00AC4F5A"/>
    <w:rsid w:val="00AC5339"/>
    <w:rsid w:val="00AC5373"/>
    <w:rsid w:val="00AC5792"/>
    <w:rsid w:val="00AC597D"/>
    <w:rsid w:val="00AC5A30"/>
    <w:rsid w:val="00AC5A3A"/>
    <w:rsid w:val="00AC5A81"/>
    <w:rsid w:val="00AC5C53"/>
    <w:rsid w:val="00AC5D0B"/>
    <w:rsid w:val="00AC5E1A"/>
    <w:rsid w:val="00AC5EFD"/>
    <w:rsid w:val="00AC5F73"/>
    <w:rsid w:val="00AC5FCC"/>
    <w:rsid w:val="00AC601B"/>
    <w:rsid w:val="00AC6402"/>
    <w:rsid w:val="00AC6441"/>
    <w:rsid w:val="00AC6D6D"/>
    <w:rsid w:val="00AC6E84"/>
    <w:rsid w:val="00AC6F3B"/>
    <w:rsid w:val="00AC7197"/>
    <w:rsid w:val="00AC71D1"/>
    <w:rsid w:val="00AC7236"/>
    <w:rsid w:val="00AC72BB"/>
    <w:rsid w:val="00AC7346"/>
    <w:rsid w:val="00AC7552"/>
    <w:rsid w:val="00AC7619"/>
    <w:rsid w:val="00AC788C"/>
    <w:rsid w:val="00AC78B8"/>
    <w:rsid w:val="00AC7962"/>
    <w:rsid w:val="00AC7B93"/>
    <w:rsid w:val="00AC7D56"/>
    <w:rsid w:val="00AC7DDD"/>
    <w:rsid w:val="00AD00DD"/>
    <w:rsid w:val="00AD0144"/>
    <w:rsid w:val="00AD0180"/>
    <w:rsid w:val="00AD02BE"/>
    <w:rsid w:val="00AD03D4"/>
    <w:rsid w:val="00AD052F"/>
    <w:rsid w:val="00AD06A1"/>
    <w:rsid w:val="00AD07BB"/>
    <w:rsid w:val="00AD07F4"/>
    <w:rsid w:val="00AD080E"/>
    <w:rsid w:val="00AD084E"/>
    <w:rsid w:val="00AD0AF4"/>
    <w:rsid w:val="00AD0BA7"/>
    <w:rsid w:val="00AD0BE2"/>
    <w:rsid w:val="00AD0C28"/>
    <w:rsid w:val="00AD0E3B"/>
    <w:rsid w:val="00AD0E6D"/>
    <w:rsid w:val="00AD0EDA"/>
    <w:rsid w:val="00AD0FF4"/>
    <w:rsid w:val="00AD125E"/>
    <w:rsid w:val="00AD12E8"/>
    <w:rsid w:val="00AD1428"/>
    <w:rsid w:val="00AD16BB"/>
    <w:rsid w:val="00AD1709"/>
    <w:rsid w:val="00AD1B18"/>
    <w:rsid w:val="00AD1C4E"/>
    <w:rsid w:val="00AD1C5F"/>
    <w:rsid w:val="00AD1D03"/>
    <w:rsid w:val="00AD1D1E"/>
    <w:rsid w:val="00AD2056"/>
    <w:rsid w:val="00AD205B"/>
    <w:rsid w:val="00AD2096"/>
    <w:rsid w:val="00AD2198"/>
    <w:rsid w:val="00AD2347"/>
    <w:rsid w:val="00AD23B5"/>
    <w:rsid w:val="00AD243B"/>
    <w:rsid w:val="00AD2565"/>
    <w:rsid w:val="00AD25E7"/>
    <w:rsid w:val="00AD274E"/>
    <w:rsid w:val="00AD2762"/>
    <w:rsid w:val="00AD2AC5"/>
    <w:rsid w:val="00AD2B08"/>
    <w:rsid w:val="00AD2D43"/>
    <w:rsid w:val="00AD2F5A"/>
    <w:rsid w:val="00AD31A9"/>
    <w:rsid w:val="00AD31D7"/>
    <w:rsid w:val="00AD3311"/>
    <w:rsid w:val="00AD3317"/>
    <w:rsid w:val="00AD33AE"/>
    <w:rsid w:val="00AD3402"/>
    <w:rsid w:val="00AD3427"/>
    <w:rsid w:val="00AD34B8"/>
    <w:rsid w:val="00AD3590"/>
    <w:rsid w:val="00AD37D5"/>
    <w:rsid w:val="00AD3848"/>
    <w:rsid w:val="00AD38D4"/>
    <w:rsid w:val="00AD3AD8"/>
    <w:rsid w:val="00AD3B0D"/>
    <w:rsid w:val="00AD3CB3"/>
    <w:rsid w:val="00AD3DEC"/>
    <w:rsid w:val="00AD3F3D"/>
    <w:rsid w:val="00AD3FB7"/>
    <w:rsid w:val="00AD4084"/>
    <w:rsid w:val="00AD40BF"/>
    <w:rsid w:val="00AD41F7"/>
    <w:rsid w:val="00AD4204"/>
    <w:rsid w:val="00AD42DB"/>
    <w:rsid w:val="00AD4670"/>
    <w:rsid w:val="00AD48B7"/>
    <w:rsid w:val="00AD4915"/>
    <w:rsid w:val="00AD4AD5"/>
    <w:rsid w:val="00AD4C3A"/>
    <w:rsid w:val="00AD4DED"/>
    <w:rsid w:val="00AD4E17"/>
    <w:rsid w:val="00AD523B"/>
    <w:rsid w:val="00AD537B"/>
    <w:rsid w:val="00AD5542"/>
    <w:rsid w:val="00AD5631"/>
    <w:rsid w:val="00AD56E6"/>
    <w:rsid w:val="00AD5758"/>
    <w:rsid w:val="00AD5BF2"/>
    <w:rsid w:val="00AD5E4A"/>
    <w:rsid w:val="00AD5E53"/>
    <w:rsid w:val="00AD5ED3"/>
    <w:rsid w:val="00AD6103"/>
    <w:rsid w:val="00AD613E"/>
    <w:rsid w:val="00AD6247"/>
    <w:rsid w:val="00AD6340"/>
    <w:rsid w:val="00AD6386"/>
    <w:rsid w:val="00AD6491"/>
    <w:rsid w:val="00AD6546"/>
    <w:rsid w:val="00AD6640"/>
    <w:rsid w:val="00AD68B5"/>
    <w:rsid w:val="00AD6921"/>
    <w:rsid w:val="00AD6C0B"/>
    <w:rsid w:val="00AD6DFF"/>
    <w:rsid w:val="00AD6E4C"/>
    <w:rsid w:val="00AD6F6B"/>
    <w:rsid w:val="00AD6FF0"/>
    <w:rsid w:val="00AD70B4"/>
    <w:rsid w:val="00AD728D"/>
    <w:rsid w:val="00AD7415"/>
    <w:rsid w:val="00AD7446"/>
    <w:rsid w:val="00AD7579"/>
    <w:rsid w:val="00AD75D1"/>
    <w:rsid w:val="00AD7874"/>
    <w:rsid w:val="00AD78AD"/>
    <w:rsid w:val="00AD79C0"/>
    <w:rsid w:val="00AD79F7"/>
    <w:rsid w:val="00AD7C0D"/>
    <w:rsid w:val="00AD7C76"/>
    <w:rsid w:val="00AD7E42"/>
    <w:rsid w:val="00AD7E77"/>
    <w:rsid w:val="00AD7F39"/>
    <w:rsid w:val="00AD7F66"/>
    <w:rsid w:val="00AD7F95"/>
    <w:rsid w:val="00AE0406"/>
    <w:rsid w:val="00AE041E"/>
    <w:rsid w:val="00AE0481"/>
    <w:rsid w:val="00AE052E"/>
    <w:rsid w:val="00AE05F2"/>
    <w:rsid w:val="00AE0747"/>
    <w:rsid w:val="00AE07EB"/>
    <w:rsid w:val="00AE0E86"/>
    <w:rsid w:val="00AE0EAC"/>
    <w:rsid w:val="00AE0F65"/>
    <w:rsid w:val="00AE108A"/>
    <w:rsid w:val="00AE12E6"/>
    <w:rsid w:val="00AE12F0"/>
    <w:rsid w:val="00AE13BC"/>
    <w:rsid w:val="00AE13CF"/>
    <w:rsid w:val="00AE176A"/>
    <w:rsid w:val="00AE19A8"/>
    <w:rsid w:val="00AE1A19"/>
    <w:rsid w:val="00AE1B9F"/>
    <w:rsid w:val="00AE1CD7"/>
    <w:rsid w:val="00AE1D56"/>
    <w:rsid w:val="00AE2092"/>
    <w:rsid w:val="00AE221F"/>
    <w:rsid w:val="00AE249F"/>
    <w:rsid w:val="00AE24AC"/>
    <w:rsid w:val="00AE2621"/>
    <w:rsid w:val="00AE2687"/>
    <w:rsid w:val="00AE2699"/>
    <w:rsid w:val="00AE285E"/>
    <w:rsid w:val="00AE28B0"/>
    <w:rsid w:val="00AE299A"/>
    <w:rsid w:val="00AE2A23"/>
    <w:rsid w:val="00AE2B5C"/>
    <w:rsid w:val="00AE2F8E"/>
    <w:rsid w:val="00AE2FAA"/>
    <w:rsid w:val="00AE308D"/>
    <w:rsid w:val="00AE31DB"/>
    <w:rsid w:val="00AE3202"/>
    <w:rsid w:val="00AE3381"/>
    <w:rsid w:val="00AE351F"/>
    <w:rsid w:val="00AE36C3"/>
    <w:rsid w:val="00AE3785"/>
    <w:rsid w:val="00AE37AE"/>
    <w:rsid w:val="00AE39E3"/>
    <w:rsid w:val="00AE3AA5"/>
    <w:rsid w:val="00AE3B1F"/>
    <w:rsid w:val="00AE3C2B"/>
    <w:rsid w:val="00AE3CF5"/>
    <w:rsid w:val="00AE3D06"/>
    <w:rsid w:val="00AE3EA8"/>
    <w:rsid w:val="00AE3F19"/>
    <w:rsid w:val="00AE4101"/>
    <w:rsid w:val="00AE43A7"/>
    <w:rsid w:val="00AE44E1"/>
    <w:rsid w:val="00AE4549"/>
    <w:rsid w:val="00AE45BF"/>
    <w:rsid w:val="00AE47E9"/>
    <w:rsid w:val="00AE4AEF"/>
    <w:rsid w:val="00AE4C13"/>
    <w:rsid w:val="00AE4E7B"/>
    <w:rsid w:val="00AE4EFF"/>
    <w:rsid w:val="00AE50A5"/>
    <w:rsid w:val="00AE51D7"/>
    <w:rsid w:val="00AE5359"/>
    <w:rsid w:val="00AE5560"/>
    <w:rsid w:val="00AE5584"/>
    <w:rsid w:val="00AE567E"/>
    <w:rsid w:val="00AE5800"/>
    <w:rsid w:val="00AE5993"/>
    <w:rsid w:val="00AE5B66"/>
    <w:rsid w:val="00AE5F61"/>
    <w:rsid w:val="00AE5F9A"/>
    <w:rsid w:val="00AE6428"/>
    <w:rsid w:val="00AE64EC"/>
    <w:rsid w:val="00AE66DC"/>
    <w:rsid w:val="00AE67C8"/>
    <w:rsid w:val="00AE6D75"/>
    <w:rsid w:val="00AE6DBB"/>
    <w:rsid w:val="00AE6F38"/>
    <w:rsid w:val="00AE70BC"/>
    <w:rsid w:val="00AE718B"/>
    <w:rsid w:val="00AE72E9"/>
    <w:rsid w:val="00AE7456"/>
    <w:rsid w:val="00AE77C9"/>
    <w:rsid w:val="00AE7869"/>
    <w:rsid w:val="00AE79A3"/>
    <w:rsid w:val="00AE7ACA"/>
    <w:rsid w:val="00AE7BFE"/>
    <w:rsid w:val="00AE7C84"/>
    <w:rsid w:val="00AE7CB1"/>
    <w:rsid w:val="00AE7D0A"/>
    <w:rsid w:val="00AE7EF0"/>
    <w:rsid w:val="00AE7F2B"/>
    <w:rsid w:val="00AE7F3B"/>
    <w:rsid w:val="00AE7F96"/>
    <w:rsid w:val="00AF0174"/>
    <w:rsid w:val="00AF01DE"/>
    <w:rsid w:val="00AF033E"/>
    <w:rsid w:val="00AF03DE"/>
    <w:rsid w:val="00AF046E"/>
    <w:rsid w:val="00AF049C"/>
    <w:rsid w:val="00AF0501"/>
    <w:rsid w:val="00AF0750"/>
    <w:rsid w:val="00AF0755"/>
    <w:rsid w:val="00AF076A"/>
    <w:rsid w:val="00AF09A7"/>
    <w:rsid w:val="00AF0BAC"/>
    <w:rsid w:val="00AF0F99"/>
    <w:rsid w:val="00AF105C"/>
    <w:rsid w:val="00AF11CC"/>
    <w:rsid w:val="00AF12AE"/>
    <w:rsid w:val="00AF12D0"/>
    <w:rsid w:val="00AF14D2"/>
    <w:rsid w:val="00AF1580"/>
    <w:rsid w:val="00AF15F7"/>
    <w:rsid w:val="00AF15FF"/>
    <w:rsid w:val="00AF1847"/>
    <w:rsid w:val="00AF1CB4"/>
    <w:rsid w:val="00AF1CE2"/>
    <w:rsid w:val="00AF1E4C"/>
    <w:rsid w:val="00AF2146"/>
    <w:rsid w:val="00AF229E"/>
    <w:rsid w:val="00AF2450"/>
    <w:rsid w:val="00AF2552"/>
    <w:rsid w:val="00AF25FC"/>
    <w:rsid w:val="00AF2A83"/>
    <w:rsid w:val="00AF2CC9"/>
    <w:rsid w:val="00AF2D53"/>
    <w:rsid w:val="00AF2DE5"/>
    <w:rsid w:val="00AF2EDA"/>
    <w:rsid w:val="00AF2F38"/>
    <w:rsid w:val="00AF30C0"/>
    <w:rsid w:val="00AF30D1"/>
    <w:rsid w:val="00AF33D1"/>
    <w:rsid w:val="00AF33F7"/>
    <w:rsid w:val="00AF35D5"/>
    <w:rsid w:val="00AF395B"/>
    <w:rsid w:val="00AF3A42"/>
    <w:rsid w:val="00AF3ACE"/>
    <w:rsid w:val="00AF3CCF"/>
    <w:rsid w:val="00AF3E29"/>
    <w:rsid w:val="00AF3E30"/>
    <w:rsid w:val="00AF3F5F"/>
    <w:rsid w:val="00AF3FB9"/>
    <w:rsid w:val="00AF428D"/>
    <w:rsid w:val="00AF43C5"/>
    <w:rsid w:val="00AF43D8"/>
    <w:rsid w:val="00AF451B"/>
    <w:rsid w:val="00AF4682"/>
    <w:rsid w:val="00AF4725"/>
    <w:rsid w:val="00AF483B"/>
    <w:rsid w:val="00AF4852"/>
    <w:rsid w:val="00AF4A3F"/>
    <w:rsid w:val="00AF4AA6"/>
    <w:rsid w:val="00AF4C46"/>
    <w:rsid w:val="00AF4C5A"/>
    <w:rsid w:val="00AF4C7F"/>
    <w:rsid w:val="00AF4FC5"/>
    <w:rsid w:val="00AF50DB"/>
    <w:rsid w:val="00AF514D"/>
    <w:rsid w:val="00AF517F"/>
    <w:rsid w:val="00AF5257"/>
    <w:rsid w:val="00AF52A7"/>
    <w:rsid w:val="00AF52B0"/>
    <w:rsid w:val="00AF52F0"/>
    <w:rsid w:val="00AF54B1"/>
    <w:rsid w:val="00AF54D2"/>
    <w:rsid w:val="00AF5563"/>
    <w:rsid w:val="00AF5741"/>
    <w:rsid w:val="00AF5751"/>
    <w:rsid w:val="00AF5967"/>
    <w:rsid w:val="00AF5CDB"/>
    <w:rsid w:val="00AF5D18"/>
    <w:rsid w:val="00AF5DF0"/>
    <w:rsid w:val="00AF6541"/>
    <w:rsid w:val="00AF65F0"/>
    <w:rsid w:val="00AF6696"/>
    <w:rsid w:val="00AF68F7"/>
    <w:rsid w:val="00AF6A3A"/>
    <w:rsid w:val="00AF6AEA"/>
    <w:rsid w:val="00AF71ED"/>
    <w:rsid w:val="00AF7208"/>
    <w:rsid w:val="00AF74B5"/>
    <w:rsid w:val="00AF76A1"/>
    <w:rsid w:val="00AF7897"/>
    <w:rsid w:val="00AF78F6"/>
    <w:rsid w:val="00AF7B33"/>
    <w:rsid w:val="00AF7B8B"/>
    <w:rsid w:val="00AF7C21"/>
    <w:rsid w:val="00AF7D4F"/>
    <w:rsid w:val="00AF7FE2"/>
    <w:rsid w:val="00B0003A"/>
    <w:rsid w:val="00B00116"/>
    <w:rsid w:val="00B001D9"/>
    <w:rsid w:val="00B00222"/>
    <w:rsid w:val="00B00253"/>
    <w:rsid w:val="00B004CA"/>
    <w:rsid w:val="00B00706"/>
    <w:rsid w:val="00B0073C"/>
    <w:rsid w:val="00B0074D"/>
    <w:rsid w:val="00B0083B"/>
    <w:rsid w:val="00B00861"/>
    <w:rsid w:val="00B00893"/>
    <w:rsid w:val="00B00918"/>
    <w:rsid w:val="00B0093B"/>
    <w:rsid w:val="00B00A56"/>
    <w:rsid w:val="00B00B06"/>
    <w:rsid w:val="00B00CD0"/>
    <w:rsid w:val="00B00E61"/>
    <w:rsid w:val="00B00E77"/>
    <w:rsid w:val="00B00EBA"/>
    <w:rsid w:val="00B00F89"/>
    <w:rsid w:val="00B00FC4"/>
    <w:rsid w:val="00B01198"/>
    <w:rsid w:val="00B012E1"/>
    <w:rsid w:val="00B013E9"/>
    <w:rsid w:val="00B016CD"/>
    <w:rsid w:val="00B01A4B"/>
    <w:rsid w:val="00B01C89"/>
    <w:rsid w:val="00B01D7C"/>
    <w:rsid w:val="00B01DF8"/>
    <w:rsid w:val="00B01E25"/>
    <w:rsid w:val="00B02159"/>
    <w:rsid w:val="00B02225"/>
    <w:rsid w:val="00B022E7"/>
    <w:rsid w:val="00B0244C"/>
    <w:rsid w:val="00B024BD"/>
    <w:rsid w:val="00B02547"/>
    <w:rsid w:val="00B0255C"/>
    <w:rsid w:val="00B0261C"/>
    <w:rsid w:val="00B02628"/>
    <w:rsid w:val="00B0268C"/>
    <w:rsid w:val="00B0278C"/>
    <w:rsid w:val="00B0294A"/>
    <w:rsid w:val="00B02A05"/>
    <w:rsid w:val="00B02A5B"/>
    <w:rsid w:val="00B02A81"/>
    <w:rsid w:val="00B02AFF"/>
    <w:rsid w:val="00B02B6A"/>
    <w:rsid w:val="00B02C06"/>
    <w:rsid w:val="00B02DBB"/>
    <w:rsid w:val="00B02DD4"/>
    <w:rsid w:val="00B02F00"/>
    <w:rsid w:val="00B02F44"/>
    <w:rsid w:val="00B02FEB"/>
    <w:rsid w:val="00B03046"/>
    <w:rsid w:val="00B03305"/>
    <w:rsid w:val="00B03948"/>
    <w:rsid w:val="00B03A12"/>
    <w:rsid w:val="00B03A82"/>
    <w:rsid w:val="00B03B7D"/>
    <w:rsid w:val="00B03BAA"/>
    <w:rsid w:val="00B03C52"/>
    <w:rsid w:val="00B03E19"/>
    <w:rsid w:val="00B03E42"/>
    <w:rsid w:val="00B03F25"/>
    <w:rsid w:val="00B03F9F"/>
    <w:rsid w:val="00B0409F"/>
    <w:rsid w:val="00B040C3"/>
    <w:rsid w:val="00B0417C"/>
    <w:rsid w:val="00B0468A"/>
    <w:rsid w:val="00B046B8"/>
    <w:rsid w:val="00B04753"/>
    <w:rsid w:val="00B047FF"/>
    <w:rsid w:val="00B04851"/>
    <w:rsid w:val="00B049F2"/>
    <w:rsid w:val="00B04A31"/>
    <w:rsid w:val="00B04A3D"/>
    <w:rsid w:val="00B04C2D"/>
    <w:rsid w:val="00B04C40"/>
    <w:rsid w:val="00B04D09"/>
    <w:rsid w:val="00B04E19"/>
    <w:rsid w:val="00B04EAD"/>
    <w:rsid w:val="00B050E4"/>
    <w:rsid w:val="00B050E8"/>
    <w:rsid w:val="00B05486"/>
    <w:rsid w:val="00B05488"/>
    <w:rsid w:val="00B05635"/>
    <w:rsid w:val="00B0587B"/>
    <w:rsid w:val="00B05979"/>
    <w:rsid w:val="00B059D4"/>
    <w:rsid w:val="00B05A24"/>
    <w:rsid w:val="00B05A73"/>
    <w:rsid w:val="00B05D45"/>
    <w:rsid w:val="00B05F07"/>
    <w:rsid w:val="00B05F3A"/>
    <w:rsid w:val="00B06047"/>
    <w:rsid w:val="00B060B6"/>
    <w:rsid w:val="00B064C5"/>
    <w:rsid w:val="00B064F5"/>
    <w:rsid w:val="00B064FF"/>
    <w:rsid w:val="00B065CF"/>
    <w:rsid w:val="00B06857"/>
    <w:rsid w:val="00B0686B"/>
    <w:rsid w:val="00B068DC"/>
    <w:rsid w:val="00B068EA"/>
    <w:rsid w:val="00B06957"/>
    <w:rsid w:val="00B06CEC"/>
    <w:rsid w:val="00B06E54"/>
    <w:rsid w:val="00B07044"/>
    <w:rsid w:val="00B07096"/>
    <w:rsid w:val="00B0720C"/>
    <w:rsid w:val="00B0738A"/>
    <w:rsid w:val="00B07473"/>
    <w:rsid w:val="00B07499"/>
    <w:rsid w:val="00B0757D"/>
    <w:rsid w:val="00B075CD"/>
    <w:rsid w:val="00B07639"/>
    <w:rsid w:val="00B07870"/>
    <w:rsid w:val="00B07ACE"/>
    <w:rsid w:val="00B07AFC"/>
    <w:rsid w:val="00B07BDC"/>
    <w:rsid w:val="00B07EC9"/>
    <w:rsid w:val="00B1008B"/>
    <w:rsid w:val="00B10535"/>
    <w:rsid w:val="00B105CF"/>
    <w:rsid w:val="00B10735"/>
    <w:rsid w:val="00B10873"/>
    <w:rsid w:val="00B10A10"/>
    <w:rsid w:val="00B10B76"/>
    <w:rsid w:val="00B10D37"/>
    <w:rsid w:val="00B10EC5"/>
    <w:rsid w:val="00B111C5"/>
    <w:rsid w:val="00B11434"/>
    <w:rsid w:val="00B11644"/>
    <w:rsid w:val="00B11684"/>
    <w:rsid w:val="00B11908"/>
    <w:rsid w:val="00B119E0"/>
    <w:rsid w:val="00B11B57"/>
    <w:rsid w:val="00B11C1A"/>
    <w:rsid w:val="00B11C7A"/>
    <w:rsid w:val="00B11DFF"/>
    <w:rsid w:val="00B11F6F"/>
    <w:rsid w:val="00B11F79"/>
    <w:rsid w:val="00B12015"/>
    <w:rsid w:val="00B12139"/>
    <w:rsid w:val="00B12264"/>
    <w:rsid w:val="00B12265"/>
    <w:rsid w:val="00B12437"/>
    <w:rsid w:val="00B1259C"/>
    <w:rsid w:val="00B12697"/>
    <w:rsid w:val="00B126EF"/>
    <w:rsid w:val="00B1274A"/>
    <w:rsid w:val="00B1274D"/>
    <w:rsid w:val="00B127BD"/>
    <w:rsid w:val="00B128DD"/>
    <w:rsid w:val="00B12E2B"/>
    <w:rsid w:val="00B12F82"/>
    <w:rsid w:val="00B13017"/>
    <w:rsid w:val="00B13074"/>
    <w:rsid w:val="00B132C1"/>
    <w:rsid w:val="00B13302"/>
    <w:rsid w:val="00B133B7"/>
    <w:rsid w:val="00B133C3"/>
    <w:rsid w:val="00B13635"/>
    <w:rsid w:val="00B137E6"/>
    <w:rsid w:val="00B1385B"/>
    <w:rsid w:val="00B138BE"/>
    <w:rsid w:val="00B139F2"/>
    <w:rsid w:val="00B13DE1"/>
    <w:rsid w:val="00B13EFB"/>
    <w:rsid w:val="00B14086"/>
    <w:rsid w:val="00B14088"/>
    <w:rsid w:val="00B140C1"/>
    <w:rsid w:val="00B1418E"/>
    <w:rsid w:val="00B141AB"/>
    <w:rsid w:val="00B143D5"/>
    <w:rsid w:val="00B144C5"/>
    <w:rsid w:val="00B1459E"/>
    <w:rsid w:val="00B145D6"/>
    <w:rsid w:val="00B147C2"/>
    <w:rsid w:val="00B14957"/>
    <w:rsid w:val="00B1499C"/>
    <w:rsid w:val="00B149DE"/>
    <w:rsid w:val="00B14A66"/>
    <w:rsid w:val="00B14C8E"/>
    <w:rsid w:val="00B14DFE"/>
    <w:rsid w:val="00B14E1E"/>
    <w:rsid w:val="00B14E5B"/>
    <w:rsid w:val="00B151D5"/>
    <w:rsid w:val="00B151EB"/>
    <w:rsid w:val="00B15231"/>
    <w:rsid w:val="00B15415"/>
    <w:rsid w:val="00B15427"/>
    <w:rsid w:val="00B15428"/>
    <w:rsid w:val="00B15580"/>
    <w:rsid w:val="00B15A13"/>
    <w:rsid w:val="00B15A57"/>
    <w:rsid w:val="00B15A6C"/>
    <w:rsid w:val="00B15CDF"/>
    <w:rsid w:val="00B160A7"/>
    <w:rsid w:val="00B16185"/>
    <w:rsid w:val="00B16349"/>
    <w:rsid w:val="00B16365"/>
    <w:rsid w:val="00B164C8"/>
    <w:rsid w:val="00B164D5"/>
    <w:rsid w:val="00B164ED"/>
    <w:rsid w:val="00B16538"/>
    <w:rsid w:val="00B167BD"/>
    <w:rsid w:val="00B168B5"/>
    <w:rsid w:val="00B16A28"/>
    <w:rsid w:val="00B16BB7"/>
    <w:rsid w:val="00B16E04"/>
    <w:rsid w:val="00B16E13"/>
    <w:rsid w:val="00B16EA3"/>
    <w:rsid w:val="00B16EA4"/>
    <w:rsid w:val="00B1701C"/>
    <w:rsid w:val="00B17182"/>
    <w:rsid w:val="00B1721F"/>
    <w:rsid w:val="00B1738B"/>
    <w:rsid w:val="00B1738D"/>
    <w:rsid w:val="00B178C3"/>
    <w:rsid w:val="00B17BBB"/>
    <w:rsid w:val="00B17C88"/>
    <w:rsid w:val="00B17E5D"/>
    <w:rsid w:val="00B17F03"/>
    <w:rsid w:val="00B17FA8"/>
    <w:rsid w:val="00B17FDE"/>
    <w:rsid w:val="00B200F6"/>
    <w:rsid w:val="00B20271"/>
    <w:rsid w:val="00B2039F"/>
    <w:rsid w:val="00B204D6"/>
    <w:rsid w:val="00B20570"/>
    <w:rsid w:val="00B20623"/>
    <w:rsid w:val="00B206EF"/>
    <w:rsid w:val="00B20718"/>
    <w:rsid w:val="00B207EF"/>
    <w:rsid w:val="00B2098C"/>
    <w:rsid w:val="00B20A1A"/>
    <w:rsid w:val="00B20B79"/>
    <w:rsid w:val="00B20D9F"/>
    <w:rsid w:val="00B20EC4"/>
    <w:rsid w:val="00B2131B"/>
    <w:rsid w:val="00B2135D"/>
    <w:rsid w:val="00B21474"/>
    <w:rsid w:val="00B2179A"/>
    <w:rsid w:val="00B218C4"/>
    <w:rsid w:val="00B21950"/>
    <w:rsid w:val="00B21B83"/>
    <w:rsid w:val="00B21E66"/>
    <w:rsid w:val="00B21F0D"/>
    <w:rsid w:val="00B21F82"/>
    <w:rsid w:val="00B22175"/>
    <w:rsid w:val="00B2225A"/>
    <w:rsid w:val="00B22277"/>
    <w:rsid w:val="00B2229B"/>
    <w:rsid w:val="00B22764"/>
    <w:rsid w:val="00B2279B"/>
    <w:rsid w:val="00B22873"/>
    <w:rsid w:val="00B228AA"/>
    <w:rsid w:val="00B22B5F"/>
    <w:rsid w:val="00B22DE6"/>
    <w:rsid w:val="00B22EA4"/>
    <w:rsid w:val="00B22F42"/>
    <w:rsid w:val="00B2303E"/>
    <w:rsid w:val="00B231D4"/>
    <w:rsid w:val="00B234E1"/>
    <w:rsid w:val="00B236BC"/>
    <w:rsid w:val="00B23897"/>
    <w:rsid w:val="00B23965"/>
    <w:rsid w:val="00B2396F"/>
    <w:rsid w:val="00B23973"/>
    <w:rsid w:val="00B23A8C"/>
    <w:rsid w:val="00B23BAC"/>
    <w:rsid w:val="00B23DE5"/>
    <w:rsid w:val="00B2403C"/>
    <w:rsid w:val="00B24062"/>
    <w:rsid w:val="00B24227"/>
    <w:rsid w:val="00B24451"/>
    <w:rsid w:val="00B2459D"/>
    <w:rsid w:val="00B24636"/>
    <w:rsid w:val="00B24725"/>
    <w:rsid w:val="00B24980"/>
    <w:rsid w:val="00B24A1A"/>
    <w:rsid w:val="00B24A33"/>
    <w:rsid w:val="00B24C0F"/>
    <w:rsid w:val="00B24C5A"/>
    <w:rsid w:val="00B24CC6"/>
    <w:rsid w:val="00B24E05"/>
    <w:rsid w:val="00B24F09"/>
    <w:rsid w:val="00B252D8"/>
    <w:rsid w:val="00B254AA"/>
    <w:rsid w:val="00B257DC"/>
    <w:rsid w:val="00B258DD"/>
    <w:rsid w:val="00B259FD"/>
    <w:rsid w:val="00B26071"/>
    <w:rsid w:val="00B263E2"/>
    <w:rsid w:val="00B26688"/>
    <w:rsid w:val="00B267FD"/>
    <w:rsid w:val="00B26BD7"/>
    <w:rsid w:val="00B26C5A"/>
    <w:rsid w:val="00B26DEE"/>
    <w:rsid w:val="00B26F90"/>
    <w:rsid w:val="00B26FB6"/>
    <w:rsid w:val="00B26FBA"/>
    <w:rsid w:val="00B2710F"/>
    <w:rsid w:val="00B2727F"/>
    <w:rsid w:val="00B272A5"/>
    <w:rsid w:val="00B275CD"/>
    <w:rsid w:val="00B27616"/>
    <w:rsid w:val="00B277F4"/>
    <w:rsid w:val="00B2781E"/>
    <w:rsid w:val="00B27838"/>
    <w:rsid w:val="00B27893"/>
    <w:rsid w:val="00B27B87"/>
    <w:rsid w:val="00B27F60"/>
    <w:rsid w:val="00B27FA8"/>
    <w:rsid w:val="00B30033"/>
    <w:rsid w:val="00B301F8"/>
    <w:rsid w:val="00B302D8"/>
    <w:rsid w:val="00B3056A"/>
    <w:rsid w:val="00B30625"/>
    <w:rsid w:val="00B30656"/>
    <w:rsid w:val="00B3076A"/>
    <w:rsid w:val="00B3096D"/>
    <w:rsid w:val="00B30AF7"/>
    <w:rsid w:val="00B30AFB"/>
    <w:rsid w:val="00B30E02"/>
    <w:rsid w:val="00B30F52"/>
    <w:rsid w:val="00B31038"/>
    <w:rsid w:val="00B31074"/>
    <w:rsid w:val="00B31129"/>
    <w:rsid w:val="00B3116E"/>
    <w:rsid w:val="00B311D7"/>
    <w:rsid w:val="00B312C1"/>
    <w:rsid w:val="00B313C0"/>
    <w:rsid w:val="00B3174D"/>
    <w:rsid w:val="00B317A6"/>
    <w:rsid w:val="00B31A61"/>
    <w:rsid w:val="00B31AB3"/>
    <w:rsid w:val="00B31B3C"/>
    <w:rsid w:val="00B31CE7"/>
    <w:rsid w:val="00B31D79"/>
    <w:rsid w:val="00B31F49"/>
    <w:rsid w:val="00B32043"/>
    <w:rsid w:val="00B32297"/>
    <w:rsid w:val="00B322D6"/>
    <w:rsid w:val="00B325AA"/>
    <w:rsid w:val="00B32A21"/>
    <w:rsid w:val="00B32AFA"/>
    <w:rsid w:val="00B32C33"/>
    <w:rsid w:val="00B32C78"/>
    <w:rsid w:val="00B33004"/>
    <w:rsid w:val="00B3329D"/>
    <w:rsid w:val="00B3347F"/>
    <w:rsid w:val="00B334A3"/>
    <w:rsid w:val="00B33535"/>
    <w:rsid w:val="00B337AD"/>
    <w:rsid w:val="00B3387D"/>
    <w:rsid w:val="00B3392D"/>
    <w:rsid w:val="00B339B1"/>
    <w:rsid w:val="00B339DF"/>
    <w:rsid w:val="00B33A08"/>
    <w:rsid w:val="00B33FB6"/>
    <w:rsid w:val="00B343C3"/>
    <w:rsid w:val="00B34575"/>
    <w:rsid w:val="00B345E9"/>
    <w:rsid w:val="00B34773"/>
    <w:rsid w:val="00B34A0C"/>
    <w:rsid w:val="00B34C19"/>
    <w:rsid w:val="00B34C24"/>
    <w:rsid w:val="00B34C40"/>
    <w:rsid w:val="00B34D33"/>
    <w:rsid w:val="00B34DA0"/>
    <w:rsid w:val="00B34F20"/>
    <w:rsid w:val="00B35083"/>
    <w:rsid w:val="00B35364"/>
    <w:rsid w:val="00B353D7"/>
    <w:rsid w:val="00B35682"/>
    <w:rsid w:val="00B3574E"/>
    <w:rsid w:val="00B358F1"/>
    <w:rsid w:val="00B35B2D"/>
    <w:rsid w:val="00B35C68"/>
    <w:rsid w:val="00B35FA9"/>
    <w:rsid w:val="00B363F4"/>
    <w:rsid w:val="00B36432"/>
    <w:rsid w:val="00B36606"/>
    <w:rsid w:val="00B36626"/>
    <w:rsid w:val="00B3675A"/>
    <w:rsid w:val="00B367C0"/>
    <w:rsid w:val="00B36903"/>
    <w:rsid w:val="00B36918"/>
    <w:rsid w:val="00B36ED2"/>
    <w:rsid w:val="00B36F60"/>
    <w:rsid w:val="00B37079"/>
    <w:rsid w:val="00B37100"/>
    <w:rsid w:val="00B37135"/>
    <w:rsid w:val="00B373F4"/>
    <w:rsid w:val="00B37801"/>
    <w:rsid w:val="00B37898"/>
    <w:rsid w:val="00B37AB9"/>
    <w:rsid w:val="00B37ACD"/>
    <w:rsid w:val="00B37E55"/>
    <w:rsid w:val="00B37E74"/>
    <w:rsid w:val="00B40186"/>
    <w:rsid w:val="00B40302"/>
    <w:rsid w:val="00B40335"/>
    <w:rsid w:val="00B40339"/>
    <w:rsid w:val="00B40355"/>
    <w:rsid w:val="00B4040A"/>
    <w:rsid w:val="00B4043B"/>
    <w:rsid w:val="00B404DD"/>
    <w:rsid w:val="00B40958"/>
    <w:rsid w:val="00B40C4E"/>
    <w:rsid w:val="00B40FBA"/>
    <w:rsid w:val="00B410AE"/>
    <w:rsid w:val="00B410DF"/>
    <w:rsid w:val="00B4110D"/>
    <w:rsid w:val="00B41261"/>
    <w:rsid w:val="00B41615"/>
    <w:rsid w:val="00B41819"/>
    <w:rsid w:val="00B419F3"/>
    <w:rsid w:val="00B41A23"/>
    <w:rsid w:val="00B41B73"/>
    <w:rsid w:val="00B41E04"/>
    <w:rsid w:val="00B41F1A"/>
    <w:rsid w:val="00B4209F"/>
    <w:rsid w:val="00B42191"/>
    <w:rsid w:val="00B4227C"/>
    <w:rsid w:val="00B4230A"/>
    <w:rsid w:val="00B42457"/>
    <w:rsid w:val="00B424DB"/>
    <w:rsid w:val="00B425DA"/>
    <w:rsid w:val="00B4263C"/>
    <w:rsid w:val="00B4264B"/>
    <w:rsid w:val="00B4272B"/>
    <w:rsid w:val="00B427D8"/>
    <w:rsid w:val="00B42956"/>
    <w:rsid w:val="00B42A42"/>
    <w:rsid w:val="00B42C4B"/>
    <w:rsid w:val="00B42E46"/>
    <w:rsid w:val="00B42FF6"/>
    <w:rsid w:val="00B4303D"/>
    <w:rsid w:val="00B4311E"/>
    <w:rsid w:val="00B43173"/>
    <w:rsid w:val="00B431A9"/>
    <w:rsid w:val="00B43379"/>
    <w:rsid w:val="00B4358B"/>
    <w:rsid w:val="00B435A2"/>
    <w:rsid w:val="00B436C7"/>
    <w:rsid w:val="00B43807"/>
    <w:rsid w:val="00B439B0"/>
    <w:rsid w:val="00B43B31"/>
    <w:rsid w:val="00B43CA9"/>
    <w:rsid w:val="00B43D1C"/>
    <w:rsid w:val="00B43DAE"/>
    <w:rsid w:val="00B43E9E"/>
    <w:rsid w:val="00B44011"/>
    <w:rsid w:val="00B441F5"/>
    <w:rsid w:val="00B444F7"/>
    <w:rsid w:val="00B4467F"/>
    <w:rsid w:val="00B446D3"/>
    <w:rsid w:val="00B44733"/>
    <w:rsid w:val="00B44912"/>
    <w:rsid w:val="00B449A8"/>
    <w:rsid w:val="00B449FC"/>
    <w:rsid w:val="00B44AB5"/>
    <w:rsid w:val="00B44B6A"/>
    <w:rsid w:val="00B44E3A"/>
    <w:rsid w:val="00B44FF2"/>
    <w:rsid w:val="00B45064"/>
    <w:rsid w:val="00B45085"/>
    <w:rsid w:val="00B4517A"/>
    <w:rsid w:val="00B4550B"/>
    <w:rsid w:val="00B455B7"/>
    <w:rsid w:val="00B45618"/>
    <w:rsid w:val="00B45A9B"/>
    <w:rsid w:val="00B45AB9"/>
    <w:rsid w:val="00B45B13"/>
    <w:rsid w:val="00B45C38"/>
    <w:rsid w:val="00B45D35"/>
    <w:rsid w:val="00B45E77"/>
    <w:rsid w:val="00B45FF1"/>
    <w:rsid w:val="00B460BD"/>
    <w:rsid w:val="00B463C3"/>
    <w:rsid w:val="00B46871"/>
    <w:rsid w:val="00B468F6"/>
    <w:rsid w:val="00B46966"/>
    <w:rsid w:val="00B46B10"/>
    <w:rsid w:val="00B46B23"/>
    <w:rsid w:val="00B46B4E"/>
    <w:rsid w:val="00B46CE2"/>
    <w:rsid w:val="00B46ED8"/>
    <w:rsid w:val="00B470ED"/>
    <w:rsid w:val="00B47392"/>
    <w:rsid w:val="00B473E5"/>
    <w:rsid w:val="00B4744C"/>
    <w:rsid w:val="00B4793C"/>
    <w:rsid w:val="00B4794A"/>
    <w:rsid w:val="00B479E7"/>
    <w:rsid w:val="00B47A2A"/>
    <w:rsid w:val="00B47CE9"/>
    <w:rsid w:val="00B47D5E"/>
    <w:rsid w:val="00B47F0B"/>
    <w:rsid w:val="00B47F8C"/>
    <w:rsid w:val="00B47FDB"/>
    <w:rsid w:val="00B50005"/>
    <w:rsid w:val="00B501AB"/>
    <w:rsid w:val="00B501D0"/>
    <w:rsid w:val="00B503A1"/>
    <w:rsid w:val="00B503C4"/>
    <w:rsid w:val="00B50438"/>
    <w:rsid w:val="00B506AE"/>
    <w:rsid w:val="00B508B6"/>
    <w:rsid w:val="00B50C26"/>
    <w:rsid w:val="00B51101"/>
    <w:rsid w:val="00B512C8"/>
    <w:rsid w:val="00B513F1"/>
    <w:rsid w:val="00B51663"/>
    <w:rsid w:val="00B5169B"/>
    <w:rsid w:val="00B516BC"/>
    <w:rsid w:val="00B51815"/>
    <w:rsid w:val="00B51882"/>
    <w:rsid w:val="00B51A0A"/>
    <w:rsid w:val="00B51AC5"/>
    <w:rsid w:val="00B51D9F"/>
    <w:rsid w:val="00B51F5A"/>
    <w:rsid w:val="00B51F99"/>
    <w:rsid w:val="00B51FB8"/>
    <w:rsid w:val="00B51FC8"/>
    <w:rsid w:val="00B520A7"/>
    <w:rsid w:val="00B52231"/>
    <w:rsid w:val="00B52514"/>
    <w:rsid w:val="00B5255D"/>
    <w:rsid w:val="00B5256E"/>
    <w:rsid w:val="00B5275D"/>
    <w:rsid w:val="00B5296A"/>
    <w:rsid w:val="00B52AEB"/>
    <w:rsid w:val="00B52BE2"/>
    <w:rsid w:val="00B52CF4"/>
    <w:rsid w:val="00B52D99"/>
    <w:rsid w:val="00B52F8C"/>
    <w:rsid w:val="00B52F94"/>
    <w:rsid w:val="00B53038"/>
    <w:rsid w:val="00B53107"/>
    <w:rsid w:val="00B53176"/>
    <w:rsid w:val="00B53310"/>
    <w:rsid w:val="00B53374"/>
    <w:rsid w:val="00B5360E"/>
    <w:rsid w:val="00B53619"/>
    <w:rsid w:val="00B53808"/>
    <w:rsid w:val="00B53844"/>
    <w:rsid w:val="00B538BB"/>
    <w:rsid w:val="00B538D5"/>
    <w:rsid w:val="00B53938"/>
    <w:rsid w:val="00B53BC2"/>
    <w:rsid w:val="00B53BF8"/>
    <w:rsid w:val="00B53CFD"/>
    <w:rsid w:val="00B53E72"/>
    <w:rsid w:val="00B53FC8"/>
    <w:rsid w:val="00B54023"/>
    <w:rsid w:val="00B54176"/>
    <w:rsid w:val="00B542C8"/>
    <w:rsid w:val="00B545E6"/>
    <w:rsid w:val="00B54867"/>
    <w:rsid w:val="00B548AE"/>
    <w:rsid w:val="00B54AAB"/>
    <w:rsid w:val="00B54B1D"/>
    <w:rsid w:val="00B54BDF"/>
    <w:rsid w:val="00B54BE6"/>
    <w:rsid w:val="00B54CFE"/>
    <w:rsid w:val="00B5503B"/>
    <w:rsid w:val="00B550CD"/>
    <w:rsid w:val="00B5529A"/>
    <w:rsid w:val="00B552EB"/>
    <w:rsid w:val="00B553B9"/>
    <w:rsid w:val="00B555F1"/>
    <w:rsid w:val="00B55778"/>
    <w:rsid w:val="00B55A41"/>
    <w:rsid w:val="00B55C84"/>
    <w:rsid w:val="00B55DB3"/>
    <w:rsid w:val="00B55DD9"/>
    <w:rsid w:val="00B55E14"/>
    <w:rsid w:val="00B56013"/>
    <w:rsid w:val="00B5639E"/>
    <w:rsid w:val="00B563E6"/>
    <w:rsid w:val="00B56544"/>
    <w:rsid w:val="00B5668D"/>
    <w:rsid w:val="00B56808"/>
    <w:rsid w:val="00B5693A"/>
    <w:rsid w:val="00B56A24"/>
    <w:rsid w:val="00B56BCD"/>
    <w:rsid w:val="00B57031"/>
    <w:rsid w:val="00B570AA"/>
    <w:rsid w:val="00B571C3"/>
    <w:rsid w:val="00B57729"/>
    <w:rsid w:val="00B578B8"/>
    <w:rsid w:val="00B578F7"/>
    <w:rsid w:val="00B57951"/>
    <w:rsid w:val="00B57BB1"/>
    <w:rsid w:val="00B57DB9"/>
    <w:rsid w:val="00B60257"/>
    <w:rsid w:val="00B602DC"/>
    <w:rsid w:val="00B6033B"/>
    <w:rsid w:val="00B603E1"/>
    <w:rsid w:val="00B60598"/>
    <w:rsid w:val="00B6066C"/>
    <w:rsid w:val="00B60782"/>
    <w:rsid w:val="00B60B87"/>
    <w:rsid w:val="00B60DDE"/>
    <w:rsid w:val="00B60DFE"/>
    <w:rsid w:val="00B610E3"/>
    <w:rsid w:val="00B611C9"/>
    <w:rsid w:val="00B61344"/>
    <w:rsid w:val="00B613F6"/>
    <w:rsid w:val="00B6145F"/>
    <w:rsid w:val="00B61857"/>
    <w:rsid w:val="00B61AE1"/>
    <w:rsid w:val="00B61AFC"/>
    <w:rsid w:val="00B61DA8"/>
    <w:rsid w:val="00B61EC3"/>
    <w:rsid w:val="00B620B1"/>
    <w:rsid w:val="00B62654"/>
    <w:rsid w:val="00B626B8"/>
    <w:rsid w:val="00B62701"/>
    <w:rsid w:val="00B627B7"/>
    <w:rsid w:val="00B628C0"/>
    <w:rsid w:val="00B62958"/>
    <w:rsid w:val="00B62C51"/>
    <w:rsid w:val="00B62CB7"/>
    <w:rsid w:val="00B62F61"/>
    <w:rsid w:val="00B62FB9"/>
    <w:rsid w:val="00B63067"/>
    <w:rsid w:val="00B630C8"/>
    <w:rsid w:val="00B631A1"/>
    <w:rsid w:val="00B6328F"/>
    <w:rsid w:val="00B632AF"/>
    <w:rsid w:val="00B6334B"/>
    <w:rsid w:val="00B63814"/>
    <w:rsid w:val="00B63990"/>
    <w:rsid w:val="00B63AA4"/>
    <w:rsid w:val="00B63BF8"/>
    <w:rsid w:val="00B63D60"/>
    <w:rsid w:val="00B640EC"/>
    <w:rsid w:val="00B6424F"/>
    <w:rsid w:val="00B642A5"/>
    <w:rsid w:val="00B64459"/>
    <w:rsid w:val="00B64631"/>
    <w:rsid w:val="00B646FA"/>
    <w:rsid w:val="00B647AB"/>
    <w:rsid w:val="00B647C8"/>
    <w:rsid w:val="00B64840"/>
    <w:rsid w:val="00B64896"/>
    <w:rsid w:val="00B64AB7"/>
    <w:rsid w:val="00B64AE2"/>
    <w:rsid w:val="00B64B7C"/>
    <w:rsid w:val="00B64C00"/>
    <w:rsid w:val="00B65397"/>
    <w:rsid w:val="00B655CF"/>
    <w:rsid w:val="00B6568D"/>
    <w:rsid w:val="00B65715"/>
    <w:rsid w:val="00B657B3"/>
    <w:rsid w:val="00B65852"/>
    <w:rsid w:val="00B65968"/>
    <w:rsid w:val="00B65A10"/>
    <w:rsid w:val="00B65A54"/>
    <w:rsid w:val="00B65C73"/>
    <w:rsid w:val="00B65CF0"/>
    <w:rsid w:val="00B65D2C"/>
    <w:rsid w:val="00B65E6A"/>
    <w:rsid w:val="00B66106"/>
    <w:rsid w:val="00B661F7"/>
    <w:rsid w:val="00B66266"/>
    <w:rsid w:val="00B66284"/>
    <w:rsid w:val="00B662A1"/>
    <w:rsid w:val="00B66353"/>
    <w:rsid w:val="00B6662E"/>
    <w:rsid w:val="00B6675A"/>
    <w:rsid w:val="00B66AF0"/>
    <w:rsid w:val="00B66D77"/>
    <w:rsid w:val="00B66DE4"/>
    <w:rsid w:val="00B66EB0"/>
    <w:rsid w:val="00B67278"/>
    <w:rsid w:val="00B67374"/>
    <w:rsid w:val="00B673EC"/>
    <w:rsid w:val="00B675FB"/>
    <w:rsid w:val="00B6768D"/>
    <w:rsid w:val="00B67728"/>
    <w:rsid w:val="00B6790C"/>
    <w:rsid w:val="00B67C58"/>
    <w:rsid w:val="00B67CF7"/>
    <w:rsid w:val="00B67DDC"/>
    <w:rsid w:val="00B67E91"/>
    <w:rsid w:val="00B70080"/>
    <w:rsid w:val="00B70130"/>
    <w:rsid w:val="00B70365"/>
    <w:rsid w:val="00B70506"/>
    <w:rsid w:val="00B70572"/>
    <w:rsid w:val="00B70697"/>
    <w:rsid w:val="00B706D2"/>
    <w:rsid w:val="00B7088E"/>
    <w:rsid w:val="00B7095D"/>
    <w:rsid w:val="00B7096C"/>
    <w:rsid w:val="00B709C7"/>
    <w:rsid w:val="00B70A7A"/>
    <w:rsid w:val="00B70DBF"/>
    <w:rsid w:val="00B70F69"/>
    <w:rsid w:val="00B70FDA"/>
    <w:rsid w:val="00B7104A"/>
    <w:rsid w:val="00B7136C"/>
    <w:rsid w:val="00B71628"/>
    <w:rsid w:val="00B7164E"/>
    <w:rsid w:val="00B7169D"/>
    <w:rsid w:val="00B717A5"/>
    <w:rsid w:val="00B71863"/>
    <w:rsid w:val="00B71B41"/>
    <w:rsid w:val="00B71C78"/>
    <w:rsid w:val="00B71D27"/>
    <w:rsid w:val="00B720C8"/>
    <w:rsid w:val="00B72286"/>
    <w:rsid w:val="00B72308"/>
    <w:rsid w:val="00B72722"/>
    <w:rsid w:val="00B72816"/>
    <w:rsid w:val="00B72888"/>
    <w:rsid w:val="00B72A45"/>
    <w:rsid w:val="00B72C3E"/>
    <w:rsid w:val="00B72C8E"/>
    <w:rsid w:val="00B72D39"/>
    <w:rsid w:val="00B72E6C"/>
    <w:rsid w:val="00B72F81"/>
    <w:rsid w:val="00B7307A"/>
    <w:rsid w:val="00B7312C"/>
    <w:rsid w:val="00B732BA"/>
    <w:rsid w:val="00B73349"/>
    <w:rsid w:val="00B73393"/>
    <w:rsid w:val="00B73419"/>
    <w:rsid w:val="00B73762"/>
    <w:rsid w:val="00B738F1"/>
    <w:rsid w:val="00B73998"/>
    <w:rsid w:val="00B739F3"/>
    <w:rsid w:val="00B739F6"/>
    <w:rsid w:val="00B73BD7"/>
    <w:rsid w:val="00B73C6F"/>
    <w:rsid w:val="00B73DB6"/>
    <w:rsid w:val="00B73DCC"/>
    <w:rsid w:val="00B73F2C"/>
    <w:rsid w:val="00B7447B"/>
    <w:rsid w:val="00B74650"/>
    <w:rsid w:val="00B7468A"/>
    <w:rsid w:val="00B747F1"/>
    <w:rsid w:val="00B7484D"/>
    <w:rsid w:val="00B7488B"/>
    <w:rsid w:val="00B74893"/>
    <w:rsid w:val="00B748E0"/>
    <w:rsid w:val="00B74ABF"/>
    <w:rsid w:val="00B74B7F"/>
    <w:rsid w:val="00B74C8A"/>
    <w:rsid w:val="00B74CD4"/>
    <w:rsid w:val="00B74CEC"/>
    <w:rsid w:val="00B74D0E"/>
    <w:rsid w:val="00B74D14"/>
    <w:rsid w:val="00B74DAE"/>
    <w:rsid w:val="00B7523B"/>
    <w:rsid w:val="00B75301"/>
    <w:rsid w:val="00B757C8"/>
    <w:rsid w:val="00B75844"/>
    <w:rsid w:val="00B759A8"/>
    <w:rsid w:val="00B759DC"/>
    <w:rsid w:val="00B75B6F"/>
    <w:rsid w:val="00B75D8E"/>
    <w:rsid w:val="00B75EEB"/>
    <w:rsid w:val="00B760B9"/>
    <w:rsid w:val="00B760E4"/>
    <w:rsid w:val="00B76156"/>
    <w:rsid w:val="00B76407"/>
    <w:rsid w:val="00B765D3"/>
    <w:rsid w:val="00B7685C"/>
    <w:rsid w:val="00B76B6C"/>
    <w:rsid w:val="00B76B9E"/>
    <w:rsid w:val="00B76CF9"/>
    <w:rsid w:val="00B76E68"/>
    <w:rsid w:val="00B76ED9"/>
    <w:rsid w:val="00B7737D"/>
    <w:rsid w:val="00B77755"/>
    <w:rsid w:val="00B777DA"/>
    <w:rsid w:val="00B7780F"/>
    <w:rsid w:val="00B778CE"/>
    <w:rsid w:val="00B77930"/>
    <w:rsid w:val="00B77945"/>
    <w:rsid w:val="00B77BAE"/>
    <w:rsid w:val="00B77CEA"/>
    <w:rsid w:val="00B77D86"/>
    <w:rsid w:val="00B77DB1"/>
    <w:rsid w:val="00B77FB9"/>
    <w:rsid w:val="00B77FFC"/>
    <w:rsid w:val="00B80051"/>
    <w:rsid w:val="00B8006D"/>
    <w:rsid w:val="00B800D5"/>
    <w:rsid w:val="00B801BF"/>
    <w:rsid w:val="00B80222"/>
    <w:rsid w:val="00B80225"/>
    <w:rsid w:val="00B802FD"/>
    <w:rsid w:val="00B803E0"/>
    <w:rsid w:val="00B805D5"/>
    <w:rsid w:val="00B805F1"/>
    <w:rsid w:val="00B806B8"/>
    <w:rsid w:val="00B8078C"/>
    <w:rsid w:val="00B80951"/>
    <w:rsid w:val="00B809BA"/>
    <w:rsid w:val="00B809EC"/>
    <w:rsid w:val="00B80ADF"/>
    <w:rsid w:val="00B80E49"/>
    <w:rsid w:val="00B80EF3"/>
    <w:rsid w:val="00B80EF8"/>
    <w:rsid w:val="00B8100D"/>
    <w:rsid w:val="00B812A0"/>
    <w:rsid w:val="00B812DE"/>
    <w:rsid w:val="00B81441"/>
    <w:rsid w:val="00B8161D"/>
    <w:rsid w:val="00B81641"/>
    <w:rsid w:val="00B816A4"/>
    <w:rsid w:val="00B81866"/>
    <w:rsid w:val="00B8198D"/>
    <w:rsid w:val="00B819C6"/>
    <w:rsid w:val="00B81A22"/>
    <w:rsid w:val="00B81AE4"/>
    <w:rsid w:val="00B81C1E"/>
    <w:rsid w:val="00B81F1B"/>
    <w:rsid w:val="00B822EB"/>
    <w:rsid w:val="00B8254C"/>
    <w:rsid w:val="00B82562"/>
    <w:rsid w:val="00B825A2"/>
    <w:rsid w:val="00B826B1"/>
    <w:rsid w:val="00B8280B"/>
    <w:rsid w:val="00B82976"/>
    <w:rsid w:val="00B829B8"/>
    <w:rsid w:val="00B82A92"/>
    <w:rsid w:val="00B82ABC"/>
    <w:rsid w:val="00B82B4D"/>
    <w:rsid w:val="00B82D8D"/>
    <w:rsid w:val="00B82E8D"/>
    <w:rsid w:val="00B82F58"/>
    <w:rsid w:val="00B832D5"/>
    <w:rsid w:val="00B83377"/>
    <w:rsid w:val="00B835B4"/>
    <w:rsid w:val="00B836EC"/>
    <w:rsid w:val="00B83768"/>
    <w:rsid w:val="00B838BF"/>
    <w:rsid w:val="00B8394B"/>
    <w:rsid w:val="00B839E1"/>
    <w:rsid w:val="00B83A15"/>
    <w:rsid w:val="00B83A1A"/>
    <w:rsid w:val="00B83C41"/>
    <w:rsid w:val="00B83D9D"/>
    <w:rsid w:val="00B83D9E"/>
    <w:rsid w:val="00B83DC9"/>
    <w:rsid w:val="00B83DFF"/>
    <w:rsid w:val="00B83EF5"/>
    <w:rsid w:val="00B83FD4"/>
    <w:rsid w:val="00B84004"/>
    <w:rsid w:val="00B84054"/>
    <w:rsid w:val="00B841D7"/>
    <w:rsid w:val="00B84218"/>
    <w:rsid w:val="00B84503"/>
    <w:rsid w:val="00B845A1"/>
    <w:rsid w:val="00B845B6"/>
    <w:rsid w:val="00B846ED"/>
    <w:rsid w:val="00B84870"/>
    <w:rsid w:val="00B8490C"/>
    <w:rsid w:val="00B8496A"/>
    <w:rsid w:val="00B84C57"/>
    <w:rsid w:val="00B84C7E"/>
    <w:rsid w:val="00B84C92"/>
    <w:rsid w:val="00B84F81"/>
    <w:rsid w:val="00B85075"/>
    <w:rsid w:val="00B852F8"/>
    <w:rsid w:val="00B854A9"/>
    <w:rsid w:val="00B8558E"/>
    <w:rsid w:val="00B855B2"/>
    <w:rsid w:val="00B8567D"/>
    <w:rsid w:val="00B85828"/>
    <w:rsid w:val="00B85910"/>
    <w:rsid w:val="00B85ABC"/>
    <w:rsid w:val="00B85E11"/>
    <w:rsid w:val="00B86002"/>
    <w:rsid w:val="00B861AB"/>
    <w:rsid w:val="00B861DD"/>
    <w:rsid w:val="00B86330"/>
    <w:rsid w:val="00B86838"/>
    <w:rsid w:val="00B86A7D"/>
    <w:rsid w:val="00B86AF8"/>
    <w:rsid w:val="00B86C50"/>
    <w:rsid w:val="00B86C8B"/>
    <w:rsid w:val="00B86DC3"/>
    <w:rsid w:val="00B86E7C"/>
    <w:rsid w:val="00B86EEE"/>
    <w:rsid w:val="00B8700A"/>
    <w:rsid w:val="00B871DA"/>
    <w:rsid w:val="00B8725F"/>
    <w:rsid w:val="00B874A1"/>
    <w:rsid w:val="00B8751D"/>
    <w:rsid w:val="00B87B47"/>
    <w:rsid w:val="00B87B75"/>
    <w:rsid w:val="00B87E3F"/>
    <w:rsid w:val="00B87F57"/>
    <w:rsid w:val="00B87FD0"/>
    <w:rsid w:val="00B9006D"/>
    <w:rsid w:val="00B90089"/>
    <w:rsid w:val="00B9013C"/>
    <w:rsid w:val="00B90150"/>
    <w:rsid w:val="00B9020B"/>
    <w:rsid w:val="00B90242"/>
    <w:rsid w:val="00B90595"/>
    <w:rsid w:val="00B9065C"/>
    <w:rsid w:val="00B90830"/>
    <w:rsid w:val="00B908E1"/>
    <w:rsid w:val="00B90AAE"/>
    <w:rsid w:val="00B90AF1"/>
    <w:rsid w:val="00B90F82"/>
    <w:rsid w:val="00B90FE1"/>
    <w:rsid w:val="00B9102A"/>
    <w:rsid w:val="00B910BB"/>
    <w:rsid w:val="00B9123E"/>
    <w:rsid w:val="00B91281"/>
    <w:rsid w:val="00B91602"/>
    <w:rsid w:val="00B916D0"/>
    <w:rsid w:val="00B91735"/>
    <w:rsid w:val="00B9175B"/>
    <w:rsid w:val="00B91894"/>
    <w:rsid w:val="00B918C0"/>
    <w:rsid w:val="00B91A17"/>
    <w:rsid w:val="00B91CCC"/>
    <w:rsid w:val="00B91D00"/>
    <w:rsid w:val="00B91D77"/>
    <w:rsid w:val="00B91EDD"/>
    <w:rsid w:val="00B91FE7"/>
    <w:rsid w:val="00B921A5"/>
    <w:rsid w:val="00B921EA"/>
    <w:rsid w:val="00B92229"/>
    <w:rsid w:val="00B92230"/>
    <w:rsid w:val="00B922E3"/>
    <w:rsid w:val="00B92311"/>
    <w:rsid w:val="00B92652"/>
    <w:rsid w:val="00B92815"/>
    <w:rsid w:val="00B92943"/>
    <w:rsid w:val="00B92BA3"/>
    <w:rsid w:val="00B92BCE"/>
    <w:rsid w:val="00B92BEF"/>
    <w:rsid w:val="00B92C76"/>
    <w:rsid w:val="00B92D63"/>
    <w:rsid w:val="00B92DB6"/>
    <w:rsid w:val="00B931C7"/>
    <w:rsid w:val="00B933A0"/>
    <w:rsid w:val="00B93411"/>
    <w:rsid w:val="00B936DA"/>
    <w:rsid w:val="00B93783"/>
    <w:rsid w:val="00B9383A"/>
    <w:rsid w:val="00B93A16"/>
    <w:rsid w:val="00B93A98"/>
    <w:rsid w:val="00B93C62"/>
    <w:rsid w:val="00B93C79"/>
    <w:rsid w:val="00B93D54"/>
    <w:rsid w:val="00B93F0E"/>
    <w:rsid w:val="00B93FA7"/>
    <w:rsid w:val="00B94181"/>
    <w:rsid w:val="00B94197"/>
    <w:rsid w:val="00B9435D"/>
    <w:rsid w:val="00B9467E"/>
    <w:rsid w:val="00B94801"/>
    <w:rsid w:val="00B94972"/>
    <w:rsid w:val="00B94B1B"/>
    <w:rsid w:val="00B952F8"/>
    <w:rsid w:val="00B95464"/>
    <w:rsid w:val="00B95562"/>
    <w:rsid w:val="00B95566"/>
    <w:rsid w:val="00B95709"/>
    <w:rsid w:val="00B9579F"/>
    <w:rsid w:val="00B957EF"/>
    <w:rsid w:val="00B95865"/>
    <w:rsid w:val="00B95E2F"/>
    <w:rsid w:val="00B95E40"/>
    <w:rsid w:val="00B962DB"/>
    <w:rsid w:val="00B963FA"/>
    <w:rsid w:val="00B96462"/>
    <w:rsid w:val="00B964FC"/>
    <w:rsid w:val="00B966A0"/>
    <w:rsid w:val="00B96748"/>
    <w:rsid w:val="00B967A9"/>
    <w:rsid w:val="00B9686B"/>
    <w:rsid w:val="00B96A32"/>
    <w:rsid w:val="00B96C1B"/>
    <w:rsid w:val="00B96F27"/>
    <w:rsid w:val="00B972B8"/>
    <w:rsid w:val="00B97847"/>
    <w:rsid w:val="00B978B7"/>
    <w:rsid w:val="00B97A64"/>
    <w:rsid w:val="00B97BF3"/>
    <w:rsid w:val="00B97D12"/>
    <w:rsid w:val="00B97F74"/>
    <w:rsid w:val="00BA041C"/>
    <w:rsid w:val="00BA0609"/>
    <w:rsid w:val="00BA0690"/>
    <w:rsid w:val="00BA0796"/>
    <w:rsid w:val="00BA0926"/>
    <w:rsid w:val="00BA0BB8"/>
    <w:rsid w:val="00BA0D4B"/>
    <w:rsid w:val="00BA0F3B"/>
    <w:rsid w:val="00BA0F90"/>
    <w:rsid w:val="00BA0FB9"/>
    <w:rsid w:val="00BA1051"/>
    <w:rsid w:val="00BA1285"/>
    <w:rsid w:val="00BA12E0"/>
    <w:rsid w:val="00BA1335"/>
    <w:rsid w:val="00BA1562"/>
    <w:rsid w:val="00BA190C"/>
    <w:rsid w:val="00BA19C6"/>
    <w:rsid w:val="00BA1B48"/>
    <w:rsid w:val="00BA1BDC"/>
    <w:rsid w:val="00BA1BF1"/>
    <w:rsid w:val="00BA1D90"/>
    <w:rsid w:val="00BA1FEC"/>
    <w:rsid w:val="00BA21F1"/>
    <w:rsid w:val="00BA2475"/>
    <w:rsid w:val="00BA2476"/>
    <w:rsid w:val="00BA257B"/>
    <w:rsid w:val="00BA2749"/>
    <w:rsid w:val="00BA282D"/>
    <w:rsid w:val="00BA28B5"/>
    <w:rsid w:val="00BA29F8"/>
    <w:rsid w:val="00BA2E7D"/>
    <w:rsid w:val="00BA3143"/>
    <w:rsid w:val="00BA3173"/>
    <w:rsid w:val="00BA3484"/>
    <w:rsid w:val="00BA3649"/>
    <w:rsid w:val="00BA3891"/>
    <w:rsid w:val="00BA38C8"/>
    <w:rsid w:val="00BA38F3"/>
    <w:rsid w:val="00BA3912"/>
    <w:rsid w:val="00BA3948"/>
    <w:rsid w:val="00BA3A85"/>
    <w:rsid w:val="00BA3BD0"/>
    <w:rsid w:val="00BA3ED3"/>
    <w:rsid w:val="00BA3EF7"/>
    <w:rsid w:val="00BA3F47"/>
    <w:rsid w:val="00BA3FB3"/>
    <w:rsid w:val="00BA4084"/>
    <w:rsid w:val="00BA4161"/>
    <w:rsid w:val="00BA41BD"/>
    <w:rsid w:val="00BA42D4"/>
    <w:rsid w:val="00BA43F1"/>
    <w:rsid w:val="00BA44DE"/>
    <w:rsid w:val="00BA4523"/>
    <w:rsid w:val="00BA4524"/>
    <w:rsid w:val="00BA4811"/>
    <w:rsid w:val="00BA490F"/>
    <w:rsid w:val="00BA49FC"/>
    <w:rsid w:val="00BA4A4E"/>
    <w:rsid w:val="00BA4D31"/>
    <w:rsid w:val="00BA4DA5"/>
    <w:rsid w:val="00BA4DDE"/>
    <w:rsid w:val="00BA500D"/>
    <w:rsid w:val="00BA51CF"/>
    <w:rsid w:val="00BA54E6"/>
    <w:rsid w:val="00BA58FE"/>
    <w:rsid w:val="00BA5A33"/>
    <w:rsid w:val="00BA5B82"/>
    <w:rsid w:val="00BA5BA2"/>
    <w:rsid w:val="00BA5C95"/>
    <w:rsid w:val="00BA5D13"/>
    <w:rsid w:val="00BA5DD0"/>
    <w:rsid w:val="00BA5DD6"/>
    <w:rsid w:val="00BA600D"/>
    <w:rsid w:val="00BA60CF"/>
    <w:rsid w:val="00BA61E8"/>
    <w:rsid w:val="00BA61F3"/>
    <w:rsid w:val="00BA63DF"/>
    <w:rsid w:val="00BA6496"/>
    <w:rsid w:val="00BA64F3"/>
    <w:rsid w:val="00BA65E2"/>
    <w:rsid w:val="00BA6627"/>
    <w:rsid w:val="00BA665D"/>
    <w:rsid w:val="00BA6878"/>
    <w:rsid w:val="00BA6951"/>
    <w:rsid w:val="00BA6ACC"/>
    <w:rsid w:val="00BA6B38"/>
    <w:rsid w:val="00BA6B87"/>
    <w:rsid w:val="00BA6E1D"/>
    <w:rsid w:val="00BA6E78"/>
    <w:rsid w:val="00BA6F0F"/>
    <w:rsid w:val="00BA6F41"/>
    <w:rsid w:val="00BA6FD6"/>
    <w:rsid w:val="00BA7006"/>
    <w:rsid w:val="00BA7277"/>
    <w:rsid w:val="00BA734C"/>
    <w:rsid w:val="00BA73F4"/>
    <w:rsid w:val="00BA7492"/>
    <w:rsid w:val="00BA7537"/>
    <w:rsid w:val="00BA77E5"/>
    <w:rsid w:val="00BA781F"/>
    <w:rsid w:val="00BA7881"/>
    <w:rsid w:val="00BA7ADD"/>
    <w:rsid w:val="00BA7B42"/>
    <w:rsid w:val="00BA7C07"/>
    <w:rsid w:val="00BA7CD9"/>
    <w:rsid w:val="00BA7CFD"/>
    <w:rsid w:val="00BA7D58"/>
    <w:rsid w:val="00BB003B"/>
    <w:rsid w:val="00BB009F"/>
    <w:rsid w:val="00BB00BA"/>
    <w:rsid w:val="00BB02C2"/>
    <w:rsid w:val="00BB02D3"/>
    <w:rsid w:val="00BB0324"/>
    <w:rsid w:val="00BB0472"/>
    <w:rsid w:val="00BB0679"/>
    <w:rsid w:val="00BB076A"/>
    <w:rsid w:val="00BB08AA"/>
    <w:rsid w:val="00BB0912"/>
    <w:rsid w:val="00BB0AEB"/>
    <w:rsid w:val="00BB0B37"/>
    <w:rsid w:val="00BB0CCA"/>
    <w:rsid w:val="00BB0E17"/>
    <w:rsid w:val="00BB105C"/>
    <w:rsid w:val="00BB143E"/>
    <w:rsid w:val="00BB1683"/>
    <w:rsid w:val="00BB16A5"/>
    <w:rsid w:val="00BB18BD"/>
    <w:rsid w:val="00BB1AB2"/>
    <w:rsid w:val="00BB1B4B"/>
    <w:rsid w:val="00BB1B5A"/>
    <w:rsid w:val="00BB1B60"/>
    <w:rsid w:val="00BB1BF8"/>
    <w:rsid w:val="00BB1C85"/>
    <w:rsid w:val="00BB1DDE"/>
    <w:rsid w:val="00BB2475"/>
    <w:rsid w:val="00BB24F3"/>
    <w:rsid w:val="00BB26A7"/>
    <w:rsid w:val="00BB26C3"/>
    <w:rsid w:val="00BB27F8"/>
    <w:rsid w:val="00BB284D"/>
    <w:rsid w:val="00BB2A53"/>
    <w:rsid w:val="00BB2B96"/>
    <w:rsid w:val="00BB2CF1"/>
    <w:rsid w:val="00BB2E75"/>
    <w:rsid w:val="00BB30A9"/>
    <w:rsid w:val="00BB31BF"/>
    <w:rsid w:val="00BB341A"/>
    <w:rsid w:val="00BB35D5"/>
    <w:rsid w:val="00BB3616"/>
    <w:rsid w:val="00BB3688"/>
    <w:rsid w:val="00BB379B"/>
    <w:rsid w:val="00BB38DC"/>
    <w:rsid w:val="00BB38ED"/>
    <w:rsid w:val="00BB3909"/>
    <w:rsid w:val="00BB395A"/>
    <w:rsid w:val="00BB3963"/>
    <w:rsid w:val="00BB3B3D"/>
    <w:rsid w:val="00BB3C9B"/>
    <w:rsid w:val="00BB3D49"/>
    <w:rsid w:val="00BB3E28"/>
    <w:rsid w:val="00BB3EC5"/>
    <w:rsid w:val="00BB3ECE"/>
    <w:rsid w:val="00BB3FC5"/>
    <w:rsid w:val="00BB402A"/>
    <w:rsid w:val="00BB40BE"/>
    <w:rsid w:val="00BB4110"/>
    <w:rsid w:val="00BB4167"/>
    <w:rsid w:val="00BB428D"/>
    <w:rsid w:val="00BB44BB"/>
    <w:rsid w:val="00BB44D5"/>
    <w:rsid w:val="00BB4520"/>
    <w:rsid w:val="00BB4917"/>
    <w:rsid w:val="00BB49FD"/>
    <w:rsid w:val="00BB4A85"/>
    <w:rsid w:val="00BB4CD0"/>
    <w:rsid w:val="00BB4DC8"/>
    <w:rsid w:val="00BB505D"/>
    <w:rsid w:val="00BB526A"/>
    <w:rsid w:val="00BB542D"/>
    <w:rsid w:val="00BB55EB"/>
    <w:rsid w:val="00BB5A80"/>
    <w:rsid w:val="00BB5AE4"/>
    <w:rsid w:val="00BB5E38"/>
    <w:rsid w:val="00BB5E48"/>
    <w:rsid w:val="00BB5F45"/>
    <w:rsid w:val="00BB621A"/>
    <w:rsid w:val="00BB637E"/>
    <w:rsid w:val="00BB63B8"/>
    <w:rsid w:val="00BB668A"/>
    <w:rsid w:val="00BB68F4"/>
    <w:rsid w:val="00BB69A5"/>
    <w:rsid w:val="00BB69D7"/>
    <w:rsid w:val="00BB6B48"/>
    <w:rsid w:val="00BB6B4E"/>
    <w:rsid w:val="00BB6DB7"/>
    <w:rsid w:val="00BB6E72"/>
    <w:rsid w:val="00BB6EA4"/>
    <w:rsid w:val="00BB6EB4"/>
    <w:rsid w:val="00BB6EC5"/>
    <w:rsid w:val="00BB6FCA"/>
    <w:rsid w:val="00BB70B8"/>
    <w:rsid w:val="00BB7163"/>
    <w:rsid w:val="00BB71AE"/>
    <w:rsid w:val="00BB71EB"/>
    <w:rsid w:val="00BB7298"/>
    <w:rsid w:val="00BB72DC"/>
    <w:rsid w:val="00BB73A1"/>
    <w:rsid w:val="00BB7628"/>
    <w:rsid w:val="00BB7780"/>
    <w:rsid w:val="00BB785C"/>
    <w:rsid w:val="00BB79A2"/>
    <w:rsid w:val="00BB7A68"/>
    <w:rsid w:val="00BB7AC2"/>
    <w:rsid w:val="00BB7ACA"/>
    <w:rsid w:val="00BB7ACF"/>
    <w:rsid w:val="00BB7B23"/>
    <w:rsid w:val="00BB7C9F"/>
    <w:rsid w:val="00BB7D3C"/>
    <w:rsid w:val="00BB7DC3"/>
    <w:rsid w:val="00BB7F84"/>
    <w:rsid w:val="00BC0111"/>
    <w:rsid w:val="00BC0201"/>
    <w:rsid w:val="00BC051B"/>
    <w:rsid w:val="00BC06A5"/>
    <w:rsid w:val="00BC0B0E"/>
    <w:rsid w:val="00BC0B2F"/>
    <w:rsid w:val="00BC0C8F"/>
    <w:rsid w:val="00BC0D41"/>
    <w:rsid w:val="00BC0EBC"/>
    <w:rsid w:val="00BC0EC3"/>
    <w:rsid w:val="00BC0FBC"/>
    <w:rsid w:val="00BC1014"/>
    <w:rsid w:val="00BC10A5"/>
    <w:rsid w:val="00BC10DE"/>
    <w:rsid w:val="00BC10ED"/>
    <w:rsid w:val="00BC1113"/>
    <w:rsid w:val="00BC11C6"/>
    <w:rsid w:val="00BC1277"/>
    <w:rsid w:val="00BC16CB"/>
    <w:rsid w:val="00BC177A"/>
    <w:rsid w:val="00BC193A"/>
    <w:rsid w:val="00BC19FE"/>
    <w:rsid w:val="00BC1AF9"/>
    <w:rsid w:val="00BC1D65"/>
    <w:rsid w:val="00BC1F29"/>
    <w:rsid w:val="00BC20B3"/>
    <w:rsid w:val="00BC21D4"/>
    <w:rsid w:val="00BC2751"/>
    <w:rsid w:val="00BC2868"/>
    <w:rsid w:val="00BC28D1"/>
    <w:rsid w:val="00BC2B42"/>
    <w:rsid w:val="00BC2E48"/>
    <w:rsid w:val="00BC2EE1"/>
    <w:rsid w:val="00BC3371"/>
    <w:rsid w:val="00BC3554"/>
    <w:rsid w:val="00BC385C"/>
    <w:rsid w:val="00BC39E2"/>
    <w:rsid w:val="00BC3B24"/>
    <w:rsid w:val="00BC3BAC"/>
    <w:rsid w:val="00BC3C52"/>
    <w:rsid w:val="00BC3C61"/>
    <w:rsid w:val="00BC3D1E"/>
    <w:rsid w:val="00BC3D36"/>
    <w:rsid w:val="00BC3DDD"/>
    <w:rsid w:val="00BC3F80"/>
    <w:rsid w:val="00BC3FD4"/>
    <w:rsid w:val="00BC434A"/>
    <w:rsid w:val="00BC439E"/>
    <w:rsid w:val="00BC44D9"/>
    <w:rsid w:val="00BC47A7"/>
    <w:rsid w:val="00BC4A54"/>
    <w:rsid w:val="00BC4BB4"/>
    <w:rsid w:val="00BC4C10"/>
    <w:rsid w:val="00BC4C3F"/>
    <w:rsid w:val="00BC4D3A"/>
    <w:rsid w:val="00BC5171"/>
    <w:rsid w:val="00BC5238"/>
    <w:rsid w:val="00BC55A6"/>
    <w:rsid w:val="00BC5664"/>
    <w:rsid w:val="00BC5785"/>
    <w:rsid w:val="00BC5840"/>
    <w:rsid w:val="00BC592F"/>
    <w:rsid w:val="00BC5A6F"/>
    <w:rsid w:val="00BC5B20"/>
    <w:rsid w:val="00BC5D5E"/>
    <w:rsid w:val="00BC5ECC"/>
    <w:rsid w:val="00BC5EE6"/>
    <w:rsid w:val="00BC6098"/>
    <w:rsid w:val="00BC616A"/>
    <w:rsid w:val="00BC6203"/>
    <w:rsid w:val="00BC69E0"/>
    <w:rsid w:val="00BC6A0B"/>
    <w:rsid w:val="00BC6A21"/>
    <w:rsid w:val="00BC6D69"/>
    <w:rsid w:val="00BC6F82"/>
    <w:rsid w:val="00BC7056"/>
    <w:rsid w:val="00BC71DC"/>
    <w:rsid w:val="00BC7261"/>
    <w:rsid w:val="00BC727B"/>
    <w:rsid w:val="00BC72B0"/>
    <w:rsid w:val="00BC736D"/>
    <w:rsid w:val="00BC73C8"/>
    <w:rsid w:val="00BC748C"/>
    <w:rsid w:val="00BC7695"/>
    <w:rsid w:val="00BC77E0"/>
    <w:rsid w:val="00BC78F5"/>
    <w:rsid w:val="00BC7A04"/>
    <w:rsid w:val="00BC7BBA"/>
    <w:rsid w:val="00BC7BCD"/>
    <w:rsid w:val="00BC7D83"/>
    <w:rsid w:val="00BD016E"/>
    <w:rsid w:val="00BD01A7"/>
    <w:rsid w:val="00BD033A"/>
    <w:rsid w:val="00BD099F"/>
    <w:rsid w:val="00BD0A21"/>
    <w:rsid w:val="00BD0A93"/>
    <w:rsid w:val="00BD0B4C"/>
    <w:rsid w:val="00BD0C2A"/>
    <w:rsid w:val="00BD0C99"/>
    <w:rsid w:val="00BD0C9D"/>
    <w:rsid w:val="00BD0D85"/>
    <w:rsid w:val="00BD0DD4"/>
    <w:rsid w:val="00BD0F28"/>
    <w:rsid w:val="00BD0FBF"/>
    <w:rsid w:val="00BD1125"/>
    <w:rsid w:val="00BD1194"/>
    <w:rsid w:val="00BD1244"/>
    <w:rsid w:val="00BD12CE"/>
    <w:rsid w:val="00BD14FC"/>
    <w:rsid w:val="00BD1965"/>
    <w:rsid w:val="00BD196E"/>
    <w:rsid w:val="00BD1CF1"/>
    <w:rsid w:val="00BD200E"/>
    <w:rsid w:val="00BD201A"/>
    <w:rsid w:val="00BD22D5"/>
    <w:rsid w:val="00BD2512"/>
    <w:rsid w:val="00BD2593"/>
    <w:rsid w:val="00BD25D6"/>
    <w:rsid w:val="00BD26BE"/>
    <w:rsid w:val="00BD28E1"/>
    <w:rsid w:val="00BD2B99"/>
    <w:rsid w:val="00BD2BA8"/>
    <w:rsid w:val="00BD2C47"/>
    <w:rsid w:val="00BD2C95"/>
    <w:rsid w:val="00BD2FBF"/>
    <w:rsid w:val="00BD3156"/>
    <w:rsid w:val="00BD3241"/>
    <w:rsid w:val="00BD34BE"/>
    <w:rsid w:val="00BD3658"/>
    <w:rsid w:val="00BD36B9"/>
    <w:rsid w:val="00BD3900"/>
    <w:rsid w:val="00BD39E0"/>
    <w:rsid w:val="00BD3B0C"/>
    <w:rsid w:val="00BD418E"/>
    <w:rsid w:val="00BD444D"/>
    <w:rsid w:val="00BD4857"/>
    <w:rsid w:val="00BD490D"/>
    <w:rsid w:val="00BD4929"/>
    <w:rsid w:val="00BD4A0C"/>
    <w:rsid w:val="00BD4DCC"/>
    <w:rsid w:val="00BD508B"/>
    <w:rsid w:val="00BD50EF"/>
    <w:rsid w:val="00BD5152"/>
    <w:rsid w:val="00BD52AC"/>
    <w:rsid w:val="00BD533B"/>
    <w:rsid w:val="00BD5374"/>
    <w:rsid w:val="00BD54AD"/>
    <w:rsid w:val="00BD5596"/>
    <w:rsid w:val="00BD5761"/>
    <w:rsid w:val="00BD5795"/>
    <w:rsid w:val="00BD5948"/>
    <w:rsid w:val="00BD5C11"/>
    <w:rsid w:val="00BD5C6D"/>
    <w:rsid w:val="00BD6154"/>
    <w:rsid w:val="00BD61F2"/>
    <w:rsid w:val="00BD6201"/>
    <w:rsid w:val="00BD62C9"/>
    <w:rsid w:val="00BD62CE"/>
    <w:rsid w:val="00BD6550"/>
    <w:rsid w:val="00BD6859"/>
    <w:rsid w:val="00BD6921"/>
    <w:rsid w:val="00BD69E5"/>
    <w:rsid w:val="00BD69EB"/>
    <w:rsid w:val="00BD6AFB"/>
    <w:rsid w:val="00BD6BA0"/>
    <w:rsid w:val="00BD6BAD"/>
    <w:rsid w:val="00BD6BC6"/>
    <w:rsid w:val="00BD6E9F"/>
    <w:rsid w:val="00BD708C"/>
    <w:rsid w:val="00BD71A0"/>
    <w:rsid w:val="00BD7260"/>
    <w:rsid w:val="00BD72F0"/>
    <w:rsid w:val="00BD746D"/>
    <w:rsid w:val="00BD758F"/>
    <w:rsid w:val="00BD7732"/>
    <w:rsid w:val="00BD77EA"/>
    <w:rsid w:val="00BD7986"/>
    <w:rsid w:val="00BD7A99"/>
    <w:rsid w:val="00BD7D92"/>
    <w:rsid w:val="00BD7FBC"/>
    <w:rsid w:val="00BE0276"/>
    <w:rsid w:val="00BE0312"/>
    <w:rsid w:val="00BE0419"/>
    <w:rsid w:val="00BE055E"/>
    <w:rsid w:val="00BE0578"/>
    <w:rsid w:val="00BE05F0"/>
    <w:rsid w:val="00BE087C"/>
    <w:rsid w:val="00BE08A1"/>
    <w:rsid w:val="00BE0AA2"/>
    <w:rsid w:val="00BE0C4D"/>
    <w:rsid w:val="00BE0CEA"/>
    <w:rsid w:val="00BE0EB8"/>
    <w:rsid w:val="00BE112A"/>
    <w:rsid w:val="00BE11B1"/>
    <w:rsid w:val="00BE1347"/>
    <w:rsid w:val="00BE1413"/>
    <w:rsid w:val="00BE15C8"/>
    <w:rsid w:val="00BE18B2"/>
    <w:rsid w:val="00BE1D37"/>
    <w:rsid w:val="00BE1DA5"/>
    <w:rsid w:val="00BE1F8C"/>
    <w:rsid w:val="00BE202D"/>
    <w:rsid w:val="00BE2093"/>
    <w:rsid w:val="00BE212E"/>
    <w:rsid w:val="00BE2208"/>
    <w:rsid w:val="00BE2258"/>
    <w:rsid w:val="00BE229E"/>
    <w:rsid w:val="00BE22EA"/>
    <w:rsid w:val="00BE22F6"/>
    <w:rsid w:val="00BE2555"/>
    <w:rsid w:val="00BE25B1"/>
    <w:rsid w:val="00BE275A"/>
    <w:rsid w:val="00BE2768"/>
    <w:rsid w:val="00BE2807"/>
    <w:rsid w:val="00BE298F"/>
    <w:rsid w:val="00BE2AA4"/>
    <w:rsid w:val="00BE2EE5"/>
    <w:rsid w:val="00BE2F9B"/>
    <w:rsid w:val="00BE2FD1"/>
    <w:rsid w:val="00BE305A"/>
    <w:rsid w:val="00BE30EE"/>
    <w:rsid w:val="00BE34AB"/>
    <w:rsid w:val="00BE34C4"/>
    <w:rsid w:val="00BE34F4"/>
    <w:rsid w:val="00BE3655"/>
    <w:rsid w:val="00BE38AC"/>
    <w:rsid w:val="00BE3A09"/>
    <w:rsid w:val="00BE3B64"/>
    <w:rsid w:val="00BE3D7B"/>
    <w:rsid w:val="00BE3DC6"/>
    <w:rsid w:val="00BE3F73"/>
    <w:rsid w:val="00BE3FCD"/>
    <w:rsid w:val="00BE4208"/>
    <w:rsid w:val="00BE4265"/>
    <w:rsid w:val="00BE426A"/>
    <w:rsid w:val="00BE428B"/>
    <w:rsid w:val="00BE43F9"/>
    <w:rsid w:val="00BE44E9"/>
    <w:rsid w:val="00BE451D"/>
    <w:rsid w:val="00BE4658"/>
    <w:rsid w:val="00BE47A6"/>
    <w:rsid w:val="00BE4810"/>
    <w:rsid w:val="00BE485F"/>
    <w:rsid w:val="00BE49A1"/>
    <w:rsid w:val="00BE4AC3"/>
    <w:rsid w:val="00BE4AFC"/>
    <w:rsid w:val="00BE4C08"/>
    <w:rsid w:val="00BE4C61"/>
    <w:rsid w:val="00BE4D02"/>
    <w:rsid w:val="00BE5014"/>
    <w:rsid w:val="00BE501F"/>
    <w:rsid w:val="00BE517B"/>
    <w:rsid w:val="00BE51A1"/>
    <w:rsid w:val="00BE51A2"/>
    <w:rsid w:val="00BE52C5"/>
    <w:rsid w:val="00BE58D5"/>
    <w:rsid w:val="00BE59D0"/>
    <w:rsid w:val="00BE5B70"/>
    <w:rsid w:val="00BE5C26"/>
    <w:rsid w:val="00BE5D4F"/>
    <w:rsid w:val="00BE5E11"/>
    <w:rsid w:val="00BE5E51"/>
    <w:rsid w:val="00BE5EA9"/>
    <w:rsid w:val="00BE644F"/>
    <w:rsid w:val="00BE67C9"/>
    <w:rsid w:val="00BE6833"/>
    <w:rsid w:val="00BE6ABE"/>
    <w:rsid w:val="00BE6C55"/>
    <w:rsid w:val="00BE6C58"/>
    <w:rsid w:val="00BE6E2F"/>
    <w:rsid w:val="00BE6F26"/>
    <w:rsid w:val="00BE6FA9"/>
    <w:rsid w:val="00BE6FEE"/>
    <w:rsid w:val="00BE7236"/>
    <w:rsid w:val="00BE7583"/>
    <w:rsid w:val="00BE75C7"/>
    <w:rsid w:val="00BE768A"/>
    <w:rsid w:val="00BE77A9"/>
    <w:rsid w:val="00BE7879"/>
    <w:rsid w:val="00BE7A0D"/>
    <w:rsid w:val="00BE7B75"/>
    <w:rsid w:val="00BE7BAE"/>
    <w:rsid w:val="00BE7F6B"/>
    <w:rsid w:val="00BF02F2"/>
    <w:rsid w:val="00BF06A1"/>
    <w:rsid w:val="00BF082F"/>
    <w:rsid w:val="00BF0BA4"/>
    <w:rsid w:val="00BF0DD6"/>
    <w:rsid w:val="00BF0EFF"/>
    <w:rsid w:val="00BF1009"/>
    <w:rsid w:val="00BF10BA"/>
    <w:rsid w:val="00BF10F4"/>
    <w:rsid w:val="00BF1497"/>
    <w:rsid w:val="00BF1A3C"/>
    <w:rsid w:val="00BF1ACE"/>
    <w:rsid w:val="00BF1D1E"/>
    <w:rsid w:val="00BF1D2C"/>
    <w:rsid w:val="00BF1D69"/>
    <w:rsid w:val="00BF1FA3"/>
    <w:rsid w:val="00BF2144"/>
    <w:rsid w:val="00BF24D8"/>
    <w:rsid w:val="00BF24DE"/>
    <w:rsid w:val="00BF2581"/>
    <w:rsid w:val="00BF260E"/>
    <w:rsid w:val="00BF2834"/>
    <w:rsid w:val="00BF2AB7"/>
    <w:rsid w:val="00BF2C6E"/>
    <w:rsid w:val="00BF2D08"/>
    <w:rsid w:val="00BF2F50"/>
    <w:rsid w:val="00BF3019"/>
    <w:rsid w:val="00BF339A"/>
    <w:rsid w:val="00BF34C1"/>
    <w:rsid w:val="00BF34FC"/>
    <w:rsid w:val="00BF35D4"/>
    <w:rsid w:val="00BF3926"/>
    <w:rsid w:val="00BF3A68"/>
    <w:rsid w:val="00BF3A6D"/>
    <w:rsid w:val="00BF3BB3"/>
    <w:rsid w:val="00BF3DF8"/>
    <w:rsid w:val="00BF3F82"/>
    <w:rsid w:val="00BF3F98"/>
    <w:rsid w:val="00BF435B"/>
    <w:rsid w:val="00BF43B0"/>
    <w:rsid w:val="00BF440E"/>
    <w:rsid w:val="00BF472D"/>
    <w:rsid w:val="00BF474E"/>
    <w:rsid w:val="00BF4AFD"/>
    <w:rsid w:val="00BF4BAF"/>
    <w:rsid w:val="00BF4D11"/>
    <w:rsid w:val="00BF4DD1"/>
    <w:rsid w:val="00BF4EEC"/>
    <w:rsid w:val="00BF4F78"/>
    <w:rsid w:val="00BF5360"/>
    <w:rsid w:val="00BF54DF"/>
    <w:rsid w:val="00BF55BB"/>
    <w:rsid w:val="00BF57CE"/>
    <w:rsid w:val="00BF5ABB"/>
    <w:rsid w:val="00BF5C57"/>
    <w:rsid w:val="00BF5DC2"/>
    <w:rsid w:val="00BF5E5F"/>
    <w:rsid w:val="00BF5F43"/>
    <w:rsid w:val="00BF5F8A"/>
    <w:rsid w:val="00BF6052"/>
    <w:rsid w:val="00BF608F"/>
    <w:rsid w:val="00BF60EB"/>
    <w:rsid w:val="00BF611E"/>
    <w:rsid w:val="00BF629F"/>
    <w:rsid w:val="00BF62ED"/>
    <w:rsid w:val="00BF62FB"/>
    <w:rsid w:val="00BF6304"/>
    <w:rsid w:val="00BF63A9"/>
    <w:rsid w:val="00BF667F"/>
    <w:rsid w:val="00BF68CF"/>
    <w:rsid w:val="00BF6933"/>
    <w:rsid w:val="00BF6AE9"/>
    <w:rsid w:val="00BF6C2A"/>
    <w:rsid w:val="00BF6FC8"/>
    <w:rsid w:val="00BF70D4"/>
    <w:rsid w:val="00BF70EB"/>
    <w:rsid w:val="00BF70F4"/>
    <w:rsid w:val="00BF7139"/>
    <w:rsid w:val="00BF716D"/>
    <w:rsid w:val="00BF72CE"/>
    <w:rsid w:val="00BF7313"/>
    <w:rsid w:val="00BF7354"/>
    <w:rsid w:val="00BF7459"/>
    <w:rsid w:val="00BF75D5"/>
    <w:rsid w:val="00BF7843"/>
    <w:rsid w:val="00BF7852"/>
    <w:rsid w:val="00BF795D"/>
    <w:rsid w:val="00BF7968"/>
    <w:rsid w:val="00BF7AFE"/>
    <w:rsid w:val="00BF7BA7"/>
    <w:rsid w:val="00BF7D51"/>
    <w:rsid w:val="00BF7D66"/>
    <w:rsid w:val="00BF7F9D"/>
    <w:rsid w:val="00BF7FB6"/>
    <w:rsid w:val="00C003E8"/>
    <w:rsid w:val="00C00532"/>
    <w:rsid w:val="00C006EB"/>
    <w:rsid w:val="00C0078D"/>
    <w:rsid w:val="00C00B96"/>
    <w:rsid w:val="00C00BFF"/>
    <w:rsid w:val="00C00CD7"/>
    <w:rsid w:val="00C00EB6"/>
    <w:rsid w:val="00C00F37"/>
    <w:rsid w:val="00C0128C"/>
    <w:rsid w:val="00C012FE"/>
    <w:rsid w:val="00C0139D"/>
    <w:rsid w:val="00C013D5"/>
    <w:rsid w:val="00C017CB"/>
    <w:rsid w:val="00C018E5"/>
    <w:rsid w:val="00C018FF"/>
    <w:rsid w:val="00C01A98"/>
    <w:rsid w:val="00C01AF4"/>
    <w:rsid w:val="00C01B4A"/>
    <w:rsid w:val="00C01CC9"/>
    <w:rsid w:val="00C01CFF"/>
    <w:rsid w:val="00C0207F"/>
    <w:rsid w:val="00C020CE"/>
    <w:rsid w:val="00C0233A"/>
    <w:rsid w:val="00C023CA"/>
    <w:rsid w:val="00C024D8"/>
    <w:rsid w:val="00C0268D"/>
    <w:rsid w:val="00C02708"/>
    <w:rsid w:val="00C02744"/>
    <w:rsid w:val="00C02946"/>
    <w:rsid w:val="00C029D2"/>
    <w:rsid w:val="00C02AC7"/>
    <w:rsid w:val="00C02B5B"/>
    <w:rsid w:val="00C02C8D"/>
    <w:rsid w:val="00C02DC0"/>
    <w:rsid w:val="00C02DCE"/>
    <w:rsid w:val="00C02DD2"/>
    <w:rsid w:val="00C02F2A"/>
    <w:rsid w:val="00C030F7"/>
    <w:rsid w:val="00C038AD"/>
    <w:rsid w:val="00C039CE"/>
    <w:rsid w:val="00C03E7F"/>
    <w:rsid w:val="00C03EE1"/>
    <w:rsid w:val="00C03F34"/>
    <w:rsid w:val="00C03FB4"/>
    <w:rsid w:val="00C0404D"/>
    <w:rsid w:val="00C04081"/>
    <w:rsid w:val="00C0414F"/>
    <w:rsid w:val="00C04187"/>
    <w:rsid w:val="00C041F3"/>
    <w:rsid w:val="00C0492A"/>
    <w:rsid w:val="00C04965"/>
    <w:rsid w:val="00C04D52"/>
    <w:rsid w:val="00C04F84"/>
    <w:rsid w:val="00C051E1"/>
    <w:rsid w:val="00C0521A"/>
    <w:rsid w:val="00C052AB"/>
    <w:rsid w:val="00C0545E"/>
    <w:rsid w:val="00C0547B"/>
    <w:rsid w:val="00C05539"/>
    <w:rsid w:val="00C05663"/>
    <w:rsid w:val="00C05840"/>
    <w:rsid w:val="00C058BA"/>
    <w:rsid w:val="00C0596E"/>
    <w:rsid w:val="00C05B2E"/>
    <w:rsid w:val="00C05DCB"/>
    <w:rsid w:val="00C05EF8"/>
    <w:rsid w:val="00C05F61"/>
    <w:rsid w:val="00C06077"/>
    <w:rsid w:val="00C06088"/>
    <w:rsid w:val="00C061F2"/>
    <w:rsid w:val="00C06699"/>
    <w:rsid w:val="00C06740"/>
    <w:rsid w:val="00C06859"/>
    <w:rsid w:val="00C06A05"/>
    <w:rsid w:val="00C06AC8"/>
    <w:rsid w:val="00C06AE4"/>
    <w:rsid w:val="00C06B55"/>
    <w:rsid w:val="00C06B97"/>
    <w:rsid w:val="00C06E0A"/>
    <w:rsid w:val="00C06F9D"/>
    <w:rsid w:val="00C07023"/>
    <w:rsid w:val="00C07039"/>
    <w:rsid w:val="00C0707E"/>
    <w:rsid w:val="00C0708C"/>
    <w:rsid w:val="00C0719D"/>
    <w:rsid w:val="00C07313"/>
    <w:rsid w:val="00C073D4"/>
    <w:rsid w:val="00C075F8"/>
    <w:rsid w:val="00C076A2"/>
    <w:rsid w:val="00C079EB"/>
    <w:rsid w:val="00C07AA3"/>
    <w:rsid w:val="00C07B8B"/>
    <w:rsid w:val="00C07DF7"/>
    <w:rsid w:val="00C07ED2"/>
    <w:rsid w:val="00C10029"/>
    <w:rsid w:val="00C1005F"/>
    <w:rsid w:val="00C1014E"/>
    <w:rsid w:val="00C10238"/>
    <w:rsid w:val="00C1053B"/>
    <w:rsid w:val="00C106BB"/>
    <w:rsid w:val="00C106E0"/>
    <w:rsid w:val="00C1082E"/>
    <w:rsid w:val="00C1087C"/>
    <w:rsid w:val="00C108DF"/>
    <w:rsid w:val="00C10A03"/>
    <w:rsid w:val="00C10BAE"/>
    <w:rsid w:val="00C10D36"/>
    <w:rsid w:val="00C10DA3"/>
    <w:rsid w:val="00C10FC3"/>
    <w:rsid w:val="00C110B8"/>
    <w:rsid w:val="00C11140"/>
    <w:rsid w:val="00C11211"/>
    <w:rsid w:val="00C11384"/>
    <w:rsid w:val="00C115C7"/>
    <w:rsid w:val="00C11887"/>
    <w:rsid w:val="00C11A40"/>
    <w:rsid w:val="00C11E29"/>
    <w:rsid w:val="00C11E61"/>
    <w:rsid w:val="00C12050"/>
    <w:rsid w:val="00C122AD"/>
    <w:rsid w:val="00C123A6"/>
    <w:rsid w:val="00C12596"/>
    <w:rsid w:val="00C12670"/>
    <w:rsid w:val="00C127CB"/>
    <w:rsid w:val="00C129B9"/>
    <w:rsid w:val="00C12AA1"/>
    <w:rsid w:val="00C12BA8"/>
    <w:rsid w:val="00C12F95"/>
    <w:rsid w:val="00C12FD9"/>
    <w:rsid w:val="00C130B0"/>
    <w:rsid w:val="00C1326E"/>
    <w:rsid w:val="00C13291"/>
    <w:rsid w:val="00C133AF"/>
    <w:rsid w:val="00C13420"/>
    <w:rsid w:val="00C1361C"/>
    <w:rsid w:val="00C137EF"/>
    <w:rsid w:val="00C139AC"/>
    <w:rsid w:val="00C13CCE"/>
    <w:rsid w:val="00C13E44"/>
    <w:rsid w:val="00C14250"/>
    <w:rsid w:val="00C144F3"/>
    <w:rsid w:val="00C14526"/>
    <w:rsid w:val="00C14692"/>
    <w:rsid w:val="00C148AE"/>
    <w:rsid w:val="00C148D8"/>
    <w:rsid w:val="00C14B7C"/>
    <w:rsid w:val="00C14C00"/>
    <w:rsid w:val="00C14D0F"/>
    <w:rsid w:val="00C14FB7"/>
    <w:rsid w:val="00C15476"/>
    <w:rsid w:val="00C1558A"/>
    <w:rsid w:val="00C155C7"/>
    <w:rsid w:val="00C155D8"/>
    <w:rsid w:val="00C156C9"/>
    <w:rsid w:val="00C157AA"/>
    <w:rsid w:val="00C15851"/>
    <w:rsid w:val="00C15962"/>
    <w:rsid w:val="00C15BDD"/>
    <w:rsid w:val="00C15C6C"/>
    <w:rsid w:val="00C15E78"/>
    <w:rsid w:val="00C15F55"/>
    <w:rsid w:val="00C16002"/>
    <w:rsid w:val="00C16206"/>
    <w:rsid w:val="00C162EE"/>
    <w:rsid w:val="00C16357"/>
    <w:rsid w:val="00C1654A"/>
    <w:rsid w:val="00C165BB"/>
    <w:rsid w:val="00C16604"/>
    <w:rsid w:val="00C169FE"/>
    <w:rsid w:val="00C16BD7"/>
    <w:rsid w:val="00C16C47"/>
    <w:rsid w:val="00C17137"/>
    <w:rsid w:val="00C171BA"/>
    <w:rsid w:val="00C171DB"/>
    <w:rsid w:val="00C1731C"/>
    <w:rsid w:val="00C17CBE"/>
    <w:rsid w:val="00C17CC1"/>
    <w:rsid w:val="00C17CC9"/>
    <w:rsid w:val="00C17CF0"/>
    <w:rsid w:val="00C17D48"/>
    <w:rsid w:val="00C17EC6"/>
    <w:rsid w:val="00C20407"/>
    <w:rsid w:val="00C204C9"/>
    <w:rsid w:val="00C205D2"/>
    <w:rsid w:val="00C20634"/>
    <w:rsid w:val="00C2083E"/>
    <w:rsid w:val="00C20A3D"/>
    <w:rsid w:val="00C20B91"/>
    <w:rsid w:val="00C20E97"/>
    <w:rsid w:val="00C20EF9"/>
    <w:rsid w:val="00C20F6B"/>
    <w:rsid w:val="00C2117B"/>
    <w:rsid w:val="00C2126A"/>
    <w:rsid w:val="00C21435"/>
    <w:rsid w:val="00C21508"/>
    <w:rsid w:val="00C218BE"/>
    <w:rsid w:val="00C218D4"/>
    <w:rsid w:val="00C21A3B"/>
    <w:rsid w:val="00C21CDD"/>
    <w:rsid w:val="00C21E2B"/>
    <w:rsid w:val="00C2203C"/>
    <w:rsid w:val="00C2230B"/>
    <w:rsid w:val="00C2240A"/>
    <w:rsid w:val="00C22576"/>
    <w:rsid w:val="00C225B7"/>
    <w:rsid w:val="00C226A2"/>
    <w:rsid w:val="00C22763"/>
    <w:rsid w:val="00C229CB"/>
    <w:rsid w:val="00C22ABA"/>
    <w:rsid w:val="00C22AF4"/>
    <w:rsid w:val="00C22D91"/>
    <w:rsid w:val="00C22D93"/>
    <w:rsid w:val="00C22ECD"/>
    <w:rsid w:val="00C230E2"/>
    <w:rsid w:val="00C231B1"/>
    <w:rsid w:val="00C23266"/>
    <w:rsid w:val="00C23365"/>
    <w:rsid w:val="00C23571"/>
    <w:rsid w:val="00C23C02"/>
    <w:rsid w:val="00C23E88"/>
    <w:rsid w:val="00C240EF"/>
    <w:rsid w:val="00C24133"/>
    <w:rsid w:val="00C24182"/>
    <w:rsid w:val="00C244D0"/>
    <w:rsid w:val="00C2451A"/>
    <w:rsid w:val="00C245A9"/>
    <w:rsid w:val="00C247AC"/>
    <w:rsid w:val="00C2483F"/>
    <w:rsid w:val="00C24862"/>
    <w:rsid w:val="00C2486E"/>
    <w:rsid w:val="00C248F3"/>
    <w:rsid w:val="00C24B82"/>
    <w:rsid w:val="00C24CC0"/>
    <w:rsid w:val="00C24CDE"/>
    <w:rsid w:val="00C24CEE"/>
    <w:rsid w:val="00C24EAC"/>
    <w:rsid w:val="00C2514F"/>
    <w:rsid w:val="00C25310"/>
    <w:rsid w:val="00C253A3"/>
    <w:rsid w:val="00C25537"/>
    <w:rsid w:val="00C25621"/>
    <w:rsid w:val="00C25682"/>
    <w:rsid w:val="00C256CD"/>
    <w:rsid w:val="00C257ED"/>
    <w:rsid w:val="00C25B3E"/>
    <w:rsid w:val="00C25BBE"/>
    <w:rsid w:val="00C25F4C"/>
    <w:rsid w:val="00C25FA1"/>
    <w:rsid w:val="00C26121"/>
    <w:rsid w:val="00C26280"/>
    <w:rsid w:val="00C26376"/>
    <w:rsid w:val="00C26444"/>
    <w:rsid w:val="00C2646A"/>
    <w:rsid w:val="00C2647C"/>
    <w:rsid w:val="00C2675D"/>
    <w:rsid w:val="00C26931"/>
    <w:rsid w:val="00C2699B"/>
    <w:rsid w:val="00C269DD"/>
    <w:rsid w:val="00C26C4E"/>
    <w:rsid w:val="00C272F0"/>
    <w:rsid w:val="00C273FA"/>
    <w:rsid w:val="00C27472"/>
    <w:rsid w:val="00C2762F"/>
    <w:rsid w:val="00C27665"/>
    <w:rsid w:val="00C2768A"/>
    <w:rsid w:val="00C27787"/>
    <w:rsid w:val="00C27947"/>
    <w:rsid w:val="00C27B38"/>
    <w:rsid w:val="00C27C84"/>
    <w:rsid w:val="00C27EBB"/>
    <w:rsid w:val="00C3037E"/>
    <w:rsid w:val="00C30468"/>
    <w:rsid w:val="00C30A1C"/>
    <w:rsid w:val="00C30ADD"/>
    <w:rsid w:val="00C30FC6"/>
    <w:rsid w:val="00C314B8"/>
    <w:rsid w:val="00C3171B"/>
    <w:rsid w:val="00C31933"/>
    <w:rsid w:val="00C31CB7"/>
    <w:rsid w:val="00C31CBB"/>
    <w:rsid w:val="00C31D45"/>
    <w:rsid w:val="00C31DC2"/>
    <w:rsid w:val="00C31E6F"/>
    <w:rsid w:val="00C31FD0"/>
    <w:rsid w:val="00C3202F"/>
    <w:rsid w:val="00C320A0"/>
    <w:rsid w:val="00C32247"/>
    <w:rsid w:val="00C324E5"/>
    <w:rsid w:val="00C32679"/>
    <w:rsid w:val="00C32798"/>
    <w:rsid w:val="00C32ACE"/>
    <w:rsid w:val="00C32B16"/>
    <w:rsid w:val="00C32BF9"/>
    <w:rsid w:val="00C32C0E"/>
    <w:rsid w:val="00C32C75"/>
    <w:rsid w:val="00C32D43"/>
    <w:rsid w:val="00C330C6"/>
    <w:rsid w:val="00C33133"/>
    <w:rsid w:val="00C3314B"/>
    <w:rsid w:val="00C3326F"/>
    <w:rsid w:val="00C332D2"/>
    <w:rsid w:val="00C3330E"/>
    <w:rsid w:val="00C334A0"/>
    <w:rsid w:val="00C3350D"/>
    <w:rsid w:val="00C3351E"/>
    <w:rsid w:val="00C3355D"/>
    <w:rsid w:val="00C336BE"/>
    <w:rsid w:val="00C336C8"/>
    <w:rsid w:val="00C336EA"/>
    <w:rsid w:val="00C338F5"/>
    <w:rsid w:val="00C33A26"/>
    <w:rsid w:val="00C33B1D"/>
    <w:rsid w:val="00C33DC3"/>
    <w:rsid w:val="00C33E0E"/>
    <w:rsid w:val="00C34236"/>
    <w:rsid w:val="00C34253"/>
    <w:rsid w:val="00C34256"/>
    <w:rsid w:val="00C342C0"/>
    <w:rsid w:val="00C34304"/>
    <w:rsid w:val="00C3452A"/>
    <w:rsid w:val="00C34585"/>
    <w:rsid w:val="00C346B5"/>
    <w:rsid w:val="00C346DF"/>
    <w:rsid w:val="00C3471D"/>
    <w:rsid w:val="00C348B0"/>
    <w:rsid w:val="00C348D8"/>
    <w:rsid w:val="00C34B36"/>
    <w:rsid w:val="00C34D50"/>
    <w:rsid w:val="00C34E70"/>
    <w:rsid w:val="00C34F90"/>
    <w:rsid w:val="00C34FC5"/>
    <w:rsid w:val="00C34FF9"/>
    <w:rsid w:val="00C35028"/>
    <w:rsid w:val="00C352C1"/>
    <w:rsid w:val="00C3567C"/>
    <w:rsid w:val="00C3569C"/>
    <w:rsid w:val="00C35863"/>
    <w:rsid w:val="00C35956"/>
    <w:rsid w:val="00C35977"/>
    <w:rsid w:val="00C35A0D"/>
    <w:rsid w:val="00C35BF6"/>
    <w:rsid w:val="00C35DD5"/>
    <w:rsid w:val="00C35DEA"/>
    <w:rsid w:val="00C35DFC"/>
    <w:rsid w:val="00C35E0B"/>
    <w:rsid w:val="00C35F06"/>
    <w:rsid w:val="00C360CD"/>
    <w:rsid w:val="00C36224"/>
    <w:rsid w:val="00C36305"/>
    <w:rsid w:val="00C363F1"/>
    <w:rsid w:val="00C36518"/>
    <w:rsid w:val="00C365F8"/>
    <w:rsid w:val="00C36AC7"/>
    <w:rsid w:val="00C36DDA"/>
    <w:rsid w:val="00C370EC"/>
    <w:rsid w:val="00C3714E"/>
    <w:rsid w:val="00C371F8"/>
    <w:rsid w:val="00C3720C"/>
    <w:rsid w:val="00C3721B"/>
    <w:rsid w:val="00C3725F"/>
    <w:rsid w:val="00C37381"/>
    <w:rsid w:val="00C37680"/>
    <w:rsid w:val="00C37887"/>
    <w:rsid w:val="00C37908"/>
    <w:rsid w:val="00C37C6E"/>
    <w:rsid w:val="00C37D25"/>
    <w:rsid w:val="00C37E70"/>
    <w:rsid w:val="00C37F4A"/>
    <w:rsid w:val="00C37F9A"/>
    <w:rsid w:val="00C40306"/>
    <w:rsid w:val="00C4060A"/>
    <w:rsid w:val="00C406B4"/>
    <w:rsid w:val="00C40704"/>
    <w:rsid w:val="00C4087D"/>
    <w:rsid w:val="00C40983"/>
    <w:rsid w:val="00C40C50"/>
    <w:rsid w:val="00C40C8E"/>
    <w:rsid w:val="00C40D60"/>
    <w:rsid w:val="00C40D7B"/>
    <w:rsid w:val="00C40E0F"/>
    <w:rsid w:val="00C40E6B"/>
    <w:rsid w:val="00C40E86"/>
    <w:rsid w:val="00C41303"/>
    <w:rsid w:val="00C41357"/>
    <w:rsid w:val="00C41472"/>
    <w:rsid w:val="00C4168E"/>
    <w:rsid w:val="00C417A6"/>
    <w:rsid w:val="00C41A9A"/>
    <w:rsid w:val="00C41EAE"/>
    <w:rsid w:val="00C423AF"/>
    <w:rsid w:val="00C42534"/>
    <w:rsid w:val="00C42535"/>
    <w:rsid w:val="00C42537"/>
    <w:rsid w:val="00C4256A"/>
    <w:rsid w:val="00C425B3"/>
    <w:rsid w:val="00C425C1"/>
    <w:rsid w:val="00C425E1"/>
    <w:rsid w:val="00C426F6"/>
    <w:rsid w:val="00C4281E"/>
    <w:rsid w:val="00C42961"/>
    <w:rsid w:val="00C42A20"/>
    <w:rsid w:val="00C42BFB"/>
    <w:rsid w:val="00C42D91"/>
    <w:rsid w:val="00C42F6C"/>
    <w:rsid w:val="00C42F85"/>
    <w:rsid w:val="00C430FA"/>
    <w:rsid w:val="00C431DA"/>
    <w:rsid w:val="00C4328A"/>
    <w:rsid w:val="00C432C3"/>
    <w:rsid w:val="00C43375"/>
    <w:rsid w:val="00C4344F"/>
    <w:rsid w:val="00C4366C"/>
    <w:rsid w:val="00C436CE"/>
    <w:rsid w:val="00C43AD9"/>
    <w:rsid w:val="00C43C1B"/>
    <w:rsid w:val="00C43C8E"/>
    <w:rsid w:val="00C43EFA"/>
    <w:rsid w:val="00C4415D"/>
    <w:rsid w:val="00C442EB"/>
    <w:rsid w:val="00C44363"/>
    <w:rsid w:val="00C44589"/>
    <w:rsid w:val="00C44771"/>
    <w:rsid w:val="00C447A3"/>
    <w:rsid w:val="00C4493F"/>
    <w:rsid w:val="00C44948"/>
    <w:rsid w:val="00C44A16"/>
    <w:rsid w:val="00C44A28"/>
    <w:rsid w:val="00C44CE5"/>
    <w:rsid w:val="00C44EBA"/>
    <w:rsid w:val="00C44F10"/>
    <w:rsid w:val="00C44FA2"/>
    <w:rsid w:val="00C45000"/>
    <w:rsid w:val="00C452A8"/>
    <w:rsid w:val="00C4543D"/>
    <w:rsid w:val="00C455B5"/>
    <w:rsid w:val="00C457A3"/>
    <w:rsid w:val="00C457CA"/>
    <w:rsid w:val="00C45B62"/>
    <w:rsid w:val="00C460DA"/>
    <w:rsid w:val="00C461EA"/>
    <w:rsid w:val="00C4620F"/>
    <w:rsid w:val="00C46228"/>
    <w:rsid w:val="00C46425"/>
    <w:rsid w:val="00C464FB"/>
    <w:rsid w:val="00C466A3"/>
    <w:rsid w:val="00C46AA2"/>
    <w:rsid w:val="00C46AF8"/>
    <w:rsid w:val="00C46B2D"/>
    <w:rsid w:val="00C46CEE"/>
    <w:rsid w:val="00C46E97"/>
    <w:rsid w:val="00C46F12"/>
    <w:rsid w:val="00C46FFA"/>
    <w:rsid w:val="00C471B2"/>
    <w:rsid w:val="00C471CC"/>
    <w:rsid w:val="00C471DF"/>
    <w:rsid w:val="00C472CF"/>
    <w:rsid w:val="00C475CE"/>
    <w:rsid w:val="00C47675"/>
    <w:rsid w:val="00C476F0"/>
    <w:rsid w:val="00C478EC"/>
    <w:rsid w:val="00C47922"/>
    <w:rsid w:val="00C479AA"/>
    <w:rsid w:val="00C47A11"/>
    <w:rsid w:val="00C47CFA"/>
    <w:rsid w:val="00C47EB8"/>
    <w:rsid w:val="00C47F13"/>
    <w:rsid w:val="00C47F9D"/>
    <w:rsid w:val="00C50102"/>
    <w:rsid w:val="00C501FA"/>
    <w:rsid w:val="00C502B3"/>
    <w:rsid w:val="00C50319"/>
    <w:rsid w:val="00C5031C"/>
    <w:rsid w:val="00C5080B"/>
    <w:rsid w:val="00C50821"/>
    <w:rsid w:val="00C50B44"/>
    <w:rsid w:val="00C50B8E"/>
    <w:rsid w:val="00C50D23"/>
    <w:rsid w:val="00C50EAE"/>
    <w:rsid w:val="00C50EE8"/>
    <w:rsid w:val="00C51008"/>
    <w:rsid w:val="00C512A0"/>
    <w:rsid w:val="00C51573"/>
    <w:rsid w:val="00C515CD"/>
    <w:rsid w:val="00C51656"/>
    <w:rsid w:val="00C51837"/>
    <w:rsid w:val="00C518DF"/>
    <w:rsid w:val="00C51A17"/>
    <w:rsid w:val="00C51E15"/>
    <w:rsid w:val="00C5204D"/>
    <w:rsid w:val="00C52092"/>
    <w:rsid w:val="00C5214E"/>
    <w:rsid w:val="00C522FF"/>
    <w:rsid w:val="00C52493"/>
    <w:rsid w:val="00C52497"/>
    <w:rsid w:val="00C52521"/>
    <w:rsid w:val="00C526E7"/>
    <w:rsid w:val="00C529D6"/>
    <w:rsid w:val="00C52AB9"/>
    <w:rsid w:val="00C52EC0"/>
    <w:rsid w:val="00C52F38"/>
    <w:rsid w:val="00C53017"/>
    <w:rsid w:val="00C5305F"/>
    <w:rsid w:val="00C5310F"/>
    <w:rsid w:val="00C53282"/>
    <w:rsid w:val="00C532FA"/>
    <w:rsid w:val="00C532FF"/>
    <w:rsid w:val="00C534BB"/>
    <w:rsid w:val="00C53511"/>
    <w:rsid w:val="00C53759"/>
    <w:rsid w:val="00C5376B"/>
    <w:rsid w:val="00C5395B"/>
    <w:rsid w:val="00C539AA"/>
    <w:rsid w:val="00C53B7E"/>
    <w:rsid w:val="00C53D13"/>
    <w:rsid w:val="00C53FC0"/>
    <w:rsid w:val="00C54232"/>
    <w:rsid w:val="00C542F2"/>
    <w:rsid w:val="00C54720"/>
    <w:rsid w:val="00C54ACC"/>
    <w:rsid w:val="00C54C59"/>
    <w:rsid w:val="00C54DFE"/>
    <w:rsid w:val="00C54EF2"/>
    <w:rsid w:val="00C54F37"/>
    <w:rsid w:val="00C54F63"/>
    <w:rsid w:val="00C550FB"/>
    <w:rsid w:val="00C55491"/>
    <w:rsid w:val="00C556BB"/>
    <w:rsid w:val="00C556D5"/>
    <w:rsid w:val="00C55850"/>
    <w:rsid w:val="00C5599E"/>
    <w:rsid w:val="00C55AA8"/>
    <w:rsid w:val="00C55DE5"/>
    <w:rsid w:val="00C55EBA"/>
    <w:rsid w:val="00C55FA7"/>
    <w:rsid w:val="00C5611D"/>
    <w:rsid w:val="00C562BE"/>
    <w:rsid w:val="00C563D1"/>
    <w:rsid w:val="00C563D7"/>
    <w:rsid w:val="00C56422"/>
    <w:rsid w:val="00C56581"/>
    <w:rsid w:val="00C56705"/>
    <w:rsid w:val="00C567FF"/>
    <w:rsid w:val="00C568AE"/>
    <w:rsid w:val="00C56AF0"/>
    <w:rsid w:val="00C56B41"/>
    <w:rsid w:val="00C56C96"/>
    <w:rsid w:val="00C56F4A"/>
    <w:rsid w:val="00C56F7A"/>
    <w:rsid w:val="00C57068"/>
    <w:rsid w:val="00C5731A"/>
    <w:rsid w:val="00C573EB"/>
    <w:rsid w:val="00C576E0"/>
    <w:rsid w:val="00C576E3"/>
    <w:rsid w:val="00C57923"/>
    <w:rsid w:val="00C57A17"/>
    <w:rsid w:val="00C57ACE"/>
    <w:rsid w:val="00C57B3B"/>
    <w:rsid w:val="00C57B89"/>
    <w:rsid w:val="00C57E47"/>
    <w:rsid w:val="00C60012"/>
    <w:rsid w:val="00C60032"/>
    <w:rsid w:val="00C600EB"/>
    <w:rsid w:val="00C60177"/>
    <w:rsid w:val="00C6033B"/>
    <w:rsid w:val="00C60468"/>
    <w:rsid w:val="00C60D87"/>
    <w:rsid w:val="00C60F3D"/>
    <w:rsid w:val="00C6104E"/>
    <w:rsid w:val="00C611D8"/>
    <w:rsid w:val="00C61485"/>
    <w:rsid w:val="00C614B3"/>
    <w:rsid w:val="00C61543"/>
    <w:rsid w:val="00C6162E"/>
    <w:rsid w:val="00C61717"/>
    <w:rsid w:val="00C618B0"/>
    <w:rsid w:val="00C619E2"/>
    <w:rsid w:val="00C61A0C"/>
    <w:rsid w:val="00C61A12"/>
    <w:rsid w:val="00C61AE4"/>
    <w:rsid w:val="00C61DD2"/>
    <w:rsid w:val="00C61F4B"/>
    <w:rsid w:val="00C62043"/>
    <w:rsid w:val="00C620D3"/>
    <w:rsid w:val="00C62135"/>
    <w:rsid w:val="00C62215"/>
    <w:rsid w:val="00C622E2"/>
    <w:rsid w:val="00C628BC"/>
    <w:rsid w:val="00C62B4E"/>
    <w:rsid w:val="00C62B9E"/>
    <w:rsid w:val="00C62BE9"/>
    <w:rsid w:val="00C62C49"/>
    <w:rsid w:val="00C62CE5"/>
    <w:rsid w:val="00C62D9B"/>
    <w:rsid w:val="00C62E96"/>
    <w:rsid w:val="00C62F6C"/>
    <w:rsid w:val="00C6303A"/>
    <w:rsid w:val="00C630F9"/>
    <w:rsid w:val="00C63242"/>
    <w:rsid w:val="00C632E0"/>
    <w:rsid w:val="00C63648"/>
    <w:rsid w:val="00C637BC"/>
    <w:rsid w:val="00C6383D"/>
    <w:rsid w:val="00C638B4"/>
    <w:rsid w:val="00C6397D"/>
    <w:rsid w:val="00C63998"/>
    <w:rsid w:val="00C63A08"/>
    <w:rsid w:val="00C63A7C"/>
    <w:rsid w:val="00C63B78"/>
    <w:rsid w:val="00C63D0F"/>
    <w:rsid w:val="00C63E5D"/>
    <w:rsid w:val="00C63E6E"/>
    <w:rsid w:val="00C63FD6"/>
    <w:rsid w:val="00C64070"/>
    <w:rsid w:val="00C642B7"/>
    <w:rsid w:val="00C644E2"/>
    <w:rsid w:val="00C647C7"/>
    <w:rsid w:val="00C647E9"/>
    <w:rsid w:val="00C64963"/>
    <w:rsid w:val="00C649D6"/>
    <w:rsid w:val="00C64A94"/>
    <w:rsid w:val="00C64D60"/>
    <w:rsid w:val="00C64DF0"/>
    <w:rsid w:val="00C64E2A"/>
    <w:rsid w:val="00C64EBC"/>
    <w:rsid w:val="00C65130"/>
    <w:rsid w:val="00C65139"/>
    <w:rsid w:val="00C6542B"/>
    <w:rsid w:val="00C655CD"/>
    <w:rsid w:val="00C65654"/>
    <w:rsid w:val="00C656EA"/>
    <w:rsid w:val="00C6572F"/>
    <w:rsid w:val="00C6575E"/>
    <w:rsid w:val="00C65C0E"/>
    <w:rsid w:val="00C65DD5"/>
    <w:rsid w:val="00C65E59"/>
    <w:rsid w:val="00C65F45"/>
    <w:rsid w:val="00C6657D"/>
    <w:rsid w:val="00C665F1"/>
    <w:rsid w:val="00C66AD4"/>
    <w:rsid w:val="00C66B8C"/>
    <w:rsid w:val="00C66BAC"/>
    <w:rsid w:val="00C66BBD"/>
    <w:rsid w:val="00C6706B"/>
    <w:rsid w:val="00C67317"/>
    <w:rsid w:val="00C673F1"/>
    <w:rsid w:val="00C67434"/>
    <w:rsid w:val="00C6750C"/>
    <w:rsid w:val="00C67606"/>
    <w:rsid w:val="00C67698"/>
    <w:rsid w:val="00C6773C"/>
    <w:rsid w:val="00C6779D"/>
    <w:rsid w:val="00C679B2"/>
    <w:rsid w:val="00C67C02"/>
    <w:rsid w:val="00C67D56"/>
    <w:rsid w:val="00C67DCC"/>
    <w:rsid w:val="00C67EA5"/>
    <w:rsid w:val="00C7013C"/>
    <w:rsid w:val="00C70255"/>
    <w:rsid w:val="00C703DD"/>
    <w:rsid w:val="00C7065D"/>
    <w:rsid w:val="00C70903"/>
    <w:rsid w:val="00C70B77"/>
    <w:rsid w:val="00C70D53"/>
    <w:rsid w:val="00C70F3B"/>
    <w:rsid w:val="00C71229"/>
    <w:rsid w:val="00C712C3"/>
    <w:rsid w:val="00C714E1"/>
    <w:rsid w:val="00C71552"/>
    <w:rsid w:val="00C715C8"/>
    <w:rsid w:val="00C71735"/>
    <w:rsid w:val="00C7177D"/>
    <w:rsid w:val="00C71A77"/>
    <w:rsid w:val="00C71BBC"/>
    <w:rsid w:val="00C71BC8"/>
    <w:rsid w:val="00C71F46"/>
    <w:rsid w:val="00C71FBF"/>
    <w:rsid w:val="00C7212A"/>
    <w:rsid w:val="00C725CF"/>
    <w:rsid w:val="00C72714"/>
    <w:rsid w:val="00C7288C"/>
    <w:rsid w:val="00C72B10"/>
    <w:rsid w:val="00C72CE7"/>
    <w:rsid w:val="00C72D05"/>
    <w:rsid w:val="00C72D45"/>
    <w:rsid w:val="00C72F61"/>
    <w:rsid w:val="00C730FA"/>
    <w:rsid w:val="00C73322"/>
    <w:rsid w:val="00C7355D"/>
    <w:rsid w:val="00C73594"/>
    <w:rsid w:val="00C73666"/>
    <w:rsid w:val="00C73678"/>
    <w:rsid w:val="00C7387D"/>
    <w:rsid w:val="00C738F5"/>
    <w:rsid w:val="00C73D66"/>
    <w:rsid w:val="00C73F05"/>
    <w:rsid w:val="00C740BE"/>
    <w:rsid w:val="00C7410A"/>
    <w:rsid w:val="00C74131"/>
    <w:rsid w:val="00C741CC"/>
    <w:rsid w:val="00C7448A"/>
    <w:rsid w:val="00C7449D"/>
    <w:rsid w:val="00C74592"/>
    <w:rsid w:val="00C74646"/>
    <w:rsid w:val="00C7496B"/>
    <w:rsid w:val="00C7497E"/>
    <w:rsid w:val="00C74AA6"/>
    <w:rsid w:val="00C74D0B"/>
    <w:rsid w:val="00C74DBE"/>
    <w:rsid w:val="00C74DFF"/>
    <w:rsid w:val="00C74E14"/>
    <w:rsid w:val="00C74E5A"/>
    <w:rsid w:val="00C74F83"/>
    <w:rsid w:val="00C74FED"/>
    <w:rsid w:val="00C74FF3"/>
    <w:rsid w:val="00C75083"/>
    <w:rsid w:val="00C7583C"/>
    <w:rsid w:val="00C7587A"/>
    <w:rsid w:val="00C75A8D"/>
    <w:rsid w:val="00C75BB0"/>
    <w:rsid w:val="00C75E2E"/>
    <w:rsid w:val="00C7612D"/>
    <w:rsid w:val="00C762A0"/>
    <w:rsid w:val="00C76536"/>
    <w:rsid w:val="00C76898"/>
    <w:rsid w:val="00C7694B"/>
    <w:rsid w:val="00C76C3B"/>
    <w:rsid w:val="00C76C9C"/>
    <w:rsid w:val="00C76D85"/>
    <w:rsid w:val="00C76D95"/>
    <w:rsid w:val="00C76E67"/>
    <w:rsid w:val="00C77071"/>
    <w:rsid w:val="00C7716D"/>
    <w:rsid w:val="00C7718D"/>
    <w:rsid w:val="00C771B4"/>
    <w:rsid w:val="00C77291"/>
    <w:rsid w:val="00C77942"/>
    <w:rsid w:val="00C77AD1"/>
    <w:rsid w:val="00C77C46"/>
    <w:rsid w:val="00C77D46"/>
    <w:rsid w:val="00C77EE2"/>
    <w:rsid w:val="00C77F9C"/>
    <w:rsid w:val="00C80012"/>
    <w:rsid w:val="00C800DB"/>
    <w:rsid w:val="00C801A7"/>
    <w:rsid w:val="00C802AC"/>
    <w:rsid w:val="00C80303"/>
    <w:rsid w:val="00C803BB"/>
    <w:rsid w:val="00C806C8"/>
    <w:rsid w:val="00C80720"/>
    <w:rsid w:val="00C8080B"/>
    <w:rsid w:val="00C80855"/>
    <w:rsid w:val="00C808A5"/>
    <w:rsid w:val="00C809FB"/>
    <w:rsid w:val="00C80D31"/>
    <w:rsid w:val="00C80E03"/>
    <w:rsid w:val="00C80E15"/>
    <w:rsid w:val="00C80EF4"/>
    <w:rsid w:val="00C80F25"/>
    <w:rsid w:val="00C80FD0"/>
    <w:rsid w:val="00C81250"/>
    <w:rsid w:val="00C81279"/>
    <w:rsid w:val="00C813E6"/>
    <w:rsid w:val="00C81695"/>
    <w:rsid w:val="00C81699"/>
    <w:rsid w:val="00C817F3"/>
    <w:rsid w:val="00C81857"/>
    <w:rsid w:val="00C818DA"/>
    <w:rsid w:val="00C81C94"/>
    <w:rsid w:val="00C81D11"/>
    <w:rsid w:val="00C81E50"/>
    <w:rsid w:val="00C81EC7"/>
    <w:rsid w:val="00C82072"/>
    <w:rsid w:val="00C823C7"/>
    <w:rsid w:val="00C823DC"/>
    <w:rsid w:val="00C82416"/>
    <w:rsid w:val="00C8284F"/>
    <w:rsid w:val="00C82967"/>
    <w:rsid w:val="00C82A23"/>
    <w:rsid w:val="00C82BD1"/>
    <w:rsid w:val="00C82C33"/>
    <w:rsid w:val="00C82C61"/>
    <w:rsid w:val="00C82C8F"/>
    <w:rsid w:val="00C82DA8"/>
    <w:rsid w:val="00C83093"/>
    <w:rsid w:val="00C83096"/>
    <w:rsid w:val="00C830F0"/>
    <w:rsid w:val="00C839E3"/>
    <w:rsid w:val="00C84064"/>
    <w:rsid w:val="00C84310"/>
    <w:rsid w:val="00C84321"/>
    <w:rsid w:val="00C84527"/>
    <w:rsid w:val="00C84576"/>
    <w:rsid w:val="00C847F4"/>
    <w:rsid w:val="00C848A7"/>
    <w:rsid w:val="00C84AF1"/>
    <w:rsid w:val="00C84BD2"/>
    <w:rsid w:val="00C84FE7"/>
    <w:rsid w:val="00C8503F"/>
    <w:rsid w:val="00C85060"/>
    <w:rsid w:val="00C85260"/>
    <w:rsid w:val="00C85269"/>
    <w:rsid w:val="00C85317"/>
    <w:rsid w:val="00C85356"/>
    <w:rsid w:val="00C854D9"/>
    <w:rsid w:val="00C8550A"/>
    <w:rsid w:val="00C85663"/>
    <w:rsid w:val="00C85683"/>
    <w:rsid w:val="00C85719"/>
    <w:rsid w:val="00C8594E"/>
    <w:rsid w:val="00C85B06"/>
    <w:rsid w:val="00C85D10"/>
    <w:rsid w:val="00C85D49"/>
    <w:rsid w:val="00C85FC6"/>
    <w:rsid w:val="00C86063"/>
    <w:rsid w:val="00C86081"/>
    <w:rsid w:val="00C862A1"/>
    <w:rsid w:val="00C862BB"/>
    <w:rsid w:val="00C86346"/>
    <w:rsid w:val="00C86356"/>
    <w:rsid w:val="00C8646D"/>
    <w:rsid w:val="00C86528"/>
    <w:rsid w:val="00C86533"/>
    <w:rsid w:val="00C8665F"/>
    <w:rsid w:val="00C866EF"/>
    <w:rsid w:val="00C86709"/>
    <w:rsid w:val="00C86962"/>
    <w:rsid w:val="00C86F76"/>
    <w:rsid w:val="00C870F9"/>
    <w:rsid w:val="00C8728F"/>
    <w:rsid w:val="00C87307"/>
    <w:rsid w:val="00C87719"/>
    <w:rsid w:val="00C87A24"/>
    <w:rsid w:val="00C87AAA"/>
    <w:rsid w:val="00C87C81"/>
    <w:rsid w:val="00C87D94"/>
    <w:rsid w:val="00C87E09"/>
    <w:rsid w:val="00C87EE0"/>
    <w:rsid w:val="00C90114"/>
    <w:rsid w:val="00C9021D"/>
    <w:rsid w:val="00C9023D"/>
    <w:rsid w:val="00C9023E"/>
    <w:rsid w:val="00C9033A"/>
    <w:rsid w:val="00C906F5"/>
    <w:rsid w:val="00C9081C"/>
    <w:rsid w:val="00C9094E"/>
    <w:rsid w:val="00C90964"/>
    <w:rsid w:val="00C90B8B"/>
    <w:rsid w:val="00C90C56"/>
    <w:rsid w:val="00C90C8F"/>
    <w:rsid w:val="00C90CC0"/>
    <w:rsid w:val="00C90CF5"/>
    <w:rsid w:val="00C90EB2"/>
    <w:rsid w:val="00C90EC7"/>
    <w:rsid w:val="00C90F8B"/>
    <w:rsid w:val="00C91081"/>
    <w:rsid w:val="00C912B1"/>
    <w:rsid w:val="00C912B3"/>
    <w:rsid w:val="00C9135A"/>
    <w:rsid w:val="00C91428"/>
    <w:rsid w:val="00C917D3"/>
    <w:rsid w:val="00C91832"/>
    <w:rsid w:val="00C91892"/>
    <w:rsid w:val="00C91947"/>
    <w:rsid w:val="00C91B16"/>
    <w:rsid w:val="00C91C6A"/>
    <w:rsid w:val="00C91D0F"/>
    <w:rsid w:val="00C91D7C"/>
    <w:rsid w:val="00C91DFA"/>
    <w:rsid w:val="00C91FA4"/>
    <w:rsid w:val="00C9209D"/>
    <w:rsid w:val="00C92204"/>
    <w:rsid w:val="00C9239C"/>
    <w:rsid w:val="00C92449"/>
    <w:rsid w:val="00C92924"/>
    <w:rsid w:val="00C929B7"/>
    <w:rsid w:val="00C929EE"/>
    <w:rsid w:val="00C92BA7"/>
    <w:rsid w:val="00C92BC4"/>
    <w:rsid w:val="00C92C45"/>
    <w:rsid w:val="00C92E2E"/>
    <w:rsid w:val="00C930D2"/>
    <w:rsid w:val="00C9330C"/>
    <w:rsid w:val="00C933FC"/>
    <w:rsid w:val="00C9369A"/>
    <w:rsid w:val="00C9373A"/>
    <w:rsid w:val="00C93765"/>
    <w:rsid w:val="00C93967"/>
    <w:rsid w:val="00C939C2"/>
    <w:rsid w:val="00C94137"/>
    <w:rsid w:val="00C942A8"/>
    <w:rsid w:val="00C94332"/>
    <w:rsid w:val="00C94642"/>
    <w:rsid w:val="00C94B12"/>
    <w:rsid w:val="00C94C5D"/>
    <w:rsid w:val="00C94EAE"/>
    <w:rsid w:val="00C94ECE"/>
    <w:rsid w:val="00C94F10"/>
    <w:rsid w:val="00C94FC6"/>
    <w:rsid w:val="00C9534A"/>
    <w:rsid w:val="00C954F3"/>
    <w:rsid w:val="00C956DD"/>
    <w:rsid w:val="00C95828"/>
    <w:rsid w:val="00C95840"/>
    <w:rsid w:val="00C9585A"/>
    <w:rsid w:val="00C9586C"/>
    <w:rsid w:val="00C958CA"/>
    <w:rsid w:val="00C95930"/>
    <w:rsid w:val="00C95A94"/>
    <w:rsid w:val="00C95BAB"/>
    <w:rsid w:val="00C95D32"/>
    <w:rsid w:val="00C95E3D"/>
    <w:rsid w:val="00C95E4C"/>
    <w:rsid w:val="00C95ED2"/>
    <w:rsid w:val="00C95F4E"/>
    <w:rsid w:val="00C95F87"/>
    <w:rsid w:val="00C95F88"/>
    <w:rsid w:val="00C95FBA"/>
    <w:rsid w:val="00C961F7"/>
    <w:rsid w:val="00C962D5"/>
    <w:rsid w:val="00C9641C"/>
    <w:rsid w:val="00C964D4"/>
    <w:rsid w:val="00C96BB1"/>
    <w:rsid w:val="00C96DCA"/>
    <w:rsid w:val="00C97157"/>
    <w:rsid w:val="00C9729E"/>
    <w:rsid w:val="00C97323"/>
    <w:rsid w:val="00C973A3"/>
    <w:rsid w:val="00C9775A"/>
    <w:rsid w:val="00C977B1"/>
    <w:rsid w:val="00C977DE"/>
    <w:rsid w:val="00C97968"/>
    <w:rsid w:val="00C979AA"/>
    <w:rsid w:val="00C97AC3"/>
    <w:rsid w:val="00C97BF9"/>
    <w:rsid w:val="00C97D8C"/>
    <w:rsid w:val="00C97D90"/>
    <w:rsid w:val="00C97E4C"/>
    <w:rsid w:val="00C97F1F"/>
    <w:rsid w:val="00C97FFB"/>
    <w:rsid w:val="00C99AC1"/>
    <w:rsid w:val="00CA0047"/>
    <w:rsid w:val="00CA0226"/>
    <w:rsid w:val="00CA0376"/>
    <w:rsid w:val="00CA0428"/>
    <w:rsid w:val="00CA04D1"/>
    <w:rsid w:val="00CA04FA"/>
    <w:rsid w:val="00CA04FF"/>
    <w:rsid w:val="00CA052C"/>
    <w:rsid w:val="00CA0601"/>
    <w:rsid w:val="00CA061F"/>
    <w:rsid w:val="00CA06A3"/>
    <w:rsid w:val="00CA06A4"/>
    <w:rsid w:val="00CA08F8"/>
    <w:rsid w:val="00CA0925"/>
    <w:rsid w:val="00CA0C6D"/>
    <w:rsid w:val="00CA0C76"/>
    <w:rsid w:val="00CA0DCD"/>
    <w:rsid w:val="00CA0E88"/>
    <w:rsid w:val="00CA0FC0"/>
    <w:rsid w:val="00CA1048"/>
    <w:rsid w:val="00CA11AF"/>
    <w:rsid w:val="00CA11BE"/>
    <w:rsid w:val="00CA1245"/>
    <w:rsid w:val="00CA13F2"/>
    <w:rsid w:val="00CA1420"/>
    <w:rsid w:val="00CA1596"/>
    <w:rsid w:val="00CA1628"/>
    <w:rsid w:val="00CA195B"/>
    <w:rsid w:val="00CA1991"/>
    <w:rsid w:val="00CA1B51"/>
    <w:rsid w:val="00CA1B93"/>
    <w:rsid w:val="00CA1BE0"/>
    <w:rsid w:val="00CA1E0E"/>
    <w:rsid w:val="00CA1F9C"/>
    <w:rsid w:val="00CA1FAE"/>
    <w:rsid w:val="00CA2071"/>
    <w:rsid w:val="00CA2208"/>
    <w:rsid w:val="00CA2309"/>
    <w:rsid w:val="00CA2348"/>
    <w:rsid w:val="00CA2390"/>
    <w:rsid w:val="00CA2701"/>
    <w:rsid w:val="00CA27AB"/>
    <w:rsid w:val="00CA2935"/>
    <w:rsid w:val="00CA2956"/>
    <w:rsid w:val="00CA29B8"/>
    <w:rsid w:val="00CA2B21"/>
    <w:rsid w:val="00CA2B84"/>
    <w:rsid w:val="00CA2D41"/>
    <w:rsid w:val="00CA2E86"/>
    <w:rsid w:val="00CA2F4A"/>
    <w:rsid w:val="00CA2FAF"/>
    <w:rsid w:val="00CA2FB7"/>
    <w:rsid w:val="00CA2FDF"/>
    <w:rsid w:val="00CA300E"/>
    <w:rsid w:val="00CA3094"/>
    <w:rsid w:val="00CA335E"/>
    <w:rsid w:val="00CA33C4"/>
    <w:rsid w:val="00CA3571"/>
    <w:rsid w:val="00CA361F"/>
    <w:rsid w:val="00CA369F"/>
    <w:rsid w:val="00CA3816"/>
    <w:rsid w:val="00CA389F"/>
    <w:rsid w:val="00CA38AB"/>
    <w:rsid w:val="00CA390F"/>
    <w:rsid w:val="00CA3950"/>
    <w:rsid w:val="00CA3A50"/>
    <w:rsid w:val="00CA3A9B"/>
    <w:rsid w:val="00CA3AA0"/>
    <w:rsid w:val="00CA3AF3"/>
    <w:rsid w:val="00CA3B6D"/>
    <w:rsid w:val="00CA3C13"/>
    <w:rsid w:val="00CA3CBD"/>
    <w:rsid w:val="00CA3D3F"/>
    <w:rsid w:val="00CA3DCA"/>
    <w:rsid w:val="00CA3E48"/>
    <w:rsid w:val="00CA3E67"/>
    <w:rsid w:val="00CA418C"/>
    <w:rsid w:val="00CA46AA"/>
    <w:rsid w:val="00CA475E"/>
    <w:rsid w:val="00CA4BA1"/>
    <w:rsid w:val="00CA4C03"/>
    <w:rsid w:val="00CA4EC8"/>
    <w:rsid w:val="00CA4ECF"/>
    <w:rsid w:val="00CA4F61"/>
    <w:rsid w:val="00CA5120"/>
    <w:rsid w:val="00CA525E"/>
    <w:rsid w:val="00CA54EF"/>
    <w:rsid w:val="00CA5588"/>
    <w:rsid w:val="00CA55C1"/>
    <w:rsid w:val="00CA5643"/>
    <w:rsid w:val="00CA569B"/>
    <w:rsid w:val="00CA5734"/>
    <w:rsid w:val="00CA5B82"/>
    <w:rsid w:val="00CA5CD6"/>
    <w:rsid w:val="00CA5CEF"/>
    <w:rsid w:val="00CA5DF4"/>
    <w:rsid w:val="00CA60F0"/>
    <w:rsid w:val="00CA6160"/>
    <w:rsid w:val="00CA62AD"/>
    <w:rsid w:val="00CA634F"/>
    <w:rsid w:val="00CA660E"/>
    <w:rsid w:val="00CA666C"/>
    <w:rsid w:val="00CA66AE"/>
    <w:rsid w:val="00CA6882"/>
    <w:rsid w:val="00CA6BA6"/>
    <w:rsid w:val="00CA6C7A"/>
    <w:rsid w:val="00CA6CC8"/>
    <w:rsid w:val="00CA6D0C"/>
    <w:rsid w:val="00CA6E6F"/>
    <w:rsid w:val="00CA70B1"/>
    <w:rsid w:val="00CA7297"/>
    <w:rsid w:val="00CA73E7"/>
    <w:rsid w:val="00CA7B88"/>
    <w:rsid w:val="00CA7BE3"/>
    <w:rsid w:val="00CA7E02"/>
    <w:rsid w:val="00CA7E52"/>
    <w:rsid w:val="00CA7EB5"/>
    <w:rsid w:val="00CA7F6F"/>
    <w:rsid w:val="00CB0474"/>
    <w:rsid w:val="00CB0C6E"/>
    <w:rsid w:val="00CB0E3E"/>
    <w:rsid w:val="00CB0F60"/>
    <w:rsid w:val="00CB0F8D"/>
    <w:rsid w:val="00CB0FFE"/>
    <w:rsid w:val="00CB11ED"/>
    <w:rsid w:val="00CB1253"/>
    <w:rsid w:val="00CB1363"/>
    <w:rsid w:val="00CB15C7"/>
    <w:rsid w:val="00CB15DA"/>
    <w:rsid w:val="00CB169D"/>
    <w:rsid w:val="00CB18C7"/>
    <w:rsid w:val="00CB1CD9"/>
    <w:rsid w:val="00CB1EE7"/>
    <w:rsid w:val="00CB1F4F"/>
    <w:rsid w:val="00CB1F79"/>
    <w:rsid w:val="00CB20EC"/>
    <w:rsid w:val="00CB2296"/>
    <w:rsid w:val="00CB2565"/>
    <w:rsid w:val="00CB25A0"/>
    <w:rsid w:val="00CB273C"/>
    <w:rsid w:val="00CB2770"/>
    <w:rsid w:val="00CB278A"/>
    <w:rsid w:val="00CB2814"/>
    <w:rsid w:val="00CB2A80"/>
    <w:rsid w:val="00CB2B7C"/>
    <w:rsid w:val="00CB2C6C"/>
    <w:rsid w:val="00CB2F58"/>
    <w:rsid w:val="00CB32A2"/>
    <w:rsid w:val="00CB32BD"/>
    <w:rsid w:val="00CB3411"/>
    <w:rsid w:val="00CB342C"/>
    <w:rsid w:val="00CB342E"/>
    <w:rsid w:val="00CB37A5"/>
    <w:rsid w:val="00CB37F9"/>
    <w:rsid w:val="00CB3B31"/>
    <w:rsid w:val="00CB3BE2"/>
    <w:rsid w:val="00CB3BFC"/>
    <w:rsid w:val="00CB3C02"/>
    <w:rsid w:val="00CB3DAD"/>
    <w:rsid w:val="00CB3EBC"/>
    <w:rsid w:val="00CB42B9"/>
    <w:rsid w:val="00CB4360"/>
    <w:rsid w:val="00CB45B1"/>
    <w:rsid w:val="00CB4674"/>
    <w:rsid w:val="00CB4747"/>
    <w:rsid w:val="00CB4783"/>
    <w:rsid w:val="00CB4808"/>
    <w:rsid w:val="00CB4947"/>
    <w:rsid w:val="00CB4A78"/>
    <w:rsid w:val="00CB4AC8"/>
    <w:rsid w:val="00CB4BE8"/>
    <w:rsid w:val="00CB4C3C"/>
    <w:rsid w:val="00CB4DB3"/>
    <w:rsid w:val="00CB50FF"/>
    <w:rsid w:val="00CB51B4"/>
    <w:rsid w:val="00CB5542"/>
    <w:rsid w:val="00CB5792"/>
    <w:rsid w:val="00CB5B88"/>
    <w:rsid w:val="00CB5BE5"/>
    <w:rsid w:val="00CB5C21"/>
    <w:rsid w:val="00CB5FC9"/>
    <w:rsid w:val="00CB60F4"/>
    <w:rsid w:val="00CB61B0"/>
    <w:rsid w:val="00CB6274"/>
    <w:rsid w:val="00CB63D1"/>
    <w:rsid w:val="00CB6401"/>
    <w:rsid w:val="00CB667A"/>
    <w:rsid w:val="00CB66C5"/>
    <w:rsid w:val="00CB66E0"/>
    <w:rsid w:val="00CB6810"/>
    <w:rsid w:val="00CB6988"/>
    <w:rsid w:val="00CB6A35"/>
    <w:rsid w:val="00CB6C00"/>
    <w:rsid w:val="00CB6C9E"/>
    <w:rsid w:val="00CB6DB5"/>
    <w:rsid w:val="00CB6DE4"/>
    <w:rsid w:val="00CB6E2D"/>
    <w:rsid w:val="00CB7045"/>
    <w:rsid w:val="00CB7057"/>
    <w:rsid w:val="00CB71F0"/>
    <w:rsid w:val="00CB730B"/>
    <w:rsid w:val="00CB73DD"/>
    <w:rsid w:val="00CB7589"/>
    <w:rsid w:val="00CB77F5"/>
    <w:rsid w:val="00CB787E"/>
    <w:rsid w:val="00CB78A0"/>
    <w:rsid w:val="00CB78CD"/>
    <w:rsid w:val="00CB7977"/>
    <w:rsid w:val="00CB7A36"/>
    <w:rsid w:val="00CB7C47"/>
    <w:rsid w:val="00CB7DB8"/>
    <w:rsid w:val="00CB7F01"/>
    <w:rsid w:val="00CC014D"/>
    <w:rsid w:val="00CC01A9"/>
    <w:rsid w:val="00CC0239"/>
    <w:rsid w:val="00CC026E"/>
    <w:rsid w:val="00CC0397"/>
    <w:rsid w:val="00CC0533"/>
    <w:rsid w:val="00CC07AC"/>
    <w:rsid w:val="00CC08CD"/>
    <w:rsid w:val="00CC0A4B"/>
    <w:rsid w:val="00CC0B5A"/>
    <w:rsid w:val="00CC0BD9"/>
    <w:rsid w:val="00CC0D94"/>
    <w:rsid w:val="00CC1003"/>
    <w:rsid w:val="00CC1205"/>
    <w:rsid w:val="00CC1550"/>
    <w:rsid w:val="00CC15BA"/>
    <w:rsid w:val="00CC1763"/>
    <w:rsid w:val="00CC1A79"/>
    <w:rsid w:val="00CC1B6B"/>
    <w:rsid w:val="00CC1D35"/>
    <w:rsid w:val="00CC1D58"/>
    <w:rsid w:val="00CC1FA1"/>
    <w:rsid w:val="00CC2260"/>
    <w:rsid w:val="00CC23A7"/>
    <w:rsid w:val="00CC242F"/>
    <w:rsid w:val="00CC2577"/>
    <w:rsid w:val="00CC25CF"/>
    <w:rsid w:val="00CC2637"/>
    <w:rsid w:val="00CC267F"/>
    <w:rsid w:val="00CC2694"/>
    <w:rsid w:val="00CC2CC0"/>
    <w:rsid w:val="00CC2CC4"/>
    <w:rsid w:val="00CC2CE0"/>
    <w:rsid w:val="00CC2E6B"/>
    <w:rsid w:val="00CC32AF"/>
    <w:rsid w:val="00CC32ED"/>
    <w:rsid w:val="00CC336D"/>
    <w:rsid w:val="00CC357D"/>
    <w:rsid w:val="00CC366F"/>
    <w:rsid w:val="00CC3962"/>
    <w:rsid w:val="00CC396E"/>
    <w:rsid w:val="00CC39D1"/>
    <w:rsid w:val="00CC3AA1"/>
    <w:rsid w:val="00CC3B8E"/>
    <w:rsid w:val="00CC3C04"/>
    <w:rsid w:val="00CC3CA9"/>
    <w:rsid w:val="00CC3D73"/>
    <w:rsid w:val="00CC3E79"/>
    <w:rsid w:val="00CC3EF5"/>
    <w:rsid w:val="00CC40B3"/>
    <w:rsid w:val="00CC4269"/>
    <w:rsid w:val="00CC45F4"/>
    <w:rsid w:val="00CC481B"/>
    <w:rsid w:val="00CC4979"/>
    <w:rsid w:val="00CC4AF6"/>
    <w:rsid w:val="00CC4C77"/>
    <w:rsid w:val="00CC53C3"/>
    <w:rsid w:val="00CC55C4"/>
    <w:rsid w:val="00CC581A"/>
    <w:rsid w:val="00CC5910"/>
    <w:rsid w:val="00CC601A"/>
    <w:rsid w:val="00CC6036"/>
    <w:rsid w:val="00CC61A8"/>
    <w:rsid w:val="00CC633B"/>
    <w:rsid w:val="00CC6411"/>
    <w:rsid w:val="00CC6492"/>
    <w:rsid w:val="00CC65A6"/>
    <w:rsid w:val="00CC6872"/>
    <w:rsid w:val="00CC6A10"/>
    <w:rsid w:val="00CC6BEE"/>
    <w:rsid w:val="00CC6C33"/>
    <w:rsid w:val="00CC6C48"/>
    <w:rsid w:val="00CC6C67"/>
    <w:rsid w:val="00CC6D19"/>
    <w:rsid w:val="00CC7268"/>
    <w:rsid w:val="00CC74DA"/>
    <w:rsid w:val="00CC7590"/>
    <w:rsid w:val="00CC75CE"/>
    <w:rsid w:val="00CC77EF"/>
    <w:rsid w:val="00CC7848"/>
    <w:rsid w:val="00CC7900"/>
    <w:rsid w:val="00CC7ACD"/>
    <w:rsid w:val="00CC7C3B"/>
    <w:rsid w:val="00CC7ECC"/>
    <w:rsid w:val="00CD0081"/>
    <w:rsid w:val="00CD00F7"/>
    <w:rsid w:val="00CD01C8"/>
    <w:rsid w:val="00CD0311"/>
    <w:rsid w:val="00CD03DC"/>
    <w:rsid w:val="00CD07DD"/>
    <w:rsid w:val="00CD0955"/>
    <w:rsid w:val="00CD0B8F"/>
    <w:rsid w:val="00CD0BE5"/>
    <w:rsid w:val="00CD0C6B"/>
    <w:rsid w:val="00CD0D53"/>
    <w:rsid w:val="00CD0D79"/>
    <w:rsid w:val="00CD0EE5"/>
    <w:rsid w:val="00CD0F86"/>
    <w:rsid w:val="00CD1280"/>
    <w:rsid w:val="00CD12E2"/>
    <w:rsid w:val="00CD1534"/>
    <w:rsid w:val="00CD1876"/>
    <w:rsid w:val="00CD19F4"/>
    <w:rsid w:val="00CD1A90"/>
    <w:rsid w:val="00CD1ACD"/>
    <w:rsid w:val="00CD1B03"/>
    <w:rsid w:val="00CD1BD5"/>
    <w:rsid w:val="00CD2093"/>
    <w:rsid w:val="00CD20E2"/>
    <w:rsid w:val="00CD216F"/>
    <w:rsid w:val="00CD232C"/>
    <w:rsid w:val="00CD24ED"/>
    <w:rsid w:val="00CD258B"/>
    <w:rsid w:val="00CD25F8"/>
    <w:rsid w:val="00CD26CB"/>
    <w:rsid w:val="00CD272E"/>
    <w:rsid w:val="00CD27B7"/>
    <w:rsid w:val="00CD28F7"/>
    <w:rsid w:val="00CD2954"/>
    <w:rsid w:val="00CD29D7"/>
    <w:rsid w:val="00CD2A2A"/>
    <w:rsid w:val="00CD2A3A"/>
    <w:rsid w:val="00CD2AA5"/>
    <w:rsid w:val="00CD2BB4"/>
    <w:rsid w:val="00CD2D90"/>
    <w:rsid w:val="00CD2F52"/>
    <w:rsid w:val="00CD2F7C"/>
    <w:rsid w:val="00CD2FD5"/>
    <w:rsid w:val="00CD314B"/>
    <w:rsid w:val="00CD316A"/>
    <w:rsid w:val="00CD331E"/>
    <w:rsid w:val="00CD335D"/>
    <w:rsid w:val="00CD33A3"/>
    <w:rsid w:val="00CD34E5"/>
    <w:rsid w:val="00CD34EA"/>
    <w:rsid w:val="00CD384C"/>
    <w:rsid w:val="00CD39E4"/>
    <w:rsid w:val="00CD3A0D"/>
    <w:rsid w:val="00CD3A79"/>
    <w:rsid w:val="00CD3AAA"/>
    <w:rsid w:val="00CD3ABC"/>
    <w:rsid w:val="00CD402D"/>
    <w:rsid w:val="00CD41BA"/>
    <w:rsid w:val="00CD43E1"/>
    <w:rsid w:val="00CD4536"/>
    <w:rsid w:val="00CD45E4"/>
    <w:rsid w:val="00CD474F"/>
    <w:rsid w:val="00CD47A4"/>
    <w:rsid w:val="00CD488D"/>
    <w:rsid w:val="00CD4924"/>
    <w:rsid w:val="00CD4932"/>
    <w:rsid w:val="00CD49C1"/>
    <w:rsid w:val="00CD4B75"/>
    <w:rsid w:val="00CD4DDB"/>
    <w:rsid w:val="00CD50DE"/>
    <w:rsid w:val="00CD513C"/>
    <w:rsid w:val="00CD52D3"/>
    <w:rsid w:val="00CD53B2"/>
    <w:rsid w:val="00CD579D"/>
    <w:rsid w:val="00CD57C6"/>
    <w:rsid w:val="00CD580B"/>
    <w:rsid w:val="00CD5830"/>
    <w:rsid w:val="00CD5854"/>
    <w:rsid w:val="00CD5930"/>
    <w:rsid w:val="00CD5A20"/>
    <w:rsid w:val="00CD5AEE"/>
    <w:rsid w:val="00CD5C5C"/>
    <w:rsid w:val="00CD5CFE"/>
    <w:rsid w:val="00CD5E39"/>
    <w:rsid w:val="00CD6006"/>
    <w:rsid w:val="00CD6028"/>
    <w:rsid w:val="00CD610C"/>
    <w:rsid w:val="00CD61B0"/>
    <w:rsid w:val="00CD649C"/>
    <w:rsid w:val="00CD6522"/>
    <w:rsid w:val="00CD6929"/>
    <w:rsid w:val="00CD6A10"/>
    <w:rsid w:val="00CD6CA2"/>
    <w:rsid w:val="00CD6D0F"/>
    <w:rsid w:val="00CD6D62"/>
    <w:rsid w:val="00CD6D73"/>
    <w:rsid w:val="00CD6D77"/>
    <w:rsid w:val="00CD6DE5"/>
    <w:rsid w:val="00CD6F3F"/>
    <w:rsid w:val="00CD6FF5"/>
    <w:rsid w:val="00CD71E5"/>
    <w:rsid w:val="00CD7218"/>
    <w:rsid w:val="00CD72BD"/>
    <w:rsid w:val="00CD7398"/>
    <w:rsid w:val="00CD78CC"/>
    <w:rsid w:val="00CD7923"/>
    <w:rsid w:val="00CD797B"/>
    <w:rsid w:val="00CD7B3A"/>
    <w:rsid w:val="00CD7B71"/>
    <w:rsid w:val="00CD7BE3"/>
    <w:rsid w:val="00CD7BE7"/>
    <w:rsid w:val="00CD7E80"/>
    <w:rsid w:val="00CE0241"/>
    <w:rsid w:val="00CE04CD"/>
    <w:rsid w:val="00CE06D2"/>
    <w:rsid w:val="00CE0713"/>
    <w:rsid w:val="00CE0878"/>
    <w:rsid w:val="00CE08D2"/>
    <w:rsid w:val="00CE0950"/>
    <w:rsid w:val="00CE0A3E"/>
    <w:rsid w:val="00CE0AD8"/>
    <w:rsid w:val="00CE0B04"/>
    <w:rsid w:val="00CE0B7C"/>
    <w:rsid w:val="00CE0C44"/>
    <w:rsid w:val="00CE0CDC"/>
    <w:rsid w:val="00CE0CE7"/>
    <w:rsid w:val="00CE0CFC"/>
    <w:rsid w:val="00CE0FDC"/>
    <w:rsid w:val="00CE100F"/>
    <w:rsid w:val="00CE11E1"/>
    <w:rsid w:val="00CE1302"/>
    <w:rsid w:val="00CE14F3"/>
    <w:rsid w:val="00CE16DC"/>
    <w:rsid w:val="00CE18C2"/>
    <w:rsid w:val="00CE18D7"/>
    <w:rsid w:val="00CE19E3"/>
    <w:rsid w:val="00CE1A25"/>
    <w:rsid w:val="00CE1AB7"/>
    <w:rsid w:val="00CE1B91"/>
    <w:rsid w:val="00CE1C18"/>
    <w:rsid w:val="00CE1CDE"/>
    <w:rsid w:val="00CE1F61"/>
    <w:rsid w:val="00CE2035"/>
    <w:rsid w:val="00CE203F"/>
    <w:rsid w:val="00CE20FE"/>
    <w:rsid w:val="00CE214A"/>
    <w:rsid w:val="00CE226F"/>
    <w:rsid w:val="00CE22C2"/>
    <w:rsid w:val="00CE230F"/>
    <w:rsid w:val="00CE2449"/>
    <w:rsid w:val="00CE2725"/>
    <w:rsid w:val="00CE272E"/>
    <w:rsid w:val="00CE27E3"/>
    <w:rsid w:val="00CE29C5"/>
    <w:rsid w:val="00CE2D2D"/>
    <w:rsid w:val="00CE30EA"/>
    <w:rsid w:val="00CE33FD"/>
    <w:rsid w:val="00CE34E2"/>
    <w:rsid w:val="00CE35C5"/>
    <w:rsid w:val="00CE35E8"/>
    <w:rsid w:val="00CE385F"/>
    <w:rsid w:val="00CE3A12"/>
    <w:rsid w:val="00CE3A84"/>
    <w:rsid w:val="00CE3A9D"/>
    <w:rsid w:val="00CE3C00"/>
    <w:rsid w:val="00CE3D25"/>
    <w:rsid w:val="00CE3E06"/>
    <w:rsid w:val="00CE3E0B"/>
    <w:rsid w:val="00CE3F0E"/>
    <w:rsid w:val="00CE3F40"/>
    <w:rsid w:val="00CE4236"/>
    <w:rsid w:val="00CE425A"/>
    <w:rsid w:val="00CE4595"/>
    <w:rsid w:val="00CE45D8"/>
    <w:rsid w:val="00CE4702"/>
    <w:rsid w:val="00CE4807"/>
    <w:rsid w:val="00CE484C"/>
    <w:rsid w:val="00CE4969"/>
    <w:rsid w:val="00CE4CB0"/>
    <w:rsid w:val="00CE4E66"/>
    <w:rsid w:val="00CE4ED7"/>
    <w:rsid w:val="00CE4ED8"/>
    <w:rsid w:val="00CE4F26"/>
    <w:rsid w:val="00CE502C"/>
    <w:rsid w:val="00CE5103"/>
    <w:rsid w:val="00CE522E"/>
    <w:rsid w:val="00CE5389"/>
    <w:rsid w:val="00CE549E"/>
    <w:rsid w:val="00CE54B9"/>
    <w:rsid w:val="00CE55C8"/>
    <w:rsid w:val="00CE57AB"/>
    <w:rsid w:val="00CE58FD"/>
    <w:rsid w:val="00CE5C0C"/>
    <w:rsid w:val="00CE5C24"/>
    <w:rsid w:val="00CE5E51"/>
    <w:rsid w:val="00CE5F27"/>
    <w:rsid w:val="00CE604B"/>
    <w:rsid w:val="00CE6149"/>
    <w:rsid w:val="00CE617E"/>
    <w:rsid w:val="00CE64AE"/>
    <w:rsid w:val="00CE65AB"/>
    <w:rsid w:val="00CE6672"/>
    <w:rsid w:val="00CE6917"/>
    <w:rsid w:val="00CE6B63"/>
    <w:rsid w:val="00CE6B78"/>
    <w:rsid w:val="00CE6B90"/>
    <w:rsid w:val="00CE6BCE"/>
    <w:rsid w:val="00CE6DCA"/>
    <w:rsid w:val="00CE6DDD"/>
    <w:rsid w:val="00CE6FF8"/>
    <w:rsid w:val="00CE70B6"/>
    <w:rsid w:val="00CE7142"/>
    <w:rsid w:val="00CE71EB"/>
    <w:rsid w:val="00CE7238"/>
    <w:rsid w:val="00CE723D"/>
    <w:rsid w:val="00CE7377"/>
    <w:rsid w:val="00CE749A"/>
    <w:rsid w:val="00CE7532"/>
    <w:rsid w:val="00CE779F"/>
    <w:rsid w:val="00CE7985"/>
    <w:rsid w:val="00CE799E"/>
    <w:rsid w:val="00CE7C72"/>
    <w:rsid w:val="00CE7C7E"/>
    <w:rsid w:val="00CE7CC2"/>
    <w:rsid w:val="00CE7DBE"/>
    <w:rsid w:val="00CE7DF8"/>
    <w:rsid w:val="00CE7E70"/>
    <w:rsid w:val="00CF0086"/>
    <w:rsid w:val="00CF0495"/>
    <w:rsid w:val="00CF08E2"/>
    <w:rsid w:val="00CF0997"/>
    <w:rsid w:val="00CF09FA"/>
    <w:rsid w:val="00CF0A94"/>
    <w:rsid w:val="00CF0B2F"/>
    <w:rsid w:val="00CF0B6A"/>
    <w:rsid w:val="00CF0D3F"/>
    <w:rsid w:val="00CF0D4F"/>
    <w:rsid w:val="00CF100B"/>
    <w:rsid w:val="00CF1213"/>
    <w:rsid w:val="00CF1327"/>
    <w:rsid w:val="00CF13C0"/>
    <w:rsid w:val="00CF146C"/>
    <w:rsid w:val="00CF14B6"/>
    <w:rsid w:val="00CF14FA"/>
    <w:rsid w:val="00CF15A5"/>
    <w:rsid w:val="00CF1650"/>
    <w:rsid w:val="00CF17A4"/>
    <w:rsid w:val="00CF1945"/>
    <w:rsid w:val="00CF1AFA"/>
    <w:rsid w:val="00CF1B29"/>
    <w:rsid w:val="00CF1BBC"/>
    <w:rsid w:val="00CF1BDC"/>
    <w:rsid w:val="00CF1CD7"/>
    <w:rsid w:val="00CF1F79"/>
    <w:rsid w:val="00CF1FCC"/>
    <w:rsid w:val="00CF203D"/>
    <w:rsid w:val="00CF209A"/>
    <w:rsid w:val="00CF22A0"/>
    <w:rsid w:val="00CF22E1"/>
    <w:rsid w:val="00CF23E8"/>
    <w:rsid w:val="00CF256D"/>
    <w:rsid w:val="00CF2623"/>
    <w:rsid w:val="00CF2856"/>
    <w:rsid w:val="00CF2A5F"/>
    <w:rsid w:val="00CF2B6E"/>
    <w:rsid w:val="00CF2C65"/>
    <w:rsid w:val="00CF2D7B"/>
    <w:rsid w:val="00CF30ED"/>
    <w:rsid w:val="00CF312C"/>
    <w:rsid w:val="00CF319B"/>
    <w:rsid w:val="00CF3311"/>
    <w:rsid w:val="00CF3366"/>
    <w:rsid w:val="00CF35A0"/>
    <w:rsid w:val="00CF367D"/>
    <w:rsid w:val="00CF3819"/>
    <w:rsid w:val="00CF3C11"/>
    <w:rsid w:val="00CF3C53"/>
    <w:rsid w:val="00CF3EE4"/>
    <w:rsid w:val="00CF3EFF"/>
    <w:rsid w:val="00CF4281"/>
    <w:rsid w:val="00CF428D"/>
    <w:rsid w:val="00CF42AE"/>
    <w:rsid w:val="00CF43CC"/>
    <w:rsid w:val="00CF452A"/>
    <w:rsid w:val="00CF456A"/>
    <w:rsid w:val="00CF46CC"/>
    <w:rsid w:val="00CF4753"/>
    <w:rsid w:val="00CF4977"/>
    <w:rsid w:val="00CF49B4"/>
    <w:rsid w:val="00CF5087"/>
    <w:rsid w:val="00CF5117"/>
    <w:rsid w:val="00CF513A"/>
    <w:rsid w:val="00CF5279"/>
    <w:rsid w:val="00CF544C"/>
    <w:rsid w:val="00CF5572"/>
    <w:rsid w:val="00CF5744"/>
    <w:rsid w:val="00CF5814"/>
    <w:rsid w:val="00CF5AC0"/>
    <w:rsid w:val="00CF5B5C"/>
    <w:rsid w:val="00CF5C8D"/>
    <w:rsid w:val="00CF5C9E"/>
    <w:rsid w:val="00CF5CB7"/>
    <w:rsid w:val="00CF5DC1"/>
    <w:rsid w:val="00CF5EA1"/>
    <w:rsid w:val="00CF5F86"/>
    <w:rsid w:val="00CF5F90"/>
    <w:rsid w:val="00CF64A0"/>
    <w:rsid w:val="00CF65B1"/>
    <w:rsid w:val="00CF6618"/>
    <w:rsid w:val="00CF6628"/>
    <w:rsid w:val="00CF667E"/>
    <w:rsid w:val="00CF6910"/>
    <w:rsid w:val="00CF6A11"/>
    <w:rsid w:val="00CF6F48"/>
    <w:rsid w:val="00CF71E8"/>
    <w:rsid w:val="00CF727D"/>
    <w:rsid w:val="00CF7343"/>
    <w:rsid w:val="00CF73A7"/>
    <w:rsid w:val="00CF741F"/>
    <w:rsid w:val="00CF7647"/>
    <w:rsid w:val="00CF784A"/>
    <w:rsid w:val="00CF7A7A"/>
    <w:rsid w:val="00CF7AE5"/>
    <w:rsid w:val="00CF7B8C"/>
    <w:rsid w:val="00CF7BA8"/>
    <w:rsid w:val="00CF7CC9"/>
    <w:rsid w:val="00CF7D26"/>
    <w:rsid w:val="00CF7D30"/>
    <w:rsid w:val="00CF7ED7"/>
    <w:rsid w:val="00CF7EE4"/>
    <w:rsid w:val="00CF7F39"/>
    <w:rsid w:val="00CF7F80"/>
    <w:rsid w:val="00CF7F8F"/>
    <w:rsid w:val="00D0002F"/>
    <w:rsid w:val="00D002B6"/>
    <w:rsid w:val="00D005DE"/>
    <w:rsid w:val="00D00743"/>
    <w:rsid w:val="00D00781"/>
    <w:rsid w:val="00D007F1"/>
    <w:rsid w:val="00D008AB"/>
    <w:rsid w:val="00D00911"/>
    <w:rsid w:val="00D00A77"/>
    <w:rsid w:val="00D00C29"/>
    <w:rsid w:val="00D00EC3"/>
    <w:rsid w:val="00D00FDF"/>
    <w:rsid w:val="00D011C2"/>
    <w:rsid w:val="00D012AA"/>
    <w:rsid w:val="00D012B6"/>
    <w:rsid w:val="00D014BF"/>
    <w:rsid w:val="00D016E0"/>
    <w:rsid w:val="00D01702"/>
    <w:rsid w:val="00D0173C"/>
    <w:rsid w:val="00D018C7"/>
    <w:rsid w:val="00D01B12"/>
    <w:rsid w:val="00D01D0B"/>
    <w:rsid w:val="00D01EC7"/>
    <w:rsid w:val="00D020D0"/>
    <w:rsid w:val="00D020F0"/>
    <w:rsid w:val="00D0211E"/>
    <w:rsid w:val="00D022E3"/>
    <w:rsid w:val="00D02315"/>
    <w:rsid w:val="00D02508"/>
    <w:rsid w:val="00D025AB"/>
    <w:rsid w:val="00D02642"/>
    <w:rsid w:val="00D0282E"/>
    <w:rsid w:val="00D0293B"/>
    <w:rsid w:val="00D02AD9"/>
    <w:rsid w:val="00D02B62"/>
    <w:rsid w:val="00D02BA0"/>
    <w:rsid w:val="00D02C8B"/>
    <w:rsid w:val="00D02ED1"/>
    <w:rsid w:val="00D03040"/>
    <w:rsid w:val="00D030EB"/>
    <w:rsid w:val="00D03153"/>
    <w:rsid w:val="00D031F0"/>
    <w:rsid w:val="00D032BB"/>
    <w:rsid w:val="00D03391"/>
    <w:rsid w:val="00D03416"/>
    <w:rsid w:val="00D038F2"/>
    <w:rsid w:val="00D039E3"/>
    <w:rsid w:val="00D03AF2"/>
    <w:rsid w:val="00D03C64"/>
    <w:rsid w:val="00D04047"/>
    <w:rsid w:val="00D0432C"/>
    <w:rsid w:val="00D04489"/>
    <w:rsid w:val="00D0462B"/>
    <w:rsid w:val="00D046DB"/>
    <w:rsid w:val="00D04B7A"/>
    <w:rsid w:val="00D04E34"/>
    <w:rsid w:val="00D04E72"/>
    <w:rsid w:val="00D04F79"/>
    <w:rsid w:val="00D05024"/>
    <w:rsid w:val="00D050F3"/>
    <w:rsid w:val="00D052C1"/>
    <w:rsid w:val="00D053D0"/>
    <w:rsid w:val="00D0546A"/>
    <w:rsid w:val="00D05515"/>
    <w:rsid w:val="00D056F2"/>
    <w:rsid w:val="00D0582F"/>
    <w:rsid w:val="00D05D79"/>
    <w:rsid w:val="00D0615B"/>
    <w:rsid w:val="00D06436"/>
    <w:rsid w:val="00D06488"/>
    <w:rsid w:val="00D06521"/>
    <w:rsid w:val="00D066BB"/>
    <w:rsid w:val="00D06713"/>
    <w:rsid w:val="00D06793"/>
    <w:rsid w:val="00D0680A"/>
    <w:rsid w:val="00D06888"/>
    <w:rsid w:val="00D069B6"/>
    <w:rsid w:val="00D06A07"/>
    <w:rsid w:val="00D06A87"/>
    <w:rsid w:val="00D06AF3"/>
    <w:rsid w:val="00D06CF0"/>
    <w:rsid w:val="00D06F7C"/>
    <w:rsid w:val="00D06FF5"/>
    <w:rsid w:val="00D07163"/>
    <w:rsid w:val="00D0720E"/>
    <w:rsid w:val="00D07245"/>
    <w:rsid w:val="00D0734B"/>
    <w:rsid w:val="00D07450"/>
    <w:rsid w:val="00D07487"/>
    <w:rsid w:val="00D076FB"/>
    <w:rsid w:val="00D07733"/>
    <w:rsid w:val="00D077AA"/>
    <w:rsid w:val="00D07945"/>
    <w:rsid w:val="00D07BE7"/>
    <w:rsid w:val="00D07CB4"/>
    <w:rsid w:val="00D07F7B"/>
    <w:rsid w:val="00D102EF"/>
    <w:rsid w:val="00D10327"/>
    <w:rsid w:val="00D10379"/>
    <w:rsid w:val="00D103B8"/>
    <w:rsid w:val="00D10404"/>
    <w:rsid w:val="00D1051C"/>
    <w:rsid w:val="00D105D1"/>
    <w:rsid w:val="00D10628"/>
    <w:rsid w:val="00D10711"/>
    <w:rsid w:val="00D107EA"/>
    <w:rsid w:val="00D1087D"/>
    <w:rsid w:val="00D1095C"/>
    <w:rsid w:val="00D10BCB"/>
    <w:rsid w:val="00D10D0B"/>
    <w:rsid w:val="00D10DB4"/>
    <w:rsid w:val="00D10EDE"/>
    <w:rsid w:val="00D1109B"/>
    <w:rsid w:val="00D1127D"/>
    <w:rsid w:val="00D11372"/>
    <w:rsid w:val="00D11388"/>
    <w:rsid w:val="00D1147D"/>
    <w:rsid w:val="00D115A7"/>
    <w:rsid w:val="00D11723"/>
    <w:rsid w:val="00D11A09"/>
    <w:rsid w:val="00D11CD8"/>
    <w:rsid w:val="00D11F10"/>
    <w:rsid w:val="00D12003"/>
    <w:rsid w:val="00D12141"/>
    <w:rsid w:val="00D1229D"/>
    <w:rsid w:val="00D12457"/>
    <w:rsid w:val="00D125A2"/>
    <w:rsid w:val="00D127AB"/>
    <w:rsid w:val="00D12971"/>
    <w:rsid w:val="00D12CFC"/>
    <w:rsid w:val="00D12E0D"/>
    <w:rsid w:val="00D12EF0"/>
    <w:rsid w:val="00D135D6"/>
    <w:rsid w:val="00D136D6"/>
    <w:rsid w:val="00D13847"/>
    <w:rsid w:val="00D138F7"/>
    <w:rsid w:val="00D1392D"/>
    <w:rsid w:val="00D13962"/>
    <w:rsid w:val="00D139CA"/>
    <w:rsid w:val="00D13A19"/>
    <w:rsid w:val="00D13B36"/>
    <w:rsid w:val="00D13B3B"/>
    <w:rsid w:val="00D13C0F"/>
    <w:rsid w:val="00D13DD4"/>
    <w:rsid w:val="00D14409"/>
    <w:rsid w:val="00D144E6"/>
    <w:rsid w:val="00D1461A"/>
    <w:rsid w:val="00D148EA"/>
    <w:rsid w:val="00D148FB"/>
    <w:rsid w:val="00D1498E"/>
    <w:rsid w:val="00D14BCC"/>
    <w:rsid w:val="00D14C33"/>
    <w:rsid w:val="00D14C61"/>
    <w:rsid w:val="00D14D4C"/>
    <w:rsid w:val="00D14E53"/>
    <w:rsid w:val="00D14F10"/>
    <w:rsid w:val="00D15245"/>
    <w:rsid w:val="00D154EA"/>
    <w:rsid w:val="00D1572E"/>
    <w:rsid w:val="00D15783"/>
    <w:rsid w:val="00D157CA"/>
    <w:rsid w:val="00D158EB"/>
    <w:rsid w:val="00D159A0"/>
    <w:rsid w:val="00D15A43"/>
    <w:rsid w:val="00D15B34"/>
    <w:rsid w:val="00D15B41"/>
    <w:rsid w:val="00D15D5C"/>
    <w:rsid w:val="00D15F14"/>
    <w:rsid w:val="00D16026"/>
    <w:rsid w:val="00D16057"/>
    <w:rsid w:val="00D161EA"/>
    <w:rsid w:val="00D16205"/>
    <w:rsid w:val="00D16219"/>
    <w:rsid w:val="00D1624C"/>
    <w:rsid w:val="00D16251"/>
    <w:rsid w:val="00D162E1"/>
    <w:rsid w:val="00D162E9"/>
    <w:rsid w:val="00D1633C"/>
    <w:rsid w:val="00D16573"/>
    <w:rsid w:val="00D167BB"/>
    <w:rsid w:val="00D16ACB"/>
    <w:rsid w:val="00D16B28"/>
    <w:rsid w:val="00D16B7E"/>
    <w:rsid w:val="00D16FA3"/>
    <w:rsid w:val="00D170D4"/>
    <w:rsid w:val="00D17285"/>
    <w:rsid w:val="00D174FF"/>
    <w:rsid w:val="00D17553"/>
    <w:rsid w:val="00D17574"/>
    <w:rsid w:val="00D175EA"/>
    <w:rsid w:val="00D177DA"/>
    <w:rsid w:val="00D177E2"/>
    <w:rsid w:val="00D17AEB"/>
    <w:rsid w:val="00D17CB3"/>
    <w:rsid w:val="00D17DCF"/>
    <w:rsid w:val="00D17F48"/>
    <w:rsid w:val="00D1E861"/>
    <w:rsid w:val="00D20155"/>
    <w:rsid w:val="00D20759"/>
    <w:rsid w:val="00D2094C"/>
    <w:rsid w:val="00D20960"/>
    <w:rsid w:val="00D20A0C"/>
    <w:rsid w:val="00D20AB8"/>
    <w:rsid w:val="00D20B2F"/>
    <w:rsid w:val="00D20B86"/>
    <w:rsid w:val="00D20D31"/>
    <w:rsid w:val="00D20D41"/>
    <w:rsid w:val="00D21022"/>
    <w:rsid w:val="00D21282"/>
    <w:rsid w:val="00D215A5"/>
    <w:rsid w:val="00D21739"/>
    <w:rsid w:val="00D21B05"/>
    <w:rsid w:val="00D21FB2"/>
    <w:rsid w:val="00D222BB"/>
    <w:rsid w:val="00D22530"/>
    <w:rsid w:val="00D225B9"/>
    <w:rsid w:val="00D225FE"/>
    <w:rsid w:val="00D22886"/>
    <w:rsid w:val="00D22AAE"/>
    <w:rsid w:val="00D22B8F"/>
    <w:rsid w:val="00D22BE3"/>
    <w:rsid w:val="00D22D59"/>
    <w:rsid w:val="00D22DAC"/>
    <w:rsid w:val="00D22DFE"/>
    <w:rsid w:val="00D22E3F"/>
    <w:rsid w:val="00D22EBF"/>
    <w:rsid w:val="00D22F00"/>
    <w:rsid w:val="00D23325"/>
    <w:rsid w:val="00D2349A"/>
    <w:rsid w:val="00D23724"/>
    <w:rsid w:val="00D23A59"/>
    <w:rsid w:val="00D23AEB"/>
    <w:rsid w:val="00D23B6F"/>
    <w:rsid w:val="00D23BC6"/>
    <w:rsid w:val="00D23CA5"/>
    <w:rsid w:val="00D23D04"/>
    <w:rsid w:val="00D23FBF"/>
    <w:rsid w:val="00D2410B"/>
    <w:rsid w:val="00D24214"/>
    <w:rsid w:val="00D2425F"/>
    <w:rsid w:val="00D243BF"/>
    <w:rsid w:val="00D245BD"/>
    <w:rsid w:val="00D24657"/>
    <w:rsid w:val="00D24735"/>
    <w:rsid w:val="00D24A27"/>
    <w:rsid w:val="00D24D56"/>
    <w:rsid w:val="00D25039"/>
    <w:rsid w:val="00D250F4"/>
    <w:rsid w:val="00D25160"/>
    <w:rsid w:val="00D252C3"/>
    <w:rsid w:val="00D25436"/>
    <w:rsid w:val="00D2546D"/>
    <w:rsid w:val="00D25591"/>
    <w:rsid w:val="00D255C1"/>
    <w:rsid w:val="00D255D0"/>
    <w:rsid w:val="00D256DC"/>
    <w:rsid w:val="00D25DDC"/>
    <w:rsid w:val="00D25FE1"/>
    <w:rsid w:val="00D25FE4"/>
    <w:rsid w:val="00D260B5"/>
    <w:rsid w:val="00D264AF"/>
    <w:rsid w:val="00D2676E"/>
    <w:rsid w:val="00D26772"/>
    <w:rsid w:val="00D2680A"/>
    <w:rsid w:val="00D26A8B"/>
    <w:rsid w:val="00D2736E"/>
    <w:rsid w:val="00D27441"/>
    <w:rsid w:val="00D274E9"/>
    <w:rsid w:val="00D2776E"/>
    <w:rsid w:val="00D27AB3"/>
    <w:rsid w:val="00D27B1E"/>
    <w:rsid w:val="00D27F53"/>
    <w:rsid w:val="00D27FF0"/>
    <w:rsid w:val="00D30020"/>
    <w:rsid w:val="00D30051"/>
    <w:rsid w:val="00D3005F"/>
    <w:rsid w:val="00D301D6"/>
    <w:rsid w:val="00D30418"/>
    <w:rsid w:val="00D30621"/>
    <w:rsid w:val="00D30686"/>
    <w:rsid w:val="00D3073D"/>
    <w:rsid w:val="00D3078C"/>
    <w:rsid w:val="00D3098B"/>
    <w:rsid w:val="00D309AD"/>
    <w:rsid w:val="00D30A06"/>
    <w:rsid w:val="00D30BBD"/>
    <w:rsid w:val="00D30C29"/>
    <w:rsid w:val="00D30CE8"/>
    <w:rsid w:val="00D30D6E"/>
    <w:rsid w:val="00D30D96"/>
    <w:rsid w:val="00D30DEC"/>
    <w:rsid w:val="00D30DFD"/>
    <w:rsid w:val="00D30ED2"/>
    <w:rsid w:val="00D30FD7"/>
    <w:rsid w:val="00D30FDF"/>
    <w:rsid w:val="00D3103B"/>
    <w:rsid w:val="00D31047"/>
    <w:rsid w:val="00D310D0"/>
    <w:rsid w:val="00D3125E"/>
    <w:rsid w:val="00D317CC"/>
    <w:rsid w:val="00D318FF"/>
    <w:rsid w:val="00D31941"/>
    <w:rsid w:val="00D319C1"/>
    <w:rsid w:val="00D31D00"/>
    <w:rsid w:val="00D31DB9"/>
    <w:rsid w:val="00D31E62"/>
    <w:rsid w:val="00D31FF3"/>
    <w:rsid w:val="00D32051"/>
    <w:rsid w:val="00D32428"/>
    <w:rsid w:val="00D325DA"/>
    <w:rsid w:val="00D32679"/>
    <w:rsid w:val="00D329A7"/>
    <w:rsid w:val="00D329D5"/>
    <w:rsid w:val="00D32A11"/>
    <w:rsid w:val="00D33028"/>
    <w:rsid w:val="00D33038"/>
    <w:rsid w:val="00D33063"/>
    <w:rsid w:val="00D330F7"/>
    <w:rsid w:val="00D33115"/>
    <w:rsid w:val="00D33297"/>
    <w:rsid w:val="00D332E6"/>
    <w:rsid w:val="00D33631"/>
    <w:rsid w:val="00D337E1"/>
    <w:rsid w:val="00D338FC"/>
    <w:rsid w:val="00D33920"/>
    <w:rsid w:val="00D3393C"/>
    <w:rsid w:val="00D33A9C"/>
    <w:rsid w:val="00D33B3A"/>
    <w:rsid w:val="00D33E17"/>
    <w:rsid w:val="00D3415F"/>
    <w:rsid w:val="00D3437A"/>
    <w:rsid w:val="00D34743"/>
    <w:rsid w:val="00D34924"/>
    <w:rsid w:val="00D34B31"/>
    <w:rsid w:val="00D34BA7"/>
    <w:rsid w:val="00D34BFA"/>
    <w:rsid w:val="00D34CF0"/>
    <w:rsid w:val="00D34DDA"/>
    <w:rsid w:val="00D34E3E"/>
    <w:rsid w:val="00D34F03"/>
    <w:rsid w:val="00D35041"/>
    <w:rsid w:val="00D350DE"/>
    <w:rsid w:val="00D35148"/>
    <w:rsid w:val="00D35217"/>
    <w:rsid w:val="00D354C6"/>
    <w:rsid w:val="00D35504"/>
    <w:rsid w:val="00D35745"/>
    <w:rsid w:val="00D3585C"/>
    <w:rsid w:val="00D3596A"/>
    <w:rsid w:val="00D35ADE"/>
    <w:rsid w:val="00D35DD0"/>
    <w:rsid w:val="00D35DFC"/>
    <w:rsid w:val="00D35F01"/>
    <w:rsid w:val="00D36208"/>
    <w:rsid w:val="00D363CB"/>
    <w:rsid w:val="00D364E9"/>
    <w:rsid w:val="00D3689B"/>
    <w:rsid w:val="00D36BB0"/>
    <w:rsid w:val="00D36C4C"/>
    <w:rsid w:val="00D36D17"/>
    <w:rsid w:val="00D36D78"/>
    <w:rsid w:val="00D36E86"/>
    <w:rsid w:val="00D36F72"/>
    <w:rsid w:val="00D370A6"/>
    <w:rsid w:val="00D371C7"/>
    <w:rsid w:val="00D373D8"/>
    <w:rsid w:val="00D374C6"/>
    <w:rsid w:val="00D37538"/>
    <w:rsid w:val="00D37813"/>
    <w:rsid w:val="00D3781C"/>
    <w:rsid w:val="00D3785A"/>
    <w:rsid w:val="00D37B70"/>
    <w:rsid w:val="00D37BDB"/>
    <w:rsid w:val="00D37CEF"/>
    <w:rsid w:val="00D37D62"/>
    <w:rsid w:val="00D37D6D"/>
    <w:rsid w:val="00D37E3A"/>
    <w:rsid w:val="00D37EAE"/>
    <w:rsid w:val="00D40126"/>
    <w:rsid w:val="00D4014A"/>
    <w:rsid w:val="00D401F6"/>
    <w:rsid w:val="00D402A8"/>
    <w:rsid w:val="00D40309"/>
    <w:rsid w:val="00D40365"/>
    <w:rsid w:val="00D40392"/>
    <w:rsid w:val="00D40506"/>
    <w:rsid w:val="00D40651"/>
    <w:rsid w:val="00D40A46"/>
    <w:rsid w:val="00D40ADF"/>
    <w:rsid w:val="00D40C2A"/>
    <w:rsid w:val="00D40E46"/>
    <w:rsid w:val="00D40E49"/>
    <w:rsid w:val="00D40F52"/>
    <w:rsid w:val="00D4103B"/>
    <w:rsid w:val="00D41128"/>
    <w:rsid w:val="00D411D6"/>
    <w:rsid w:val="00D412CD"/>
    <w:rsid w:val="00D4169C"/>
    <w:rsid w:val="00D417FD"/>
    <w:rsid w:val="00D418D3"/>
    <w:rsid w:val="00D41A9A"/>
    <w:rsid w:val="00D41C3A"/>
    <w:rsid w:val="00D41D41"/>
    <w:rsid w:val="00D41EF8"/>
    <w:rsid w:val="00D4206D"/>
    <w:rsid w:val="00D42174"/>
    <w:rsid w:val="00D42230"/>
    <w:rsid w:val="00D422FE"/>
    <w:rsid w:val="00D423CC"/>
    <w:rsid w:val="00D424D9"/>
    <w:rsid w:val="00D42712"/>
    <w:rsid w:val="00D429DC"/>
    <w:rsid w:val="00D42AED"/>
    <w:rsid w:val="00D42C0B"/>
    <w:rsid w:val="00D42C63"/>
    <w:rsid w:val="00D42CAC"/>
    <w:rsid w:val="00D42D18"/>
    <w:rsid w:val="00D42E5A"/>
    <w:rsid w:val="00D43220"/>
    <w:rsid w:val="00D4331C"/>
    <w:rsid w:val="00D4333E"/>
    <w:rsid w:val="00D4364F"/>
    <w:rsid w:val="00D437BE"/>
    <w:rsid w:val="00D43BD5"/>
    <w:rsid w:val="00D43D38"/>
    <w:rsid w:val="00D43D4C"/>
    <w:rsid w:val="00D43F1C"/>
    <w:rsid w:val="00D43FC4"/>
    <w:rsid w:val="00D4437A"/>
    <w:rsid w:val="00D44430"/>
    <w:rsid w:val="00D4459B"/>
    <w:rsid w:val="00D4459C"/>
    <w:rsid w:val="00D44649"/>
    <w:rsid w:val="00D44806"/>
    <w:rsid w:val="00D4496E"/>
    <w:rsid w:val="00D44A1D"/>
    <w:rsid w:val="00D44AD5"/>
    <w:rsid w:val="00D44F40"/>
    <w:rsid w:val="00D45185"/>
    <w:rsid w:val="00D452BB"/>
    <w:rsid w:val="00D452BE"/>
    <w:rsid w:val="00D45339"/>
    <w:rsid w:val="00D45517"/>
    <w:rsid w:val="00D4566F"/>
    <w:rsid w:val="00D457CB"/>
    <w:rsid w:val="00D45A67"/>
    <w:rsid w:val="00D45BEF"/>
    <w:rsid w:val="00D45C33"/>
    <w:rsid w:val="00D45D2F"/>
    <w:rsid w:val="00D45D58"/>
    <w:rsid w:val="00D45F3B"/>
    <w:rsid w:val="00D460EC"/>
    <w:rsid w:val="00D4611A"/>
    <w:rsid w:val="00D46174"/>
    <w:rsid w:val="00D46213"/>
    <w:rsid w:val="00D46324"/>
    <w:rsid w:val="00D465E6"/>
    <w:rsid w:val="00D466C6"/>
    <w:rsid w:val="00D467DF"/>
    <w:rsid w:val="00D46C12"/>
    <w:rsid w:val="00D46CF2"/>
    <w:rsid w:val="00D46D3E"/>
    <w:rsid w:val="00D46E4C"/>
    <w:rsid w:val="00D46F7A"/>
    <w:rsid w:val="00D47011"/>
    <w:rsid w:val="00D4702E"/>
    <w:rsid w:val="00D470A8"/>
    <w:rsid w:val="00D471A5"/>
    <w:rsid w:val="00D47233"/>
    <w:rsid w:val="00D472DD"/>
    <w:rsid w:val="00D472F4"/>
    <w:rsid w:val="00D4747B"/>
    <w:rsid w:val="00D47A38"/>
    <w:rsid w:val="00D47B10"/>
    <w:rsid w:val="00D47BB7"/>
    <w:rsid w:val="00D47C9F"/>
    <w:rsid w:val="00D47DAB"/>
    <w:rsid w:val="00D47E5D"/>
    <w:rsid w:val="00D5000B"/>
    <w:rsid w:val="00D50172"/>
    <w:rsid w:val="00D50252"/>
    <w:rsid w:val="00D50275"/>
    <w:rsid w:val="00D502B5"/>
    <w:rsid w:val="00D502CC"/>
    <w:rsid w:val="00D504BC"/>
    <w:rsid w:val="00D506CE"/>
    <w:rsid w:val="00D508FE"/>
    <w:rsid w:val="00D50BAF"/>
    <w:rsid w:val="00D50DA1"/>
    <w:rsid w:val="00D50EE7"/>
    <w:rsid w:val="00D50F81"/>
    <w:rsid w:val="00D510D5"/>
    <w:rsid w:val="00D51298"/>
    <w:rsid w:val="00D5139F"/>
    <w:rsid w:val="00D51442"/>
    <w:rsid w:val="00D517BA"/>
    <w:rsid w:val="00D51956"/>
    <w:rsid w:val="00D51C2A"/>
    <w:rsid w:val="00D51CA5"/>
    <w:rsid w:val="00D51FCB"/>
    <w:rsid w:val="00D52015"/>
    <w:rsid w:val="00D5205F"/>
    <w:rsid w:val="00D5214F"/>
    <w:rsid w:val="00D521C7"/>
    <w:rsid w:val="00D522A8"/>
    <w:rsid w:val="00D52337"/>
    <w:rsid w:val="00D52346"/>
    <w:rsid w:val="00D523E0"/>
    <w:rsid w:val="00D523E2"/>
    <w:rsid w:val="00D5242D"/>
    <w:rsid w:val="00D524C5"/>
    <w:rsid w:val="00D524E2"/>
    <w:rsid w:val="00D52819"/>
    <w:rsid w:val="00D52890"/>
    <w:rsid w:val="00D529A4"/>
    <w:rsid w:val="00D52A15"/>
    <w:rsid w:val="00D52A2D"/>
    <w:rsid w:val="00D52B13"/>
    <w:rsid w:val="00D52C94"/>
    <w:rsid w:val="00D52DA9"/>
    <w:rsid w:val="00D52DB4"/>
    <w:rsid w:val="00D52DD2"/>
    <w:rsid w:val="00D53039"/>
    <w:rsid w:val="00D530AD"/>
    <w:rsid w:val="00D53112"/>
    <w:rsid w:val="00D53165"/>
    <w:rsid w:val="00D532A1"/>
    <w:rsid w:val="00D53589"/>
    <w:rsid w:val="00D535EC"/>
    <w:rsid w:val="00D53637"/>
    <w:rsid w:val="00D538F5"/>
    <w:rsid w:val="00D53C58"/>
    <w:rsid w:val="00D53F87"/>
    <w:rsid w:val="00D54074"/>
    <w:rsid w:val="00D5425F"/>
    <w:rsid w:val="00D54461"/>
    <w:rsid w:val="00D54492"/>
    <w:rsid w:val="00D54533"/>
    <w:rsid w:val="00D54650"/>
    <w:rsid w:val="00D5488A"/>
    <w:rsid w:val="00D54F16"/>
    <w:rsid w:val="00D54FE7"/>
    <w:rsid w:val="00D5540D"/>
    <w:rsid w:val="00D554DE"/>
    <w:rsid w:val="00D55510"/>
    <w:rsid w:val="00D556FC"/>
    <w:rsid w:val="00D55885"/>
    <w:rsid w:val="00D55B6F"/>
    <w:rsid w:val="00D55B76"/>
    <w:rsid w:val="00D55B89"/>
    <w:rsid w:val="00D55C5A"/>
    <w:rsid w:val="00D55C7D"/>
    <w:rsid w:val="00D55CE3"/>
    <w:rsid w:val="00D55CF1"/>
    <w:rsid w:val="00D55E4D"/>
    <w:rsid w:val="00D56170"/>
    <w:rsid w:val="00D561A8"/>
    <w:rsid w:val="00D56442"/>
    <w:rsid w:val="00D56480"/>
    <w:rsid w:val="00D564EE"/>
    <w:rsid w:val="00D56543"/>
    <w:rsid w:val="00D565D9"/>
    <w:rsid w:val="00D567A3"/>
    <w:rsid w:val="00D567CA"/>
    <w:rsid w:val="00D568CA"/>
    <w:rsid w:val="00D56942"/>
    <w:rsid w:val="00D56AD5"/>
    <w:rsid w:val="00D56FF0"/>
    <w:rsid w:val="00D57039"/>
    <w:rsid w:val="00D571CA"/>
    <w:rsid w:val="00D572E5"/>
    <w:rsid w:val="00D5736E"/>
    <w:rsid w:val="00D57383"/>
    <w:rsid w:val="00D573A4"/>
    <w:rsid w:val="00D573BD"/>
    <w:rsid w:val="00D57684"/>
    <w:rsid w:val="00D57701"/>
    <w:rsid w:val="00D57847"/>
    <w:rsid w:val="00D57885"/>
    <w:rsid w:val="00D578C2"/>
    <w:rsid w:val="00D578DC"/>
    <w:rsid w:val="00D57AA3"/>
    <w:rsid w:val="00D57AC4"/>
    <w:rsid w:val="00D57C28"/>
    <w:rsid w:val="00D57C44"/>
    <w:rsid w:val="00D57CEC"/>
    <w:rsid w:val="00D57E3A"/>
    <w:rsid w:val="00D57ED0"/>
    <w:rsid w:val="00D57F20"/>
    <w:rsid w:val="00D57FE5"/>
    <w:rsid w:val="00D6005D"/>
    <w:rsid w:val="00D600BE"/>
    <w:rsid w:val="00D601BE"/>
    <w:rsid w:val="00D601FF"/>
    <w:rsid w:val="00D605E5"/>
    <w:rsid w:val="00D6069A"/>
    <w:rsid w:val="00D60734"/>
    <w:rsid w:val="00D60737"/>
    <w:rsid w:val="00D608C2"/>
    <w:rsid w:val="00D609E1"/>
    <w:rsid w:val="00D60C94"/>
    <w:rsid w:val="00D60FD8"/>
    <w:rsid w:val="00D6100A"/>
    <w:rsid w:val="00D610E8"/>
    <w:rsid w:val="00D6132F"/>
    <w:rsid w:val="00D6169E"/>
    <w:rsid w:val="00D616A7"/>
    <w:rsid w:val="00D6179A"/>
    <w:rsid w:val="00D61918"/>
    <w:rsid w:val="00D61930"/>
    <w:rsid w:val="00D6196E"/>
    <w:rsid w:val="00D61DC0"/>
    <w:rsid w:val="00D62747"/>
    <w:rsid w:val="00D627C7"/>
    <w:rsid w:val="00D62951"/>
    <w:rsid w:val="00D62B0E"/>
    <w:rsid w:val="00D62BE6"/>
    <w:rsid w:val="00D62C2B"/>
    <w:rsid w:val="00D62D22"/>
    <w:rsid w:val="00D62D67"/>
    <w:rsid w:val="00D62F47"/>
    <w:rsid w:val="00D63147"/>
    <w:rsid w:val="00D631B6"/>
    <w:rsid w:val="00D632AA"/>
    <w:rsid w:val="00D63343"/>
    <w:rsid w:val="00D63442"/>
    <w:rsid w:val="00D6376D"/>
    <w:rsid w:val="00D6395C"/>
    <w:rsid w:val="00D63992"/>
    <w:rsid w:val="00D63C06"/>
    <w:rsid w:val="00D63E20"/>
    <w:rsid w:val="00D63ED8"/>
    <w:rsid w:val="00D63F8E"/>
    <w:rsid w:val="00D6427A"/>
    <w:rsid w:val="00D6444B"/>
    <w:rsid w:val="00D64479"/>
    <w:rsid w:val="00D648C2"/>
    <w:rsid w:val="00D649CB"/>
    <w:rsid w:val="00D64A31"/>
    <w:rsid w:val="00D64A68"/>
    <w:rsid w:val="00D64AF6"/>
    <w:rsid w:val="00D64C8E"/>
    <w:rsid w:val="00D64CDA"/>
    <w:rsid w:val="00D64E4E"/>
    <w:rsid w:val="00D64E57"/>
    <w:rsid w:val="00D64EB0"/>
    <w:rsid w:val="00D65156"/>
    <w:rsid w:val="00D656C6"/>
    <w:rsid w:val="00D65749"/>
    <w:rsid w:val="00D6582C"/>
    <w:rsid w:val="00D65AE0"/>
    <w:rsid w:val="00D65C03"/>
    <w:rsid w:val="00D65C0B"/>
    <w:rsid w:val="00D65CE3"/>
    <w:rsid w:val="00D65DD4"/>
    <w:rsid w:val="00D65F39"/>
    <w:rsid w:val="00D66035"/>
    <w:rsid w:val="00D66212"/>
    <w:rsid w:val="00D662F3"/>
    <w:rsid w:val="00D664DE"/>
    <w:rsid w:val="00D6678C"/>
    <w:rsid w:val="00D667BE"/>
    <w:rsid w:val="00D669E0"/>
    <w:rsid w:val="00D66AE7"/>
    <w:rsid w:val="00D66B28"/>
    <w:rsid w:val="00D66CEB"/>
    <w:rsid w:val="00D66E45"/>
    <w:rsid w:val="00D66E71"/>
    <w:rsid w:val="00D670A5"/>
    <w:rsid w:val="00D67419"/>
    <w:rsid w:val="00D67671"/>
    <w:rsid w:val="00D677FB"/>
    <w:rsid w:val="00D67924"/>
    <w:rsid w:val="00D67ABC"/>
    <w:rsid w:val="00D67D46"/>
    <w:rsid w:val="00D67DC7"/>
    <w:rsid w:val="00D67E01"/>
    <w:rsid w:val="00D67ED2"/>
    <w:rsid w:val="00D67ED8"/>
    <w:rsid w:val="00D70070"/>
    <w:rsid w:val="00D7010A"/>
    <w:rsid w:val="00D701B4"/>
    <w:rsid w:val="00D705A8"/>
    <w:rsid w:val="00D705DB"/>
    <w:rsid w:val="00D70672"/>
    <w:rsid w:val="00D706C8"/>
    <w:rsid w:val="00D70826"/>
    <w:rsid w:val="00D70AA4"/>
    <w:rsid w:val="00D70D98"/>
    <w:rsid w:val="00D70ECB"/>
    <w:rsid w:val="00D7141C"/>
    <w:rsid w:val="00D716A7"/>
    <w:rsid w:val="00D717B7"/>
    <w:rsid w:val="00D71904"/>
    <w:rsid w:val="00D71F35"/>
    <w:rsid w:val="00D7239E"/>
    <w:rsid w:val="00D723BE"/>
    <w:rsid w:val="00D7269F"/>
    <w:rsid w:val="00D729B5"/>
    <w:rsid w:val="00D729B6"/>
    <w:rsid w:val="00D72ABD"/>
    <w:rsid w:val="00D72BA5"/>
    <w:rsid w:val="00D72BC8"/>
    <w:rsid w:val="00D72D1B"/>
    <w:rsid w:val="00D73141"/>
    <w:rsid w:val="00D73142"/>
    <w:rsid w:val="00D73383"/>
    <w:rsid w:val="00D73546"/>
    <w:rsid w:val="00D7374A"/>
    <w:rsid w:val="00D737B4"/>
    <w:rsid w:val="00D73868"/>
    <w:rsid w:val="00D73A3F"/>
    <w:rsid w:val="00D73A6A"/>
    <w:rsid w:val="00D73BD2"/>
    <w:rsid w:val="00D73C28"/>
    <w:rsid w:val="00D73D0B"/>
    <w:rsid w:val="00D73D90"/>
    <w:rsid w:val="00D73E0E"/>
    <w:rsid w:val="00D73EB8"/>
    <w:rsid w:val="00D73F9F"/>
    <w:rsid w:val="00D74055"/>
    <w:rsid w:val="00D7419A"/>
    <w:rsid w:val="00D74401"/>
    <w:rsid w:val="00D74506"/>
    <w:rsid w:val="00D74578"/>
    <w:rsid w:val="00D7471A"/>
    <w:rsid w:val="00D748DD"/>
    <w:rsid w:val="00D749B6"/>
    <w:rsid w:val="00D749C2"/>
    <w:rsid w:val="00D749F6"/>
    <w:rsid w:val="00D74B5A"/>
    <w:rsid w:val="00D74C33"/>
    <w:rsid w:val="00D7536F"/>
    <w:rsid w:val="00D7541E"/>
    <w:rsid w:val="00D755A9"/>
    <w:rsid w:val="00D755BA"/>
    <w:rsid w:val="00D75755"/>
    <w:rsid w:val="00D75B5E"/>
    <w:rsid w:val="00D75BE6"/>
    <w:rsid w:val="00D75BFE"/>
    <w:rsid w:val="00D75CAF"/>
    <w:rsid w:val="00D75F5D"/>
    <w:rsid w:val="00D7649D"/>
    <w:rsid w:val="00D76569"/>
    <w:rsid w:val="00D7656C"/>
    <w:rsid w:val="00D7659B"/>
    <w:rsid w:val="00D7674A"/>
    <w:rsid w:val="00D7692B"/>
    <w:rsid w:val="00D76A71"/>
    <w:rsid w:val="00D76B4A"/>
    <w:rsid w:val="00D76DB5"/>
    <w:rsid w:val="00D76EC7"/>
    <w:rsid w:val="00D77038"/>
    <w:rsid w:val="00D770D4"/>
    <w:rsid w:val="00D7727C"/>
    <w:rsid w:val="00D774B3"/>
    <w:rsid w:val="00D77599"/>
    <w:rsid w:val="00D77615"/>
    <w:rsid w:val="00D77621"/>
    <w:rsid w:val="00D778A7"/>
    <w:rsid w:val="00D77B05"/>
    <w:rsid w:val="00D77B0F"/>
    <w:rsid w:val="00D77C0C"/>
    <w:rsid w:val="00D77CCC"/>
    <w:rsid w:val="00D77D8B"/>
    <w:rsid w:val="00D77FB1"/>
    <w:rsid w:val="00D80203"/>
    <w:rsid w:val="00D803B0"/>
    <w:rsid w:val="00D8045A"/>
    <w:rsid w:val="00D80518"/>
    <w:rsid w:val="00D8076F"/>
    <w:rsid w:val="00D807EF"/>
    <w:rsid w:val="00D807FC"/>
    <w:rsid w:val="00D809AF"/>
    <w:rsid w:val="00D80CA9"/>
    <w:rsid w:val="00D80D87"/>
    <w:rsid w:val="00D80DF5"/>
    <w:rsid w:val="00D80E57"/>
    <w:rsid w:val="00D8108B"/>
    <w:rsid w:val="00D810E2"/>
    <w:rsid w:val="00D81726"/>
    <w:rsid w:val="00D81829"/>
    <w:rsid w:val="00D8190C"/>
    <w:rsid w:val="00D81987"/>
    <w:rsid w:val="00D819D8"/>
    <w:rsid w:val="00D81A77"/>
    <w:rsid w:val="00D81B32"/>
    <w:rsid w:val="00D81F35"/>
    <w:rsid w:val="00D8201F"/>
    <w:rsid w:val="00D821D7"/>
    <w:rsid w:val="00D823F1"/>
    <w:rsid w:val="00D82856"/>
    <w:rsid w:val="00D82884"/>
    <w:rsid w:val="00D82A36"/>
    <w:rsid w:val="00D82A9D"/>
    <w:rsid w:val="00D82AFA"/>
    <w:rsid w:val="00D83071"/>
    <w:rsid w:val="00D830A4"/>
    <w:rsid w:val="00D830E5"/>
    <w:rsid w:val="00D83140"/>
    <w:rsid w:val="00D831D5"/>
    <w:rsid w:val="00D832A7"/>
    <w:rsid w:val="00D83367"/>
    <w:rsid w:val="00D8348A"/>
    <w:rsid w:val="00D83500"/>
    <w:rsid w:val="00D83880"/>
    <w:rsid w:val="00D8398B"/>
    <w:rsid w:val="00D839D8"/>
    <w:rsid w:val="00D839F8"/>
    <w:rsid w:val="00D83B4F"/>
    <w:rsid w:val="00D83BD9"/>
    <w:rsid w:val="00D83C63"/>
    <w:rsid w:val="00D83E32"/>
    <w:rsid w:val="00D84208"/>
    <w:rsid w:val="00D843F3"/>
    <w:rsid w:val="00D844AF"/>
    <w:rsid w:val="00D845D3"/>
    <w:rsid w:val="00D845E7"/>
    <w:rsid w:val="00D846DA"/>
    <w:rsid w:val="00D84726"/>
    <w:rsid w:val="00D84811"/>
    <w:rsid w:val="00D8489B"/>
    <w:rsid w:val="00D84A40"/>
    <w:rsid w:val="00D84A80"/>
    <w:rsid w:val="00D84ECB"/>
    <w:rsid w:val="00D85217"/>
    <w:rsid w:val="00D8531F"/>
    <w:rsid w:val="00D85548"/>
    <w:rsid w:val="00D85624"/>
    <w:rsid w:val="00D856FB"/>
    <w:rsid w:val="00D85738"/>
    <w:rsid w:val="00D857CF"/>
    <w:rsid w:val="00D8590D"/>
    <w:rsid w:val="00D859A0"/>
    <w:rsid w:val="00D85A3C"/>
    <w:rsid w:val="00D85C3B"/>
    <w:rsid w:val="00D85CC2"/>
    <w:rsid w:val="00D85DDB"/>
    <w:rsid w:val="00D85FF9"/>
    <w:rsid w:val="00D86306"/>
    <w:rsid w:val="00D86335"/>
    <w:rsid w:val="00D865D9"/>
    <w:rsid w:val="00D86610"/>
    <w:rsid w:val="00D86A6C"/>
    <w:rsid w:val="00D86AEF"/>
    <w:rsid w:val="00D86E0B"/>
    <w:rsid w:val="00D86EA4"/>
    <w:rsid w:val="00D86EC9"/>
    <w:rsid w:val="00D86FEE"/>
    <w:rsid w:val="00D873D6"/>
    <w:rsid w:val="00D874BA"/>
    <w:rsid w:val="00D87582"/>
    <w:rsid w:val="00D875C9"/>
    <w:rsid w:val="00D87664"/>
    <w:rsid w:val="00D87BCD"/>
    <w:rsid w:val="00D87CE4"/>
    <w:rsid w:val="00D87D26"/>
    <w:rsid w:val="00D87D4C"/>
    <w:rsid w:val="00D87D59"/>
    <w:rsid w:val="00D87F39"/>
    <w:rsid w:val="00D87F52"/>
    <w:rsid w:val="00D87FE2"/>
    <w:rsid w:val="00D900CE"/>
    <w:rsid w:val="00D90169"/>
    <w:rsid w:val="00D9017A"/>
    <w:rsid w:val="00D9045B"/>
    <w:rsid w:val="00D90489"/>
    <w:rsid w:val="00D90556"/>
    <w:rsid w:val="00D9057C"/>
    <w:rsid w:val="00D906F9"/>
    <w:rsid w:val="00D9089B"/>
    <w:rsid w:val="00D908C7"/>
    <w:rsid w:val="00D90B84"/>
    <w:rsid w:val="00D90E3B"/>
    <w:rsid w:val="00D90EA9"/>
    <w:rsid w:val="00D90F6F"/>
    <w:rsid w:val="00D91094"/>
    <w:rsid w:val="00D912D9"/>
    <w:rsid w:val="00D91306"/>
    <w:rsid w:val="00D9135A"/>
    <w:rsid w:val="00D91416"/>
    <w:rsid w:val="00D914E5"/>
    <w:rsid w:val="00D91590"/>
    <w:rsid w:val="00D91646"/>
    <w:rsid w:val="00D9183C"/>
    <w:rsid w:val="00D91C8C"/>
    <w:rsid w:val="00D91D37"/>
    <w:rsid w:val="00D91E9F"/>
    <w:rsid w:val="00D92001"/>
    <w:rsid w:val="00D9205F"/>
    <w:rsid w:val="00D9228C"/>
    <w:rsid w:val="00D922D8"/>
    <w:rsid w:val="00D92360"/>
    <w:rsid w:val="00D92472"/>
    <w:rsid w:val="00D92827"/>
    <w:rsid w:val="00D92B4D"/>
    <w:rsid w:val="00D92BBD"/>
    <w:rsid w:val="00D92C66"/>
    <w:rsid w:val="00D92D6F"/>
    <w:rsid w:val="00D92DC8"/>
    <w:rsid w:val="00D92FF0"/>
    <w:rsid w:val="00D9319A"/>
    <w:rsid w:val="00D93233"/>
    <w:rsid w:val="00D93368"/>
    <w:rsid w:val="00D93441"/>
    <w:rsid w:val="00D93456"/>
    <w:rsid w:val="00D9357E"/>
    <w:rsid w:val="00D9358C"/>
    <w:rsid w:val="00D93599"/>
    <w:rsid w:val="00D9372F"/>
    <w:rsid w:val="00D93B1D"/>
    <w:rsid w:val="00D93E14"/>
    <w:rsid w:val="00D93F00"/>
    <w:rsid w:val="00D9405A"/>
    <w:rsid w:val="00D9414A"/>
    <w:rsid w:val="00D941D1"/>
    <w:rsid w:val="00D941E8"/>
    <w:rsid w:val="00D94266"/>
    <w:rsid w:val="00D94562"/>
    <w:rsid w:val="00D945A9"/>
    <w:rsid w:val="00D94867"/>
    <w:rsid w:val="00D948AD"/>
    <w:rsid w:val="00D94A57"/>
    <w:rsid w:val="00D94EB2"/>
    <w:rsid w:val="00D95284"/>
    <w:rsid w:val="00D953D4"/>
    <w:rsid w:val="00D95409"/>
    <w:rsid w:val="00D955A9"/>
    <w:rsid w:val="00D9562C"/>
    <w:rsid w:val="00D95827"/>
    <w:rsid w:val="00D958B5"/>
    <w:rsid w:val="00D958FF"/>
    <w:rsid w:val="00D959D8"/>
    <w:rsid w:val="00D959ED"/>
    <w:rsid w:val="00D95B3C"/>
    <w:rsid w:val="00D95D13"/>
    <w:rsid w:val="00D95EE9"/>
    <w:rsid w:val="00D96008"/>
    <w:rsid w:val="00D9618A"/>
    <w:rsid w:val="00D96214"/>
    <w:rsid w:val="00D967CB"/>
    <w:rsid w:val="00D967FF"/>
    <w:rsid w:val="00D96B36"/>
    <w:rsid w:val="00D96C9D"/>
    <w:rsid w:val="00D96CFD"/>
    <w:rsid w:val="00D96D42"/>
    <w:rsid w:val="00D96DA9"/>
    <w:rsid w:val="00D96F61"/>
    <w:rsid w:val="00D97010"/>
    <w:rsid w:val="00D9705F"/>
    <w:rsid w:val="00D97061"/>
    <w:rsid w:val="00D970C3"/>
    <w:rsid w:val="00D97120"/>
    <w:rsid w:val="00D97222"/>
    <w:rsid w:val="00D97374"/>
    <w:rsid w:val="00D97389"/>
    <w:rsid w:val="00D9747C"/>
    <w:rsid w:val="00D976DD"/>
    <w:rsid w:val="00D97790"/>
    <w:rsid w:val="00D9779C"/>
    <w:rsid w:val="00D97888"/>
    <w:rsid w:val="00D978CC"/>
    <w:rsid w:val="00D97935"/>
    <w:rsid w:val="00D97D16"/>
    <w:rsid w:val="00D97F39"/>
    <w:rsid w:val="00D97FDD"/>
    <w:rsid w:val="00DA013B"/>
    <w:rsid w:val="00DA017F"/>
    <w:rsid w:val="00DA02A5"/>
    <w:rsid w:val="00DA02BC"/>
    <w:rsid w:val="00DA0477"/>
    <w:rsid w:val="00DA0530"/>
    <w:rsid w:val="00DA079D"/>
    <w:rsid w:val="00DA07B9"/>
    <w:rsid w:val="00DA0804"/>
    <w:rsid w:val="00DA0934"/>
    <w:rsid w:val="00DA0B2A"/>
    <w:rsid w:val="00DA0C70"/>
    <w:rsid w:val="00DA0C79"/>
    <w:rsid w:val="00DA0C9C"/>
    <w:rsid w:val="00DA1464"/>
    <w:rsid w:val="00DA14BE"/>
    <w:rsid w:val="00DA14C6"/>
    <w:rsid w:val="00DA15EE"/>
    <w:rsid w:val="00DA19DD"/>
    <w:rsid w:val="00DA1A3F"/>
    <w:rsid w:val="00DA1DE8"/>
    <w:rsid w:val="00DA1F51"/>
    <w:rsid w:val="00DA1F67"/>
    <w:rsid w:val="00DA20C6"/>
    <w:rsid w:val="00DA2421"/>
    <w:rsid w:val="00DA2428"/>
    <w:rsid w:val="00DA24E3"/>
    <w:rsid w:val="00DA26EB"/>
    <w:rsid w:val="00DA29CB"/>
    <w:rsid w:val="00DA2CD7"/>
    <w:rsid w:val="00DA3146"/>
    <w:rsid w:val="00DA3559"/>
    <w:rsid w:val="00DA3560"/>
    <w:rsid w:val="00DA366E"/>
    <w:rsid w:val="00DA372A"/>
    <w:rsid w:val="00DA377B"/>
    <w:rsid w:val="00DA38AC"/>
    <w:rsid w:val="00DA38EB"/>
    <w:rsid w:val="00DA3ACB"/>
    <w:rsid w:val="00DA3C47"/>
    <w:rsid w:val="00DA4223"/>
    <w:rsid w:val="00DA431E"/>
    <w:rsid w:val="00DA4460"/>
    <w:rsid w:val="00DA4537"/>
    <w:rsid w:val="00DA4538"/>
    <w:rsid w:val="00DA4547"/>
    <w:rsid w:val="00DA4692"/>
    <w:rsid w:val="00DA4780"/>
    <w:rsid w:val="00DA47F3"/>
    <w:rsid w:val="00DA48FD"/>
    <w:rsid w:val="00DA4A08"/>
    <w:rsid w:val="00DA4D5D"/>
    <w:rsid w:val="00DA4DAE"/>
    <w:rsid w:val="00DA4EBC"/>
    <w:rsid w:val="00DA4F06"/>
    <w:rsid w:val="00DA533F"/>
    <w:rsid w:val="00DA547A"/>
    <w:rsid w:val="00DA555B"/>
    <w:rsid w:val="00DA574A"/>
    <w:rsid w:val="00DA5831"/>
    <w:rsid w:val="00DA587D"/>
    <w:rsid w:val="00DA5980"/>
    <w:rsid w:val="00DA5B8B"/>
    <w:rsid w:val="00DA5C72"/>
    <w:rsid w:val="00DA5CB7"/>
    <w:rsid w:val="00DA5DB7"/>
    <w:rsid w:val="00DA5DE9"/>
    <w:rsid w:val="00DA5F94"/>
    <w:rsid w:val="00DA608D"/>
    <w:rsid w:val="00DA6212"/>
    <w:rsid w:val="00DA6242"/>
    <w:rsid w:val="00DA6258"/>
    <w:rsid w:val="00DA634D"/>
    <w:rsid w:val="00DA63A4"/>
    <w:rsid w:val="00DA6452"/>
    <w:rsid w:val="00DA645A"/>
    <w:rsid w:val="00DA64BA"/>
    <w:rsid w:val="00DA65E6"/>
    <w:rsid w:val="00DA6837"/>
    <w:rsid w:val="00DA68C8"/>
    <w:rsid w:val="00DA696F"/>
    <w:rsid w:val="00DA6996"/>
    <w:rsid w:val="00DA6B82"/>
    <w:rsid w:val="00DA6F2B"/>
    <w:rsid w:val="00DA716E"/>
    <w:rsid w:val="00DA723D"/>
    <w:rsid w:val="00DA72C0"/>
    <w:rsid w:val="00DA732E"/>
    <w:rsid w:val="00DA75DD"/>
    <w:rsid w:val="00DA76B1"/>
    <w:rsid w:val="00DA76C8"/>
    <w:rsid w:val="00DA76F5"/>
    <w:rsid w:val="00DA77AD"/>
    <w:rsid w:val="00DA77F7"/>
    <w:rsid w:val="00DA78A5"/>
    <w:rsid w:val="00DA7910"/>
    <w:rsid w:val="00DA79D4"/>
    <w:rsid w:val="00DA7ABE"/>
    <w:rsid w:val="00DA7B5C"/>
    <w:rsid w:val="00DA7C3C"/>
    <w:rsid w:val="00DA7CFF"/>
    <w:rsid w:val="00DA7DF2"/>
    <w:rsid w:val="00DA7EA5"/>
    <w:rsid w:val="00DA7F90"/>
    <w:rsid w:val="00DA7F99"/>
    <w:rsid w:val="00DB0091"/>
    <w:rsid w:val="00DB0146"/>
    <w:rsid w:val="00DB01DE"/>
    <w:rsid w:val="00DB0220"/>
    <w:rsid w:val="00DB0251"/>
    <w:rsid w:val="00DB067F"/>
    <w:rsid w:val="00DB06CA"/>
    <w:rsid w:val="00DB06F2"/>
    <w:rsid w:val="00DB06FF"/>
    <w:rsid w:val="00DB093A"/>
    <w:rsid w:val="00DB0A92"/>
    <w:rsid w:val="00DB0AB1"/>
    <w:rsid w:val="00DB0B04"/>
    <w:rsid w:val="00DB0D03"/>
    <w:rsid w:val="00DB0D38"/>
    <w:rsid w:val="00DB0F6B"/>
    <w:rsid w:val="00DB0FAC"/>
    <w:rsid w:val="00DB10DC"/>
    <w:rsid w:val="00DB12F0"/>
    <w:rsid w:val="00DB1388"/>
    <w:rsid w:val="00DB141B"/>
    <w:rsid w:val="00DB1553"/>
    <w:rsid w:val="00DB165F"/>
    <w:rsid w:val="00DB16DE"/>
    <w:rsid w:val="00DB1CB1"/>
    <w:rsid w:val="00DB1DC4"/>
    <w:rsid w:val="00DB1DF5"/>
    <w:rsid w:val="00DB1E38"/>
    <w:rsid w:val="00DB2164"/>
    <w:rsid w:val="00DB2342"/>
    <w:rsid w:val="00DB239D"/>
    <w:rsid w:val="00DB25BA"/>
    <w:rsid w:val="00DB26A3"/>
    <w:rsid w:val="00DB2AA1"/>
    <w:rsid w:val="00DB2B06"/>
    <w:rsid w:val="00DB2D44"/>
    <w:rsid w:val="00DB3091"/>
    <w:rsid w:val="00DB309A"/>
    <w:rsid w:val="00DB3482"/>
    <w:rsid w:val="00DB3496"/>
    <w:rsid w:val="00DB34D6"/>
    <w:rsid w:val="00DB34E0"/>
    <w:rsid w:val="00DB380F"/>
    <w:rsid w:val="00DB392D"/>
    <w:rsid w:val="00DB39EC"/>
    <w:rsid w:val="00DB3A61"/>
    <w:rsid w:val="00DB3DD2"/>
    <w:rsid w:val="00DB40E3"/>
    <w:rsid w:val="00DB42CB"/>
    <w:rsid w:val="00DB45FC"/>
    <w:rsid w:val="00DB46C4"/>
    <w:rsid w:val="00DB48FD"/>
    <w:rsid w:val="00DB4B3C"/>
    <w:rsid w:val="00DB4B93"/>
    <w:rsid w:val="00DB4C0E"/>
    <w:rsid w:val="00DB4DC1"/>
    <w:rsid w:val="00DB4DF4"/>
    <w:rsid w:val="00DB5152"/>
    <w:rsid w:val="00DB52FA"/>
    <w:rsid w:val="00DB53DA"/>
    <w:rsid w:val="00DB56F5"/>
    <w:rsid w:val="00DB56FD"/>
    <w:rsid w:val="00DB5947"/>
    <w:rsid w:val="00DB5F78"/>
    <w:rsid w:val="00DB6108"/>
    <w:rsid w:val="00DB617C"/>
    <w:rsid w:val="00DB66F2"/>
    <w:rsid w:val="00DB688B"/>
    <w:rsid w:val="00DB6BC0"/>
    <w:rsid w:val="00DB6CF9"/>
    <w:rsid w:val="00DB6DA4"/>
    <w:rsid w:val="00DB6E3E"/>
    <w:rsid w:val="00DB7499"/>
    <w:rsid w:val="00DB752D"/>
    <w:rsid w:val="00DB75D2"/>
    <w:rsid w:val="00DB7702"/>
    <w:rsid w:val="00DB78E8"/>
    <w:rsid w:val="00DB7B9E"/>
    <w:rsid w:val="00DB7C2B"/>
    <w:rsid w:val="00DB7EEC"/>
    <w:rsid w:val="00DB7FCD"/>
    <w:rsid w:val="00DC012E"/>
    <w:rsid w:val="00DC022A"/>
    <w:rsid w:val="00DC0346"/>
    <w:rsid w:val="00DC03D1"/>
    <w:rsid w:val="00DC047E"/>
    <w:rsid w:val="00DC0713"/>
    <w:rsid w:val="00DC07C2"/>
    <w:rsid w:val="00DC0913"/>
    <w:rsid w:val="00DC0982"/>
    <w:rsid w:val="00DC0ABF"/>
    <w:rsid w:val="00DC0AC5"/>
    <w:rsid w:val="00DC0B29"/>
    <w:rsid w:val="00DC0B64"/>
    <w:rsid w:val="00DC0C06"/>
    <w:rsid w:val="00DC0DF8"/>
    <w:rsid w:val="00DC0E56"/>
    <w:rsid w:val="00DC0ED6"/>
    <w:rsid w:val="00DC0FBD"/>
    <w:rsid w:val="00DC150E"/>
    <w:rsid w:val="00DC1550"/>
    <w:rsid w:val="00DC1581"/>
    <w:rsid w:val="00DC1642"/>
    <w:rsid w:val="00DC174F"/>
    <w:rsid w:val="00DC1BD7"/>
    <w:rsid w:val="00DC1C54"/>
    <w:rsid w:val="00DC1EFF"/>
    <w:rsid w:val="00DC220B"/>
    <w:rsid w:val="00DC2286"/>
    <w:rsid w:val="00DC2382"/>
    <w:rsid w:val="00DC23D6"/>
    <w:rsid w:val="00DC24B8"/>
    <w:rsid w:val="00DC24C1"/>
    <w:rsid w:val="00DC24C5"/>
    <w:rsid w:val="00DC25C9"/>
    <w:rsid w:val="00DC27CE"/>
    <w:rsid w:val="00DC28BE"/>
    <w:rsid w:val="00DC2937"/>
    <w:rsid w:val="00DC2AA0"/>
    <w:rsid w:val="00DC2BA3"/>
    <w:rsid w:val="00DC2C20"/>
    <w:rsid w:val="00DC2E44"/>
    <w:rsid w:val="00DC2FAD"/>
    <w:rsid w:val="00DC2FD3"/>
    <w:rsid w:val="00DC30B9"/>
    <w:rsid w:val="00DC30E5"/>
    <w:rsid w:val="00DC3161"/>
    <w:rsid w:val="00DC31D7"/>
    <w:rsid w:val="00DC3231"/>
    <w:rsid w:val="00DC326E"/>
    <w:rsid w:val="00DC338A"/>
    <w:rsid w:val="00DC3592"/>
    <w:rsid w:val="00DC35A5"/>
    <w:rsid w:val="00DC35FF"/>
    <w:rsid w:val="00DC36DC"/>
    <w:rsid w:val="00DC36E3"/>
    <w:rsid w:val="00DC36F3"/>
    <w:rsid w:val="00DC378E"/>
    <w:rsid w:val="00DC38FB"/>
    <w:rsid w:val="00DC3930"/>
    <w:rsid w:val="00DC3B41"/>
    <w:rsid w:val="00DC3B65"/>
    <w:rsid w:val="00DC3C38"/>
    <w:rsid w:val="00DC3CCF"/>
    <w:rsid w:val="00DC3D70"/>
    <w:rsid w:val="00DC3D76"/>
    <w:rsid w:val="00DC3D93"/>
    <w:rsid w:val="00DC41E2"/>
    <w:rsid w:val="00DC4392"/>
    <w:rsid w:val="00DC43FB"/>
    <w:rsid w:val="00DC4480"/>
    <w:rsid w:val="00DC4563"/>
    <w:rsid w:val="00DC457E"/>
    <w:rsid w:val="00DC4A74"/>
    <w:rsid w:val="00DC4DBE"/>
    <w:rsid w:val="00DC4F05"/>
    <w:rsid w:val="00DC4FB4"/>
    <w:rsid w:val="00DC5334"/>
    <w:rsid w:val="00DC557F"/>
    <w:rsid w:val="00DC56EA"/>
    <w:rsid w:val="00DC587B"/>
    <w:rsid w:val="00DC61D0"/>
    <w:rsid w:val="00DC61F9"/>
    <w:rsid w:val="00DC6303"/>
    <w:rsid w:val="00DC632E"/>
    <w:rsid w:val="00DC6636"/>
    <w:rsid w:val="00DC6640"/>
    <w:rsid w:val="00DC6A29"/>
    <w:rsid w:val="00DC6AF9"/>
    <w:rsid w:val="00DC6B29"/>
    <w:rsid w:val="00DC6B41"/>
    <w:rsid w:val="00DC6E2B"/>
    <w:rsid w:val="00DC704B"/>
    <w:rsid w:val="00DC73C5"/>
    <w:rsid w:val="00DC77DF"/>
    <w:rsid w:val="00DC7A24"/>
    <w:rsid w:val="00DC7AE5"/>
    <w:rsid w:val="00DC7CF7"/>
    <w:rsid w:val="00DC7E87"/>
    <w:rsid w:val="00DC7F7D"/>
    <w:rsid w:val="00DD008B"/>
    <w:rsid w:val="00DD008F"/>
    <w:rsid w:val="00DD0136"/>
    <w:rsid w:val="00DD01E9"/>
    <w:rsid w:val="00DD02D6"/>
    <w:rsid w:val="00DD03D9"/>
    <w:rsid w:val="00DD03E0"/>
    <w:rsid w:val="00DD06C6"/>
    <w:rsid w:val="00DD072F"/>
    <w:rsid w:val="00DD0794"/>
    <w:rsid w:val="00DD0A0F"/>
    <w:rsid w:val="00DD0AD9"/>
    <w:rsid w:val="00DD0BE8"/>
    <w:rsid w:val="00DD0C4B"/>
    <w:rsid w:val="00DD0DE0"/>
    <w:rsid w:val="00DD0F43"/>
    <w:rsid w:val="00DD0FF9"/>
    <w:rsid w:val="00DD105A"/>
    <w:rsid w:val="00DD1183"/>
    <w:rsid w:val="00DD119E"/>
    <w:rsid w:val="00DD1308"/>
    <w:rsid w:val="00DD1533"/>
    <w:rsid w:val="00DD1583"/>
    <w:rsid w:val="00DD16E1"/>
    <w:rsid w:val="00DD1763"/>
    <w:rsid w:val="00DD1B15"/>
    <w:rsid w:val="00DD1B9F"/>
    <w:rsid w:val="00DD1E1C"/>
    <w:rsid w:val="00DD1E7A"/>
    <w:rsid w:val="00DD2025"/>
    <w:rsid w:val="00DD2378"/>
    <w:rsid w:val="00DD2522"/>
    <w:rsid w:val="00DD2527"/>
    <w:rsid w:val="00DD2643"/>
    <w:rsid w:val="00DD2848"/>
    <w:rsid w:val="00DD2CAD"/>
    <w:rsid w:val="00DD2FDA"/>
    <w:rsid w:val="00DD3025"/>
    <w:rsid w:val="00DD333E"/>
    <w:rsid w:val="00DD3469"/>
    <w:rsid w:val="00DD35EA"/>
    <w:rsid w:val="00DD3710"/>
    <w:rsid w:val="00DD3832"/>
    <w:rsid w:val="00DD386B"/>
    <w:rsid w:val="00DD3914"/>
    <w:rsid w:val="00DD394A"/>
    <w:rsid w:val="00DD3B84"/>
    <w:rsid w:val="00DD3C60"/>
    <w:rsid w:val="00DD3CEA"/>
    <w:rsid w:val="00DD3D28"/>
    <w:rsid w:val="00DD3E56"/>
    <w:rsid w:val="00DD4066"/>
    <w:rsid w:val="00DD41AC"/>
    <w:rsid w:val="00DD48BB"/>
    <w:rsid w:val="00DD4998"/>
    <w:rsid w:val="00DD4AD4"/>
    <w:rsid w:val="00DD4D84"/>
    <w:rsid w:val="00DD4DB4"/>
    <w:rsid w:val="00DD4F0F"/>
    <w:rsid w:val="00DD50BC"/>
    <w:rsid w:val="00DD515F"/>
    <w:rsid w:val="00DD5187"/>
    <w:rsid w:val="00DD51CE"/>
    <w:rsid w:val="00DD5732"/>
    <w:rsid w:val="00DD59E4"/>
    <w:rsid w:val="00DD5A61"/>
    <w:rsid w:val="00DD5AEE"/>
    <w:rsid w:val="00DD5B65"/>
    <w:rsid w:val="00DD5BC6"/>
    <w:rsid w:val="00DD5CF0"/>
    <w:rsid w:val="00DD5E95"/>
    <w:rsid w:val="00DD5F1E"/>
    <w:rsid w:val="00DD652D"/>
    <w:rsid w:val="00DD66C3"/>
    <w:rsid w:val="00DD67BD"/>
    <w:rsid w:val="00DD687B"/>
    <w:rsid w:val="00DD6C64"/>
    <w:rsid w:val="00DD7216"/>
    <w:rsid w:val="00DD72D4"/>
    <w:rsid w:val="00DD75C0"/>
    <w:rsid w:val="00DD77E6"/>
    <w:rsid w:val="00DD7A66"/>
    <w:rsid w:val="00DD7B7B"/>
    <w:rsid w:val="00DD7BBE"/>
    <w:rsid w:val="00DD7D89"/>
    <w:rsid w:val="00DD7F40"/>
    <w:rsid w:val="00DE000D"/>
    <w:rsid w:val="00DE0075"/>
    <w:rsid w:val="00DE00CC"/>
    <w:rsid w:val="00DE028E"/>
    <w:rsid w:val="00DE02D0"/>
    <w:rsid w:val="00DE030A"/>
    <w:rsid w:val="00DE0317"/>
    <w:rsid w:val="00DE0514"/>
    <w:rsid w:val="00DE05D1"/>
    <w:rsid w:val="00DE05D8"/>
    <w:rsid w:val="00DE07F6"/>
    <w:rsid w:val="00DE0801"/>
    <w:rsid w:val="00DE091A"/>
    <w:rsid w:val="00DE092F"/>
    <w:rsid w:val="00DE0C60"/>
    <w:rsid w:val="00DE0F17"/>
    <w:rsid w:val="00DE0FEE"/>
    <w:rsid w:val="00DE1243"/>
    <w:rsid w:val="00DE12F6"/>
    <w:rsid w:val="00DE13A5"/>
    <w:rsid w:val="00DE1535"/>
    <w:rsid w:val="00DE15FA"/>
    <w:rsid w:val="00DE2007"/>
    <w:rsid w:val="00DE20F8"/>
    <w:rsid w:val="00DE2198"/>
    <w:rsid w:val="00DE220C"/>
    <w:rsid w:val="00DE225E"/>
    <w:rsid w:val="00DE22E9"/>
    <w:rsid w:val="00DE24A7"/>
    <w:rsid w:val="00DE24C9"/>
    <w:rsid w:val="00DE269B"/>
    <w:rsid w:val="00DE285C"/>
    <w:rsid w:val="00DE29F3"/>
    <w:rsid w:val="00DE2A11"/>
    <w:rsid w:val="00DE2CD6"/>
    <w:rsid w:val="00DE2DDF"/>
    <w:rsid w:val="00DE2E87"/>
    <w:rsid w:val="00DE2FE3"/>
    <w:rsid w:val="00DE32B9"/>
    <w:rsid w:val="00DE3755"/>
    <w:rsid w:val="00DE3865"/>
    <w:rsid w:val="00DE3902"/>
    <w:rsid w:val="00DE3A3E"/>
    <w:rsid w:val="00DE3BFB"/>
    <w:rsid w:val="00DE3C38"/>
    <w:rsid w:val="00DE3CC7"/>
    <w:rsid w:val="00DE4043"/>
    <w:rsid w:val="00DE4123"/>
    <w:rsid w:val="00DE41BD"/>
    <w:rsid w:val="00DE436E"/>
    <w:rsid w:val="00DE4642"/>
    <w:rsid w:val="00DE46CC"/>
    <w:rsid w:val="00DE4ABF"/>
    <w:rsid w:val="00DE50B9"/>
    <w:rsid w:val="00DE5458"/>
    <w:rsid w:val="00DE54FF"/>
    <w:rsid w:val="00DE552F"/>
    <w:rsid w:val="00DE5536"/>
    <w:rsid w:val="00DE57AA"/>
    <w:rsid w:val="00DE5833"/>
    <w:rsid w:val="00DE5838"/>
    <w:rsid w:val="00DE590C"/>
    <w:rsid w:val="00DE5A02"/>
    <w:rsid w:val="00DE5A85"/>
    <w:rsid w:val="00DE5CCD"/>
    <w:rsid w:val="00DE5D4E"/>
    <w:rsid w:val="00DE63F1"/>
    <w:rsid w:val="00DE64EC"/>
    <w:rsid w:val="00DE662D"/>
    <w:rsid w:val="00DE66AC"/>
    <w:rsid w:val="00DE6997"/>
    <w:rsid w:val="00DE699F"/>
    <w:rsid w:val="00DE6C56"/>
    <w:rsid w:val="00DE6D55"/>
    <w:rsid w:val="00DE6D9D"/>
    <w:rsid w:val="00DE70DA"/>
    <w:rsid w:val="00DE715E"/>
    <w:rsid w:val="00DE71A0"/>
    <w:rsid w:val="00DE73F3"/>
    <w:rsid w:val="00DE74F2"/>
    <w:rsid w:val="00DE75CF"/>
    <w:rsid w:val="00DE7621"/>
    <w:rsid w:val="00DE76C4"/>
    <w:rsid w:val="00DE7794"/>
    <w:rsid w:val="00DE786E"/>
    <w:rsid w:val="00DE7B5F"/>
    <w:rsid w:val="00DE7D8D"/>
    <w:rsid w:val="00DE7DC5"/>
    <w:rsid w:val="00DF0097"/>
    <w:rsid w:val="00DF041F"/>
    <w:rsid w:val="00DF0515"/>
    <w:rsid w:val="00DF060C"/>
    <w:rsid w:val="00DF079A"/>
    <w:rsid w:val="00DF089E"/>
    <w:rsid w:val="00DF09F1"/>
    <w:rsid w:val="00DF0B32"/>
    <w:rsid w:val="00DF0CD0"/>
    <w:rsid w:val="00DF10A7"/>
    <w:rsid w:val="00DF10F0"/>
    <w:rsid w:val="00DF1103"/>
    <w:rsid w:val="00DF1107"/>
    <w:rsid w:val="00DF1126"/>
    <w:rsid w:val="00DF1265"/>
    <w:rsid w:val="00DF13C2"/>
    <w:rsid w:val="00DF14E8"/>
    <w:rsid w:val="00DF1A59"/>
    <w:rsid w:val="00DF1F38"/>
    <w:rsid w:val="00DF2067"/>
    <w:rsid w:val="00DF20D7"/>
    <w:rsid w:val="00DF256A"/>
    <w:rsid w:val="00DF2599"/>
    <w:rsid w:val="00DF25A4"/>
    <w:rsid w:val="00DF26A5"/>
    <w:rsid w:val="00DF27AD"/>
    <w:rsid w:val="00DF2808"/>
    <w:rsid w:val="00DF28C0"/>
    <w:rsid w:val="00DF2960"/>
    <w:rsid w:val="00DF2BE0"/>
    <w:rsid w:val="00DF2C41"/>
    <w:rsid w:val="00DF2CCA"/>
    <w:rsid w:val="00DF2E7A"/>
    <w:rsid w:val="00DF30BB"/>
    <w:rsid w:val="00DF3273"/>
    <w:rsid w:val="00DF3388"/>
    <w:rsid w:val="00DF33A2"/>
    <w:rsid w:val="00DF34C6"/>
    <w:rsid w:val="00DF357A"/>
    <w:rsid w:val="00DF36B2"/>
    <w:rsid w:val="00DF385A"/>
    <w:rsid w:val="00DF396D"/>
    <w:rsid w:val="00DF39F3"/>
    <w:rsid w:val="00DF3C3D"/>
    <w:rsid w:val="00DF3C6F"/>
    <w:rsid w:val="00DF3D53"/>
    <w:rsid w:val="00DF3DB6"/>
    <w:rsid w:val="00DF3F90"/>
    <w:rsid w:val="00DF43A7"/>
    <w:rsid w:val="00DF43D5"/>
    <w:rsid w:val="00DF4786"/>
    <w:rsid w:val="00DF489E"/>
    <w:rsid w:val="00DF4A60"/>
    <w:rsid w:val="00DF4E42"/>
    <w:rsid w:val="00DF4EE8"/>
    <w:rsid w:val="00DF4FFC"/>
    <w:rsid w:val="00DF50FE"/>
    <w:rsid w:val="00DF55E9"/>
    <w:rsid w:val="00DF58FD"/>
    <w:rsid w:val="00DF59BE"/>
    <w:rsid w:val="00DF5A18"/>
    <w:rsid w:val="00DF5A35"/>
    <w:rsid w:val="00DF5BFA"/>
    <w:rsid w:val="00DF5C31"/>
    <w:rsid w:val="00DF5D4B"/>
    <w:rsid w:val="00DF5FB0"/>
    <w:rsid w:val="00DF5FCA"/>
    <w:rsid w:val="00DF5FDA"/>
    <w:rsid w:val="00DF6114"/>
    <w:rsid w:val="00DF6323"/>
    <w:rsid w:val="00DF6590"/>
    <w:rsid w:val="00DF65DE"/>
    <w:rsid w:val="00DF6640"/>
    <w:rsid w:val="00DF678D"/>
    <w:rsid w:val="00DF6860"/>
    <w:rsid w:val="00DF68F9"/>
    <w:rsid w:val="00DF6913"/>
    <w:rsid w:val="00DF6957"/>
    <w:rsid w:val="00DF69B1"/>
    <w:rsid w:val="00DF6B87"/>
    <w:rsid w:val="00DF6C9D"/>
    <w:rsid w:val="00DF6DB0"/>
    <w:rsid w:val="00DF6DFF"/>
    <w:rsid w:val="00DF6EF0"/>
    <w:rsid w:val="00DF6F73"/>
    <w:rsid w:val="00DF7040"/>
    <w:rsid w:val="00DF7069"/>
    <w:rsid w:val="00DF7196"/>
    <w:rsid w:val="00DF74B7"/>
    <w:rsid w:val="00DF74BC"/>
    <w:rsid w:val="00DF74DC"/>
    <w:rsid w:val="00DF77D7"/>
    <w:rsid w:val="00DF7BD7"/>
    <w:rsid w:val="00DF7E52"/>
    <w:rsid w:val="00DF7E9C"/>
    <w:rsid w:val="00DF7F06"/>
    <w:rsid w:val="00DF7FA8"/>
    <w:rsid w:val="00E00079"/>
    <w:rsid w:val="00E00118"/>
    <w:rsid w:val="00E0017E"/>
    <w:rsid w:val="00E001F2"/>
    <w:rsid w:val="00E00464"/>
    <w:rsid w:val="00E0056F"/>
    <w:rsid w:val="00E00813"/>
    <w:rsid w:val="00E00C05"/>
    <w:rsid w:val="00E00C08"/>
    <w:rsid w:val="00E00C8E"/>
    <w:rsid w:val="00E00CC7"/>
    <w:rsid w:val="00E00F41"/>
    <w:rsid w:val="00E00F64"/>
    <w:rsid w:val="00E01197"/>
    <w:rsid w:val="00E011D3"/>
    <w:rsid w:val="00E012AD"/>
    <w:rsid w:val="00E014AF"/>
    <w:rsid w:val="00E0154F"/>
    <w:rsid w:val="00E01659"/>
    <w:rsid w:val="00E0187B"/>
    <w:rsid w:val="00E01977"/>
    <w:rsid w:val="00E01A39"/>
    <w:rsid w:val="00E01B2E"/>
    <w:rsid w:val="00E01BA3"/>
    <w:rsid w:val="00E01D9D"/>
    <w:rsid w:val="00E01DAD"/>
    <w:rsid w:val="00E01E11"/>
    <w:rsid w:val="00E01E30"/>
    <w:rsid w:val="00E01E53"/>
    <w:rsid w:val="00E01F19"/>
    <w:rsid w:val="00E01F84"/>
    <w:rsid w:val="00E02518"/>
    <w:rsid w:val="00E02544"/>
    <w:rsid w:val="00E025BD"/>
    <w:rsid w:val="00E0275A"/>
    <w:rsid w:val="00E02910"/>
    <w:rsid w:val="00E029A9"/>
    <w:rsid w:val="00E02BE5"/>
    <w:rsid w:val="00E02DD1"/>
    <w:rsid w:val="00E02E33"/>
    <w:rsid w:val="00E02F17"/>
    <w:rsid w:val="00E02F6C"/>
    <w:rsid w:val="00E0301C"/>
    <w:rsid w:val="00E032B7"/>
    <w:rsid w:val="00E03322"/>
    <w:rsid w:val="00E0354B"/>
    <w:rsid w:val="00E03607"/>
    <w:rsid w:val="00E03C38"/>
    <w:rsid w:val="00E03D4C"/>
    <w:rsid w:val="00E03F2B"/>
    <w:rsid w:val="00E04025"/>
    <w:rsid w:val="00E04471"/>
    <w:rsid w:val="00E04520"/>
    <w:rsid w:val="00E045CF"/>
    <w:rsid w:val="00E045E1"/>
    <w:rsid w:val="00E0473F"/>
    <w:rsid w:val="00E04828"/>
    <w:rsid w:val="00E04931"/>
    <w:rsid w:val="00E049AD"/>
    <w:rsid w:val="00E04BC4"/>
    <w:rsid w:val="00E04D56"/>
    <w:rsid w:val="00E04FE7"/>
    <w:rsid w:val="00E0500D"/>
    <w:rsid w:val="00E051EC"/>
    <w:rsid w:val="00E05485"/>
    <w:rsid w:val="00E054E9"/>
    <w:rsid w:val="00E05801"/>
    <w:rsid w:val="00E059CD"/>
    <w:rsid w:val="00E05A34"/>
    <w:rsid w:val="00E05BD1"/>
    <w:rsid w:val="00E05D6B"/>
    <w:rsid w:val="00E05E14"/>
    <w:rsid w:val="00E060A3"/>
    <w:rsid w:val="00E06212"/>
    <w:rsid w:val="00E06321"/>
    <w:rsid w:val="00E06361"/>
    <w:rsid w:val="00E0646B"/>
    <w:rsid w:val="00E064A9"/>
    <w:rsid w:val="00E0654E"/>
    <w:rsid w:val="00E066A2"/>
    <w:rsid w:val="00E06DED"/>
    <w:rsid w:val="00E06E59"/>
    <w:rsid w:val="00E072B6"/>
    <w:rsid w:val="00E0730D"/>
    <w:rsid w:val="00E074F6"/>
    <w:rsid w:val="00E07676"/>
    <w:rsid w:val="00E079F1"/>
    <w:rsid w:val="00E07A2C"/>
    <w:rsid w:val="00E07A4B"/>
    <w:rsid w:val="00E07B77"/>
    <w:rsid w:val="00E07D02"/>
    <w:rsid w:val="00E07FDC"/>
    <w:rsid w:val="00E100FF"/>
    <w:rsid w:val="00E102DD"/>
    <w:rsid w:val="00E102FF"/>
    <w:rsid w:val="00E105AF"/>
    <w:rsid w:val="00E105CA"/>
    <w:rsid w:val="00E105F4"/>
    <w:rsid w:val="00E106CB"/>
    <w:rsid w:val="00E1085C"/>
    <w:rsid w:val="00E108D7"/>
    <w:rsid w:val="00E10A4B"/>
    <w:rsid w:val="00E10BA7"/>
    <w:rsid w:val="00E10BAD"/>
    <w:rsid w:val="00E10BF5"/>
    <w:rsid w:val="00E10D53"/>
    <w:rsid w:val="00E10E65"/>
    <w:rsid w:val="00E1103D"/>
    <w:rsid w:val="00E110B7"/>
    <w:rsid w:val="00E110F9"/>
    <w:rsid w:val="00E1143A"/>
    <w:rsid w:val="00E11443"/>
    <w:rsid w:val="00E11458"/>
    <w:rsid w:val="00E11788"/>
    <w:rsid w:val="00E11A73"/>
    <w:rsid w:val="00E11D26"/>
    <w:rsid w:val="00E11F86"/>
    <w:rsid w:val="00E11F9F"/>
    <w:rsid w:val="00E12012"/>
    <w:rsid w:val="00E12081"/>
    <w:rsid w:val="00E1215D"/>
    <w:rsid w:val="00E12176"/>
    <w:rsid w:val="00E121CF"/>
    <w:rsid w:val="00E123A6"/>
    <w:rsid w:val="00E1249A"/>
    <w:rsid w:val="00E124A4"/>
    <w:rsid w:val="00E1259E"/>
    <w:rsid w:val="00E12A4D"/>
    <w:rsid w:val="00E12AF8"/>
    <w:rsid w:val="00E12BCD"/>
    <w:rsid w:val="00E12C36"/>
    <w:rsid w:val="00E12D21"/>
    <w:rsid w:val="00E12DF0"/>
    <w:rsid w:val="00E13280"/>
    <w:rsid w:val="00E13311"/>
    <w:rsid w:val="00E13599"/>
    <w:rsid w:val="00E137B4"/>
    <w:rsid w:val="00E13880"/>
    <w:rsid w:val="00E139DC"/>
    <w:rsid w:val="00E13C00"/>
    <w:rsid w:val="00E13E44"/>
    <w:rsid w:val="00E140CE"/>
    <w:rsid w:val="00E14318"/>
    <w:rsid w:val="00E14685"/>
    <w:rsid w:val="00E149E8"/>
    <w:rsid w:val="00E14A7F"/>
    <w:rsid w:val="00E14AD9"/>
    <w:rsid w:val="00E14DB2"/>
    <w:rsid w:val="00E14DE0"/>
    <w:rsid w:val="00E14E08"/>
    <w:rsid w:val="00E14F30"/>
    <w:rsid w:val="00E14FAF"/>
    <w:rsid w:val="00E14FB6"/>
    <w:rsid w:val="00E1512F"/>
    <w:rsid w:val="00E15140"/>
    <w:rsid w:val="00E152E3"/>
    <w:rsid w:val="00E1539A"/>
    <w:rsid w:val="00E15403"/>
    <w:rsid w:val="00E1570D"/>
    <w:rsid w:val="00E15E21"/>
    <w:rsid w:val="00E15E8B"/>
    <w:rsid w:val="00E15E8E"/>
    <w:rsid w:val="00E15EA3"/>
    <w:rsid w:val="00E16113"/>
    <w:rsid w:val="00E16554"/>
    <w:rsid w:val="00E165F9"/>
    <w:rsid w:val="00E16A1F"/>
    <w:rsid w:val="00E16A96"/>
    <w:rsid w:val="00E16B25"/>
    <w:rsid w:val="00E16BAC"/>
    <w:rsid w:val="00E16CF0"/>
    <w:rsid w:val="00E16F50"/>
    <w:rsid w:val="00E17135"/>
    <w:rsid w:val="00E172F9"/>
    <w:rsid w:val="00E17323"/>
    <w:rsid w:val="00E17423"/>
    <w:rsid w:val="00E174CE"/>
    <w:rsid w:val="00E175E7"/>
    <w:rsid w:val="00E179A6"/>
    <w:rsid w:val="00E17A4B"/>
    <w:rsid w:val="00E17A4F"/>
    <w:rsid w:val="00E17B16"/>
    <w:rsid w:val="00E17C54"/>
    <w:rsid w:val="00E17DB4"/>
    <w:rsid w:val="00E17DC0"/>
    <w:rsid w:val="00E17E66"/>
    <w:rsid w:val="00E2001E"/>
    <w:rsid w:val="00E2006B"/>
    <w:rsid w:val="00E20225"/>
    <w:rsid w:val="00E2023C"/>
    <w:rsid w:val="00E202F2"/>
    <w:rsid w:val="00E20368"/>
    <w:rsid w:val="00E204A3"/>
    <w:rsid w:val="00E204E0"/>
    <w:rsid w:val="00E20629"/>
    <w:rsid w:val="00E2065F"/>
    <w:rsid w:val="00E209E0"/>
    <w:rsid w:val="00E20A5C"/>
    <w:rsid w:val="00E20B50"/>
    <w:rsid w:val="00E20D2F"/>
    <w:rsid w:val="00E20D8F"/>
    <w:rsid w:val="00E20E02"/>
    <w:rsid w:val="00E20F9B"/>
    <w:rsid w:val="00E2120A"/>
    <w:rsid w:val="00E21405"/>
    <w:rsid w:val="00E21429"/>
    <w:rsid w:val="00E21668"/>
    <w:rsid w:val="00E21781"/>
    <w:rsid w:val="00E21960"/>
    <w:rsid w:val="00E21A03"/>
    <w:rsid w:val="00E21A64"/>
    <w:rsid w:val="00E21B4F"/>
    <w:rsid w:val="00E21D1F"/>
    <w:rsid w:val="00E21D63"/>
    <w:rsid w:val="00E21FBF"/>
    <w:rsid w:val="00E22174"/>
    <w:rsid w:val="00E222BB"/>
    <w:rsid w:val="00E22569"/>
    <w:rsid w:val="00E2273E"/>
    <w:rsid w:val="00E2283F"/>
    <w:rsid w:val="00E22B70"/>
    <w:rsid w:val="00E22D6B"/>
    <w:rsid w:val="00E22DC7"/>
    <w:rsid w:val="00E22E1D"/>
    <w:rsid w:val="00E22E71"/>
    <w:rsid w:val="00E2315F"/>
    <w:rsid w:val="00E2359D"/>
    <w:rsid w:val="00E236A9"/>
    <w:rsid w:val="00E23722"/>
    <w:rsid w:val="00E23BAF"/>
    <w:rsid w:val="00E23D03"/>
    <w:rsid w:val="00E23DBC"/>
    <w:rsid w:val="00E23F1C"/>
    <w:rsid w:val="00E24151"/>
    <w:rsid w:val="00E2429A"/>
    <w:rsid w:val="00E24485"/>
    <w:rsid w:val="00E2448E"/>
    <w:rsid w:val="00E2450C"/>
    <w:rsid w:val="00E247DB"/>
    <w:rsid w:val="00E24815"/>
    <w:rsid w:val="00E24E53"/>
    <w:rsid w:val="00E25006"/>
    <w:rsid w:val="00E25175"/>
    <w:rsid w:val="00E25177"/>
    <w:rsid w:val="00E2523E"/>
    <w:rsid w:val="00E2537F"/>
    <w:rsid w:val="00E25746"/>
    <w:rsid w:val="00E25874"/>
    <w:rsid w:val="00E258F0"/>
    <w:rsid w:val="00E25B0B"/>
    <w:rsid w:val="00E25DA1"/>
    <w:rsid w:val="00E25E8A"/>
    <w:rsid w:val="00E25F24"/>
    <w:rsid w:val="00E26113"/>
    <w:rsid w:val="00E26178"/>
    <w:rsid w:val="00E2618A"/>
    <w:rsid w:val="00E261C8"/>
    <w:rsid w:val="00E263CE"/>
    <w:rsid w:val="00E26590"/>
    <w:rsid w:val="00E2661F"/>
    <w:rsid w:val="00E26699"/>
    <w:rsid w:val="00E266EE"/>
    <w:rsid w:val="00E2670E"/>
    <w:rsid w:val="00E267E8"/>
    <w:rsid w:val="00E2697F"/>
    <w:rsid w:val="00E26A70"/>
    <w:rsid w:val="00E26AA0"/>
    <w:rsid w:val="00E26AE7"/>
    <w:rsid w:val="00E26B42"/>
    <w:rsid w:val="00E270B0"/>
    <w:rsid w:val="00E27198"/>
    <w:rsid w:val="00E27458"/>
    <w:rsid w:val="00E275F6"/>
    <w:rsid w:val="00E2784A"/>
    <w:rsid w:val="00E2794B"/>
    <w:rsid w:val="00E27966"/>
    <w:rsid w:val="00E27B91"/>
    <w:rsid w:val="00E27B98"/>
    <w:rsid w:val="00E30068"/>
    <w:rsid w:val="00E30123"/>
    <w:rsid w:val="00E30236"/>
    <w:rsid w:val="00E3037F"/>
    <w:rsid w:val="00E3047E"/>
    <w:rsid w:val="00E30656"/>
    <w:rsid w:val="00E30695"/>
    <w:rsid w:val="00E309E3"/>
    <w:rsid w:val="00E30B89"/>
    <w:rsid w:val="00E30DF1"/>
    <w:rsid w:val="00E30E4A"/>
    <w:rsid w:val="00E30EA7"/>
    <w:rsid w:val="00E30FCA"/>
    <w:rsid w:val="00E312CD"/>
    <w:rsid w:val="00E3136E"/>
    <w:rsid w:val="00E314F0"/>
    <w:rsid w:val="00E3152C"/>
    <w:rsid w:val="00E315E6"/>
    <w:rsid w:val="00E3164A"/>
    <w:rsid w:val="00E31664"/>
    <w:rsid w:val="00E316BF"/>
    <w:rsid w:val="00E3185F"/>
    <w:rsid w:val="00E31A9C"/>
    <w:rsid w:val="00E31B6C"/>
    <w:rsid w:val="00E31CA0"/>
    <w:rsid w:val="00E31DDB"/>
    <w:rsid w:val="00E31E50"/>
    <w:rsid w:val="00E3227D"/>
    <w:rsid w:val="00E324DD"/>
    <w:rsid w:val="00E3267B"/>
    <w:rsid w:val="00E32840"/>
    <w:rsid w:val="00E329D8"/>
    <w:rsid w:val="00E32B6C"/>
    <w:rsid w:val="00E32C6F"/>
    <w:rsid w:val="00E32DC7"/>
    <w:rsid w:val="00E32F00"/>
    <w:rsid w:val="00E33102"/>
    <w:rsid w:val="00E331C1"/>
    <w:rsid w:val="00E334BE"/>
    <w:rsid w:val="00E3362D"/>
    <w:rsid w:val="00E33631"/>
    <w:rsid w:val="00E33740"/>
    <w:rsid w:val="00E337CC"/>
    <w:rsid w:val="00E338C6"/>
    <w:rsid w:val="00E3395E"/>
    <w:rsid w:val="00E33A65"/>
    <w:rsid w:val="00E33B89"/>
    <w:rsid w:val="00E33FB2"/>
    <w:rsid w:val="00E341BA"/>
    <w:rsid w:val="00E341D7"/>
    <w:rsid w:val="00E343D4"/>
    <w:rsid w:val="00E34463"/>
    <w:rsid w:val="00E344DE"/>
    <w:rsid w:val="00E34557"/>
    <w:rsid w:val="00E34580"/>
    <w:rsid w:val="00E345AF"/>
    <w:rsid w:val="00E345D3"/>
    <w:rsid w:val="00E347E9"/>
    <w:rsid w:val="00E3485C"/>
    <w:rsid w:val="00E34A7B"/>
    <w:rsid w:val="00E34B0D"/>
    <w:rsid w:val="00E34C4C"/>
    <w:rsid w:val="00E34D63"/>
    <w:rsid w:val="00E35309"/>
    <w:rsid w:val="00E35316"/>
    <w:rsid w:val="00E3549D"/>
    <w:rsid w:val="00E354B6"/>
    <w:rsid w:val="00E35651"/>
    <w:rsid w:val="00E356C5"/>
    <w:rsid w:val="00E357DF"/>
    <w:rsid w:val="00E359BE"/>
    <w:rsid w:val="00E35C51"/>
    <w:rsid w:val="00E35C52"/>
    <w:rsid w:val="00E35D42"/>
    <w:rsid w:val="00E35ED4"/>
    <w:rsid w:val="00E35FF0"/>
    <w:rsid w:val="00E36007"/>
    <w:rsid w:val="00E362C2"/>
    <w:rsid w:val="00E362CE"/>
    <w:rsid w:val="00E366C0"/>
    <w:rsid w:val="00E368F2"/>
    <w:rsid w:val="00E36A41"/>
    <w:rsid w:val="00E36A9A"/>
    <w:rsid w:val="00E36AAB"/>
    <w:rsid w:val="00E36C81"/>
    <w:rsid w:val="00E37006"/>
    <w:rsid w:val="00E37071"/>
    <w:rsid w:val="00E3726A"/>
    <w:rsid w:val="00E373A7"/>
    <w:rsid w:val="00E373F2"/>
    <w:rsid w:val="00E373FD"/>
    <w:rsid w:val="00E37407"/>
    <w:rsid w:val="00E379F8"/>
    <w:rsid w:val="00E37B5F"/>
    <w:rsid w:val="00E37BA1"/>
    <w:rsid w:val="00E37BAA"/>
    <w:rsid w:val="00E37E72"/>
    <w:rsid w:val="00E37EB3"/>
    <w:rsid w:val="00E37FD8"/>
    <w:rsid w:val="00E4023E"/>
    <w:rsid w:val="00E4049B"/>
    <w:rsid w:val="00E4057B"/>
    <w:rsid w:val="00E40617"/>
    <w:rsid w:val="00E40890"/>
    <w:rsid w:val="00E408AF"/>
    <w:rsid w:val="00E408C4"/>
    <w:rsid w:val="00E409B0"/>
    <w:rsid w:val="00E40A1E"/>
    <w:rsid w:val="00E40A43"/>
    <w:rsid w:val="00E40A65"/>
    <w:rsid w:val="00E40D73"/>
    <w:rsid w:val="00E40D9E"/>
    <w:rsid w:val="00E40FA2"/>
    <w:rsid w:val="00E410B3"/>
    <w:rsid w:val="00E410FB"/>
    <w:rsid w:val="00E41108"/>
    <w:rsid w:val="00E41164"/>
    <w:rsid w:val="00E412D9"/>
    <w:rsid w:val="00E4136F"/>
    <w:rsid w:val="00E41477"/>
    <w:rsid w:val="00E41517"/>
    <w:rsid w:val="00E4174D"/>
    <w:rsid w:val="00E41823"/>
    <w:rsid w:val="00E41904"/>
    <w:rsid w:val="00E4190C"/>
    <w:rsid w:val="00E419F7"/>
    <w:rsid w:val="00E41A96"/>
    <w:rsid w:val="00E41AD2"/>
    <w:rsid w:val="00E41CA2"/>
    <w:rsid w:val="00E41D79"/>
    <w:rsid w:val="00E41D7E"/>
    <w:rsid w:val="00E41DE5"/>
    <w:rsid w:val="00E41E97"/>
    <w:rsid w:val="00E41FB6"/>
    <w:rsid w:val="00E42094"/>
    <w:rsid w:val="00E42146"/>
    <w:rsid w:val="00E421CE"/>
    <w:rsid w:val="00E421F7"/>
    <w:rsid w:val="00E42407"/>
    <w:rsid w:val="00E42473"/>
    <w:rsid w:val="00E42487"/>
    <w:rsid w:val="00E42748"/>
    <w:rsid w:val="00E42884"/>
    <w:rsid w:val="00E428AF"/>
    <w:rsid w:val="00E428FB"/>
    <w:rsid w:val="00E42D44"/>
    <w:rsid w:val="00E42DAD"/>
    <w:rsid w:val="00E430F0"/>
    <w:rsid w:val="00E43206"/>
    <w:rsid w:val="00E43301"/>
    <w:rsid w:val="00E435DB"/>
    <w:rsid w:val="00E43618"/>
    <w:rsid w:val="00E43627"/>
    <w:rsid w:val="00E436E5"/>
    <w:rsid w:val="00E4376D"/>
    <w:rsid w:val="00E43810"/>
    <w:rsid w:val="00E4381D"/>
    <w:rsid w:val="00E4395F"/>
    <w:rsid w:val="00E4397C"/>
    <w:rsid w:val="00E43A05"/>
    <w:rsid w:val="00E43D5B"/>
    <w:rsid w:val="00E43FEB"/>
    <w:rsid w:val="00E4405B"/>
    <w:rsid w:val="00E4431C"/>
    <w:rsid w:val="00E44357"/>
    <w:rsid w:val="00E443FF"/>
    <w:rsid w:val="00E44564"/>
    <w:rsid w:val="00E445DC"/>
    <w:rsid w:val="00E44751"/>
    <w:rsid w:val="00E44820"/>
    <w:rsid w:val="00E4491B"/>
    <w:rsid w:val="00E44A24"/>
    <w:rsid w:val="00E44A2A"/>
    <w:rsid w:val="00E44AD2"/>
    <w:rsid w:val="00E44BAF"/>
    <w:rsid w:val="00E44C26"/>
    <w:rsid w:val="00E44C74"/>
    <w:rsid w:val="00E44FDF"/>
    <w:rsid w:val="00E45100"/>
    <w:rsid w:val="00E4519A"/>
    <w:rsid w:val="00E4538C"/>
    <w:rsid w:val="00E453AE"/>
    <w:rsid w:val="00E454A3"/>
    <w:rsid w:val="00E4573D"/>
    <w:rsid w:val="00E457D9"/>
    <w:rsid w:val="00E4581A"/>
    <w:rsid w:val="00E45912"/>
    <w:rsid w:val="00E4599F"/>
    <w:rsid w:val="00E45B86"/>
    <w:rsid w:val="00E45C48"/>
    <w:rsid w:val="00E45E2E"/>
    <w:rsid w:val="00E45E43"/>
    <w:rsid w:val="00E45E80"/>
    <w:rsid w:val="00E462A1"/>
    <w:rsid w:val="00E46419"/>
    <w:rsid w:val="00E464E1"/>
    <w:rsid w:val="00E4658C"/>
    <w:rsid w:val="00E4659A"/>
    <w:rsid w:val="00E468D1"/>
    <w:rsid w:val="00E469D9"/>
    <w:rsid w:val="00E46AE2"/>
    <w:rsid w:val="00E46B2E"/>
    <w:rsid w:val="00E46B6E"/>
    <w:rsid w:val="00E46E5E"/>
    <w:rsid w:val="00E46FAA"/>
    <w:rsid w:val="00E47158"/>
    <w:rsid w:val="00E474B5"/>
    <w:rsid w:val="00E475D3"/>
    <w:rsid w:val="00E478E1"/>
    <w:rsid w:val="00E47952"/>
    <w:rsid w:val="00E47A2E"/>
    <w:rsid w:val="00E47AD8"/>
    <w:rsid w:val="00E47C31"/>
    <w:rsid w:val="00E47CAC"/>
    <w:rsid w:val="00E47DD6"/>
    <w:rsid w:val="00E47E3A"/>
    <w:rsid w:val="00E47FE1"/>
    <w:rsid w:val="00E5014A"/>
    <w:rsid w:val="00E5017A"/>
    <w:rsid w:val="00E503A7"/>
    <w:rsid w:val="00E503B3"/>
    <w:rsid w:val="00E507C5"/>
    <w:rsid w:val="00E50A33"/>
    <w:rsid w:val="00E50BF5"/>
    <w:rsid w:val="00E50C23"/>
    <w:rsid w:val="00E50CC6"/>
    <w:rsid w:val="00E50FA8"/>
    <w:rsid w:val="00E51137"/>
    <w:rsid w:val="00E51537"/>
    <w:rsid w:val="00E516FC"/>
    <w:rsid w:val="00E51847"/>
    <w:rsid w:val="00E51924"/>
    <w:rsid w:val="00E51A74"/>
    <w:rsid w:val="00E51B2E"/>
    <w:rsid w:val="00E51B71"/>
    <w:rsid w:val="00E51E6F"/>
    <w:rsid w:val="00E51E99"/>
    <w:rsid w:val="00E52398"/>
    <w:rsid w:val="00E52603"/>
    <w:rsid w:val="00E526DA"/>
    <w:rsid w:val="00E526DF"/>
    <w:rsid w:val="00E52988"/>
    <w:rsid w:val="00E52AF9"/>
    <w:rsid w:val="00E52B60"/>
    <w:rsid w:val="00E52B79"/>
    <w:rsid w:val="00E52B80"/>
    <w:rsid w:val="00E52BB7"/>
    <w:rsid w:val="00E52C1E"/>
    <w:rsid w:val="00E52C3A"/>
    <w:rsid w:val="00E52D7A"/>
    <w:rsid w:val="00E52DE7"/>
    <w:rsid w:val="00E52E4F"/>
    <w:rsid w:val="00E52F6E"/>
    <w:rsid w:val="00E53017"/>
    <w:rsid w:val="00E53033"/>
    <w:rsid w:val="00E530A7"/>
    <w:rsid w:val="00E533CC"/>
    <w:rsid w:val="00E5340E"/>
    <w:rsid w:val="00E53497"/>
    <w:rsid w:val="00E534C7"/>
    <w:rsid w:val="00E537A2"/>
    <w:rsid w:val="00E53CB9"/>
    <w:rsid w:val="00E53D28"/>
    <w:rsid w:val="00E53D2B"/>
    <w:rsid w:val="00E53D4A"/>
    <w:rsid w:val="00E53D66"/>
    <w:rsid w:val="00E53D69"/>
    <w:rsid w:val="00E53F36"/>
    <w:rsid w:val="00E53F8C"/>
    <w:rsid w:val="00E53FB1"/>
    <w:rsid w:val="00E5413A"/>
    <w:rsid w:val="00E54204"/>
    <w:rsid w:val="00E5420E"/>
    <w:rsid w:val="00E542ED"/>
    <w:rsid w:val="00E54366"/>
    <w:rsid w:val="00E543ED"/>
    <w:rsid w:val="00E54540"/>
    <w:rsid w:val="00E5464E"/>
    <w:rsid w:val="00E54669"/>
    <w:rsid w:val="00E548B9"/>
    <w:rsid w:val="00E548D0"/>
    <w:rsid w:val="00E549C1"/>
    <w:rsid w:val="00E54A00"/>
    <w:rsid w:val="00E54AA9"/>
    <w:rsid w:val="00E54AC9"/>
    <w:rsid w:val="00E54C38"/>
    <w:rsid w:val="00E550AE"/>
    <w:rsid w:val="00E552B1"/>
    <w:rsid w:val="00E55459"/>
    <w:rsid w:val="00E554FC"/>
    <w:rsid w:val="00E554FE"/>
    <w:rsid w:val="00E558ED"/>
    <w:rsid w:val="00E5590C"/>
    <w:rsid w:val="00E55928"/>
    <w:rsid w:val="00E55AE0"/>
    <w:rsid w:val="00E55F05"/>
    <w:rsid w:val="00E55FB5"/>
    <w:rsid w:val="00E561EC"/>
    <w:rsid w:val="00E56214"/>
    <w:rsid w:val="00E563F7"/>
    <w:rsid w:val="00E566BD"/>
    <w:rsid w:val="00E56805"/>
    <w:rsid w:val="00E568C0"/>
    <w:rsid w:val="00E569D7"/>
    <w:rsid w:val="00E56A16"/>
    <w:rsid w:val="00E56C1E"/>
    <w:rsid w:val="00E56E12"/>
    <w:rsid w:val="00E56FE5"/>
    <w:rsid w:val="00E571D6"/>
    <w:rsid w:val="00E5720F"/>
    <w:rsid w:val="00E5757B"/>
    <w:rsid w:val="00E5763C"/>
    <w:rsid w:val="00E57855"/>
    <w:rsid w:val="00E5797C"/>
    <w:rsid w:val="00E57A1B"/>
    <w:rsid w:val="00E57E02"/>
    <w:rsid w:val="00E57F6B"/>
    <w:rsid w:val="00E601E4"/>
    <w:rsid w:val="00E60329"/>
    <w:rsid w:val="00E604A6"/>
    <w:rsid w:val="00E6054B"/>
    <w:rsid w:val="00E605E3"/>
    <w:rsid w:val="00E60DF7"/>
    <w:rsid w:val="00E60E0F"/>
    <w:rsid w:val="00E60E7C"/>
    <w:rsid w:val="00E6103D"/>
    <w:rsid w:val="00E61215"/>
    <w:rsid w:val="00E61339"/>
    <w:rsid w:val="00E6133F"/>
    <w:rsid w:val="00E613EE"/>
    <w:rsid w:val="00E61551"/>
    <w:rsid w:val="00E619EE"/>
    <w:rsid w:val="00E61CF2"/>
    <w:rsid w:val="00E61DE3"/>
    <w:rsid w:val="00E61E55"/>
    <w:rsid w:val="00E61EB8"/>
    <w:rsid w:val="00E61F18"/>
    <w:rsid w:val="00E61F7C"/>
    <w:rsid w:val="00E620FD"/>
    <w:rsid w:val="00E6219E"/>
    <w:rsid w:val="00E625CF"/>
    <w:rsid w:val="00E6269B"/>
    <w:rsid w:val="00E6289F"/>
    <w:rsid w:val="00E62DD0"/>
    <w:rsid w:val="00E6309D"/>
    <w:rsid w:val="00E633E3"/>
    <w:rsid w:val="00E63428"/>
    <w:rsid w:val="00E63453"/>
    <w:rsid w:val="00E63582"/>
    <w:rsid w:val="00E63796"/>
    <w:rsid w:val="00E637A6"/>
    <w:rsid w:val="00E638A1"/>
    <w:rsid w:val="00E6397F"/>
    <w:rsid w:val="00E63A45"/>
    <w:rsid w:val="00E63A54"/>
    <w:rsid w:val="00E63BF9"/>
    <w:rsid w:val="00E63CFB"/>
    <w:rsid w:val="00E63E66"/>
    <w:rsid w:val="00E6408C"/>
    <w:rsid w:val="00E641D8"/>
    <w:rsid w:val="00E642B5"/>
    <w:rsid w:val="00E643EC"/>
    <w:rsid w:val="00E64465"/>
    <w:rsid w:val="00E64499"/>
    <w:rsid w:val="00E644FC"/>
    <w:rsid w:val="00E64534"/>
    <w:rsid w:val="00E64566"/>
    <w:rsid w:val="00E64773"/>
    <w:rsid w:val="00E64881"/>
    <w:rsid w:val="00E64995"/>
    <w:rsid w:val="00E64B1C"/>
    <w:rsid w:val="00E64B6D"/>
    <w:rsid w:val="00E64CA9"/>
    <w:rsid w:val="00E64D64"/>
    <w:rsid w:val="00E64F73"/>
    <w:rsid w:val="00E650E1"/>
    <w:rsid w:val="00E658A9"/>
    <w:rsid w:val="00E659EC"/>
    <w:rsid w:val="00E65D92"/>
    <w:rsid w:val="00E65DEA"/>
    <w:rsid w:val="00E65EA0"/>
    <w:rsid w:val="00E661E8"/>
    <w:rsid w:val="00E66242"/>
    <w:rsid w:val="00E6625F"/>
    <w:rsid w:val="00E6626C"/>
    <w:rsid w:val="00E663A7"/>
    <w:rsid w:val="00E66462"/>
    <w:rsid w:val="00E664B6"/>
    <w:rsid w:val="00E665E3"/>
    <w:rsid w:val="00E66600"/>
    <w:rsid w:val="00E66924"/>
    <w:rsid w:val="00E66B87"/>
    <w:rsid w:val="00E66DD0"/>
    <w:rsid w:val="00E66EAA"/>
    <w:rsid w:val="00E66FEA"/>
    <w:rsid w:val="00E67085"/>
    <w:rsid w:val="00E674E8"/>
    <w:rsid w:val="00E67751"/>
    <w:rsid w:val="00E67781"/>
    <w:rsid w:val="00E67AAC"/>
    <w:rsid w:val="00E67C5B"/>
    <w:rsid w:val="00E67C8A"/>
    <w:rsid w:val="00E67CD2"/>
    <w:rsid w:val="00E67CED"/>
    <w:rsid w:val="00E67F08"/>
    <w:rsid w:val="00E70002"/>
    <w:rsid w:val="00E7007E"/>
    <w:rsid w:val="00E7008D"/>
    <w:rsid w:val="00E70090"/>
    <w:rsid w:val="00E706A5"/>
    <w:rsid w:val="00E707B4"/>
    <w:rsid w:val="00E709C1"/>
    <w:rsid w:val="00E70A23"/>
    <w:rsid w:val="00E70ADE"/>
    <w:rsid w:val="00E70B19"/>
    <w:rsid w:val="00E70B79"/>
    <w:rsid w:val="00E70B7C"/>
    <w:rsid w:val="00E70CD7"/>
    <w:rsid w:val="00E70E82"/>
    <w:rsid w:val="00E70F3F"/>
    <w:rsid w:val="00E71143"/>
    <w:rsid w:val="00E711D9"/>
    <w:rsid w:val="00E7125B"/>
    <w:rsid w:val="00E71315"/>
    <w:rsid w:val="00E715B2"/>
    <w:rsid w:val="00E715BF"/>
    <w:rsid w:val="00E71707"/>
    <w:rsid w:val="00E71A45"/>
    <w:rsid w:val="00E71A60"/>
    <w:rsid w:val="00E71CCC"/>
    <w:rsid w:val="00E71DA0"/>
    <w:rsid w:val="00E71EB2"/>
    <w:rsid w:val="00E71FB7"/>
    <w:rsid w:val="00E72241"/>
    <w:rsid w:val="00E72279"/>
    <w:rsid w:val="00E723DD"/>
    <w:rsid w:val="00E7249F"/>
    <w:rsid w:val="00E724A8"/>
    <w:rsid w:val="00E725B2"/>
    <w:rsid w:val="00E72694"/>
    <w:rsid w:val="00E726A0"/>
    <w:rsid w:val="00E7270F"/>
    <w:rsid w:val="00E72872"/>
    <w:rsid w:val="00E728D8"/>
    <w:rsid w:val="00E72992"/>
    <w:rsid w:val="00E729BF"/>
    <w:rsid w:val="00E72B43"/>
    <w:rsid w:val="00E72D44"/>
    <w:rsid w:val="00E72E98"/>
    <w:rsid w:val="00E72EA2"/>
    <w:rsid w:val="00E73040"/>
    <w:rsid w:val="00E73169"/>
    <w:rsid w:val="00E731BB"/>
    <w:rsid w:val="00E731D9"/>
    <w:rsid w:val="00E73288"/>
    <w:rsid w:val="00E736FB"/>
    <w:rsid w:val="00E73A4B"/>
    <w:rsid w:val="00E73CAE"/>
    <w:rsid w:val="00E73DCD"/>
    <w:rsid w:val="00E73E76"/>
    <w:rsid w:val="00E73ED1"/>
    <w:rsid w:val="00E73F02"/>
    <w:rsid w:val="00E73FC9"/>
    <w:rsid w:val="00E7402F"/>
    <w:rsid w:val="00E7415F"/>
    <w:rsid w:val="00E74500"/>
    <w:rsid w:val="00E74556"/>
    <w:rsid w:val="00E7460C"/>
    <w:rsid w:val="00E7482B"/>
    <w:rsid w:val="00E74941"/>
    <w:rsid w:val="00E74A2B"/>
    <w:rsid w:val="00E74A6E"/>
    <w:rsid w:val="00E74B30"/>
    <w:rsid w:val="00E74C37"/>
    <w:rsid w:val="00E74D13"/>
    <w:rsid w:val="00E74FAC"/>
    <w:rsid w:val="00E75286"/>
    <w:rsid w:val="00E75303"/>
    <w:rsid w:val="00E754BF"/>
    <w:rsid w:val="00E757ED"/>
    <w:rsid w:val="00E75A12"/>
    <w:rsid w:val="00E75CF9"/>
    <w:rsid w:val="00E76018"/>
    <w:rsid w:val="00E7604C"/>
    <w:rsid w:val="00E763CC"/>
    <w:rsid w:val="00E764CC"/>
    <w:rsid w:val="00E76558"/>
    <w:rsid w:val="00E765A5"/>
    <w:rsid w:val="00E766C7"/>
    <w:rsid w:val="00E766DD"/>
    <w:rsid w:val="00E768E1"/>
    <w:rsid w:val="00E76B55"/>
    <w:rsid w:val="00E76CE1"/>
    <w:rsid w:val="00E77099"/>
    <w:rsid w:val="00E771BF"/>
    <w:rsid w:val="00E77465"/>
    <w:rsid w:val="00E77776"/>
    <w:rsid w:val="00E777AF"/>
    <w:rsid w:val="00E778D2"/>
    <w:rsid w:val="00E77A63"/>
    <w:rsid w:val="00E77A7C"/>
    <w:rsid w:val="00E77B37"/>
    <w:rsid w:val="00E77B39"/>
    <w:rsid w:val="00E77B43"/>
    <w:rsid w:val="00E77BDE"/>
    <w:rsid w:val="00E77CFC"/>
    <w:rsid w:val="00E77D6D"/>
    <w:rsid w:val="00E77DF2"/>
    <w:rsid w:val="00E77FB1"/>
    <w:rsid w:val="00E8012F"/>
    <w:rsid w:val="00E80269"/>
    <w:rsid w:val="00E803F4"/>
    <w:rsid w:val="00E8046B"/>
    <w:rsid w:val="00E80593"/>
    <w:rsid w:val="00E805B7"/>
    <w:rsid w:val="00E805C7"/>
    <w:rsid w:val="00E8064C"/>
    <w:rsid w:val="00E8070E"/>
    <w:rsid w:val="00E8087A"/>
    <w:rsid w:val="00E80AD5"/>
    <w:rsid w:val="00E80B92"/>
    <w:rsid w:val="00E80BBC"/>
    <w:rsid w:val="00E80BBE"/>
    <w:rsid w:val="00E81069"/>
    <w:rsid w:val="00E813AF"/>
    <w:rsid w:val="00E813C6"/>
    <w:rsid w:val="00E8146B"/>
    <w:rsid w:val="00E81477"/>
    <w:rsid w:val="00E815AD"/>
    <w:rsid w:val="00E8168D"/>
    <w:rsid w:val="00E81A2B"/>
    <w:rsid w:val="00E81A92"/>
    <w:rsid w:val="00E81A93"/>
    <w:rsid w:val="00E81B06"/>
    <w:rsid w:val="00E81BA9"/>
    <w:rsid w:val="00E81FDD"/>
    <w:rsid w:val="00E82139"/>
    <w:rsid w:val="00E8224B"/>
    <w:rsid w:val="00E8229B"/>
    <w:rsid w:val="00E82347"/>
    <w:rsid w:val="00E823A5"/>
    <w:rsid w:val="00E823D3"/>
    <w:rsid w:val="00E82567"/>
    <w:rsid w:val="00E825D6"/>
    <w:rsid w:val="00E82B66"/>
    <w:rsid w:val="00E82BEE"/>
    <w:rsid w:val="00E82C9C"/>
    <w:rsid w:val="00E82CA1"/>
    <w:rsid w:val="00E83027"/>
    <w:rsid w:val="00E83507"/>
    <w:rsid w:val="00E835AC"/>
    <w:rsid w:val="00E835EA"/>
    <w:rsid w:val="00E83661"/>
    <w:rsid w:val="00E837E8"/>
    <w:rsid w:val="00E83A3E"/>
    <w:rsid w:val="00E83C32"/>
    <w:rsid w:val="00E83C89"/>
    <w:rsid w:val="00E83CCB"/>
    <w:rsid w:val="00E83DAB"/>
    <w:rsid w:val="00E83DBF"/>
    <w:rsid w:val="00E83F3D"/>
    <w:rsid w:val="00E844A8"/>
    <w:rsid w:val="00E844B4"/>
    <w:rsid w:val="00E84893"/>
    <w:rsid w:val="00E84ABF"/>
    <w:rsid w:val="00E84C44"/>
    <w:rsid w:val="00E84C7C"/>
    <w:rsid w:val="00E84D69"/>
    <w:rsid w:val="00E84F22"/>
    <w:rsid w:val="00E84FC9"/>
    <w:rsid w:val="00E85300"/>
    <w:rsid w:val="00E85301"/>
    <w:rsid w:val="00E854F8"/>
    <w:rsid w:val="00E858F3"/>
    <w:rsid w:val="00E85910"/>
    <w:rsid w:val="00E859F7"/>
    <w:rsid w:val="00E85A7E"/>
    <w:rsid w:val="00E85CF8"/>
    <w:rsid w:val="00E85E81"/>
    <w:rsid w:val="00E85F43"/>
    <w:rsid w:val="00E863D8"/>
    <w:rsid w:val="00E86553"/>
    <w:rsid w:val="00E8686E"/>
    <w:rsid w:val="00E86924"/>
    <w:rsid w:val="00E869A9"/>
    <w:rsid w:val="00E869B6"/>
    <w:rsid w:val="00E86AAE"/>
    <w:rsid w:val="00E86C29"/>
    <w:rsid w:val="00E86E3B"/>
    <w:rsid w:val="00E86E77"/>
    <w:rsid w:val="00E871BE"/>
    <w:rsid w:val="00E871EB"/>
    <w:rsid w:val="00E87445"/>
    <w:rsid w:val="00E8744A"/>
    <w:rsid w:val="00E874C7"/>
    <w:rsid w:val="00E87583"/>
    <w:rsid w:val="00E875F6"/>
    <w:rsid w:val="00E877FB"/>
    <w:rsid w:val="00E87841"/>
    <w:rsid w:val="00E87945"/>
    <w:rsid w:val="00E87A04"/>
    <w:rsid w:val="00E87D05"/>
    <w:rsid w:val="00E87DAF"/>
    <w:rsid w:val="00E87DDE"/>
    <w:rsid w:val="00E87E0B"/>
    <w:rsid w:val="00E87FB1"/>
    <w:rsid w:val="00E9002A"/>
    <w:rsid w:val="00E90193"/>
    <w:rsid w:val="00E90293"/>
    <w:rsid w:val="00E904B7"/>
    <w:rsid w:val="00E907B5"/>
    <w:rsid w:val="00E907B6"/>
    <w:rsid w:val="00E90933"/>
    <w:rsid w:val="00E90964"/>
    <w:rsid w:val="00E90ACD"/>
    <w:rsid w:val="00E90C32"/>
    <w:rsid w:val="00E90E8A"/>
    <w:rsid w:val="00E90FE8"/>
    <w:rsid w:val="00E91062"/>
    <w:rsid w:val="00E910DC"/>
    <w:rsid w:val="00E912F0"/>
    <w:rsid w:val="00E914AA"/>
    <w:rsid w:val="00E9157F"/>
    <w:rsid w:val="00E915A0"/>
    <w:rsid w:val="00E918E9"/>
    <w:rsid w:val="00E9195B"/>
    <w:rsid w:val="00E91A65"/>
    <w:rsid w:val="00E91B37"/>
    <w:rsid w:val="00E91D39"/>
    <w:rsid w:val="00E91DF0"/>
    <w:rsid w:val="00E91E4E"/>
    <w:rsid w:val="00E91EC6"/>
    <w:rsid w:val="00E91FEF"/>
    <w:rsid w:val="00E92048"/>
    <w:rsid w:val="00E921A8"/>
    <w:rsid w:val="00E921D5"/>
    <w:rsid w:val="00E926A4"/>
    <w:rsid w:val="00E9275A"/>
    <w:rsid w:val="00E92865"/>
    <w:rsid w:val="00E92B80"/>
    <w:rsid w:val="00E92C56"/>
    <w:rsid w:val="00E92C88"/>
    <w:rsid w:val="00E92D9D"/>
    <w:rsid w:val="00E92E13"/>
    <w:rsid w:val="00E92F41"/>
    <w:rsid w:val="00E9314F"/>
    <w:rsid w:val="00E931F6"/>
    <w:rsid w:val="00E93242"/>
    <w:rsid w:val="00E93282"/>
    <w:rsid w:val="00E93586"/>
    <w:rsid w:val="00E9376A"/>
    <w:rsid w:val="00E93AA9"/>
    <w:rsid w:val="00E93B22"/>
    <w:rsid w:val="00E93C5A"/>
    <w:rsid w:val="00E93CD2"/>
    <w:rsid w:val="00E93E30"/>
    <w:rsid w:val="00E94179"/>
    <w:rsid w:val="00E943AD"/>
    <w:rsid w:val="00E9444B"/>
    <w:rsid w:val="00E944FA"/>
    <w:rsid w:val="00E9456D"/>
    <w:rsid w:val="00E946E8"/>
    <w:rsid w:val="00E948B4"/>
    <w:rsid w:val="00E94989"/>
    <w:rsid w:val="00E94A4E"/>
    <w:rsid w:val="00E94ACB"/>
    <w:rsid w:val="00E94C9A"/>
    <w:rsid w:val="00E94D44"/>
    <w:rsid w:val="00E94DC2"/>
    <w:rsid w:val="00E94DE0"/>
    <w:rsid w:val="00E95029"/>
    <w:rsid w:val="00E950C0"/>
    <w:rsid w:val="00E950F5"/>
    <w:rsid w:val="00E95210"/>
    <w:rsid w:val="00E954BA"/>
    <w:rsid w:val="00E9568E"/>
    <w:rsid w:val="00E95993"/>
    <w:rsid w:val="00E959B7"/>
    <w:rsid w:val="00E95C54"/>
    <w:rsid w:val="00E95EAB"/>
    <w:rsid w:val="00E95F49"/>
    <w:rsid w:val="00E95F63"/>
    <w:rsid w:val="00E95FF6"/>
    <w:rsid w:val="00E9611F"/>
    <w:rsid w:val="00E96124"/>
    <w:rsid w:val="00E9612A"/>
    <w:rsid w:val="00E9614C"/>
    <w:rsid w:val="00E96170"/>
    <w:rsid w:val="00E96202"/>
    <w:rsid w:val="00E96696"/>
    <w:rsid w:val="00E966F9"/>
    <w:rsid w:val="00E9673F"/>
    <w:rsid w:val="00E968CA"/>
    <w:rsid w:val="00E968D6"/>
    <w:rsid w:val="00E96A75"/>
    <w:rsid w:val="00E96B60"/>
    <w:rsid w:val="00E96C22"/>
    <w:rsid w:val="00E96D02"/>
    <w:rsid w:val="00E9725A"/>
    <w:rsid w:val="00E97450"/>
    <w:rsid w:val="00E97502"/>
    <w:rsid w:val="00E976E2"/>
    <w:rsid w:val="00E9780E"/>
    <w:rsid w:val="00E9788B"/>
    <w:rsid w:val="00E97975"/>
    <w:rsid w:val="00E97988"/>
    <w:rsid w:val="00E97B62"/>
    <w:rsid w:val="00E97B8A"/>
    <w:rsid w:val="00E97C95"/>
    <w:rsid w:val="00E97D36"/>
    <w:rsid w:val="00E97D90"/>
    <w:rsid w:val="00E97E1B"/>
    <w:rsid w:val="00E97EDE"/>
    <w:rsid w:val="00EA0074"/>
    <w:rsid w:val="00EA0088"/>
    <w:rsid w:val="00EA0196"/>
    <w:rsid w:val="00EA03EE"/>
    <w:rsid w:val="00EA0483"/>
    <w:rsid w:val="00EA048F"/>
    <w:rsid w:val="00EA04A8"/>
    <w:rsid w:val="00EA057A"/>
    <w:rsid w:val="00EA06D9"/>
    <w:rsid w:val="00EA06EE"/>
    <w:rsid w:val="00EA0898"/>
    <w:rsid w:val="00EA0930"/>
    <w:rsid w:val="00EA0B8E"/>
    <w:rsid w:val="00EA0C5A"/>
    <w:rsid w:val="00EA0E66"/>
    <w:rsid w:val="00EA10CB"/>
    <w:rsid w:val="00EA166F"/>
    <w:rsid w:val="00EA1674"/>
    <w:rsid w:val="00EA1A64"/>
    <w:rsid w:val="00EA1B8B"/>
    <w:rsid w:val="00EA1E8A"/>
    <w:rsid w:val="00EA1F2B"/>
    <w:rsid w:val="00EA1FE5"/>
    <w:rsid w:val="00EA2227"/>
    <w:rsid w:val="00EA25A9"/>
    <w:rsid w:val="00EA2675"/>
    <w:rsid w:val="00EA2727"/>
    <w:rsid w:val="00EA27CA"/>
    <w:rsid w:val="00EA2B55"/>
    <w:rsid w:val="00EA2C08"/>
    <w:rsid w:val="00EA2D60"/>
    <w:rsid w:val="00EA2D79"/>
    <w:rsid w:val="00EA2E4A"/>
    <w:rsid w:val="00EA2E95"/>
    <w:rsid w:val="00EA30E3"/>
    <w:rsid w:val="00EA3251"/>
    <w:rsid w:val="00EA3944"/>
    <w:rsid w:val="00EA3968"/>
    <w:rsid w:val="00EA3981"/>
    <w:rsid w:val="00EA39EE"/>
    <w:rsid w:val="00EA3B08"/>
    <w:rsid w:val="00EA3BE1"/>
    <w:rsid w:val="00EA3DA6"/>
    <w:rsid w:val="00EA3FCA"/>
    <w:rsid w:val="00EA40F8"/>
    <w:rsid w:val="00EA4222"/>
    <w:rsid w:val="00EA4233"/>
    <w:rsid w:val="00EA427B"/>
    <w:rsid w:val="00EA43A3"/>
    <w:rsid w:val="00EA440A"/>
    <w:rsid w:val="00EA459A"/>
    <w:rsid w:val="00EA468D"/>
    <w:rsid w:val="00EA4A22"/>
    <w:rsid w:val="00EA4BF9"/>
    <w:rsid w:val="00EA4C0B"/>
    <w:rsid w:val="00EA4C71"/>
    <w:rsid w:val="00EA5058"/>
    <w:rsid w:val="00EA5125"/>
    <w:rsid w:val="00EA5133"/>
    <w:rsid w:val="00EA54F4"/>
    <w:rsid w:val="00EA5B5B"/>
    <w:rsid w:val="00EA5B9E"/>
    <w:rsid w:val="00EA5BC4"/>
    <w:rsid w:val="00EA5C25"/>
    <w:rsid w:val="00EA625E"/>
    <w:rsid w:val="00EA62C2"/>
    <w:rsid w:val="00EA6358"/>
    <w:rsid w:val="00EA6454"/>
    <w:rsid w:val="00EA654C"/>
    <w:rsid w:val="00EA68E3"/>
    <w:rsid w:val="00EA6B76"/>
    <w:rsid w:val="00EA6DCD"/>
    <w:rsid w:val="00EA6E5D"/>
    <w:rsid w:val="00EA6FB1"/>
    <w:rsid w:val="00EA71D3"/>
    <w:rsid w:val="00EA731E"/>
    <w:rsid w:val="00EA7737"/>
    <w:rsid w:val="00EA7921"/>
    <w:rsid w:val="00EA7B4A"/>
    <w:rsid w:val="00EA7B8C"/>
    <w:rsid w:val="00EA7D74"/>
    <w:rsid w:val="00EA7DAA"/>
    <w:rsid w:val="00EB03B0"/>
    <w:rsid w:val="00EB03B6"/>
    <w:rsid w:val="00EB059C"/>
    <w:rsid w:val="00EB0AA1"/>
    <w:rsid w:val="00EB0B62"/>
    <w:rsid w:val="00EB0CEE"/>
    <w:rsid w:val="00EB0F21"/>
    <w:rsid w:val="00EB1092"/>
    <w:rsid w:val="00EB1160"/>
    <w:rsid w:val="00EB1302"/>
    <w:rsid w:val="00EB1360"/>
    <w:rsid w:val="00EB137C"/>
    <w:rsid w:val="00EB161B"/>
    <w:rsid w:val="00EB189B"/>
    <w:rsid w:val="00EB18F2"/>
    <w:rsid w:val="00EB198A"/>
    <w:rsid w:val="00EB1ADA"/>
    <w:rsid w:val="00EB1AEE"/>
    <w:rsid w:val="00EB1BC4"/>
    <w:rsid w:val="00EB1DD3"/>
    <w:rsid w:val="00EB1E14"/>
    <w:rsid w:val="00EB1E18"/>
    <w:rsid w:val="00EB1E3B"/>
    <w:rsid w:val="00EB1E52"/>
    <w:rsid w:val="00EB2017"/>
    <w:rsid w:val="00EB2093"/>
    <w:rsid w:val="00EB20D1"/>
    <w:rsid w:val="00EB22FF"/>
    <w:rsid w:val="00EB25BB"/>
    <w:rsid w:val="00EB25DC"/>
    <w:rsid w:val="00EB285F"/>
    <w:rsid w:val="00EB29B6"/>
    <w:rsid w:val="00EB29E8"/>
    <w:rsid w:val="00EB2A4C"/>
    <w:rsid w:val="00EB2B5F"/>
    <w:rsid w:val="00EB2F96"/>
    <w:rsid w:val="00EB2FC6"/>
    <w:rsid w:val="00EB30D1"/>
    <w:rsid w:val="00EB346A"/>
    <w:rsid w:val="00EB347B"/>
    <w:rsid w:val="00EB35BF"/>
    <w:rsid w:val="00EB3781"/>
    <w:rsid w:val="00EB37AC"/>
    <w:rsid w:val="00EB37AE"/>
    <w:rsid w:val="00EB38C1"/>
    <w:rsid w:val="00EB3D98"/>
    <w:rsid w:val="00EB41A5"/>
    <w:rsid w:val="00EB427B"/>
    <w:rsid w:val="00EB43EA"/>
    <w:rsid w:val="00EB464A"/>
    <w:rsid w:val="00EB4811"/>
    <w:rsid w:val="00EB48CC"/>
    <w:rsid w:val="00EB48FE"/>
    <w:rsid w:val="00EB4988"/>
    <w:rsid w:val="00EB4BB4"/>
    <w:rsid w:val="00EB4D13"/>
    <w:rsid w:val="00EB4D92"/>
    <w:rsid w:val="00EB4FD9"/>
    <w:rsid w:val="00EB4FDB"/>
    <w:rsid w:val="00EB4FF8"/>
    <w:rsid w:val="00EB503E"/>
    <w:rsid w:val="00EB5238"/>
    <w:rsid w:val="00EB528D"/>
    <w:rsid w:val="00EB55FD"/>
    <w:rsid w:val="00EB5728"/>
    <w:rsid w:val="00EB59DB"/>
    <w:rsid w:val="00EB5A33"/>
    <w:rsid w:val="00EB5A48"/>
    <w:rsid w:val="00EB5AC3"/>
    <w:rsid w:val="00EB5BE5"/>
    <w:rsid w:val="00EB61EA"/>
    <w:rsid w:val="00EB62CB"/>
    <w:rsid w:val="00EB62E9"/>
    <w:rsid w:val="00EB63C7"/>
    <w:rsid w:val="00EB659D"/>
    <w:rsid w:val="00EB66BA"/>
    <w:rsid w:val="00EB6758"/>
    <w:rsid w:val="00EB67FD"/>
    <w:rsid w:val="00EB68B1"/>
    <w:rsid w:val="00EB69B9"/>
    <w:rsid w:val="00EB6DA2"/>
    <w:rsid w:val="00EB6F07"/>
    <w:rsid w:val="00EB6F73"/>
    <w:rsid w:val="00EB6FC2"/>
    <w:rsid w:val="00EB6FD4"/>
    <w:rsid w:val="00EB7386"/>
    <w:rsid w:val="00EB74F2"/>
    <w:rsid w:val="00EB7571"/>
    <w:rsid w:val="00EB7690"/>
    <w:rsid w:val="00EB77DA"/>
    <w:rsid w:val="00EB78D0"/>
    <w:rsid w:val="00EB7A10"/>
    <w:rsid w:val="00EB7D82"/>
    <w:rsid w:val="00EB7FFC"/>
    <w:rsid w:val="00EC00BF"/>
    <w:rsid w:val="00EC014F"/>
    <w:rsid w:val="00EC0288"/>
    <w:rsid w:val="00EC030D"/>
    <w:rsid w:val="00EC04BA"/>
    <w:rsid w:val="00EC074F"/>
    <w:rsid w:val="00EC084F"/>
    <w:rsid w:val="00EC0889"/>
    <w:rsid w:val="00EC0BBE"/>
    <w:rsid w:val="00EC0BD2"/>
    <w:rsid w:val="00EC0CA8"/>
    <w:rsid w:val="00EC0F00"/>
    <w:rsid w:val="00EC0F07"/>
    <w:rsid w:val="00EC101E"/>
    <w:rsid w:val="00EC104F"/>
    <w:rsid w:val="00EC105D"/>
    <w:rsid w:val="00EC11F5"/>
    <w:rsid w:val="00EC1231"/>
    <w:rsid w:val="00EC125E"/>
    <w:rsid w:val="00EC13F0"/>
    <w:rsid w:val="00EC14EA"/>
    <w:rsid w:val="00EC182D"/>
    <w:rsid w:val="00EC18E0"/>
    <w:rsid w:val="00EC1AB1"/>
    <w:rsid w:val="00EC1B7F"/>
    <w:rsid w:val="00EC1ED8"/>
    <w:rsid w:val="00EC2216"/>
    <w:rsid w:val="00EC2424"/>
    <w:rsid w:val="00EC2598"/>
    <w:rsid w:val="00EC2776"/>
    <w:rsid w:val="00EC28A3"/>
    <w:rsid w:val="00EC2976"/>
    <w:rsid w:val="00EC2A3D"/>
    <w:rsid w:val="00EC2AB0"/>
    <w:rsid w:val="00EC2E5A"/>
    <w:rsid w:val="00EC2F00"/>
    <w:rsid w:val="00EC3077"/>
    <w:rsid w:val="00EC3149"/>
    <w:rsid w:val="00EC32DB"/>
    <w:rsid w:val="00EC3652"/>
    <w:rsid w:val="00EC3E95"/>
    <w:rsid w:val="00EC4071"/>
    <w:rsid w:val="00EC40B5"/>
    <w:rsid w:val="00EC45E9"/>
    <w:rsid w:val="00EC45EE"/>
    <w:rsid w:val="00EC476C"/>
    <w:rsid w:val="00EC4BFB"/>
    <w:rsid w:val="00EC4C0F"/>
    <w:rsid w:val="00EC517B"/>
    <w:rsid w:val="00EC521B"/>
    <w:rsid w:val="00EC5907"/>
    <w:rsid w:val="00EC597F"/>
    <w:rsid w:val="00EC5AB8"/>
    <w:rsid w:val="00EC5BCC"/>
    <w:rsid w:val="00EC5C12"/>
    <w:rsid w:val="00EC5EB6"/>
    <w:rsid w:val="00EC6361"/>
    <w:rsid w:val="00EC63BE"/>
    <w:rsid w:val="00EC63CC"/>
    <w:rsid w:val="00EC690C"/>
    <w:rsid w:val="00EC6ED9"/>
    <w:rsid w:val="00EC71C4"/>
    <w:rsid w:val="00EC725B"/>
    <w:rsid w:val="00EC7433"/>
    <w:rsid w:val="00EC758C"/>
    <w:rsid w:val="00EC7A13"/>
    <w:rsid w:val="00EC7BA4"/>
    <w:rsid w:val="00EC7BE8"/>
    <w:rsid w:val="00EC7C45"/>
    <w:rsid w:val="00EC7D01"/>
    <w:rsid w:val="00ECF79A"/>
    <w:rsid w:val="00ED0029"/>
    <w:rsid w:val="00ED00FD"/>
    <w:rsid w:val="00ED0101"/>
    <w:rsid w:val="00ED0108"/>
    <w:rsid w:val="00ED01B0"/>
    <w:rsid w:val="00ED0376"/>
    <w:rsid w:val="00ED06A3"/>
    <w:rsid w:val="00ED0761"/>
    <w:rsid w:val="00ED091B"/>
    <w:rsid w:val="00ED0A96"/>
    <w:rsid w:val="00ED0BD3"/>
    <w:rsid w:val="00ED0C98"/>
    <w:rsid w:val="00ED0CCD"/>
    <w:rsid w:val="00ED0F08"/>
    <w:rsid w:val="00ED0F48"/>
    <w:rsid w:val="00ED0FEF"/>
    <w:rsid w:val="00ED12CA"/>
    <w:rsid w:val="00ED1349"/>
    <w:rsid w:val="00ED1387"/>
    <w:rsid w:val="00ED1514"/>
    <w:rsid w:val="00ED155B"/>
    <w:rsid w:val="00ED177D"/>
    <w:rsid w:val="00ED1D21"/>
    <w:rsid w:val="00ED1D6E"/>
    <w:rsid w:val="00ED1FC9"/>
    <w:rsid w:val="00ED20E4"/>
    <w:rsid w:val="00ED2572"/>
    <w:rsid w:val="00ED2765"/>
    <w:rsid w:val="00ED288E"/>
    <w:rsid w:val="00ED294A"/>
    <w:rsid w:val="00ED29F7"/>
    <w:rsid w:val="00ED2D6D"/>
    <w:rsid w:val="00ED30BD"/>
    <w:rsid w:val="00ED34E6"/>
    <w:rsid w:val="00ED3548"/>
    <w:rsid w:val="00ED3648"/>
    <w:rsid w:val="00ED37DE"/>
    <w:rsid w:val="00ED399C"/>
    <w:rsid w:val="00ED39C3"/>
    <w:rsid w:val="00ED3BD8"/>
    <w:rsid w:val="00ED3EDF"/>
    <w:rsid w:val="00ED3EF8"/>
    <w:rsid w:val="00ED3FDC"/>
    <w:rsid w:val="00ED401C"/>
    <w:rsid w:val="00ED404B"/>
    <w:rsid w:val="00ED47BA"/>
    <w:rsid w:val="00ED4988"/>
    <w:rsid w:val="00ED4C4C"/>
    <w:rsid w:val="00ED4CF4"/>
    <w:rsid w:val="00ED4D23"/>
    <w:rsid w:val="00ED4D4D"/>
    <w:rsid w:val="00ED4E4C"/>
    <w:rsid w:val="00ED4EA5"/>
    <w:rsid w:val="00ED4F06"/>
    <w:rsid w:val="00ED4FB3"/>
    <w:rsid w:val="00ED5064"/>
    <w:rsid w:val="00ED53BB"/>
    <w:rsid w:val="00ED550B"/>
    <w:rsid w:val="00ED565D"/>
    <w:rsid w:val="00ED5720"/>
    <w:rsid w:val="00ED5728"/>
    <w:rsid w:val="00ED574A"/>
    <w:rsid w:val="00ED5782"/>
    <w:rsid w:val="00ED578A"/>
    <w:rsid w:val="00ED57F1"/>
    <w:rsid w:val="00ED57F7"/>
    <w:rsid w:val="00ED5888"/>
    <w:rsid w:val="00ED5C57"/>
    <w:rsid w:val="00ED5D83"/>
    <w:rsid w:val="00ED5DB5"/>
    <w:rsid w:val="00ED5EA9"/>
    <w:rsid w:val="00ED6057"/>
    <w:rsid w:val="00ED6133"/>
    <w:rsid w:val="00ED6410"/>
    <w:rsid w:val="00ED64A4"/>
    <w:rsid w:val="00ED6643"/>
    <w:rsid w:val="00ED6963"/>
    <w:rsid w:val="00ED6B94"/>
    <w:rsid w:val="00ED6BE8"/>
    <w:rsid w:val="00ED6C18"/>
    <w:rsid w:val="00ED6C19"/>
    <w:rsid w:val="00ED6C6C"/>
    <w:rsid w:val="00ED6CF8"/>
    <w:rsid w:val="00ED6D7D"/>
    <w:rsid w:val="00ED6E75"/>
    <w:rsid w:val="00ED708D"/>
    <w:rsid w:val="00ED724B"/>
    <w:rsid w:val="00ED72B5"/>
    <w:rsid w:val="00ED7410"/>
    <w:rsid w:val="00ED74A8"/>
    <w:rsid w:val="00ED74C9"/>
    <w:rsid w:val="00ED753A"/>
    <w:rsid w:val="00ED78E0"/>
    <w:rsid w:val="00ED7B63"/>
    <w:rsid w:val="00ED7C0A"/>
    <w:rsid w:val="00ED7D8E"/>
    <w:rsid w:val="00ED7FAA"/>
    <w:rsid w:val="00EE01F6"/>
    <w:rsid w:val="00EE02F7"/>
    <w:rsid w:val="00EE03DC"/>
    <w:rsid w:val="00EE03F2"/>
    <w:rsid w:val="00EE041E"/>
    <w:rsid w:val="00EE0596"/>
    <w:rsid w:val="00EE0697"/>
    <w:rsid w:val="00EE074D"/>
    <w:rsid w:val="00EE082E"/>
    <w:rsid w:val="00EE0941"/>
    <w:rsid w:val="00EE0A51"/>
    <w:rsid w:val="00EE0AC0"/>
    <w:rsid w:val="00EE0BB5"/>
    <w:rsid w:val="00EE0BCB"/>
    <w:rsid w:val="00EE0C9E"/>
    <w:rsid w:val="00EE0D1A"/>
    <w:rsid w:val="00EE0D3B"/>
    <w:rsid w:val="00EE0DE2"/>
    <w:rsid w:val="00EE0F13"/>
    <w:rsid w:val="00EE0F16"/>
    <w:rsid w:val="00EE0FFF"/>
    <w:rsid w:val="00EE1126"/>
    <w:rsid w:val="00EE123A"/>
    <w:rsid w:val="00EE12E7"/>
    <w:rsid w:val="00EE13DA"/>
    <w:rsid w:val="00EE1425"/>
    <w:rsid w:val="00EE14B9"/>
    <w:rsid w:val="00EE154A"/>
    <w:rsid w:val="00EE16C8"/>
    <w:rsid w:val="00EE1706"/>
    <w:rsid w:val="00EE17FD"/>
    <w:rsid w:val="00EE18F1"/>
    <w:rsid w:val="00EE1ABE"/>
    <w:rsid w:val="00EE1B16"/>
    <w:rsid w:val="00EE1C68"/>
    <w:rsid w:val="00EE1D46"/>
    <w:rsid w:val="00EE1DEC"/>
    <w:rsid w:val="00EE1E33"/>
    <w:rsid w:val="00EE2118"/>
    <w:rsid w:val="00EE232B"/>
    <w:rsid w:val="00EE2557"/>
    <w:rsid w:val="00EE262B"/>
    <w:rsid w:val="00EE26C4"/>
    <w:rsid w:val="00EE2992"/>
    <w:rsid w:val="00EE2B26"/>
    <w:rsid w:val="00EE2BBF"/>
    <w:rsid w:val="00EE2E8C"/>
    <w:rsid w:val="00EE343A"/>
    <w:rsid w:val="00EE348E"/>
    <w:rsid w:val="00EE34F8"/>
    <w:rsid w:val="00EE3784"/>
    <w:rsid w:val="00EE37FC"/>
    <w:rsid w:val="00EE38AB"/>
    <w:rsid w:val="00EE3908"/>
    <w:rsid w:val="00EE3960"/>
    <w:rsid w:val="00EE3AAC"/>
    <w:rsid w:val="00EE3BC2"/>
    <w:rsid w:val="00EE3D0E"/>
    <w:rsid w:val="00EE3F08"/>
    <w:rsid w:val="00EE3F79"/>
    <w:rsid w:val="00EE416C"/>
    <w:rsid w:val="00EE427E"/>
    <w:rsid w:val="00EE4560"/>
    <w:rsid w:val="00EE46A2"/>
    <w:rsid w:val="00EE4748"/>
    <w:rsid w:val="00EE4749"/>
    <w:rsid w:val="00EE475B"/>
    <w:rsid w:val="00EE4ADF"/>
    <w:rsid w:val="00EE4B29"/>
    <w:rsid w:val="00EE4D55"/>
    <w:rsid w:val="00EE4DAD"/>
    <w:rsid w:val="00EE4DB2"/>
    <w:rsid w:val="00EE4E67"/>
    <w:rsid w:val="00EE4EAF"/>
    <w:rsid w:val="00EE506F"/>
    <w:rsid w:val="00EE51A2"/>
    <w:rsid w:val="00EE5240"/>
    <w:rsid w:val="00EE5247"/>
    <w:rsid w:val="00EE5272"/>
    <w:rsid w:val="00EE540B"/>
    <w:rsid w:val="00EE566A"/>
    <w:rsid w:val="00EE56DA"/>
    <w:rsid w:val="00EE56E9"/>
    <w:rsid w:val="00EE578E"/>
    <w:rsid w:val="00EE5906"/>
    <w:rsid w:val="00EE591E"/>
    <w:rsid w:val="00EE5939"/>
    <w:rsid w:val="00EE598F"/>
    <w:rsid w:val="00EE5AB0"/>
    <w:rsid w:val="00EE5BC0"/>
    <w:rsid w:val="00EE5C4F"/>
    <w:rsid w:val="00EE5CAA"/>
    <w:rsid w:val="00EE5CFC"/>
    <w:rsid w:val="00EE606D"/>
    <w:rsid w:val="00EE6177"/>
    <w:rsid w:val="00EE6300"/>
    <w:rsid w:val="00EE6469"/>
    <w:rsid w:val="00EE64DE"/>
    <w:rsid w:val="00EE6689"/>
    <w:rsid w:val="00EE672C"/>
    <w:rsid w:val="00EE6796"/>
    <w:rsid w:val="00EE6A84"/>
    <w:rsid w:val="00EE6CF4"/>
    <w:rsid w:val="00EE6EE1"/>
    <w:rsid w:val="00EE754B"/>
    <w:rsid w:val="00EE7721"/>
    <w:rsid w:val="00EE786D"/>
    <w:rsid w:val="00EE7936"/>
    <w:rsid w:val="00EE7CE1"/>
    <w:rsid w:val="00EE7DBF"/>
    <w:rsid w:val="00EE7F7A"/>
    <w:rsid w:val="00EE7FAB"/>
    <w:rsid w:val="00EF0030"/>
    <w:rsid w:val="00EF0127"/>
    <w:rsid w:val="00EF01ED"/>
    <w:rsid w:val="00EF0306"/>
    <w:rsid w:val="00EF038C"/>
    <w:rsid w:val="00EF06AE"/>
    <w:rsid w:val="00EF06CF"/>
    <w:rsid w:val="00EF06DE"/>
    <w:rsid w:val="00EF07A6"/>
    <w:rsid w:val="00EF0913"/>
    <w:rsid w:val="00EF0B3A"/>
    <w:rsid w:val="00EF0B89"/>
    <w:rsid w:val="00EF0BC0"/>
    <w:rsid w:val="00EF0DE2"/>
    <w:rsid w:val="00EF0DFD"/>
    <w:rsid w:val="00EF123F"/>
    <w:rsid w:val="00EF1353"/>
    <w:rsid w:val="00EF13D6"/>
    <w:rsid w:val="00EF13E0"/>
    <w:rsid w:val="00EF1622"/>
    <w:rsid w:val="00EF16AB"/>
    <w:rsid w:val="00EF16BF"/>
    <w:rsid w:val="00EF16EF"/>
    <w:rsid w:val="00EF176F"/>
    <w:rsid w:val="00EF18F9"/>
    <w:rsid w:val="00EF19E6"/>
    <w:rsid w:val="00EF1A8C"/>
    <w:rsid w:val="00EF1B18"/>
    <w:rsid w:val="00EF1C64"/>
    <w:rsid w:val="00EF1CDE"/>
    <w:rsid w:val="00EF1D7F"/>
    <w:rsid w:val="00EF1DC4"/>
    <w:rsid w:val="00EF1F4F"/>
    <w:rsid w:val="00EF25BA"/>
    <w:rsid w:val="00EF2672"/>
    <w:rsid w:val="00EF26B9"/>
    <w:rsid w:val="00EF2728"/>
    <w:rsid w:val="00EF28E5"/>
    <w:rsid w:val="00EF2AD5"/>
    <w:rsid w:val="00EF2CFE"/>
    <w:rsid w:val="00EF2D0B"/>
    <w:rsid w:val="00EF32D0"/>
    <w:rsid w:val="00EF334F"/>
    <w:rsid w:val="00EF3407"/>
    <w:rsid w:val="00EF36D5"/>
    <w:rsid w:val="00EF37E4"/>
    <w:rsid w:val="00EF3A1A"/>
    <w:rsid w:val="00EF3DAB"/>
    <w:rsid w:val="00EF3E37"/>
    <w:rsid w:val="00EF3EB5"/>
    <w:rsid w:val="00EF3ED3"/>
    <w:rsid w:val="00EF3F31"/>
    <w:rsid w:val="00EF40C9"/>
    <w:rsid w:val="00EF42EC"/>
    <w:rsid w:val="00EF4571"/>
    <w:rsid w:val="00EF458C"/>
    <w:rsid w:val="00EF45D8"/>
    <w:rsid w:val="00EF461A"/>
    <w:rsid w:val="00EF47B4"/>
    <w:rsid w:val="00EF47D8"/>
    <w:rsid w:val="00EF4967"/>
    <w:rsid w:val="00EF4B38"/>
    <w:rsid w:val="00EF4BE5"/>
    <w:rsid w:val="00EF4C9D"/>
    <w:rsid w:val="00EF4D23"/>
    <w:rsid w:val="00EF4E74"/>
    <w:rsid w:val="00EF51D7"/>
    <w:rsid w:val="00EF54DD"/>
    <w:rsid w:val="00EF54F6"/>
    <w:rsid w:val="00EF5510"/>
    <w:rsid w:val="00EF56FD"/>
    <w:rsid w:val="00EF579A"/>
    <w:rsid w:val="00EF57C5"/>
    <w:rsid w:val="00EF5AD5"/>
    <w:rsid w:val="00EF5AF8"/>
    <w:rsid w:val="00EF5BEB"/>
    <w:rsid w:val="00EF6132"/>
    <w:rsid w:val="00EF6155"/>
    <w:rsid w:val="00EF64C8"/>
    <w:rsid w:val="00EF65A3"/>
    <w:rsid w:val="00EF66FF"/>
    <w:rsid w:val="00EF6851"/>
    <w:rsid w:val="00EF6A3C"/>
    <w:rsid w:val="00EF6B22"/>
    <w:rsid w:val="00EF6B3D"/>
    <w:rsid w:val="00EF6BCF"/>
    <w:rsid w:val="00EF6D37"/>
    <w:rsid w:val="00EF6D3C"/>
    <w:rsid w:val="00EF6D9A"/>
    <w:rsid w:val="00EF7120"/>
    <w:rsid w:val="00EF72A0"/>
    <w:rsid w:val="00EF72F3"/>
    <w:rsid w:val="00EF768C"/>
    <w:rsid w:val="00EF7AA2"/>
    <w:rsid w:val="00EF7B91"/>
    <w:rsid w:val="00EF7BAD"/>
    <w:rsid w:val="00EF7CA7"/>
    <w:rsid w:val="00EF7CAF"/>
    <w:rsid w:val="00F001DB"/>
    <w:rsid w:val="00F004C5"/>
    <w:rsid w:val="00F00576"/>
    <w:rsid w:val="00F005A6"/>
    <w:rsid w:val="00F006C2"/>
    <w:rsid w:val="00F006EA"/>
    <w:rsid w:val="00F00734"/>
    <w:rsid w:val="00F007BB"/>
    <w:rsid w:val="00F007E7"/>
    <w:rsid w:val="00F00837"/>
    <w:rsid w:val="00F009AC"/>
    <w:rsid w:val="00F00A19"/>
    <w:rsid w:val="00F00B0F"/>
    <w:rsid w:val="00F00B68"/>
    <w:rsid w:val="00F00C2C"/>
    <w:rsid w:val="00F00F3C"/>
    <w:rsid w:val="00F01050"/>
    <w:rsid w:val="00F010B5"/>
    <w:rsid w:val="00F011A6"/>
    <w:rsid w:val="00F01287"/>
    <w:rsid w:val="00F0134E"/>
    <w:rsid w:val="00F015A3"/>
    <w:rsid w:val="00F01690"/>
    <w:rsid w:val="00F016F8"/>
    <w:rsid w:val="00F016F9"/>
    <w:rsid w:val="00F01817"/>
    <w:rsid w:val="00F01848"/>
    <w:rsid w:val="00F01B85"/>
    <w:rsid w:val="00F01E0A"/>
    <w:rsid w:val="00F01E74"/>
    <w:rsid w:val="00F01FEF"/>
    <w:rsid w:val="00F0203F"/>
    <w:rsid w:val="00F0233A"/>
    <w:rsid w:val="00F0239B"/>
    <w:rsid w:val="00F0278B"/>
    <w:rsid w:val="00F02A15"/>
    <w:rsid w:val="00F02E27"/>
    <w:rsid w:val="00F02F82"/>
    <w:rsid w:val="00F03080"/>
    <w:rsid w:val="00F030E3"/>
    <w:rsid w:val="00F03157"/>
    <w:rsid w:val="00F03386"/>
    <w:rsid w:val="00F035AF"/>
    <w:rsid w:val="00F035DD"/>
    <w:rsid w:val="00F0382E"/>
    <w:rsid w:val="00F0384A"/>
    <w:rsid w:val="00F03886"/>
    <w:rsid w:val="00F0394C"/>
    <w:rsid w:val="00F03C4D"/>
    <w:rsid w:val="00F03F6F"/>
    <w:rsid w:val="00F0410C"/>
    <w:rsid w:val="00F04135"/>
    <w:rsid w:val="00F0423B"/>
    <w:rsid w:val="00F042AC"/>
    <w:rsid w:val="00F042B7"/>
    <w:rsid w:val="00F04706"/>
    <w:rsid w:val="00F047B1"/>
    <w:rsid w:val="00F0488E"/>
    <w:rsid w:val="00F04B33"/>
    <w:rsid w:val="00F04F64"/>
    <w:rsid w:val="00F0505B"/>
    <w:rsid w:val="00F050C6"/>
    <w:rsid w:val="00F0560D"/>
    <w:rsid w:val="00F056AB"/>
    <w:rsid w:val="00F057FE"/>
    <w:rsid w:val="00F058AE"/>
    <w:rsid w:val="00F05AD0"/>
    <w:rsid w:val="00F05DF6"/>
    <w:rsid w:val="00F05FF9"/>
    <w:rsid w:val="00F0605F"/>
    <w:rsid w:val="00F061CF"/>
    <w:rsid w:val="00F0622E"/>
    <w:rsid w:val="00F06412"/>
    <w:rsid w:val="00F06464"/>
    <w:rsid w:val="00F0665D"/>
    <w:rsid w:val="00F06673"/>
    <w:rsid w:val="00F0699B"/>
    <w:rsid w:val="00F0699E"/>
    <w:rsid w:val="00F06A1E"/>
    <w:rsid w:val="00F06AB3"/>
    <w:rsid w:val="00F06B72"/>
    <w:rsid w:val="00F06C62"/>
    <w:rsid w:val="00F06EB0"/>
    <w:rsid w:val="00F06F7A"/>
    <w:rsid w:val="00F07018"/>
    <w:rsid w:val="00F071F7"/>
    <w:rsid w:val="00F076BF"/>
    <w:rsid w:val="00F07872"/>
    <w:rsid w:val="00F07891"/>
    <w:rsid w:val="00F07A26"/>
    <w:rsid w:val="00F07CD9"/>
    <w:rsid w:val="00F10251"/>
    <w:rsid w:val="00F1028C"/>
    <w:rsid w:val="00F1038A"/>
    <w:rsid w:val="00F10673"/>
    <w:rsid w:val="00F10895"/>
    <w:rsid w:val="00F1092F"/>
    <w:rsid w:val="00F10B45"/>
    <w:rsid w:val="00F10BB1"/>
    <w:rsid w:val="00F10DA2"/>
    <w:rsid w:val="00F11110"/>
    <w:rsid w:val="00F111FC"/>
    <w:rsid w:val="00F113C4"/>
    <w:rsid w:val="00F113DF"/>
    <w:rsid w:val="00F1152D"/>
    <w:rsid w:val="00F11975"/>
    <w:rsid w:val="00F11A2B"/>
    <w:rsid w:val="00F11A73"/>
    <w:rsid w:val="00F11AEF"/>
    <w:rsid w:val="00F11BDF"/>
    <w:rsid w:val="00F11CE0"/>
    <w:rsid w:val="00F11E70"/>
    <w:rsid w:val="00F120B3"/>
    <w:rsid w:val="00F12273"/>
    <w:rsid w:val="00F122A6"/>
    <w:rsid w:val="00F12350"/>
    <w:rsid w:val="00F123C6"/>
    <w:rsid w:val="00F125C7"/>
    <w:rsid w:val="00F12622"/>
    <w:rsid w:val="00F126A5"/>
    <w:rsid w:val="00F126F2"/>
    <w:rsid w:val="00F12754"/>
    <w:rsid w:val="00F127F4"/>
    <w:rsid w:val="00F129C9"/>
    <w:rsid w:val="00F12B39"/>
    <w:rsid w:val="00F12C3D"/>
    <w:rsid w:val="00F12CAB"/>
    <w:rsid w:val="00F12D04"/>
    <w:rsid w:val="00F12E36"/>
    <w:rsid w:val="00F12FD1"/>
    <w:rsid w:val="00F13135"/>
    <w:rsid w:val="00F13309"/>
    <w:rsid w:val="00F13361"/>
    <w:rsid w:val="00F134D2"/>
    <w:rsid w:val="00F13648"/>
    <w:rsid w:val="00F13936"/>
    <w:rsid w:val="00F13B2A"/>
    <w:rsid w:val="00F13B64"/>
    <w:rsid w:val="00F13BD3"/>
    <w:rsid w:val="00F13D31"/>
    <w:rsid w:val="00F13E19"/>
    <w:rsid w:val="00F13FB1"/>
    <w:rsid w:val="00F13FDF"/>
    <w:rsid w:val="00F13FF2"/>
    <w:rsid w:val="00F1401D"/>
    <w:rsid w:val="00F14176"/>
    <w:rsid w:val="00F141AC"/>
    <w:rsid w:val="00F142E4"/>
    <w:rsid w:val="00F1430C"/>
    <w:rsid w:val="00F143A4"/>
    <w:rsid w:val="00F14438"/>
    <w:rsid w:val="00F14726"/>
    <w:rsid w:val="00F147C6"/>
    <w:rsid w:val="00F14902"/>
    <w:rsid w:val="00F149D8"/>
    <w:rsid w:val="00F14A63"/>
    <w:rsid w:val="00F14C04"/>
    <w:rsid w:val="00F14CAF"/>
    <w:rsid w:val="00F14CBC"/>
    <w:rsid w:val="00F1506C"/>
    <w:rsid w:val="00F150BA"/>
    <w:rsid w:val="00F15195"/>
    <w:rsid w:val="00F15261"/>
    <w:rsid w:val="00F15280"/>
    <w:rsid w:val="00F152C7"/>
    <w:rsid w:val="00F15409"/>
    <w:rsid w:val="00F15432"/>
    <w:rsid w:val="00F158CB"/>
    <w:rsid w:val="00F15B1F"/>
    <w:rsid w:val="00F15C1F"/>
    <w:rsid w:val="00F15C94"/>
    <w:rsid w:val="00F15CBC"/>
    <w:rsid w:val="00F15D2E"/>
    <w:rsid w:val="00F15D36"/>
    <w:rsid w:val="00F15EB8"/>
    <w:rsid w:val="00F15F21"/>
    <w:rsid w:val="00F15FDB"/>
    <w:rsid w:val="00F16070"/>
    <w:rsid w:val="00F16119"/>
    <w:rsid w:val="00F1626F"/>
    <w:rsid w:val="00F16396"/>
    <w:rsid w:val="00F16414"/>
    <w:rsid w:val="00F16463"/>
    <w:rsid w:val="00F165DB"/>
    <w:rsid w:val="00F16624"/>
    <w:rsid w:val="00F1666C"/>
    <w:rsid w:val="00F16A8C"/>
    <w:rsid w:val="00F16B2F"/>
    <w:rsid w:val="00F16BFF"/>
    <w:rsid w:val="00F16C8C"/>
    <w:rsid w:val="00F17201"/>
    <w:rsid w:val="00F17336"/>
    <w:rsid w:val="00F1765B"/>
    <w:rsid w:val="00F177C6"/>
    <w:rsid w:val="00F17958"/>
    <w:rsid w:val="00F179B5"/>
    <w:rsid w:val="00F17D3F"/>
    <w:rsid w:val="00F17F74"/>
    <w:rsid w:val="00F20024"/>
    <w:rsid w:val="00F2013C"/>
    <w:rsid w:val="00F20310"/>
    <w:rsid w:val="00F20384"/>
    <w:rsid w:val="00F20464"/>
    <w:rsid w:val="00F2046E"/>
    <w:rsid w:val="00F20665"/>
    <w:rsid w:val="00F206A3"/>
    <w:rsid w:val="00F206B4"/>
    <w:rsid w:val="00F20704"/>
    <w:rsid w:val="00F20980"/>
    <w:rsid w:val="00F209D1"/>
    <w:rsid w:val="00F20A02"/>
    <w:rsid w:val="00F20A8A"/>
    <w:rsid w:val="00F20AFE"/>
    <w:rsid w:val="00F20BD1"/>
    <w:rsid w:val="00F20C79"/>
    <w:rsid w:val="00F20CD7"/>
    <w:rsid w:val="00F20DA9"/>
    <w:rsid w:val="00F20E74"/>
    <w:rsid w:val="00F20FE6"/>
    <w:rsid w:val="00F2143E"/>
    <w:rsid w:val="00F2156D"/>
    <w:rsid w:val="00F21739"/>
    <w:rsid w:val="00F217AA"/>
    <w:rsid w:val="00F21D46"/>
    <w:rsid w:val="00F220E1"/>
    <w:rsid w:val="00F2252A"/>
    <w:rsid w:val="00F2256F"/>
    <w:rsid w:val="00F225B0"/>
    <w:rsid w:val="00F226C5"/>
    <w:rsid w:val="00F22ABB"/>
    <w:rsid w:val="00F22ADD"/>
    <w:rsid w:val="00F22D4F"/>
    <w:rsid w:val="00F22D61"/>
    <w:rsid w:val="00F22E5D"/>
    <w:rsid w:val="00F22F79"/>
    <w:rsid w:val="00F233DE"/>
    <w:rsid w:val="00F23458"/>
    <w:rsid w:val="00F23474"/>
    <w:rsid w:val="00F23486"/>
    <w:rsid w:val="00F23524"/>
    <w:rsid w:val="00F23828"/>
    <w:rsid w:val="00F239B3"/>
    <w:rsid w:val="00F23A7E"/>
    <w:rsid w:val="00F23AA4"/>
    <w:rsid w:val="00F23BBF"/>
    <w:rsid w:val="00F23BE3"/>
    <w:rsid w:val="00F23E91"/>
    <w:rsid w:val="00F23F2D"/>
    <w:rsid w:val="00F2406E"/>
    <w:rsid w:val="00F241F5"/>
    <w:rsid w:val="00F24305"/>
    <w:rsid w:val="00F2438E"/>
    <w:rsid w:val="00F24393"/>
    <w:rsid w:val="00F243AB"/>
    <w:rsid w:val="00F245C3"/>
    <w:rsid w:val="00F2468E"/>
    <w:rsid w:val="00F24AAF"/>
    <w:rsid w:val="00F24AE7"/>
    <w:rsid w:val="00F24B38"/>
    <w:rsid w:val="00F24B5B"/>
    <w:rsid w:val="00F24D5D"/>
    <w:rsid w:val="00F24D6E"/>
    <w:rsid w:val="00F24E08"/>
    <w:rsid w:val="00F24E79"/>
    <w:rsid w:val="00F250EE"/>
    <w:rsid w:val="00F2512C"/>
    <w:rsid w:val="00F2533C"/>
    <w:rsid w:val="00F255D0"/>
    <w:rsid w:val="00F258CA"/>
    <w:rsid w:val="00F25BA5"/>
    <w:rsid w:val="00F25C14"/>
    <w:rsid w:val="00F25E3F"/>
    <w:rsid w:val="00F25FE4"/>
    <w:rsid w:val="00F260B4"/>
    <w:rsid w:val="00F26197"/>
    <w:rsid w:val="00F261CC"/>
    <w:rsid w:val="00F26220"/>
    <w:rsid w:val="00F263A1"/>
    <w:rsid w:val="00F263C3"/>
    <w:rsid w:val="00F263F4"/>
    <w:rsid w:val="00F26557"/>
    <w:rsid w:val="00F26558"/>
    <w:rsid w:val="00F265D0"/>
    <w:rsid w:val="00F266C9"/>
    <w:rsid w:val="00F26741"/>
    <w:rsid w:val="00F26910"/>
    <w:rsid w:val="00F26983"/>
    <w:rsid w:val="00F26A60"/>
    <w:rsid w:val="00F26ACA"/>
    <w:rsid w:val="00F26B45"/>
    <w:rsid w:val="00F26C61"/>
    <w:rsid w:val="00F274B0"/>
    <w:rsid w:val="00F274EC"/>
    <w:rsid w:val="00F27757"/>
    <w:rsid w:val="00F27775"/>
    <w:rsid w:val="00F279A7"/>
    <w:rsid w:val="00F27A4A"/>
    <w:rsid w:val="00F27B22"/>
    <w:rsid w:val="00F27C2E"/>
    <w:rsid w:val="00F27DEC"/>
    <w:rsid w:val="00F27E0A"/>
    <w:rsid w:val="00F27E31"/>
    <w:rsid w:val="00F30221"/>
    <w:rsid w:val="00F30575"/>
    <w:rsid w:val="00F3061A"/>
    <w:rsid w:val="00F30828"/>
    <w:rsid w:val="00F308FD"/>
    <w:rsid w:val="00F30BFF"/>
    <w:rsid w:val="00F30CAB"/>
    <w:rsid w:val="00F30D95"/>
    <w:rsid w:val="00F30EAB"/>
    <w:rsid w:val="00F30F62"/>
    <w:rsid w:val="00F30FE9"/>
    <w:rsid w:val="00F310CC"/>
    <w:rsid w:val="00F3150C"/>
    <w:rsid w:val="00F3151A"/>
    <w:rsid w:val="00F316B7"/>
    <w:rsid w:val="00F31844"/>
    <w:rsid w:val="00F31952"/>
    <w:rsid w:val="00F31A0E"/>
    <w:rsid w:val="00F31B02"/>
    <w:rsid w:val="00F31B1D"/>
    <w:rsid w:val="00F31F4D"/>
    <w:rsid w:val="00F32307"/>
    <w:rsid w:val="00F3236A"/>
    <w:rsid w:val="00F32663"/>
    <w:rsid w:val="00F329D3"/>
    <w:rsid w:val="00F32A38"/>
    <w:rsid w:val="00F32AA6"/>
    <w:rsid w:val="00F32C66"/>
    <w:rsid w:val="00F32D5D"/>
    <w:rsid w:val="00F32E82"/>
    <w:rsid w:val="00F32EDE"/>
    <w:rsid w:val="00F32FDD"/>
    <w:rsid w:val="00F3301F"/>
    <w:rsid w:val="00F3324A"/>
    <w:rsid w:val="00F333CC"/>
    <w:rsid w:val="00F33401"/>
    <w:rsid w:val="00F335E3"/>
    <w:rsid w:val="00F33663"/>
    <w:rsid w:val="00F3368F"/>
    <w:rsid w:val="00F3384F"/>
    <w:rsid w:val="00F33B2B"/>
    <w:rsid w:val="00F33BC9"/>
    <w:rsid w:val="00F33C10"/>
    <w:rsid w:val="00F33DFC"/>
    <w:rsid w:val="00F33EC1"/>
    <w:rsid w:val="00F33F03"/>
    <w:rsid w:val="00F3406C"/>
    <w:rsid w:val="00F3437F"/>
    <w:rsid w:val="00F34670"/>
    <w:rsid w:val="00F34760"/>
    <w:rsid w:val="00F347B7"/>
    <w:rsid w:val="00F34AEC"/>
    <w:rsid w:val="00F34D3F"/>
    <w:rsid w:val="00F34EB6"/>
    <w:rsid w:val="00F34F4E"/>
    <w:rsid w:val="00F35310"/>
    <w:rsid w:val="00F35734"/>
    <w:rsid w:val="00F35758"/>
    <w:rsid w:val="00F35B63"/>
    <w:rsid w:val="00F35C76"/>
    <w:rsid w:val="00F35E0C"/>
    <w:rsid w:val="00F35F19"/>
    <w:rsid w:val="00F35FDF"/>
    <w:rsid w:val="00F36082"/>
    <w:rsid w:val="00F3613C"/>
    <w:rsid w:val="00F367CA"/>
    <w:rsid w:val="00F36801"/>
    <w:rsid w:val="00F369C0"/>
    <w:rsid w:val="00F36A4C"/>
    <w:rsid w:val="00F36BAA"/>
    <w:rsid w:val="00F36BB0"/>
    <w:rsid w:val="00F36DD6"/>
    <w:rsid w:val="00F370F0"/>
    <w:rsid w:val="00F37101"/>
    <w:rsid w:val="00F37347"/>
    <w:rsid w:val="00F3743F"/>
    <w:rsid w:val="00F375BA"/>
    <w:rsid w:val="00F376C2"/>
    <w:rsid w:val="00F377A5"/>
    <w:rsid w:val="00F378B4"/>
    <w:rsid w:val="00F37958"/>
    <w:rsid w:val="00F37C10"/>
    <w:rsid w:val="00F37E3C"/>
    <w:rsid w:val="00F37FD5"/>
    <w:rsid w:val="00F40022"/>
    <w:rsid w:val="00F40174"/>
    <w:rsid w:val="00F40339"/>
    <w:rsid w:val="00F4037A"/>
    <w:rsid w:val="00F40408"/>
    <w:rsid w:val="00F406B1"/>
    <w:rsid w:val="00F40723"/>
    <w:rsid w:val="00F409B2"/>
    <w:rsid w:val="00F40AB9"/>
    <w:rsid w:val="00F40ACE"/>
    <w:rsid w:val="00F40E4F"/>
    <w:rsid w:val="00F40F70"/>
    <w:rsid w:val="00F410AB"/>
    <w:rsid w:val="00F410B1"/>
    <w:rsid w:val="00F410C8"/>
    <w:rsid w:val="00F41356"/>
    <w:rsid w:val="00F413FF"/>
    <w:rsid w:val="00F41479"/>
    <w:rsid w:val="00F414CF"/>
    <w:rsid w:val="00F41520"/>
    <w:rsid w:val="00F41894"/>
    <w:rsid w:val="00F4189F"/>
    <w:rsid w:val="00F418C3"/>
    <w:rsid w:val="00F4195A"/>
    <w:rsid w:val="00F419DF"/>
    <w:rsid w:val="00F41C76"/>
    <w:rsid w:val="00F41CBF"/>
    <w:rsid w:val="00F41CDE"/>
    <w:rsid w:val="00F41DA5"/>
    <w:rsid w:val="00F41DFD"/>
    <w:rsid w:val="00F41E17"/>
    <w:rsid w:val="00F41F13"/>
    <w:rsid w:val="00F4215C"/>
    <w:rsid w:val="00F421A5"/>
    <w:rsid w:val="00F42374"/>
    <w:rsid w:val="00F424B9"/>
    <w:rsid w:val="00F424D7"/>
    <w:rsid w:val="00F42744"/>
    <w:rsid w:val="00F42752"/>
    <w:rsid w:val="00F427EC"/>
    <w:rsid w:val="00F42897"/>
    <w:rsid w:val="00F429BC"/>
    <w:rsid w:val="00F42A92"/>
    <w:rsid w:val="00F42A9D"/>
    <w:rsid w:val="00F42AD9"/>
    <w:rsid w:val="00F42CA9"/>
    <w:rsid w:val="00F42CF3"/>
    <w:rsid w:val="00F42DE0"/>
    <w:rsid w:val="00F42E40"/>
    <w:rsid w:val="00F42E4F"/>
    <w:rsid w:val="00F42FDC"/>
    <w:rsid w:val="00F42FFE"/>
    <w:rsid w:val="00F43018"/>
    <w:rsid w:val="00F43172"/>
    <w:rsid w:val="00F4326F"/>
    <w:rsid w:val="00F432F3"/>
    <w:rsid w:val="00F4333F"/>
    <w:rsid w:val="00F433C2"/>
    <w:rsid w:val="00F4357A"/>
    <w:rsid w:val="00F4361F"/>
    <w:rsid w:val="00F436E7"/>
    <w:rsid w:val="00F43751"/>
    <w:rsid w:val="00F437ED"/>
    <w:rsid w:val="00F43839"/>
    <w:rsid w:val="00F438CA"/>
    <w:rsid w:val="00F4395F"/>
    <w:rsid w:val="00F439F2"/>
    <w:rsid w:val="00F43AE3"/>
    <w:rsid w:val="00F43B13"/>
    <w:rsid w:val="00F43C26"/>
    <w:rsid w:val="00F43D14"/>
    <w:rsid w:val="00F441CB"/>
    <w:rsid w:val="00F4430A"/>
    <w:rsid w:val="00F44320"/>
    <w:rsid w:val="00F4436E"/>
    <w:rsid w:val="00F44503"/>
    <w:rsid w:val="00F44B56"/>
    <w:rsid w:val="00F44C30"/>
    <w:rsid w:val="00F44DB8"/>
    <w:rsid w:val="00F4510D"/>
    <w:rsid w:val="00F45144"/>
    <w:rsid w:val="00F452EE"/>
    <w:rsid w:val="00F452F5"/>
    <w:rsid w:val="00F453CC"/>
    <w:rsid w:val="00F4552B"/>
    <w:rsid w:val="00F457AA"/>
    <w:rsid w:val="00F45984"/>
    <w:rsid w:val="00F45C67"/>
    <w:rsid w:val="00F45CAF"/>
    <w:rsid w:val="00F45CF8"/>
    <w:rsid w:val="00F45E23"/>
    <w:rsid w:val="00F45FD0"/>
    <w:rsid w:val="00F45FFC"/>
    <w:rsid w:val="00F46082"/>
    <w:rsid w:val="00F46096"/>
    <w:rsid w:val="00F46289"/>
    <w:rsid w:val="00F4642F"/>
    <w:rsid w:val="00F46430"/>
    <w:rsid w:val="00F46452"/>
    <w:rsid w:val="00F464E5"/>
    <w:rsid w:val="00F4653E"/>
    <w:rsid w:val="00F46684"/>
    <w:rsid w:val="00F4688D"/>
    <w:rsid w:val="00F46AC8"/>
    <w:rsid w:val="00F46C9F"/>
    <w:rsid w:val="00F46D99"/>
    <w:rsid w:val="00F46D9D"/>
    <w:rsid w:val="00F46E47"/>
    <w:rsid w:val="00F47200"/>
    <w:rsid w:val="00F4732B"/>
    <w:rsid w:val="00F4746D"/>
    <w:rsid w:val="00F475B7"/>
    <w:rsid w:val="00F475BF"/>
    <w:rsid w:val="00F479B2"/>
    <w:rsid w:val="00F479D9"/>
    <w:rsid w:val="00F47B3D"/>
    <w:rsid w:val="00F5001A"/>
    <w:rsid w:val="00F50049"/>
    <w:rsid w:val="00F500FC"/>
    <w:rsid w:val="00F50118"/>
    <w:rsid w:val="00F5014F"/>
    <w:rsid w:val="00F503B5"/>
    <w:rsid w:val="00F504A8"/>
    <w:rsid w:val="00F50526"/>
    <w:rsid w:val="00F50714"/>
    <w:rsid w:val="00F50739"/>
    <w:rsid w:val="00F50776"/>
    <w:rsid w:val="00F508E6"/>
    <w:rsid w:val="00F50B4B"/>
    <w:rsid w:val="00F50B5C"/>
    <w:rsid w:val="00F50C7C"/>
    <w:rsid w:val="00F51051"/>
    <w:rsid w:val="00F510EE"/>
    <w:rsid w:val="00F511D7"/>
    <w:rsid w:val="00F514CE"/>
    <w:rsid w:val="00F51B35"/>
    <w:rsid w:val="00F51B9A"/>
    <w:rsid w:val="00F51C24"/>
    <w:rsid w:val="00F51C96"/>
    <w:rsid w:val="00F51E5A"/>
    <w:rsid w:val="00F52222"/>
    <w:rsid w:val="00F52382"/>
    <w:rsid w:val="00F525DA"/>
    <w:rsid w:val="00F525E9"/>
    <w:rsid w:val="00F52A2F"/>
    <w:rsid w:val="00F52A91"/>
    <w:rsid w:val="00F52A99"/>
    <w:rsid w:val="00F52CD2"/>
    <w:rsid w:val="00F52CDE"/>
    <w:rsid w:val="00F52D0E"/>
    <w:rsid w:val="00F52DCC"/>
    <w:rsid w:val="00F5326B"/>
    <w:rsid w:val="00F53310"/>
    <w:rsid w:val="00F5332F"/>
    <w:rsid w:val="00F53360"/>
    <w:rsid w:val="00F537A6"/>
    <w:rsid w:val="00F537FD"/>
    <w:rsid w:val="00F538C2"/>
    <w:rsid w:val="00F5395B"/>
    <w:rsid w:val="00F53A53"/>
    <w:rsid w:val="00F53AC1"/>
    <w:rsid w:val="00F53BA8"/>
    <w:rsid w:val="00F53C7F"/>
    <w:rsid w:val="00F53D3E"/>
    <w:rsid w:val="00F53E9E"/>
    <w:rsid w:val="00F5405E"/>
    <w:rsid w:val="00F54109"/>
    <w:rsid w:val="00F54125"/>
    <w:rsid w:val="00F541FB"/>
    <w:rsid w:val="00F54393"/>
    <w:rsid w:val="00F5481D"/>
    <w:rsid w:val="00F54843"/>
    <w:rsid w:val="00F54864"/>
    <w:rsid w:val="00F549B1"/>
    <w:rsid w:val="00F549D7"/>
    <w:rsid w:val="00F54A00"/>
    <w:rsid w:val="00F54D81"/>
    <w:rsid w:val="00F54F08"/>
    <w:rsid w:val="00F55003"/>
    <w:rsid w:val="00F5507E"/>
    <w:rsid w:val="00F55186"/>
    <w:rsid w:val="00F553A3"/>
    <w:rsid w:val="00F553BF"/>
    <w:rsid w:val="00F55995"/>
    <w:rsid w:val="00F55C91"/>
    <w:rsid w:val="00F55FEA"/>
    <w:rsid w:val="00F56202"/>
    <w:rsid w:val="00F5628C"/>
    <w:rsid w:val="00F562A9"/>
    <w:rsid w:val="00F5640C"/>
    <w:rsid w:val="00F565D9"/>
    <w:rsid w:val="00F568E1"/>
    <w:rsid w:val="00F56A26"/>
    <w:rsid w:val="00F56E9B"/>
    <w:rsid w:val="00F57023"/>
    <w:rsid w:val="00F57092"/>
    <w:rsid w:val="00F571FE"/>
    <w:rsid w:val="00F5725F"/>
    <w:rsid w:val="00F572D0"/>
    <w:rsid w:val="00F573CC"/>
    <w:rsid w:val="00F5747F"/>
    <w:rsid w:val="00F574C7"/>
    <w:rsid w:val="00F5759E"/>
    <w:rsid w:val="00F5760C"/>
    <w:rsid w:val="00F5771B"/>
    <w:rsid w:val="00F577A9"/>
    <w:rsid w:val="00F577E5"/>
    <w:rsid w:val="00F579EB"/>
    <w:rsid w:val="00F57A4C"/>
    <w:rsid w:val="00F57A85"/>
    <w:rsid w:val="00F57B00"/>
    <w:rsid w:val="00F57B3B"/>
    <w:rsid w:val="00F60057"/>
    <w:rsid w:val="00F6009B"/>
    <w:rsid w:val="00F601AA"/>
    <w:rsid w:val="00F6029C"/>
    <w:rsid w:val="00F602B3"/>
    <w:rsid w:val="00F603E9"/>
    <w:rsid w:val="00F605FC"/>
    <w:rsid w:val="00F606F0"/>
    <w:rsid w:val="00F608CB"/>
    <w:rsid w:val="00F60A06"/>
    <w:rsid w:val="00F60A9F"/>
    <w:rsid w:val="00F60B5B"/>
    <w:rsid w:val="00F60C20"/>
    <w:rsid w:val="00F60D13"/>
    <w:rsid w:val="00F60D2A"/>
    <w:rsid w:val="00F60DF0"/>
    <w:rsid w:val="00F60E31"/>
    <w:rsid w:val="00F6100C"/>
    <w:rsid w:val="00F61057"/>
    <w:rsid w:val="00F610E5"/>
    <w:rsid w:val="00F61438"/>
    <w:rsid w:val="00F614ED"/>
    <w:rsid w:val="00F615FE"/>
    <w:rsid w:val="00F6160F"/>
    <w:rsid w:val="00F6169D"/>
    <w:rsid w:val="00F618E0"/>
    <w:rsid w:val="00F619CA"/>
    <w:rsid w:val="00F61A53"/>
    <w:rsid w:val="00F61ABD"/>
    <w:rsid w:val="00F61B9E"/>
    <w:rsid w:val="00F61DBC"/>
    <w:rsid w:val="00F61FFF"/>
    <w:rsid w:val="00F6219B"/>
    <w:rsid w:val="00F621C7"/>
    <w:rsid w:val="00F62646"/>
    <w:rsid w:val="00F626B7"/>
    <w:rsid w:val="00F62737"/>
    <w:rsid w:val="00F627C8"/>
    <w:rsid w:val="00F62819"/>
    <w:rsid w:val="00F62888"/>
    <w:rsid w:val="00F628C6"/>
    <w:rsid w:val="00F62BDA"/>
    <w:rsid w:val="00F62EC8"/>
    <w:rsid w:val="00F62F48"/>
    <w:rsid w:val="00F62FE2"/>
    <w:rsid w:val="00F630B6"/>
    <w:rsid w:val="00F63163"/>
    <w:rsid w:val="00F631DB"/>
    <w:rsid w:val="00F631EA"/>
    <w:rsid w:val="00F63458"/>
    <w:rsid w:val="00F634C4"/>
    <w:rsid w:val="00F6364D"/>
    <w:rsid w:val="00F6375E"/>
    <w:rsid w:val="00F63929"/>
    <w:rsid w:val="00F639AA"/>
    <w:rsid w:val="00F63A58"/>
    <w:rsid w:val="00F63E3D"/>
    <w:rsid w:val="00F63F25"/>
    <w:rsid w:val="00F64023"/>
    <w:rsid w:val="00F641D5"/>
    <w:rsid w:val="00F641E1"/>
    <w:rsid w:val="00F642C2"/>
    <w:rsid w:val="00F64424"/>
    <w:rsid w:val="00F645F2"/>
    <w:rsid w:val="00F646A7"/>
    <w:rsid w:val="00F6471E"/>
    <w:rsid w:val="00F64742"/>
    <w:rsid w:val="00F64A99"/>
    <w:rsid w:val="00F64BB2"/>
    <w:rsid w:val="00F64EC0"/>
    <w:rsid w:val="00F64F43"/>
    <w:rsid w:val="00F64F6C"/>
    <w:rsid w:val="00F65153"/>
    <w:rsid w:val="00F6523A"/>
    <w:rsid w:val="00F6530F"/>
    <w:rsid w:val="00F65564"/>
    <w:rsid w:val="00F65B3B"/>
    <w:rsid w:val="00F66032"/>
    <w:rsid w:val="00F66332"/>
    <w:rsid w:val="00F66392"/>
    <w:rsid w:val="00F664BE"/>
    <w:rsid w:val="00F66665"/>
    <w:rsid w:val="00F66959"/>
    <w:rsid w:val="00F66B68"/>
    <w:rsid w:val="00F66D53"/>
    <w:rsid w:val="00F66DB7"/>
    <w:rsid w:val="00F66E15"/>
    <w:rsid w:val="00F67081"/>
    <w:rsid w:val="00F672E7"/>
    <w:rsid w:val="00F672E9"/>
    <w:rsid w:val="00F67329"/>
    <w:rsid w:val="00F6732E"/>
    <w:rsid w:val="00F67368"/>
    <w:rsid w:val="00F6738C"/>
    <w:rsid w:val="00F674CA"/>
    <w:rsid w:val="00F676E9"/>
    <w:rsid w:val="00F676FA"/>
    <w:rsid w:val="00F67769"/>
    <w:rsid w:val="00F677FB"/>
    <w:rsid w:val="00F67805"/>
    <w:rsid w:val="00F678CF"/>
    <w:rsid w:val="00F679F9"/>
    <w:rsid w:val="00F67A78"/>
    <w:rsid w:val="00F67BB1"/>
    <w:rsid w:val="00F67D6B"/>
    <w:rsid w:val="00F67E61"/>
    <w:rsid w:val="00F67F56"/>
    <w:rsid w:val="00F70105"/>
    <w:rsid w:val="00F703A1"/>
    <w:rsid w:val="00F70458"/>
    <w:rsid w:val="00F705B9"/>
    <w:rsid w:val="00F7067F"/>
    <w:rsid w:val="00F706B7"/>
    <w:rsid w:val="00F7082D"/>
    <w:rsid w:val="00F70A0D"/>
    <w:rsid w:val="00F70A14"/>
    <w:rsid w:val="00F70B8E"/>
    <w:rsid w:val="00F70C05"/>
    <w:rsid w:val="00F70EBB"/>
    <w:rsid w:val="00F70F61"/>
    <w:rsid w:val="00F70FAD"/>
    <w:rsid w:val="00F712CA"/>
    <w:rsid w:val="00F71673"/>
    <w:rsid w:val="00F7188A"/>
    <w:rsid w:val="00F71B11"/>
    <w:rsid w:val="00F71C55"/>
    <w:rsid w:val="00F71C57"/>
    <w:rsid w:val="00F71DD9"/>
    <w:rsid w:val="00F71DF2"/>
    <w:rsid w:val="00F71F4C"/>
    <w:rsid w:val="00F721A7"/>
    <w:rsid w:val="00F72696"/>
    <w:rsid w:val="00F72701"/>
    <w:rsid w:val="00F727DA"/>
    <w:rsid w:val="00F72844"/>
    <w:rsid w:val="00F728BD"/>
    <w:rsid w:val="00F72908"/>
    <w:rsid w:val="00F72D35"/>
    <w:rsid w:val="00F72D91"/>
    <w:rsid w:val="00F72DC4"/>
    <w:rsid w:val="00F72E13"/>
    <w:rsid w:val="00F7324F"/>
    <w:rsid w:val="00F73390"/>
    <w:rsid w:val="00F733A3"/>
    <w:rsid w:val="00F73531"/>
    <w:rsid w:val="00F73953"/>
    <w:rsid w:val="00F73AED"/>
    <w:rsid w:val="00F73AFE"/>
    <w:rsid w:val="00F73B6E"/>
    <w:rsid w:val="00F73C17"/>
    <w:rsid w:val="00F73CBC"/>
    <w:rsid w:val="00F73E59"/>
    <w:rsid w:val="00F73F3E"/>
    <w:rsid w:val="00F74462"/>
    <w:rsid w:val="00F7447C"/>
    <w:rsid w:val="00F744C2"/>
    <w:rsid w:val="00F7476B"/>
    <w:rsid w:val="00F747C0"/>
    <w:rsid w:val="00F74951"/>
    <w:rsid w:val="00F74A6B"/>
    <w:rsid w:val="00F74B16"/>
    <w:rsid w:val="00F74BE4"/>
    <w:rsid w:val="00F74DED"/>
    <w:rsid w:val="00F7509E"/>
    <w:rsid w:val="00F750CF"/>
    <w:rsid w:val="00F750D4"/>
    <w:rsid w:val="00F75268"/>
    <w:rsid w:val="00F752B4"/>
    <w:rsid w:val="00F75386"/>
    <w:rsid w:val="00F754AD"/>
    <w:rsid w:val="00F757F0"/>
    <w:rsid w:val="00F75999"/>
    <w:rsid w:val="00F75E1D"/>
    <w:rsid w:val="00F75F6E"/>
    <w:rsid w:val="00F760A4"/>
    <w:rsid w:val="00F760C5"/>
    <w:rsid w:val="00F761CE"/>
    <w:rsid w:val="00F76727"/>
    <w:rsid w:val="00F767BD"/>
    <w:rsid w:val="00F76898"/>
    <w:rsid w:val="00F769AD"/>
    <w:rsid w:val="00F76B0B"/>
    <w:rsid w:val="00F76B38"/>
    <w:rsid w:val="00F76EB4"/>
    <w:rsid w:val="00F77044"/>
    <w:rsid w:val="00F77114"/>
    <w:rsid w:val="00F771F6"/>
    <w:rsid w:val="00F773D5"/>
    <w:rsid w:val="00F77587"/>
    <w:rsid w:val="00F7782A"/>
    <w:rsid w:val="00F77958"/>
    <w:rsid w:val="00F779CE"/>
    <w:rsid w:val="00F77AB2"/>
    <w:rsid w:val="00F77B39"/>
    <w:rsid w:val="00F77B8B"/>
    <w:rsid w:val="00F77D5D"/>
    <w:rsid w:val="00F77DF3"/>
    <w:rsid w:val="00F77E34"/>
    <w:rsid w:val="00F77E82"/>
    <w:rsid w:val="00F77ED7"/>
    <w:rsid w:val="00F77F5D"/>
    <w:rsid w:val="00F8010E"/>
    <w:rsid w:val="00F8015A"/>
    <w:rsid w:val="00F80190"/>
    <w:rsid w:val="00F80544"/>
    <w:rsid w:val="00F8056E"/>
    <w:rsid w:val="00F80631"/>
    <w:rsid w:val="00F8073B"/>
    <w:rsid w:val="00F80819"/>
    <w:rsid w:val="00F80910"/>
    <w:rsid w:val="00F809A2"/>
    <w:rsid w:val="00F80B34"/>
    <w:rsid w:val="00F80B9C"/>
    <w:rsid w:val="00F80C9C"/>
    <w:rsid w:val="00F81002"/>
    <w:rsid w:val="00F811C2"/>
    <w:rsid w:val="00F811FC"/>
    <w:rsid w:val="00F8126D"/>
    <w:rsid w:val="00F81292"/>
    <w:rsid w:val="00F81597"/>
    <w:rsid w:val="00F816EA"/>
    <w:rsid w:val="00F817EE"/>
    <w:rsid w:val="00F818FF"/>
    <w:rsid w:val="00F81999"/>
    <w:rsid w:val="00F819E6"/>
    <w:rsid w:val="00F81AC7"/>
    <w:rsid w:val="00F81B1A"/>
    <w:rsid w:val="00F81C39"/>
    <w:rsid w:val="00F81CD7"/>
    <w:rsid w:val="00F81EBB"/>
    <w:rsid w:val="00F82069"/>
    <w:rsid w:val="00F8209B"/>
    <w:rsid w:val="00F8212C"/>
    <w:rsid w:val="00F822B8"/>
    <w:rsid w:val="00F824C9"/>
    <w:rsid w:val="00F82749"/>
    <w:rsid w:val="00F82915"/>
    <w:rsid w:val="00F82C59"/>
    <w:rsid w:val="00F82D2C"/>
    <w:rsid w:val="00F82E12"/>
    <w:rsid w:val="00F82F85"/>
    <w:rsid w:val="00F831A0"/>
    <w:rsid w:val="00F832A0"/>
    <w:rsid w:val="00F83444"/>
    <w:rsid w:val="00F83882"/>
    <w:rsid w:val="00F838BE"/>
    <w:rsid w:val="00F83E64"/>
    <w:rsid w:val="00F83F62"/>
    <w:rsid w:val="00F83FE8"/>
    <w:rsid w:val="00F8423A"/>
    <w:rsid w:val="00F8438C"/>
    <w:rsid w:val="00F84444"/>
    <w:rsid w:val="00F84458"/>
    <w:rsid w:val="00F84475"/>
    <w:rsid w:val="00F844B2"/>
    <w:rsid w:val="00F84502"/>
    <w:rsid w:val="00F84593"/>
    <w:rsid w:val="00F84656"/>
    <w:rsid w:val="00F847E0"/>
    <w:rsid w:val="00F847EA"/>
    <w:rsid w:val="00F84844"/>
    <w:rsid w:val="00F8496F"/>
    <w:rsid w:val="00F84AB4"/>
    <w:rsid w:val="00F84C7C"/>
    <w:rsid w:val="00F84D5D"/>
    <w:rsid w:val="00F8520B"/>
    <w:rsid w:val="00F85288"/>
    <w:rsid w:val="00F854AB"/>
    <w:rsid w:val="00F854C6"/>
    <w:rsid w:val="00F85A3C"/>
    <w:rsid w:val="00F85A66"/>
    <w:rsid w:val="00F85B1D"/>
    <w:rsid w:val="00F85C89"/>
    <w:rsid w:val="00F85D35"/>
    <w:rsid w:val="00F85DAE"/>
    <w:rsid w:val="00F85F55"/>
    <w:rsid w:val="00F85F84"/>
    <w:rsid w:val="00F8607E"/>
    <w:rsid w:val="00F86099"/>
    <w:rsid w:val="00F861B5"/>
    <w:rsid w:val="00F861BB"/>
    <w:rsid w:val="00F8636F"/>
    <w:rsid w:val="00F86432"/>
    <w:rsid w:val="00F86498"/>
    <w:rsid w:val="00F867BF"/>
    <w:rsid w:val="00F86C21"/>
    <w:rsid w:val="00F86C68"/>
    <w:rsid w:val="00F86DE7"/>
    <w:rsid w:val="00F86E17"/>
    <w:rsid w:val="00F8710B"/>
    <w:rsid w:val="00F871E5"/>
    <w:rsid w:val="00F872D5"/>
    <w:rsid w:val="00F87328"/>
    <w:rsid w:val="00F874DE"/>
    <w:rsid w:val="00F87527"/>
    <w:rsid w:val="00F87783"/>
    <w:rsid w:val="00F87832"/>
    <w:rsid w:val="00F8784C"/>
    <w:rsid w:val="00F8789D"/>
    <w:rsid w:val="00F8794F"/>
    <w:rsid w:val="00F879D1"/>
    <w:rsid w:val="00F87A29"/>
    <w:rsid w:val="00F87BD4"/>
    <w:rsid w:val="00F87C24"/>
    <w:rsid w:val="00F87C39"/>
    <w:rsid w:val="00F87C5C"/>
    <w:rsid w:val="00F87D2A"/>
    <w:rsid w:val="00F87D38"/>
    <w:rsid w:val="00F87FA0"/>
    <w:rsid w:val="00F87FC2"/>
    <w:rsid w:val="00F900FF"/>
    <w:rsid w:val="00F90468"/>
    <w:rsid w:val="00F90492"/>
    <w:rsid w:val="00F905C1"/>
    <w:rsid w:val="00F9070B"/>
    <w:rsid w:val="00F908B7"/>
    <w:rsid w:val="00F909C7"/>
    <w:rsid w:val="00F90A12"/>
    <w:rsid w:val="00F90F9A"/>
    <w:rsid w:val="00F91187"/>
    <w:rsid w:val="00F911D7"/>
    <w:rsid w:val="00F91250"/>
    <w:rsid w:val="00F91284"/>
    <w:rsid w:val="00F91468"/>
    <w:rsid w:val="00F915FE"/>
    <w:rsid w:val="00F9165B"/>
    <w:rsid w:val="00F91778"/>
    <w:rsid w:val="00F917FF"/>
    <w:rsid w:val="00F91FF4"/>
    <w:rsid w:val="00F921E5"/>
    <w:rsid w:val="00F9234B"/>
    <w:rsid w:val="00F9245B"/>
    <w:rsid w:val="00F925E8"/>
    <w:rsid w:val="00F92776"/>
    <w:rsid w:val="00F9282E"/>
    <w:rsid w:val="00F92918"/>
    <w:rsid w:val="00F929B3"/>
    <w:rsid w:val="00F92C4E"/>
    <w:rsid w:val="00F92CB7"/>
    <w:rsid w:val="00F92FBC"/>
    <w:rsid w:val="00F92FFA"/>
    <w:rsid w:val="00F931A0"/>
    <w:rsid w:val="00F93259"/>
    <w:rsid w:val="00F93369"/>
    <w:rsid w:val="00F933B5"/>
    <w:rsid w:val="00F9342E"/>
    <w:rsid w:val="00F9369B"/>
    <w:rsid w:val="00F93775"/>
    <w:rsid w:val="00F93805"/>
    <w:rsid w:val="00F9387B"/>
    <w:rsid w:val="00F9387D"/>
    <w:rsid w:val="00F93F0D"/>
    <w:rsid w:val="00F93F58"/>
    <w:rsid w:val="00F93FD9"/>
    <w:rsid w:val="00F93FFB"/>
    <w:rsid w:val="00F940AF"/>
    <w:rsid w:val="00F943CC"/>
    <w:rsid w:val="00F944B1"/>
    <w:rsid w:val="00F94793"/>
    <w:rsid w:val="00F949E6"/>
    <w:rsid w:val="00F94B14"/>
    <w:rsid w:val="00F94B55"/>
    <w:rsid w:val="00F94CAD"/>
    <w:rsid w:val="00F94D3B"/>
    <w:rsid w:val="00F94E62"/>
    <w:rsid w:val="00F9500C"/>
    <w:rsid w:val="00F95011"/>
    <w:rsid w:val="00F950B6"/>
    <w:rsid w:val="00F9557A"/>
    <w:rsid w:val="00F95842"/>
    <w:rsid w:val="00F95882"/>
    <w:rsid w:val="00F95B51"/>
    <w:rsid w:val="00F95B84"/>
    <w:rsid w:val="00F95BD0"/>
    <w:rsid w:val="00F95F20"/>
    <w:rsid w:val="00F96329"/>
    <w:rsid w:val="00F96391"/>
    <w:rsid w:val="00F96617"/>
    <w:rsid w:val="00F966B8"/>
    <w:rsid w:val="00F96700"/>
    <w:rsid w:val="00F967CF"/>
    <w:rsid w:val="00F969BC"/>
    <w:rsid w:val="00F96A4D"/>
    <w:rsid w:val="00F96B6F"/>
    <w:rsid w:val="00F96BD8"/>
    <w:rsid w:val="00F96C4D"/>
    <w:rsid w:val="00F96E1F"/>
    <w:rsid w:val="00F96F2C"/>
    <w:rsid w:val="00F96F60"/>
    <w:rsid w:val="00F97633"/>
    <w:rsid w:val="00F978A8"/>
    <w:rsid w:val="00F9797B"/>
    <w:rsid w:val="00F979E0"/>
    <w:rsid w:val="00F97AA6"/>
    <w:rsid w:val="00F97BBE"/>
    <w:rsid w:val="00F97E35"/>
    <w:rsid w:val="00F97F82"/>
    <w:rsid w:val="00FA0904"/>
    <w:rsid w:val="00FA0913"/>
    <w:rsid w:val="00FA0AC4"/>
    <w:rsid w:val="00FA0BFA"/>
    <w:rsid w:val="00FA0C6E"/>
    <w:rsid w:val="00FA0F70"/>
    <w:rsid w:val="00FA1329"/>
    <w:rsid w:val="00FA17A0"/>
    <w:rsid w:val="00FA17EB"/>
    <w:rsid w:val="00FA1A25"/>
    <w:rsid w:val="00FA1B17"/>
    <w:rsid w:val="00FA1DF6"/>
    <w:rsid w:val="00FA1EE8"/>
    <w:rsid w:val="00FA2050"/>
    <w:rsid w:val="00FA20AB"/>
    <w:rsid w:val="00FA26E3"/>
    <w:rsid w:val="00FA2733"/>
    <w:rsid w:val="00FA2899"/>
    <w:rsid w:val="00FA29BD"/>
    <w:rsid w:val="00FA29F6"/>
    <w:rsid w:val="00FA2AFB"/>
    <w:rsid w:val="00FA2CC1"/>
    <w:rsid w:val="00FA2D13"/>
    <w:rsid w:val="00FA2D43"/>
    <w:rsid w:val="00FA2DA0"/>
    <w:rsid w:val="00FA2F7F"/>
    <w:rsid w:val="00FA36EA"/>
    <w:rsid w:val="00FA3897"/>
    <w:rsid w:val="00FA38E9"/>
    <w:rsid w:val="00FA3979"/>
    <w:rsid w:val="00FA3BB3"/>
    <w:rsid w:val="00FA3C27"/>
    <w:rsid w:val="00FA3DD7"/>
    <w:rsid w:val="00FA3FFC"/>
    <w:rsid w:val="00FA4242"/>
    <w:rsid w:val="00FA42C8"/>
    <w:rsid w:val="00FA42CB"/>
    <w:rsid w:val="00FA42EE"/>
    <w:rsid w:val="00FA467B"/>
    <w:rsid w:val="00FA482B"/>
    <w:rsid w:val="00FA497B"/>
    <w:rsid w:val="00FA4AD5"/>
    <w:rsid w:val="00FA4AE8"/>
    <w:rsid w:val="00FA4D86"/>
    <w:rsid w:val="00FA4DF9"/>
    <w:rsid w:val="00FA4F04"/>
    <w:rsid w:val="00FA51C3"/>
    <w:rsid w:val="00FA57A7"/>
    <w:rsid w:val="00FA580B"/>
    <w:rsid w:val="00FA59AC"/>
    <w:rsid w:val="00FA6073"/>
    <w:rsid w:val="00FA6147"/>
    <w:rsid w:val="00FA6318"/>
    <w:rsid w:val="00FA6447"/>
    <w:rsid w:val="00FA654C"/>
    <w:rsid w:val="00FA664C"/>
    <w:rsid w:val="00FA68CF"/>
    <w:rsid w:val="00FA6B72"/>
    <w:rsid w:val="00FA6D34"/>
    <w:rsid w:val="00FA6ED3"/>
    <w:rsid w:val="00FA702B"/>
    <w:rsid w:val="00FA7087"/>
    <w:rsid w:val="00FA70F0"/>
    <w:rsid w:val="00FA7355"/>
    <w:rsid w:val="00FA7396"/>
    <w:rsid w:val="00FA74F2"/>
    <w:rsid w:val="00FA765F"/>
    <w:rsid w:val="00FA7B5A"/>
    <w:rsid w:val="00FA7C19"/>
    <w:rsid w:val="00FA7CEE"/>
    <w:rsid w:val="00FA7DCA"/>
    <w:rsid w:val="00FA7F4D"/>
    <w:rsid w:val="00FA7F5D"/>
    <w:rsid w:val="00FB0001"/>
    <w:rsid w:val="00FB004F"/>
    <w:rsid w:val="00FB023E"/>
    <w:rsid w:val="00FB05EE"/>
    <w:rsid w:val="00FB065F"/>
    <w:rsid w:val="00FB0821"/>
    <w:rsid w:val="00FB08B8"/>
    <w:rsid w:val="00FB098E"/>
    <w:rsid w:val="00FB0A7C"/>
    <w:rsid w:val="00FB0B36"/>
    <w:rsid w:val="00FB0F5D"/>
    <w:rsid w:val="00FB106B"/>
    <w:rsid w:val="00FB109A"/>
    <w:rsid w:val="00FB10AA"/>
    <w:rsid w:val="00FB1365"/>
    <w:rsid w:val="00FB1610"/>
    <w:rsid w:val="00FB16EE"/>
    <w:rsid w:val="00FB1824"/>
    <w:rsid w:val="00FB1862"/>
    <w:rsid w:val="00FB1A09"/>
    <w:rsid w:val="00FB1AB9"/>
    <w:rsid w:val="00FB1BD5"/>
    <w:rsid w:val="00FB1C63"/>
    <w:rsid w:val="00FB1CC0"/>
    <w:rsid w:val="00FB1DB0"/>
    <w:rsid w:val="00FB2086"/>
    <w:rsid w:val="00FB224F"/>
    <w:rsid w:val="00FB2311"/>
    <w:rsid w:val="00FB2364"/>
    <w:rsid w:val="00FB247E"/>
    <w:rsid w:val="00FB26A6"/>
    <w:rsid w:val="00FB28E6"/>
    <w:rsid w:val="00FB2B1A"/>
    <w:rsid w:val="00FB2C06"/>
    <w:rsid w:val="00FB2CD8"/>
    <w:rsid w:val="00FB2D7B"/>
    <w:rsid w:val="00FB2E0C"/>
    <w:rsid w:val="00FB2E0F"/>
    <w:rsid w:val="00FB2EFD"/>
    <w:rsid w:val="00FB2F10"/>
    <w:rsid w:val="00FB2FEC"/>
    <w:rsid w:val="00FB3042"/>
    <w:rsid w:val="00FB3346"/>
    <w:rsid w:val="00FB3492"/>
    <w:rsid w:val="00FB3870"/>
    <w:rsid w:val="00FB3B6C"/>
    <w:rsid w:val="00FB3D91"/>
    <w:rsid w:val="00FB3FE4"/>
    <w:rsid w:val="00FB4185"/>
    <w:rsid w:val="00FB424A"/>
    <w:rsid w:val="00FB42A7"/>
    <w:rsid w:val="00FB42FD"/>
    <w:rsid w:val="00FB43EA"/>
    <w:rsid w:val="00FB44F2"/>
    <w:rsid w:val="00FB4557"/>
    <w:rsid w:val="00FB46F7"/>
    <w:rsid w:val="00FB4718"/>
    <w:rsid w:val="00FB4788"/>
    <w:rsid w:val="00FB4963"/>
    <w:rsid w:val="00FB4ABE"/>
    <w:rsid w:val="00FB4BD9"/>
    <w:rsid w:val="00FB4BED"/>
    <w:rsid w:val="00FB4C49"/>
    <w:rsid w:val="00FB4E53"/>
    <w:rsid w:val="00FB4F40"/>
    <w:rsid w:val="00FB4FFE"/>
    <w:rsid w:val="00FB503D"/>
    <w:rsid w:val="00FB5154"/>
    <w:rsid w:val="00FB522C"/>
    <w:rsid w:val="00FB5457"/>
    <w:rsid w:val="00FB54EB"/>
    <w:rsid w:val="00FB551B"/>
    <w:rsid w:val="00FB553B"/>
    <w:rsid w:val="00FB574A"/>
    <w:rsid w:val="00FB57F9"/>
    <w:rsid w:val="00FB5886"/>
    <w:rsid w:val="00FB5901"/>
    <w:rsid w:val="00FB59D7"/>
    <w:rsid w:val="00FB5A74"/>
    <w:rsid w:val="00FB5C48"/>
    <w:rsid w:val="00FB5CA3"/>
    <w:rsid w:val="00FB5DF3"/>
    <w:rsid w:val="00FB5E96"/>
    <w:rsid w:val="00FB5EA3"/>
    <w:rsid w:val="00FB65E0"/>
    <w:rsid w:val="00FB68F6"/>
    <w:rsid w:val="00FB692E"/>
    <w:rsid w:val="00FB6937"/>
    <w:rsid w:val="00FB6A7E"/>
    <w:rsid w:val="00FB6C34"/>
    <w:rsid w:val="00FB6CDA"/>
    <w:rsid w:val="00FB6D64"/>
    <w:rsid w:val="00FB6E20"/>
    <w:rsid w:val="00FB6E34"/>
    <w:rsid w:val="00FB6EEF"/>
    <w:rsid w:val="00FB6F37"/>
    <w:rsid w:val="00FB7008"/>
    <w:rsid w:val="00FB7292"/>
    <w:rsid w:val="00FB7403"/>
    <w:rsid w:val="00FB75B4"/>
    <w:rsid w:val="00FB779D"/>
    <w:rsid w:val="00FB785D"/>
    <w:rsid w:val="00FB7A6A"/>
    <w:rsid w:val="00FB7AE2"/>
    <w:rsid w:val="00FB7C79"/>
    <w:rsid w:val="00FB7C98"/>
    <w:rsid w:val="00FB7EA6"/>
    <w:rsid w:val="00FC0118"/>
    <w:rsid w:val="00FC0241"/>
    <w:rsid w:val="00FC0323"/>
    <w:rsid w:val="00FC0390"/>
    <w:rsid w:val="00FC048E"/>
    <w:rsid w:val="00FC0644"/>
    <w:rsid w:val="00FC06DF"/>
    <w:rsid w:val="00FC075C"/>
    <w:rsid w:val="00FC09AD"/>
    <w:rsid w:val="00FC0AAF"/>
    <w:rsid w:val="00FC0B5B"/>
    <w:rsid w:val="00FC0CD3"/>
    <w:rsid w:val="00FC0D97"/>
    <w:rsid w:val="00FC0E5E"/>
    <w:rsid w:val="00FC0E76"/>
    <w:rsid w:val="00FC1137"/>
    <w:rsid w:val="00FC1165"/>
    <w:rsid w:val="00FC11CE"/>
    <w:rsid w:val="00FC13BA"/>
    <w:rsid w:val="00FC1496"/>
    <w:rsid w:val="00FC16E7"/>
    <w:rsid w:val="00FC19A9"/>
    <w:rsid w:val="00FC1A12"/>
    <w:rsid w:val="00FC1AD5"/>
    <w:rsid w:val="00FC1C2D"/>
    <w:rsid w:val="00FC1C38"/>
    <w:rsid w:val="00FC1F68"/>
    <w:rsid w:val="00FC2013"/>
    <w:rsid w:val="00FC22C3"/>
    <w:rsid w:val="00FC23F8"/>
    <w:rsid w:val="00FC2439"/>
    <w:rsid w:val="00FC25F1"/>
    <w:rsid w:val="00FC262E"/>
    <w:rsid w:val="00FC2775"/>
    <w:rsid w:val="00FC28BB"/>
    <w:rsid w:val="00FC2B3A"/>
    <w:rsid w:val="00FC2B9F"/>
    <w:rsid w:val="00FC2DF0"/>
    <w:rsid w:val="00FC2E57"/>
    <w:rsid w:val="00FC2F44"/>
    <w:rsid w:val="00FC2F55"/>
    <w:rsid w:val="00FC3125"/>
    <w:rsid w:val="00FC31FA"/>
    <w:rsid w:val="00FC3229"/>
    <w:rsid w:val="00FC3258"/>
    <w:rsid w:val="00FC3522"/>
    <w:rsid w:val="00FC393B"/>
    <w:rsid w:val="00FC39E0"/>
    <w:rsid w:val="00FC3AD9"/>
    <w:rsid w:val="00FC3B5D"/>
    <w:rsid w:val="00FC3C8D"/>
    <w:rsid w:val="00FC3DEE"/>
    <w:rsid w:val="00FC3ECA"/>
    <w:rsid w:val="00FC3EE9"/>
    <w:rsid w:val="00FC410F"/>
    <w:rsid w:val="00FC4150"/>
    <w:rsid w:val="00FC41AA"/>
    <w:rsid w:val="00FC43F2"/>
    <w:rsid w:val="00FC44D5"/>
    <w:rsid w:val="00FC44EE"/>
    <w:rsid w:val="00FC4845"/>
    <w:rsid w:val="00FC48E9"/>
    <w:rsid w:val="00FC4910"/>
    <w:rsid w:val="00FC49D9"/>
    <w:rsid w:val="00FC4B13"/>
    <w:rsid w:val="00FC4B80"/>
    <w:rsid w:val="00FC4B84"/>
    <w:rsid w:val="00FC4CF9"/>
    <w:rsid w:val="00FC4E42"/>
    <w:rsid w:val="00FC4F02"/>
    <w:rsid w:val="00FC4F68"/>
    <w:rsid w:val="00FC4FAD"/>
    <w:rsid w:val="00FC531B"/>
    <w:rsid w:val="00FC5396"/>
    <w:rsid w:val="00FC5534"/>
    <w:rsid w:val="00FC56EF"/>
    <w:rsid w:val="00FC5943"/>
    <w:rsid w:val="00FC5AE8"/>
    <w:rsid w:val="00FC5B39"/>
    <w:rsid w:val="00FC5B7B"/>
    <w:rsid w:val="00FC5BF0"/>
    <w:rsid w:val="00FC5DC8"/>
    <w:rsid w:val="00FC5EA3"/>
    <w:rsid w:val="00FC5EF1"/>
    <w:rsid w:val="00FC61AB"/>
    <w:rsid w:val="00FC61E8"/>
    <w:rsid w:val="00FC6554"/>
    <w:rsid w:val="00FC676B"/>
    <w:rsid w:val="00FC6A0B"/>
    <w:rsid w:val="00FC6AC2"/>
    <w:rsid w:val="00FC6ADD"/>
    <w:rsid w:val="00FC6E3A"/>
    <w:rsid w:val="00FC6F24"/>
    <w:rsid w:val="00FC6F49"/>
    <w:rsid w:val="00FC6FC3"/>
    <w:rsid w:val="00FC6FCB"/>
    <w:rsid w:val="00FC6FD3"/>
    <w:rsid w:val="00FC7002"/>
    <w:rsid w:val="00FC729F"/>
    <w:rsid w:val="00FC7316"/>
    <w:rsid w:val="00FC7331"/>
    <w:rsid w:val="00FC73A7"/>
    <w:rsid w:val="00FC7441"/>
    <w:rsid w:val="00FC7560"/>
    <w:rsid w:val="00FC7672"/>
    <w:rsid w:val="00FC76E9"/>
    <w:rsid w:val="00FC7862"/>
    <w:rsid w:val="00FC790A"/>
    <w:rsid w:val="00FC7A1D"/>
    <w:rsid w:val="00FC7D3D"/>
    <w:rsid w:val="00FD0056"/>
    <w:rsid w:val="00FD0398"/>
    <w:rsid w:val="00FD041F"/>
    <w:rsid w:val="00FD0674"/>
    <w:rsid w:val="00FD0710"/>
    <w:rsid w:val="00FD0744"/>
    <w:rsid w:val="00FD0941"/>
    <w:rsid w:val="00FD0978"/>
    <w:rsid w:val="00FD09E6"/>
    <w:rsid w:val="00FD0D14"/>
    <w:rsid w:val="00FD0D8C"/>
    <w:rsid w:val="00FD0D90"/>
    <w:rsid w:val="00FD1140"/>
    <w:rsid w:val="00FD1219"/>
    <w:rsid w:val="00FD124B"/>
    <w:rsid w:val="00FD12ED"/>
    <w:rsid w:val="00FD1300"/>
    <w:rsid w:val="00FD1331"/>
    <w:rsid w:val="00FD13EC"/>
    <w:rsid w:val="00FD146C"/>
    <w:rsid w:val="00FD14E1"/>
    <w:rsid w:val="00FD165B"/>
    <w:rsid w:val="00FD19D2"/>
    <w:rsid w:val="00FD1A7D"/>
    <w:rsid w:val="00FD1C77"/>
    <w:rsid w:val="00FD1DF0"/>
    <w:rsid w:val="00FD1EBC"/>
    <w:rsid w:val="00FD1F53"/>
    <w:rsid w:val="00FD1F7F"/>
    <w:rsid w:val="00FD22A3"/>
    <w:rsid w:val="00FD2490"/>
    <w:rsid w:val="00FD26E1"/>
    <w:rsid w:val="00FD275C"/>
    <w:rsid w:val="00FD2778"/>
    <w:rsid w:val="00FD284C"/>
    <w:rsid w:val="00FD2BFE"/>
    <w:rsid w:val="00FD3323"/>
    <w:rsid w:val="00FD3758"/>
    <w:rsid w:val="00FD38AB"/>
    <w:rsid w:val="00FD3CD1"/>
    <w:rsid w:val="00FD3D71"/>
    <w:rsid w:val="00FD3D8D"/>
    <w:rsid w:val="00FD3F1B"/>
    <w:rsid w:val="00FD4050"/>
    <w:rsid w:val="00FD4216"/>
    <w:rsid w:val="00FD4345"/>
    <w:rsid w:val="00FD4520"/>
    <w:rsid w:val="00FD4607"/>
    <w:rsid w:val="00FD460C"/>
    <w:rsid w:val="00FD4950"/>
    <w:rsid w:val="00FD4B24"/>
    <w:rsid w:val="00FD4CF1"/>
    <w:rsid w:val="00FD4D2B"/>
    <w:rsid w:val="00FD4D2E"/>
    <w:rsid w:val="00FD4D4B"/>
    <w:rsid w:val="00FD4F8D"/>
    <w:rsid w:val="00FD50E6"/>
    <w:rsid w:val="00FD5181"/>
    <w:rsid w:val="00FD51C2"/>
    <w:rsid w:val="00FD534A"/>
    <w:rsid w:val="00FD5491"/>
    <w:rsid w:val="00FD5519"/>
    <w:rsid w:val="00FD5835"/>
    <w:rsid w:val="00FD5973"/>
    <w:rsid w:val="00FD5C57"/>
    <w:rsid w:val="00FD5CE2"/>
    <w:rsid w:val="00FD5D9F"/>
    <w:rsid w:val="00FD5E6F"/>
    <w:rsid w:val="00FD60E0"/>
    <w:rsid w:val="00FD6247"/>
    <w:rsid w:val="00FD6408"/>
    <w:rsid w:val="00FD655D"/>
    <w:rsid w:val="00FD689E"/>
    <w:rsid w:val="00FD68F1"/>
    <w:rsid w:val="00FD6ABB"/>
    <w:rsid w:val="00FD6B71"/>
    <w:rsid w:val="00FD6BFA"/>
    <w:rsid w:val="00FD6C07"/>
    <w:rsid w:val="00FD6CDB"/>
    <w:rsid w:val="00FD6DA8"/>
    <w:rsid w:val="00FD6ECB"/>
    <w:rsid w:val="00FD70D0"/>
    <w:rsid w:val="00FD71E4"/>
    <w:rsid w:val="00FD7363"/>
    <w:rsid w:val="00FD737A"/>
    <w:rsid w:val="00FD7487"/>
    <w:rsid w:val="00FD7550"/>
    <w:rsid w:val="00FD758A"/>
    <w:rsid w:val="00FD75D1"/>
    <w:rsid w:val="00FD77AF"/>
    <w:rsid w:val="00FD7912"/>
    <w:rsid w:val="00FD7980"/>
    <w:rsid w:val="00FD7A02"/>
    <w:rsid w:val="00FD7B38"/>
    <w:rsid w:val="00FD7E5D"/>
    <w:rsid w:val="00FD7E8D"/>
    <w:rsid w:val="00FD7EA8"/>
    <w:rsid w:val="00FD7EBC"/>
    <w:rsid w:val="00FD7F62"/>
    <w:rsid w:val="00FD7FF1"/>
    <w:rsid w:val="00FE0119"/>
    <w:rsid w:val="00FE029A"/>
    <w:rsid w:val="00FE04B2"/>
    <w:rsid w:val="00FE0579"/>
    <w:rsid w:val="00FE06F5"/>
    <w:rsid w:val="00FE081C"/>
    <w:rsid w:val="00FE09AB"/>
    <w:rsid w:val="00FE0A0C"/>
    <w:rsid w:val="00FE0A12"/>
    <w:rsid w:val="00FE0A32"/>
    <w:rsid w:val="00FE0BAE"/>
    <w:rsid w:val="00FE0CB4"/>
    <w:rsid w:val="00FE10DA"/>
    <w:rsid w:val="00FE1216"/>
    <w:rsid w:val="00FE14C7"/>
    <w:rsid w:val="00FE14FC"/>
    <w:rsid w:val="00FE1624"/>
    <w:rsid w:val="00FE1673"/>
    <w:rsid w:val="00FE1700"/>
    <w:rsid w:val="00FE1819"/>
    <w:rsid w:val="00FE18AD"/>
    <w:rsid w:val="00FE1932"/>
    <w:rsid w:val="00FE193E"/>
    <w:rsid w:val="00FE1A4E"/>
    <w:rsid w:val="00FE1A98"/>
    <w:rsid w:val="00FE1AA5"/>
    <w:rsid w:val="00FE1AAF"/>
    <w:rsid w:val="00FE1AB6"/>
    <w:rsid w:val="00FE1F43"/>
    <w:rsid w:val="00FE1F6A"/>
    <w:rsid w:val="00FE1FCC"/>
    <w:rsid w:val="00FE1FEA"/>
    <w:rsid w:val="00FE2128"/>
    <w:rsid w:val="00FE2449"/>
    <w:rsid w:val="00FE2614"/>
    <w:rsid w:val="00FE2758"/>
    <w:rsid w:val="00FE2ADD"/>
    <w:rsid w:val="00FE2B44"/>
    <w:rsid w:val="00FE2BC3"/>
    <w:rsid w:val="00FE2C56"/>
    <w:rsid w:val="00FE2CC6"/>
    <w:rsid w:val="00FE2D90"/>
    <w:rsid w:val="00FE2E15"/>
    <w:rsid w:val="00FE31EA"/>
    <w:rsid w:val="00FE3204"/>
    <w:rsid w:val="00FE3450"/>
    <w:rsid w:val="00FE35B9"/>
    <w:rsid w:val="00FE367D"/>
    <w:rsid w:val="00FE3711"/>
    <w:rsid w:val="00FE388D"/>
    <w:rsid w:val="00FE39BE"/>
    <w:rsid w:val="00FE3A36"/>
    <w:rsid w:val="00FE3A68"/>
    <w:rsid w:val="00FE3D5F"/>
    <w:rsid w:val="00FE3D70"/>
    <w:rsid w:val="00FE3FAC"/>
    <w:rsid w:val="00FE3FF4"/>
    <w:rsid w:val="00FE445C"/>
    <w:rsid w:val="00FE4584"/>
    <w:rsid w:val="00FE46D2"/>
    <w:rsid w:val="00FE47DD"/>
    <w:rsid w:val="00FE48D9"/>
    <w:rsid w:val="00FE4DAA"/>
    <w:rsid w:val="00FE4E4B"/>
    <w:rsid w:val="00FE4EF1"/>
    <w:rsid w:val="00FE516D"/>
    <w:rsid w:val="00FE5247"/>
    <w:rsid w:val="00FE53D3"/>
    <w:rsid w:val="00FE57A9"/>
    <w:rsid w:val="00FE587D"/>
    <w:rsid w:val="00FE5D08"/>
    <w:rsid w:val="00FE5EAF"/>
    <w:rsid w:val="00FE5F40"/>
    <w:rsid w:val="00FE618D"/>
    <w:rsid w:val="00FE61E2"/>
    <w:rsid w:val="00FE62B4"/>
    <w:rsid w:val="00FE6435"/>
    <w:rsid w:val="00FE67B3"/>
    <w:rsid w:val="00FE69EE"/>
    <w:rsid w:val="00FE6CD6"/>
    <w:rsid w:val="00FE71EE"/>
    <w:rsid w:val="00FE7411"/>
    <w:rsid w:val="00FE7517"/>
    <w:rsid w:val="00FE7664"/>
    <w:rsid w:val="00FE76D9"/>
    <w:rsid w:val="00FE774E"/>
    <w:rsid w:val="00FE7817"/>
    <w:rsid w:val="00FE785B"/>
    <w:rsid w:val="00FE7984"/>
    <w:rsid w:val="00FE7A7A"/>
    <w:rsid w:val="00FE7A90"/>
    <w:rsid w:val="00FE7B31"/>
    <w:rsid w:val="00FE7B4E"/>
    <w:rsid w:val="00FE7CA5"/>
    <w:rsid w:val="00FE7D26"/>
    <w:rsid w:val="00FE7E0D"/>
    <w:rsid w:val="00FE7F44"/>
    <w:rsid w:val="00FF0106"/>
    <w:rsid w:val="00FF0327"/>
    <w:rsid w:val="00FF0359"/>
    <w:rsid w:val="00FF042D"/>
    <w:rsid w:val="00FF0474"/>
    <w:rsid w:val="00FF0540"/>
    <w:rsid w:val="00FF061D"/>
    <w:rsid w:val="00FF072D"/>
    <w:rsid w:val="00FF082F"/>
    <w:rsid w:val="00FF09D1"/>
    <w:rsid w:val="00FF09F7"/>
    <w:rsid w:val="00FF0A2C"/>
    <w:rsid w:val="00FF0ABB"/>
    <w:rsid w:val="00FF0B54"/>
    <w:rsid w:val="00FF0BA6"/>
    <w:rsid w:val="00FF0CD3"/>
    <w:rsid w:val="00FF0F84"/>
    <w:rsid w:val="00FF0FC0"/>
    <w:rsid w:val="00FF11FE"/>
    <w:rsid w:val="00FF123A"/>
    <w:rsid w:val="00FF14C6"/>
    <w:rsid w:val="00FF16CF"/>
    <w:rsid w:val="00FF1988"/>
    <w:rsid w:val="00FF1A7B"/>
    <w:rsid w:val="00FF1BC0"/>
    <w:rsid w:val="00FF1BD6"/>
    <w:rsid w:val="00FF1CE1"/>
    <w:rsid w:val="00FF1D61"/>
    <w:rsid w:val="00FF1D62"/>
    <w:rsid w:val="00FF1D94"/>
    <w:rsid w:val="00FF1DC6"/>
    <w:rsid w:val="00FF1EE5"/>
    <w:rsid w:val="00FF20CC"/>
    <w:rsid w:val="00FF20DC"/>
    <w:rsid w:val="00FF2164"/>
    <w:rsid w:val="00FF22DD"/>
    <w:rsid w:val="00FF23F5"/>
    <w:rsid w:val="00FF2544"/>
    <w:rsid w:val="00FF27CA"/>
    <w:rsid w:val="00FF2984"/>
    <w:rsid w:val="00FF2A2D"/>
    <w:rsid w:val="00FF2A93"/>
    <w:rsid w:val="00FF2AD0"/>
    <w:rsid w:val="00FF2AD7"/>
    <w:rsid w:val="00FF2BD8"/>
    <w:rsid w:val="00FF2C8C"/>
    <w:rsid w:val="00FF2F0D"/>
    <w:rsid w:val="00FF2F9E"/>
    <w:rsid w:val="00FF2FC6"/>
    <w:rsid w:val="00FF3151"/>
    <w:rsid w:val="00FF321E"/>
    <w:rsid w:val="00FF333E"/>
    <w:rsid w:val="00FF340D"/>
    <w:rsid w:val="00FF35AB"/>
    <w:rsid w:val="00FF35D0"/>
    <w:rsid w:val="00FF38A8"/>
    <w:rsid w:val="00FF3935"/>
    <w:rsid w:val="00FF39DE"/>
    <w:rsid w:val="00FF3C02"/>
    <w:rsid w:val="00FF3E44"/>
    <w:rsid w:val="00FF3F7D"/>
    <w:rsid w:val="00FF3FBB"/>
    <w:rsid w:val="00FF41F9"/>
    <w:rsid w:val="00FF425E"/>
    <w:rsid w:val="00FF4264"/>
    <w:rsid w:val="00FF4415"/>
    <w:rsid w:val="00FF474A"/>
    <w:rsid w:val="00FF4964"/>
    <w:rsid w:val="00FF4AF9"/>
    <w:rsid w:val="00FF4CEA"/>
    <w:rsid w:val="00FF4D6B"/>
    <w:rsid w:val="00FF4D72"/>
    <w:rsid w:val="00FF4DE3"/>
    <w:rsid w:val="00FF4E18"/>
    <w:rsid w:val="00FF4E3D"/>
    <w:rsid w:val="00FF50AF"/>
    <w:rsid w:val="00FF50FE"/>
    <w:rsid w:val="00FF52A7"/>
    <w:rsid w:val="00FF52C2"/>
    <w:rsid w:val="00FF5441"/>
    <w:rsid w:val="00FF54B6"/>
    <w:rsid w:val="00FF5708"/>
    <w:rsid w:val="00FF573E"/>
    <w:rsid w:val="00FF5A6B"/>
    <w:rsid w:val="00FF5B11"/>
    <w:rsid w:val="00FF5BB5"/>
    <w:rsid w:val="00FF5F9E"/>
    <w:rsid w:val="00FF61E6"/>
    <w:rsid w:val="00FF62A1"/>
    <w:rsid w:val="00FF63E1"/>
    <w:rsid w:val="00FF6425"/>
    <w:rsid w:val="00FF652B"/>
    <w:rsid w:val="00FF65A8"/>
    <w:rsid w:val="00FF66BB"/>
    <w:rsid w:val="00FF66F1"/>
    <w:rsid w:val="00FF685F"/>
    <w:rsid w:val="00FF688B"/>
    <w:rsid w:val="00FF6E27"/>
    <w:rsid w:val="00FF6F59"/>
    <w:rsid w:val="00FF7079"/>
    <w:rsid w:val="00FF712B"/>
    <w:rsid w:val="00FF7161"/>
    <w:rsid w:val="00FF73BE"/>
    <w:rsid w:val="00FF73F1"/>
    <w:rsid w:val="00FF766D"/>
    <w:rsid w:val="00FF7866"/>
    <w:rsid w:val="00FF78B0"/>
    <w:rsid w:val="00FF7C5E"/>
    <w:rsid w:val="0119C2E5"/>
    <w:rsid w:val="011D3B3E"/>
    <w:rsid w:val="011E832F"/>
    <w:rsid w:val="01227F45"/>
    <w:rsid w:val="012DC7CC"/>
    <w:rsid w:val="01310AEA"/>
    <w:rsid w:val="0150144A"/>
    <w:rsid w:val="01515519"/>
    <w:rsid w:val="01A76BDF"/>
    <w:rsid w:val="01ABC323"/>
    <w:rsid w:val="01DDA4BD"/>
    <w:rsid w:val="01E01E72"/>
    <w:rsid w:val="01E03F4E"/>
    <w:rsid w:val="01E62753"/>
    <w:rsid w:val="01E67292"/>
    <w:rsid w:val="01ED70A0"/>
    <w:rsid w:val="01F73C67"/>
    <w:rsid w:val="021799D4"/>
    <w:rsid w:val="02197E0D"/>
    <w:rsid w:val="0231767B"/>
    <w:rsid w:val="02420A13"/>
    <w:rsid w:val="0248FEFF"/>
    <w:rsid w:val="02550636"/>
    <w:rsid w:val="0255DE04"/>
    <w:rsid w:val="025D39A2"/>
    <w:rsid w:val="026C2EDC"/>
    <w:rsid w:val="0270D13C"/>
    <w:rsid w:val="0285C410"/>
    <w:rsid w:val="028BFE51"/>
    <w:rsid w:val="02BF2DF8"/>
    <w:rsid w:val="02C22AD9"/>
    <w:rsid w:val="02D30EC7"/>
    <w:rsid w:val="02D91E23"/>
    <w:rsid w:val="02E8E074"/>
    <w:rsid w:val="02FA53B9"/>
    <w:rsid w:val="031BDFE8"/>
    <w:rsid w:val="032CBF58"/>
    <w:rsid w:val="03416008"/>
    <w:rsid w:val="035FBA9E"/>
    <w:rsid w:val="037BF78B"/>
    <w:rsid w:val="03A9F463"/>
    <w:rsid w:val="03B68D12"/>
    <w:rsid w:val="03D98551"/>
    <w:rsid w:val="03E1D685"/>
    <w:rsid w:val="03E3A8A2"/>
    <w:rsid w:val="041504D0"/>
    <w:rsid w:val="0433A6CF"/>
    <w:rsid w:val="04481285"/>
    <w:rsid w:val="045FBD09"/>
    <w:rsid w:val="0464CC08"/>
    <w:rsid w:val="04697EFF"/>
    <w:rsid w:val="04AFE9BE"/>
    <w:rsid w:val="04B6F9DD"/>
    <w:rsid w:val="04CCB74E"/>
    <w:rsid w:val="04F5BAF0"/>
    <w:rsid w:val="04F73512"/>
    <w:rsid w:val="04F9B665"/>
    <w:rsid w:val="04FB2335"/>
    <w:rsid w:val="050ABB34"/>
    <w:rsid w:val="051798BD"/>
    <w:rsid w:val="05349E87"/>
    <w:rsid w:val="055A11CC"/>
    <w:rsid w:val="056AB27F"/>
    <w:rsid w:val="0578DF3B"/>
    <w:rsid w:val="05841B04"/>
    <w:rsid w:val="05B7068C"/>
    <w:rsid w:val="05B864C6"/>
    <w:rsid w:val="05BEE697"/>
    <w:rsid w:val="05D763EB"/>
    <w:rsid w:val="05DC0E49"/>
    <w:rsid w:val="05DC15E7"/>
    <w:rsid w:val="05FB9027"/>
    <w:rsid w:val="05FC8C38"/>
    <w:rsid w:val="05FD236F"/>
    <w:rsid w:val="060009C3"/>
    <w:rsid w:val="0603AA1C"/>
    <w:rsid w:val="06120E03"/>
    <w:rsid w:val="06134DED"/>
    <w:rsid w:val="063CD1B3"/>
    <w:rsid w:val="063DEB1C"/>
    <w:rsid w:val="0645B6CA"/>
    <w:rsid w:val="0648E5C4"/>
    <w:rsid w:val="064A42DD"/>
    <w:rsid w:val="064B77BB"/>
    <w:rsid w:val="0651F649"/>
    <w:rsid w:val="065F51CE"/>
    <w:rsid w:val="065FF0E8"/>
    <w:rsid w:val="06612828"/>
    <w:rsid w:val="0673ABAE"/>
    <w:rsid w:val="0676E70A"/>
    <w:rsid w:val="067F84DA"/>
    <w:rsid w:val="06936FCA"/>
    <w:rsid w:val="06939B98"/>
    <w:rsid w:val="06BB2BA7"/>
    <w:rsid w:val="06C5167F"/>
    <w:rsid w:val="06D093E8"/>
    <w:rsid w:val="06D4FF9A"/>
    <w:rsid w:val="06D89190"/>
    <w:rsid w:val="06F40175"/>
    <w:rsid w:val="07015849"/>
    <w:rsid w:val="07024C96"/>
    <w:rsid w:val="0703D048"/>
    <w:rsid w:val="070D3E86"/>
    <w:rsid w:val="0713A613"/>
    <w:rsid w:val="07187B26"/>
    <w:rsid w:val="07189A98"/>
    <w:rsid w:val="0718ADF7"/>
    <w:rsid w:val="0722CC89"/>
    <w:rsid w:val="0728E5DD"/>
    <w:rsid w:val="0733EE19"/>
    <w:rsid w:val="074DA90A"/>
    <w:rsid w:val="07710498"/>
    <w:rsid w:val="07741764"/>
    <w:rsid w:val="0774ED10"/>
    <w:rsid w:val="0789A7C5"/>
    <w:rsid w:val="078B2CC0"/>
    <w:rsid w:val="078C782D"/>
    <w:rsid w:val="079EA065"/>
    <w:rsid w:val="07C4967E"/>
    <w:rsid w:val="07F1313C"/>
    <w:rsid w:val="08011E55"/>
    <w:rsid w:val="08039AB5"/>
    <w:rsid w:val="081060CF"/>
    <w:rsid w:val="08160A58"/>
    <w:rsid w:val="0818AD8E"/>
    <w:rsid w:val="081D7BE7"/>
    <w:rsid w:val="082AE6F8"/>
    <w:rsid w:val="0831C584"/>
    <w:rsid w:val="083D7018"/>
    <w:rsid w:val="0842F658"/>
    <w:rsid w:val="0844617C"/>
    <w:rsid w:val="08452DD8"/>
    <w:rsid w:val="084836E4"/>
    <w:rsid w:val="085003AB"/>
    <w:rsid w:val="085B7CE9"/>
    <w:rsid w:val="085D0511"/>
    <w:rsid w:val="085DE7F7"/>
    <w:rsid w:val="086BA271"/>
    <w:rsid w:val="086D459B"/>
    <w:rsid w:val="08702FEB"/>
    <w:rsid w:val="08724921"/>
    <w:rsid w:val="08843DA4"/>
    <w:rsid w:val="088B6307"/>
    <w:rsid w:val="08A817EF"/>
    <w:rsid w:val="08CCF0C1"/>
    <w:rsid w:val="08D6A7A5"/>
    <w:rsid w:val="08DDB65D"/>
    <w:rsid w:val="08E28390"/>
    <w:rsid w:val="08E2DF4B"/>
    <w:rsid w:val="08E360E3"/>
    <w:rsid w:val="08EC3056"/>
    <w:rsid w:val="0902D0B8"/>
    <w:rsid w:val="090B982B"/>
    <w:rsid w:val="0916B40B"/>
    <w:rsid w:val="091FA1A6"/>
    <w:rsid w:val="09306339"/>
    <w:rsid w:val="093E4C98"/>
    <w:rsid w:val="09524C68"/>
    <w:rsid w:val="095DA9BA"/>
    <w:rsid w:val="09A202F1"/>
    <w:rsid w:val="09A4D128"/>
    <w:rsid w:val="09A95F22"/>
    <w:rsid w:val="09AA4447"/>
    <w:rsid w:val="09CE4841"/>
    <w:rsid w:val="0A0404E0"/>
    <w:rsid w:val="0A0524D5"/>
    <w:rsid w:val="0A069E5D"/>
    <w:rsid w:val="0A1091B9"/>
    <w:rsid w:val="0A1AC53A"/>
    <w:rsid w:val="0A31835F"/>
    <w:rsid w:val="0A4D6A98"/>
    <w:rsid w:val="0A5EF022"/>
    <w:rsid w:val="0A5FC60D"/>
    <w:rsid w:val="0A8FCE5B"/>
    <w:rsid w:val="0AA2C79C"/>
    <w:rsid w:val="0AB585AF"/>
    <w:rsid w:val="0AC5B480"/>
    <w:rsid w:val="0AC5BD5F"/>
    <w:rsid w:val="0AD5FEFC"/>
    <w:rsid w:val="0ADBC6E1"/>
    <w:rsid w:val="0ADFA901"/>
    <w:rsid w:val="0AFFEB98"/>
    <w:rsid w:val="0B037338"/>
    <w:rsid w:val="0B07ECCB"/>
    <w:rsid w:val="0B0A1046"/>
    <w:rsid w:val="0B328E12"/>
    <w:rsid w:val="0B398925"/>
    <w:rsid w:val="0B3AB339"/>
    <w:rsid w:val="0B4000E0"/>
    <w:rsid w:val="0B404D6C"/>
    <w:rsid w:val="0B41C051"/>
    <w:rsid w:val="0B445D5D"/>
    <w:rsid w:val="0B4EF2B6"/>
    <w:rsid w:val="0B64CDD8"/>
    <w:rsid w:val="0B8F95E4"/>
    <w:rsid w:val="0B97AAFE"/>
    <w:rsid w:val="0B988FFB"/>
    <w:rsid w:val="0BA0864D"/>
    <w:rsid w:val="0BA45744"/>
    <w:rsid w:val="0BB56044"/>
    <w:rsid w:val="0BCDF154"/>
    <w:rsid w:val="0BD31DDE"/>
    <w:rsid w:val="0BD91000"/>
    <w:rsid w:val="0BDADC17"/>
    <w:rsid w:val="0BEF6F08"/>
    <w:rsid w:val="0BF0CD5D"/>
    <w:rsid w:val="0BF934E7"/>
    <w:rsid w:val="0C152C35"/>
    <w:rsid w:val="0C1E1CFD"/>
    <w:rsid w:val="0C2C9B66"/>
    <w:rsid w:val="0C30F5E7"/>
    <w:rsid w:val="0C31C5D9"/>
    <w:rsid w:val="0C51E189"/>
    <w:rsid w:val="0C52FED7"/>
    <w:rsid w:val="0C5AA0CF"/>
    <w:rsid w:val="0C6128CD"/>
    <w:rsid w:val="0C75E92C"/>
    <w:rsid w:val="0C765D59"/>
    <w:rsid w:val="0C7D7733"/>
    <w:rsid w:val="0CB414FC"/>
    <w:rsid w:val="0CB90F11"/>
    <w:rsid w:val="0CC06C26"/>
    <w:rsid w:val="0CC8EAC1"/>
    <w:rsid w:val="0CDBF096"/>
    <w:rsid w:val="0CEC7F72"/>
    <w:rsid w:val="0CF9ADD8"/>
    <w:rsid w:val="0D1217F1"/>
    <w:rsid w:val="0D14176C"/>
    <w:rsid w:val="0D1BCEA8"/>
    <w:rsid w:val="0D1FDDBC"/>
    <w:rsid w:val="0D366E24"/>
    <w:rsid w:val="0D41E555"/>
    <w:rsid w:val="0D425398"/>
    <w:rsid w:val="0D4298CE"/>
    <w:rsid w:val="0D4D2352"/>
    <w:rsid w:val="0D5E43FB"/>
    <w:rsid w:val="0D71B485"/>
    <w:rsid w:val="0D791DE4"/>
    <w:rsid w:val="0D7C2A4F"/>
    <w:rsid w:val="0DA91737"/>
    <w:rsid w:val="0DA9866E"/>
    <w:rsid w:val="0DAE1DC1"/>
    <w:rsid w:val="0DC6F9B8"/>
    <w:rsid w:val="0DCA573A"/>
    <w:rsid w:val="0DFF67A7"/>
    <w:rsid w:val="0E04C41C"/>
    <w:rsid w:val="0E09A9BF"/>
    <w:rsid w:val="0E314A2E"/>
    <w:rsid w:val="0E35F9AF"/>
    <w:rsid w:val="0E56A5DE"/>
    <w:rsid w:val="0E774E28"/>
    <w:rsid w:val="0E780F4D"/>
    <w:rsid w:val="0E7E050E"/>
    <w:rsid w:val="0E7F9AC6"/>
    <w:rsid w:val="0E817E82"/>
    <w:rsid w:val="0E95BF96"/>
    <w:rsid w:val="0EA8FF17"/>
    <w:rsid w:val="0ECC145D"/>
    <w:rsid w:val="0ECD0A86"/>
    <w:rsid w:val="0EE58608"/>
    <w:rsid w:val="0EEB1B25"/>
    <w:rsid w:val="0EEED849"/>
    <w:rsid w:val="0F166550"/>
    <w:rsid w:val="0F249E30"/>
    <w:rsid w:val="0F2AC20F"/>
    <w:rsid w:val="0F3EC2DC"/>
    <w:rsid w:val="0F45E804"/>
    <w:rsid w:val="0F56DC39"/>
    <w:rsid w:val="0F596B6D"/>
    <w:rsid w:val="0F73ADC1"/>
    <w:rsid w:val="0F79CBD2"/>
    <w:rsid w:val="0F8728F5"/>
    <w:rsid w:val="0FBAD8A3"/>
    <w:rsid w:val="0FCCB988"/>
    <w:rsid w:val="0FEADCA6"/>
    <w:rsid w:val="0FFF7A7B"/>
    <w:rsid w:val="1080E6D0"/>
    <w:rsid w:val="10824352"/>
    <w:rsid w:val="108B31CC"/>
    <w:rsid w:val="10AC9EB4"/>
    <w:rsid w:val="10AD596A"/>
    <w:rsid w:val="10B5C43D"/>
    <w:rsid w:val="10C424FC"/>
    <w:rsid w:val="10D50FE4"/>
    <w:rsid w:val="10D7C788"/>
    <w:rsid w:val="10E20DB1"/>
    <w:rsid w:val="1113977A"/>
    <w:rsid w:val="11142C90"/>
    <w:rsid w:val="112EC8B4"/>
    <w:rsid w:val="1138A576"/>
    <w:rsid w:val="114D5BB8"/>
    <w:rsid w:val="115AED9C"/>
    <w:rsid w:val="1160B975"/>
    <w:rsid w:val="11657633"/>
    <w:rsid w:val="116C705E"/>
    <w:rsid w:val="11730487"/>
    <w:rsid w:val="1178801A"/>
    <w:rsid w:val="11808DF5"/>
    <w:rsid w:val="118A0979"/>
    <w:rsid w:val="1195CF93"/>
    <w:rsid w:val="11A4087F"/>
    <w:rsid w:val="11AF232F"/>
    <w:rsid w:val="11B8EF5A"/>
    <w:rsid w:val="11CD2EB3"/>
    <w:rsid w:val="11E45256"/>
    <w:rsid w:val="11E67987"/>
    <w:rsid w:val="11E801D1"/>
    <w:rsid w:val="11EF813D"/>
    <w:rsid w:val="11FC4B68"/>
    <w:rsid w:val="11FC6ACD"/>
    <w:rsid w:val="11FEA09D"/>
    <w:rsid w:val="1200B73D"/>
    <w:rsid w:val="120D4EBD"/>
    <w:rsid w:val="12241541"/>
    <w:rsid w:val="1229FCBE"/>
    <w:rsid w:val="12334A4A"/>
    <w:rsid w:val="12458E6E"/>
    <w:rsid w:val="124DDEA7"/>
    <w:rsid w:val="124F8CAF"/>
    <w:rsid w:val="125F1F6A"/>
    <w:rsid w:val="125F5AA0"/>
    <w:rsid w:val="1284EDE3"/>
    <w:rsid w:val="12854B86"/>
    <w:rsid w:val="128665E2"/>
    <w:rsid w:val="12A5C16E"/>
    <w:rsid w:val="12AA3F24"/>
    <w:rsid w:val="12B571EB"/>
    <w:rsid w:val="12BC50DF"/>
    <w:rsid w:val="12BFF042"/>
    <w:rsid w:val="12CC0638"/>
    <w:rsid w:val="12DB1F4E"/>
    <w:rsid w:val="12E9DC31"/>
    <w:rsid w:val="12EA8C3B"/>
    <w:rsid w:val="12EEB839"/>
    <w:rsid w:val="12F0E9A2"/>
    <w:rsid w:val="12F72963"/>
    <w:rsid w:val="12FF27BE"/>
    <w:rsid w:val="13025C60"/>
    <w:rsid w:val="13032129"/>
    <w:rsid w:val="130453F3"/>
    <w:rsid w:val="13320741"/>
    <w:rsid w:val="1333ED45"/>
    <w:rsid w:val="13383B7D"/>
    <w:rsid w:val="133A605B"/>
    <w:rsid w:val="133B475C"/>
    <w:rsid w:val="133C8ED6"/>
    <w:rsid w:val="133D4B51"/>
    <w:rsid w:val="1342C0B4"/>
    <w:rsid w:val="13561696"/>
    <w:rsid w:val="136AF6A1"/>
    <w:rsid w:val="138B248F"/>
    <w:rsid w:val="13A05A02"/>
    <w:rsid w:val="13C24E62"/>
    <w:rsid w:val="13C5755A"/>
    <w:rsid w:val="13CA304F"/>
    <w:rsid w:val="14020584"/>
    <w:rsid w:val="14131893"/>
    <w:rsid w:val="141BA864"/>
    <w:rsid w:val="143EB34F"/>
    <w:rsid w:val="14433F98"/>
    <w:rsid w:val="1447B597"/>
    <w:rsid w:val="145CBE7E"/>
    <w:rsid w:val="14790EF9"/>
    <w:rsid w:val="1486D387"/>
    <w:rsid w:val="148B759C"/>
    <w:rsid w:val="14918147"/>
    <w:rsid w:val="149D761D"/>
    <w:rsid w:val="14B28BB6"/>
    <w:rsid w:val="14BA28A6"/>
    <w:rsid w:val="14BBA7F5"/>
    <w:rsid w:val="14BBCED3"/>
    <w:rsid w:val="14D06CFC"/>
    <w:rsid w:val="14E1B958"/>
    <w:rsid w:val="14EA01C2"/>
    <w:rsid w:val="14ECA4BA"/>
    <w:rsid w:val="14EFBA93"/>
    <w:rsid w:val="151470CC"/>
    <w:rsid w:val="1516951C"/>
    <w:rsid w:val="153F0ACB"/>
    <w:rsid w:val="1548E85E"/>
    <w:rsid w:val="1557CE33"/>
    <w:rsid w:val="156BE385"/>
    <w:rsid w:val="15727665"/>
    <w:rsid w:val="158068CA"/>
    <w:rsid w:val="15830C3C"/>
    <w:rsid w:val="158A52FA"/>
    <w:rsid w:val="15A65111"/>
    <w:rsid w:val="15A7667F"/>
    <w:rsid w:val="15ACD169"/>
    <w:rsid w:val="15BBE0BE"/>
    <w:rsid w:val="15D04831"/>
    <w:rsid w:val="15D05B4C"/>
    <w:rsid w:val="15D77B9F"/>
    <w:rsid w:val="15DCA7F5"/>
    <w:rsid w:val="15DD0CA1"/>
    <w:rsid w:val="15E86AA6"/>
    <w:rsid w:val="1601F16B"/>
    <w:rsid w:val="16052C36"/>
    <w:rsid w:val="160EB5D0"/>
    <w:rsid w:val="1612B596"/>
    <w:rsid w:val="162BDDF7"/>
    <w:rsid w:val="162E88FD"/>
    <w:rsid w:val="16336516"/>
    <w:rsid w:val="164189BD"/>
    <w:rsid w:val="165E9F59"/>
    <w:rsid w:val="16631FB5"/>
    <w:rsid w:val="16733DB5"/>
    <w:rsid w:val="1686C453"/>
    <w:rsid w:val="1688CD44"/>
    <w:rsid w:val="16A2036C"/>
    <w:rsid w:val="16B63ECE"/>
    <w:rsid w:val="16B8AFB0"/>
    <w:rsid w:val="16BEBDC1"/>
    <w:rsid w:val="16C17AE3"/>
    <w:rsid w:val="16D244E0"/>
    <w:rsid w:val="16D7F47B"/>
    <w:rsid w:val="16F3B1DA"/>
    <w:rsid w:val="16FCFE38"/>
    <w:rsid w:val="170B59FA"/>
    <w:rsid w:val="170C73AB"/>
    <w:rsid w:val="17215580"/>
    <w:rsid w:val="172AD7EE"/>
    <w:rsid w:val="1734BD5D"/>
    <w:rsid w:val="17358228"/>
    <w:rsid w:val="17404AC7"/>
    <w:rsid w:val="1743266A"/>
    <w:rsid w:val="1748BD2A"/>
    <w:rsid w:val="175DD85A"/>
    <w:rsid w:val="175E0BD4"/>
    <w:rsid w:val="175F0017"/>
    <w:rsid w:val="176F4E30"/>
    <w:rsid w:val="177314A6"/>
    <w:rsid w:val="1779C795"/>
    <w:rsid w:val="177ACACC"/>
    <w:rsid w:val="17A6DB7F"/>
    <w:rsid w:val="17A9FBDD"/>
    <w:rsid w:val="17AD6CA4"/>
    <w:rsid w:val="17B2167D"/>
    <w:rsid w:val="17C4E04A"/>
    <w:rsid w:val="17CE17DF"/>
    <w:rsid w:val="17D8798A"/>
    <w:rsid w:val="18177A24"/>
    <w:rsid w:val="183EC7B9"/>
    <w:rsid w:val="185B47D0"/>
    <w:rsid w:val="1861E2EA"/>
    <w:rsid w:val="1865E7D3"/>
    <w:rsid w:val="1866ADCE"/>
    <w:rsid w:val="187BA7D1"/>
    <w:rsid w:val="18807A50"/>
    <w:rsid w:val="1882A1BE"/>
    <w:rsid w:val="1882CBAF"/>
    <w:rsid w:val="189FE819"/>
    <w:rsid w:val="18A8D187"/>
    <w:rsid w:val="18C99602"/>
    <w:rsid w:val="18D67B93"/>
    <w:rsid w:val="18EA6D33"/>
    <w:rsid w:val="18EF7A42"/>
    <w:rsid w:val="1902AA10"/>
    <w:rsid w:val="1902BC38"/>
    <w:rsid w:val="19089A5C"/>
    <w:rsid w:val="191505B1"/>
    <w:rsid w:val="19356C71"/>
    <w:rsid w:val="193C0D38"/>
    <w:rsid w:val="193D68BC"/>
    <w:rsid w:val="194BAA53"/>
    <w:rsid w:val="1950F8CF"/>
    <w:rsid w:val="19673E4B"/>
    <w:rsid w:val="19821455"/>
    <w:rsid w:val="19895DA1"/>
    <w:rsid w:val="19AE3AA2"/>
    <w:rsid w:val="19C4D864"/>
    <w:rsid w:val="19C502FE"/>
    <w:rsid w:val="19C97D91"/>
    <w:rsid w:val="19F7A1AC"/>
    <w:rsid w:val="1A0FCB88"/>
    <w:rsid w:val="1A10D452"/>
    <w:rsid w:val="1A1A19B3"/>
    <w:rsid w:val="1A1F41DA"/>
    <w:rsid w:val="1A39741D"/>
    <w:rsid w:val="1A405B6A"/>
    <w:rsid w:val="1A408811"/>
    <w:rsid w:val="1A40FDB2"/>
    <w:rsid w:val="1A4CD628"/>
    <w:rsid w:val="1A53506D"/>
    <w:rsid w:val="1A5C2A86"/>
    <w:rsid w:val="1A5C3EA9"/>
    <w:rsid w:val="1A604F37"/>
    <w:rsid w:val="1A67FB60"/>
    <w:rsid w:val="1A7731AE"/>
    <w:rsid w:val="1A8597F7"/>
    <w:rsid w:val="1A91F675"/>
    <w:rsid w:val="1A9ED47A"/>
    <w:rsid w:val="1AAAD71F"/>
    <w:rsid w:val="1ABC11EB"/>
    <w:rsid w:val="1AC30365"/>
    <w:rsid w:val="1AC49590"/>
    <w:rsid w:val="1AC8F97B"/>
    <w:rsid w:val="1AD1346B"/>
    <w:rsid w:val="1AF6DB94"/>
    <w:rsid w:val="1B04A117"/>
    <w:rsid w:val="1B0970B8"/>
    <w:rsid w:val="1B1212BB"/>
    <w:rsid w:val="1B17DCDF"/>
    <w:rsid w:val="1B2A43FE"/>
    <w:rsid w:val="1B47794E"/>
    <w:rsid w:val="1B4FE7C4"/>
    <w:rsid w:val="1B760C0F"/>
    <w:rsid w:val="1BA5012E"/>
    <w:rsid w:val="1BA50AA9"/>
    <w:rsid w:val="1BC13675"/>
    <w:rsid w:val="1BCDA0C4"/>
    <w:rsid w:val="1BDCCBD4"/>
    <w:rsid w:val="1BE2BE15"/>
    <w:rsid w:val="1BE91171"/>
    <w:rsid w:val="1C23C1C7"/>
    <w:rsid w:val="1C25D9A6"/>
    <w:rsid w:val="1C2A3B2F"/>
    <w:rsid w:val="1C43B2F3"/>
    <w:rsid w:val="1C44237A"/>
    <w:rsid w:val="1C544E35"/>
    <w:rsid w:val="1C653D77"/>
    <w:rsid w:val="1C6802DA"/>
    <w:rsid w:val="1C73F0D4"/>
    <w:rsid w:val="1C9581DD"/>
    <w:rsid w:val="1CAA7631"/>
    <w:rsid w:val="1CC511AC"/>
    <w:rsid w:val="1CCBE30E"/>
    <w:rsid w:val="1CD4D139"/>
    <w:rsid w:val="1CEB35ED"/>
    <w:rsid w:val="1CEFCF7F"/>
    <w:rsid w:val="1CFDF7AC"/>
    <w:rsid w:val="1D0E3C9F"/>
    <w:rsid w:val="1D1399B0"/>
    <w:rsid w:val="1D17276A"/>
    <w:rsid w:val="1D334655"/>
    <w:rsid w:val="1D3CFC18"/>
    <w:rsid w:val="1D4B4AE4"/>
    <w:rsid w:val="1D4B8B59"/>
    <w:rsid w:val="1D606FE1"/>
    <w:rsid w:val="1D677074"/>
    <w:rsid w:val="1D6A1A2D"/>
    <w:rsid w:val="1D75DD46"/>
    <w:rsid w:val="1D79EADB"/>
    <w:rsid w:val="1D805A99"/>
    <w:rsid w:val="1DA31BA8"/>
    <w:rsid w:val="1DADB4E9"/>
    <w:rsid w:val="1DBA4291"/>
    <w:rsid w:val="1DBF7992"/>
    <w:rsid w:val="1DD48080"/>
    <w:rsid w:val="1DD6CDB0"/>
    <w:rsid w:val="1DDB9C00"/>
    <w:rsid w:val="1DDDCDC6"/>
    <w:rsid w:val="1E02C45B"/>
    <w:rsid w:val="1E0CC710"/>
    <w:rsid w:val="1E1CCAE5"/>
    <w:rsid w:val="1E45DE54"/>
    <w:rsid w:val="1E517509"/>
    <w:rsid w:val="1E5F5396"/>
    <w:rsid w:val="1E802F06"/>
    <w:rsid w:val="1E859D31"/>
    <w:rsid w:val="1EB3046A"/>
    <w:rsid w:val="1EC71249"/>
    <w:rsid w:val="1EC8725A"/>
    <w:rsid w:val="1EDA669B"/>
    <w:rsid w:val="1EDB9521"/>
    <w:rsid w:val="1EDEE3EF"/>
    <w:rsid w:val="1EE17958"/>
    <w:rsid w:val="1EE25FC0"/>
    <w:rsid w:val="1EFFB344"/>
    <w:rsid w:val="1F083933"/>
    <w:rsid w:val="1F137EBE"/>
    <w:rsid w:val="1F39E488"/>
    <w:rsid w:val="1F3A5DD2"/>
    <w:rsid w:val="1F4134B0"/>
    <w:rsid w:val="1F4E627B"/>
    <w:rsid w:val="1F6D8DB0"/>
    <w:rsid w:val="1F7192F1"/>
    <w:rsid w:val="1F755E05"/>
    <w:rsid w:val="1F87C49A"/>
    <w:rsid w:val="1F96D3DC"/>
    <w:rsid w:val="1F9CAD75"/>
    <w:rsid w:val="1FA4AD29"/>
    <w:rsid w:val="1FA938B4"/>
    <w:rsid w:val="1FADCB99"/>
    <w:rsid w:val="1FBA2A9F"/>
    <w:rsid w:val="1FBC65F0"/>
    <w:rsid w:val="1FBE5AA0"/>
    <w:rsid w:val="1FD1D4D6"/>
    <w:rsid w:val="1FD38394"/>
    <w:rsid w:val="1FDE918A"/>
    <w:rsid w:val="1FEB0F55"/>
    <w:rsid w:val="201F0F47"/>
    <w:rsid w:val="201F22B1"/>
    <w:rsid w:val="20267157"/>
    <w:rsid w:val="2028E383"/>
    <w:rsid w:val="20327F51"/>
    <w:rsid w:val="203C1474"/>
    <w:rsid w:val="204B9946"/>
    <w:rsid w:val="204DD3A7"/>
    <w:rsid w:val="2059631D"/>
    <w:rsid w:val="205EE285"/>
    <w:rsid w:val="2060D9BE"/>
    <w:rsid w:val="20704DF9"/>
    <w:rsid w:val="208C4831"/>
    <w:rsid w:val="20A32530"/>
    <w:rsid w:val="20A8A2DD"/>
    <w:rsid w:val="20AA3E28"/>
    <w:rsid w:val="20B185CD"/>
    <w:rsid w:val="20BEDBDF"/>
    <w:rsid w:val="20D17444"/>
    <w:rsid w:val="20DABA94"/>
    <w:rsid w:val="20E44DB5"/>
    <w:rsid w:val="20E48CF4"/>
    <w:rsid w:val="20E9EF51"/>
    <w:rsid w:val="20ED0D95"/>
    <w:rsid w:val="20ED80CC"/>
    <w:rsid w:val="20F1187E"/>
    <w:rsid w:val="20F83C8B"/>
    <w:rsid w:val="20FA5777"/>
    <w:rsid w:val="20FD323D"/>
    <w:rsid w:val="2103602F"/>
    <w:rsid w:val="211D1788"/>
    <w:rsid w:val="2143EFA4"/>
    <w:rsid w:val="216B3433"/>
    <w:rsid w:val="217A76CC"/>
    <w:rsid w:val="217D5E97"/>
    <w:rsid w:val="2180E260"/>
    <w:rsid w:val="21A16E78"/>
    <w:rsid w:val="21AF82D8"/>
    <w:rsid w:val="21B10765"/>
    <w:rsid w:val="21BDC23B"/>
    <w:rsid w:val="21C1D7CA"/>
    <w:rsid w:val="21C75418"/>
    <w:rsid w:val="2202ADC7"/>
    <w:rsid w:val="220AF13F"/>
    <w:rsid w:val="221111C2"/>
    <w:rsid w:val="2218472A"/>
    <w:rsid w:val="2218B4B0"/>
    <w:rsid w:val="222E0EBF"/>
    <w:rsid w:val="223BCC8D"/>
    <w:rsid w:val="226EE20E"/>
    <w:rsid w:val="229B7159"/>
    <w:rsid w:val="22A4B532"/>
    <w:rsid w:val="22B52F18"/>
    <w:rsid w:val="22C40220"/>
    <w:rsid w:val="22C68411"/>
    <w:rsid w:val="22D3FAF7"/>
    <w:rsid w:val="22D4DD9E"/>
    <w:rsid w:val="23098B20"/>
    <w:rsid w:val="230D2676"/>
    <w:rsid w:val="232C141C"/>
    <w:rsid w:val="2331F332"/>
    <w:rsid w:val="233DFBB0"/>
    <w:rsid w:val="234C1EFE"/>
    <w:rsid w:val="2360E7F6"/>
    <w:rsid w:val="2366EFA7"/>
    <w:rsid w:val="2368B6CB"/>
    <w:rsid w:val="237D6E25"/>
    <w:rsid w:val="238CB637"/>
    <w:rsid w:val="23C7DB50"/>
    <w:rsid w:val="23CB1723"/>
    <w:rsid w:val="23D0D545"/>
    <w:rsid w:val="23E1E0AD"/>
    <w:rsid w:val="23E24F5D"/>
    <w:rsid w:val="23E6F968"/>
    <w:rsid w:val="23EB9B5F"/>
    <w:rsid w:val="23FC19F2"/>
    <w:rsid w:val="240012FD"/>
    <w:rsid w:val="24099DB2"/>
    <w:rsid w:val="2414E3A7"/>
    <w:rsid w:val="2416A954"/>
    <w:rsid w:val="241A76AD"/>
    <w:rsid w:val="243523EB"/>
    <w:rsid w:val="244233B3"/>
    <w:rsid w:val="245CE8A5"/>
    <w:rsid w:val="24604D04"/>
    <w:rsid w:val="24681A16"/>
    <w:rsid w:val="246E3E89"/>
    <w:rsid w:val="246E4137"/>
    <w:rsid w:val="24771D5D"/>
    <w:rsid w:val="2491D740"/>
    <w:rsid w:val="249DB56E"/>
    <w:rsid w:val="24C304C2"/>
    <w:rsid w:val="24DDA6B9"/>
    <w:rsid w:val="24F14201"/>
    <w:rsid w:val="24F9A55E"/>
    <w:rsid w:val="2500D5BC"/>
    <w:rsid w:val="2507D6BC"/>
    <w:rsid w:val="252F2368"/>
    <w:rsid w:val="25398961"/>
    <w:rsid w:val="25417578"/>
    <w:rsid w:val="255694BA"/>
    <w:rsid w:val="256AE9B6"/>
    <w:rsid w:val="25B5E922"/>
    <w:rsid w:val="25C7283E"/>
    <w:rsid w:val="25D41860"/>
    <w:rsid w:val="25D732DC"/>
    <w:rsid w:val="25DCB0C5"/>
    <w:rsid w:val="25DCCF34"/>
    <w:rsid w:val="25DE5BC7"/>
    <w:rsid w:val="25F29636"/>
    <w:rsid w:val="25FDA831"/>
    <w:rsid w:val="260694DC"/>
    <w:rsid w:val="260BBFD3"/>
    <w:rsid w:val="26288E5A"/>
    <w:rsid w:val="26327B90"/>
    <w:rsid w:val="2633C00C"/>
    <w:rsid w:val="2643C76A"/>
    <w:rsid w:val="2663B1B2"/>
    <w:rsid w:val="266CDC57"/>
    <w:rsid w:val="26806A35"/>
    <w:rsid w:val="2685E8F7"/>
    <w:rsid w:val="268D5A4E"/>
    <w:rsid w:val="269178CD"/>
    <w:rsid w:val="2691795A"/>
    <w:rsid w:val="26980ABC"/>
    <w:rsid w:val="269F21D8"/>
    <w:rsid w:val="26B0DF5F"/>
    <w:rsid w:val="26C6B2B4"/>
    <w:rsid w:val="26C71AFC"/>
    <w:rsid w:val="26C761D4"/>
    <w:rsid w:val="26CABD6A"/>
    <w:rsid w:val="26CAF7C1"/>
    <w:rsid w:val="26D45137"/>
    <w:rsid w:val="26E051EA"/>
    <w:rsid w:val="26E1D1E4"/>
    <w:rsid w:val="26EE8B2B"/>
    <w:rsid w:val="26F52701"/>
    <w:rsid w:val="26F6C35C"/>
    <w:rsid w:val="27078F13"/>
    <w:rsid w:val="270BB0A3"/>
    <w:rsid w:val="271B80BB"/>
    <w:rsid w:val="272E2B66"/>
    <w:rsid w:val="2749F164"/>
    <w:rsid w:val="277BAB72"/>
    <w:rsid w:val="277CE7E9"/>
    <w:rsid w:val="27843B64"/>
    <w:rsid w:val="27858CC9"/>
    <w:rsid w:val="279595D0"/>
    <w:rsid w:val="279A8868"/>
    <w:rsid w:val="279E03DF"/>
    <w:rsid w:val="27C74760"/>
    <w:rsid w:val="27D36290"/>
    <w:rsid w:val="27D82F0E"/>
    <w:rsid w:val="27D928CC"/>
    <w:rsid w:val="27DD778F"/>
    <w:rsid w:val="27E23F77"/>
    <w:rsid w:val="280BE010"/>
    <w:rsid w:val="2815EBB3"/>
    <w:rsid w:val="2821F7E8"/>
    <w:rsid w:val="28270B12"/>
    <w:rsid w:val="2827B942"/>
    <w:rsid w:val="282EF5A7"/>
    <w:rsid w:val="2877A22D"/>
    <w:rsid w:val="287F3289"/>
    <w:rsid w:val="28A1D930"/>
    <w:rsid w:val="28AEC1AD"/>
    <w:rsid w:val="28AFDA0A"/>
    <w:rsid w:val="28E03479"/>
    <w:rsid w:val="28F76F57"/>
    <w:rsid w:val="28F92C0F"/>
    <w:rsid w:val="291D1789"/>
    <w:rsid w:val="291E7379"/>
    <w:rsid w:val="2923158A"/>
    <w:rsid w:val="29360AB0"/>
    <w:rsid w:val="294D5802"/>
    <w:rsid w:val="294EF8AB"/>
    <w:rsid w:val="2963F33C"/>
    <w:rsid w:val="299C224E"/>
    <w:rsid w:val="299EA1B8"/>
    <w:rsid w:val="29A56CAE"/>
    <w:rsid w:val="29A73E5D"/>
    <w:rsid w:val="29B07AE6"/>
    <w:rsid w:val="29B50E5F"/>
    <w:rsid w:val="29B78835"/>
    <w:rsid w:val="29BAD849"/>
    <w:rsid w:val="29CE0C17"/>
    <w:rsid w:val="29F3B354"/>
    <w:rsid w:val="29FA915E"/>
    <w:rsid w:val="29FCAFEE"/>
    <w:rsid w:val="2A05FBF6"/>
    <w:rsid w:val="2A05FC0C"/>
    <w:rsid w:val="2A0D0D16"/>
    <w:rsid w:val="2A0EA35E"/>
    <w:rsid w:val="2A1B4842"/>
    <w:rsid w:val="2A270697"/>
    <w:rsid w:val="2A33248E"/>
    <w:rsid w:val="2A38A85B"/>
    <w:rsid w:val="2A7D0D9A"/>
    <w:rsid w:val="2A86433F"/>
    <w:rsid w:val="2A895829"/>
    <w:rsid w:val="2A8D951D"/>
    <w:rsid w:val="2A8EFE89"/>
    <w:rsid w:val="2AA30FFF"/>
    <w:rsid w:val="2AB37CC3"/>
    <w:rsid w:val="2ABF2AE3"/>
    <w:rsid w:val="2AE71A60"/>
    <w:rsid w:val="2AEA9FDB"/>
    <w:rsid w:val="2AF7A0FF"/>
    <w:rsid w:val="2AF8BD2F"/>
    <w:rsid w:val="2B05E338"/>
    <w:rsid w:val="2B1B55F9"/>
    <w:rsid w:val="2B2E3CBF"/>
    <w:rsid w:val="2B46D760"/>
    <w:rsid w:val="2B52F458"/>
    <w:rsid w:val="2B578372"/>
    <w:rsid w:val="2B66BCFB"/>
    <w:rsid w:val="2B6CC0C4"/>
    <w:rsid w:val="2B6CDDB9"/>
    <w:rsid w:val="2B715579"/>
    <w:rsid w:val="2B7786D5"/>
    <w:rsid w:val="2B98D80C"/>
    <w:rsid w:val="2B9B975C"/>
    <w:rsid w:val="2B9BCDFF"/>
    <w:rsid w:val="2B9DF4F4"/>
    <w:rsid w:val="2BB7473D"/>
    <w:rsid w:val="2BC8B13A"/>
    <w:rsid w:val="2BD261AE"/>
    <w:rsid w:val="2BF89EF0"/>
    <w:rsid w:val="2C022027"/>
    <w:rsid w:val="2C28BDD6"/>
    <w:rsid w:val="2C30BC96"/>
    <w:rsid w:val="2C48812F"/>
    <w:rsid w:val="2C5C67C3"/>
    <w:rsid w:val="2C6B1F4D"/>
    <w:rsid w:val="2CAB562D"/>
    <w:rsid w:val="2CADD624"/>
    <w:rsid w:val="2CB1302E"/>
    <w:rsid w:val="2CB891C7"/>
    <w:rsid w:val="2CC78435"/>
    <w:rsid w:val="2CE830EC"/>
    <w:rsid w:val="2CEC2493"/>
    <w:rsid w:val="2D0151DB"/>
    <w:rsid w:val="2D0B469C"/>
    <w:rsid w:val="2D0F2B22"/>
    <w:rsid w:val="2D1324A5"/>
    <w:rsid w:val="2D29A4EF"/>
    <w:rsid w:val="2D2F8358"/>
    <w:rsid w:val="2D4A64C2"/>
    <w:rsid w:val="2D4A72D2"/>
    <w:rsid w:val="2D5FEF4D"/>
    <w:rsid w:val="2D60D9C6"/>
    <w:rsid w:val="2D686018"/>
    <w:rsid w:val="2D70D09F"/>
    <w:rsid w:val="2D74C7E3"/>
    <w:rsid w:val="2D7B2492"/>
    <w:rsid w:val="2D7C82CC"/>
    <w:rsid w:val="2D7E3E97"/>
    <w:rsid w:val="2D8AA49F"/>
    <w:rsid w:val="2D8FB4FF"/>
    <w:rsid w:val="2DA09FF9"/>
    <w:rsid w:val="2DAB9B40"/>
    <w:rsid w:val="2DAEE03B"/>
    <w:rsid w:val="2DC3D828"/>
    <w:rsid w:val="2DD2C3E9"/>
    <w:rsid w:val="2DE11FFB"/>
    <w:rsid w:val="2DEBDFA5"/>
    <w:rsid w:val="2DECBF92"/>
    <w:rsid w:val="2DF4DDC9"/>
    <w:rsid w:val="2E07196D"/>
    <w:rsid w:val="2E0D7BD1"/>
    <w:rsid w:val="2E18E4AD"/>
    <w:rsid w:val="2E1CB7B8"/>
    <w:rsid w:val="2E2D04A5"/>
    <w:rsid w:val="2E3FF810"/>
    <w:rsid w:val="2E46CCA2"/>
    <w:rsid w:val="2E4DFE8A"/>
    <w:rsid w:val="2E56E803"/>
    <w:rsid w:val="2E588E16"/>
    <w:rsid w:val="2E5E6BCE"/>
    <w:rsid w:val="2E656893"/>
    <w:rsid w:val="2E726EB9"/>
    <w:rsid w:val="2E77D028"/>
    <w:rsid w:val="2E8C6A67"/>
    <w:rsid w:val="2E8DC093"/>
    <w:rsid w:val="2E9F5D73"/>
    <w:rsid w:val="2EC8E50D"/>
    <w:rsid w:val="2ED41615"/>
    <w:rsid w:val="2EDB0902"/>
    <w:rsid w:val="2EEA064F"/>
    <w:rsid w:val="2EFAB3E3"/>
    <w:rsid w:val="2F0FE417"/>
    <w:rsid w:val="2F2AFF79"/>
    <w:rsid w:val="2F37E1E3"/>
    <w:rsid w:val="2F48CF57"/>
    <w:rsid w:val="2F5559AD"/>
    <w:rsid w:val="2F5B91EA"/>
    <w:rsid w:val="2F605052"/>
    <w:rsid w:val="2F62A0DC"/>
    <w:rsid w:val="2F78CD25"/>
    <w:rsid w:val="2F7AFF21"/>
    <w:rsid w:val="2F7DBCF5"/>
    <w:rsid w:val="2F8FC27C"/>
    <w:rsid w:val="2FA8B190"/>
    <w:rsid w:val="2FB0FFB5"/>
    <w:rsid w:val="2FBFF7A4"/>
    <w:rsid w:val="2FE0DC8E"/>
    <w:rsid w:val="2FE5AB2B"/>
    <w:rsid w:val="2FF32397"/>
    <w:rsid w:val="2FFBC29F"/>
    <w:rsid w:val="302C43EF"/>
    <w:rsid w:val="30340FE4"/>
    <w:rsid w:val="3039B25C"/>
    <w:rsid w:val="3055D203"/>
    <w:rsid w:val="306ACF21"/>
    <w:rsid w:val="3070BE00"/>
    <w:rsid w:val="3093DE0C"/>
    <w:rsid w:val="30A450AB"/>
    <w:rsid w:val="30A93909"/>
    <w:rsid w:val="30B4D4C7"/>
    <w:rsid w:val="30D62733"/>
    <w:rsid w:val="30FA43F5"/>
    <w:rsid w:val="30FCC148"/>
    <w:rsid w:val="3105A23E"/>
    <w:rsid w:val="31084487"/>
    <w:rsid w:val="31263992"/>
    <w:rsid w:val="31473B67"/>
    <w:rsid w:val="3154086D"/>
    <w:rsid w:val="3155C78C"/>
    <w:rsid w:val="3167C319"/>
    <w:rsid w:val="3185A669"/>
    <w:rsid w:val="3186E62A"/>
    <w:rsid w:val="3193B82E"/>
    <w:rsid w:val="31A3BBFC"/>
    <w:rsid w:val="31B383F1"/>
    <w:rsid w:val="31B5B060"/>
    <w:rsid w:val="31C158CA"/>
    <w:rsid w:val="31C1DAB2"/>
    <w:rsid w:val="31C9BCCA"/>
    <w:rsid w:val="31D84F4E"/>
    <w:rsid w:val="31DD52FD"/>
    <w:rsid w:val="31DE6B03"/>
    <w:rsid w:val="32128F79"/>
    <w:rsid w:val="32173831"/>
    <w:rsid w:val="32179550"/>
    <w:rsid w:val="322E92D4"/>
    <w:rsid w:val="323DE1A7"/>
    <w:rsid w:val="3241A1D6"/>
    <w:rsid w:val="325D3380"/>
    <w:rsid w:val="327EDCCA"/>
    <w:rsid w:val="3280720C"/>
    <w:rsid w:val="3280D583"/>
    <w:rsid w:val="3284BF49"/>
    <w:rsid w:val="32899C8B"/>
    <w:rsid w:val="32998519"/>
    <w:rsid w:val="329F8C3A"/>
    <w:rsid w:val="32A59A89"/>
    <w:rsid w:val="32B85F16"/>
    <w:rsid w:val="32BE9DCC"/>
    <w:rsid w:val="32BFE008"/>
    <w:rsid w:val="32C14420"/>
    <w:rsid w:val="32D96562"/>
    <w:rsid w:val="32DA76DE"/>
    <w:rsid w:val="32EBAFCC"/>
    <w:rsid w:val="330877E2"/>
    <w:rsid w:val="33200D79"/>
    <w:rsid w:val="3329505F"/>
    <w:rsid w:val="3336CF06"/>
    <w:rsid w:val="333BC97F"/>
    <w:rsid w:val="333E9495"/>
    <w:rsid w:val="333EE54F"/>
    <w:rsid w:val="3345B067"/>
    <w:rsid w:val="339BC674"/>
    <w:rsid w:val="33B955DA"/>
    <w:rsid w:val="33DB1665"/>
    <w:rsid w:val="33F6FC44"/>
    <w:rsid w:val="3400E33D"/>
    <w:rsid w:val="340460A7"/>
    <w:rsid w:val="340BED57"/>
    <w:rsid w:val="342612E1"/>
    <w:rsid w:val="3448898A"/>
    <w:rsid w:val="34601E72"/>
    <w:rsid w:val="346B310E"/>
    <w:rsid w:val="34825311"/>
    <w:rsid w:val="348835EE"/>
    <w:rsid w:val="348A2B09"/>
    <w:rsid w:val="349C9ADC"/>
    <w:rsid w:val="34A84742"/>
    <w:rsid w:val="34A91508"/>
    <w:rsid w:val="34B00892"/>
    <w:rsid w:val="34DA29C4"/>
    <w:rsid w:val="34DBB81D"/>
    <w:rsid w:val="34E8434D"/>
    <w:rsid w:val="353177A9"/>
    <w:rsid w:val="35345FCC"/>
    <w:rsid w:val="3534F59D"/>
    <w:rsid w:val="35469750"/>
    <w:rsid w:val="3558FFBF"/>
    <w:rsid w:val="35597015"/>
    <w:rsid w:val="3559CE0C"/>
    <w:rsid w:val="356A0CEE"/>
    <w:rsid w:val="356B32F2"/>
    <w:rsid w:val="356B3937"/>
    <w:rsid w:val="356FDD01"/>
    <w:rsid w:val="358286C0"/>
    <w:rsid w:val="3593FAF3"/>
    <w:rsid w:val="359413C1"/>
    <w:rsid w:val="359C7206"/>
    <w:rsid w:val="35A5062B"/>
    <w:rsid w:val="35ADF6B7"/>
    <w:rsid w:val="35AE2609"/>
    <w:rsid w:val="35C8D63B"/>
    <w:rsid w:val="35EC1591"/>
    <w:rsid w:val="360969BE"/>
    <w:rsid w:val="360D7290"/>
    <w:rsid w:val="361EF9FB"/>
    <w:rsid w:val="36291A85"/>
    <w:rsid w:val="363AB657"/>
    <w:rsid w:val="36448F14"/>
    <w:rsid w:val="364C5E36"/>
    <w:rsid w:val="36512F26"/>
    <w:rsid w:val="3675C75A"/>
    <w:rsid w:val="36766BB3"/>
    <w:rsid w:val="367A0CCD"/>
    <w:rsid w:val="367DA796"/>
    <w:rsid w:val="36800BDA"/>
    <w:rsid w:val="36868664"/>
    <w:rsid w:val="36886612"/>
    <w:rsid w:val="368B0275"/>
    <w:rsid w:val="368CFE7D"/>
    <w:rsid w:val="369622D0"/>
    <w:rsid w:val="36969E8B"/>
    <w:rsid w:val="36AED123"/>
    <w:rsid w:val="36B19021"/>
    <w:rsid w:val="36C1ED1D"/>
    <w:rsid w:val="36CAC812"/>
    <w:rsid w:val="36CDB7DB"/>
    <w:rsid w:val="36E638F6"/>
    <w:rsid w:val="36EBB3F1"/>
    <w:rsid w:val="370220A5"/>
    <w:rsid w:val="3715E37A"/>
    <w:rsid w:val="37207CDC"/>
    <w:rsid w:val="37298C51"/>
    <w:rsid w:val="3729B271"/>
    <w:rsid w:val="372C470D"/>
    <w:rsid w:val="372FC63B"/>
    <w:rsid w:val="373CA373"/>
    <w:rsid w:val="373CEFCD"/>
    <w:rsid w:val="3741863E"/>
    <w:rsid w:val="374921AA"/>
    <w:rsid w:val="3752357D"/>
    <w:rsid w:val="379BB04D"/>
    <w:rsid w:val="37B11AFB"/>
    <w:rsid w:val="37BC961D"/>
    <w:rsid w:val="37D6E68E"/>
    <w:rsid w:val="37DFC7B2"/>
    <w:rsid w:val="37E1DDA2"/>
    <w:rsid w:val="37EB65CA"/>
    <w:rsid w:val="37F7191A"/>
    <w:rsid w:val="37FB16CA"/>
    <w:rsid w:val="37FC282E"/>
    <w:rsid w:val="37FD651D"/>
    <w:rsid w:val="37FDA687"/>
    <w:rsid w:val="3801FE88"/>
    <w:rsid w:val="380A2C0D"/>
    <w:rsid w:val="380B8314"/>
    <w:rsid w:val="381AEB93"/>
    <w:rsid w:val="3828F120"/>
    <w:rsid w:val="382A6EDF"/>
    <w:rsid w:val="382FC384"/>
    <w:rsid w:val="3837B334"/>
    <w:rsid w:val="384776FD"/>
    <w:rsid w:val="3857382E"/>
    <w:rsid w:val="38637BD5"/>
    <w:rsid w:val="3868755F"/>
    <w:rsid w:val="3871CBF4"/>
    <w:rsid w:val="38AB8F9A"/>
    <w:rsid w:val="38CF42DE"/>
    <w:rsid w:val="38D986F1"/>
    <w:rsid w:val="38D9DA0D"/>
    <w:rsid w:val="38EC39C3"/>
    <w:rsid w:val="390FC226"/>
    <w:rsid w:val="391B91C8"/>
    <w:rsid w:val="39382D1D"/>
    <w:rsid w:val="39417987"/>
    <w:rsid w:val="396BF75A"/>
    <w:rsid w:val="39741FE8"/>
    <w:rsid w:val="397BDD86"/>
    <w:rsid w:val="397CBF40"/>
    <w:rsid w:val="39863C21"/>
    <w:rsid w:val="3997BDA8"/>
    <w:rsid w:val="39A7FFC3"/>
    <w:rsid w:val="39B82390"/>
    <w:rsid w:val="39B963A1"/>
    <w:rsid w:val="39D7758E"/>
    <w:rsid w:val="39F2D4D2"/>
    <w:rsid w:val="3A13FE74"/>
    <w:rsid w:val="3A1462CB"/>
    <w:rsid w:val="3A14704A"/>
    <w:rsid w:val="3A260ECB"/>
    <w:rsid w:val="3A2D2FF2"/>
    <w:rsid w:val="3A4F0950"/>
    <w:rsid w:val="3A58471E"/>
    <w:rsid w:val="3A5ADAB2"/>
    <w:rsid w:val="3A6E4554"/>
    <w:rsid w:val="3A78E5FD"/>
    <w:rsid w:val="3A935F4D"/>
    <w:rsid w:val="3AA57140"/>
    <w:rsid w:val="3AABE3CD"/>
    <w:rsid w:val="3AAD1DC1"/>
    <w:rsid w:val="3AADC829"/>
    <w:rsid w:val="3AB32247"/>
    <w:rsid w:val="3AE5395F"/>
    <w:rsid w:val="3AE5D227"/>
    <w:rsid w:val="3AE89812"/>
    <w:rsid w:val="3AEDF51A"/>
    <w:rsid w:val="3AF572FF"/>
    <w:rsid w:val="3B13C1BB"/>
    <w:rsid w:val="3B22CFEC"/>
    <w:rsid w:val="3B46CFA4"/>
    <w:rsid w:val="3B49BF75"/>
    <w:rsid w:val="3B4E0B77"/>
    <w:rsid w:val="3B52ECE1"/>
    <w:rsid w:val="3B56CE9E"/>
    <w:rsid w:val="3B854AFB"/>
    <w:rsid w:val="3B9D9E3E"/>
    <w:rsid w:val="3BB08D5C"/>
    <w:rsid w:val="3BCECEF8"/>
    <w:rsid w:val="3BD480F2"/>
    <w:rsid w:val="3BDA0323"/>
    <w:rsid w:val="3BDC21F0"/>
    <w:rsid w:val="3C0CC114"/>
    <w:rsid w:val="3C0EEFC1"/>
    <w:rsid w:val="3C120C89"/>
    <w:rsid w:val="3C226FF9"/>
    <w:rsid w:val="3C28FDF3"/>
    <w:rsid w:val="3C381AA9"/>
    <w:rsid w:val="3C399B44"/>
    <w:rsid w:val="3C482B61"/>
    <w:rsid w:val="3C6E70DB"/>
    <w:rsid w:val="3C727D36"/>
    <w:rsid w:val="3C72E51D"/>
    <w:rsid w:val="3C8B9DD3"/>
    <w:rsid w:val="3C9A191E"/>
    <w:rsid w:val="3CA0A681"/>
    <w:rsid w:val="3CA5341A"/>
    <w:rsid w:val="3CB43F9F"/>
    <w:rsid w:val="3CB52CF9"/>
    <w:rsid w:val="3CC5FDF5"/>
    <w:rsid w:val="3CD7C6D6"/>
    <w:rsid w:val="3CDA8DE5"/>
    <w:rsid w:val="3CE3FF90"/>
    <w:rsid w:val="3CF79A0C"/>
    <w:rsid w:val="3D056C3F"/>
    <w:rsid w:val="3D158504"/>
    <w:rsid w:val="3D16DBBE"/>
    <w:rsid w:val="3D1A1486"/>
    <w:rsid w:val="3D1B01F5"/>
    <w:rsid w:val="3D1D1904"/>
    <w:rsid w:val="3D32C2D2"/>
    <w:rsid w:val="3D4E46D1"/>
    <w:rsid w:val="3D53BDA4"/>
    <w:rsid w:val="3D66796A"/>
    <w:rsid w:val="3D66D719"/>
    <w:rsid w:val="3D6A341A"/>
    <w:rsid w:val="3D6A6107"/>
    <w:rsid w:val="3D700192"/>
    <w:rsid w:val="3D719E9B"/>
    <w:rsid w:val="3D9AD8AA"/>
    <w:rsid w:val="3DAF7F0C"/>
    <w:rsid w:val="3DDBAE30"/>
    <w:rsid w:val="3DE0AED0"/>
    <w:rsid w:val="3DE347B7"/>
    <w:rsid w:val="3DE564A6"/>
    <w:rsid w:val="3DEAD695"/>
    <w:rsid w:val="3DECE4FE"/>
    <w:rsid w:val="3E00AF39"/>
    <w:rsid w:val="3E073055"/>
    <w:rsid w:val="3E1068FB"/>
    <w:rsid w:val="3E151ECD"/>
    <w:rsid w:val="3E282CE6"/>
    <w:rsid w:val="3E41EB45"/>
    <w:rsid w:val="3E428259"/>
    <w:rsid w:val="3E5755E6"/>
    <w:rsid w:val="3E5C056B"/>
    <w:rsid w:val="3E5C3ED4"/>
    <w:rsid w:val="3E63F2F8"/>
    <w:rsid w:val="3E85EE96"/>
    <w:rsid w:val="3E8628D7"/>
    <w:rsid w:val="3E86D89D"/>
    <w:rsid w:val="3E8FF9B8"/>
    <w:rsid w:val="3E925ACF"/>
    <w:rsid w:val="3E997C58"/>
    <w:rsid w:val="3EB26851"/>
    <w:rsid w:val="3EB56680"/>
    <w:rsid w:val="3EB92E27"/>
    <w:rsid w:val="3ECD0628"/>
    <w:rsid w:val="3EF2BB55"/>
    <w:rsid w:val="3EF9CAC4"/>
    <w:rsid w:val="3EFD08F9"/>
    <w:rsid w:val="3EFFBABC"/>
    <w:rsid w:val="3F04A445"/>
    <w:rsid w:val="3F064904"/>
    <w:rsid w:val="3F0AFD28"/>
    <w:rsid w:val="3F145FD5"/>
    <w:rsid w:val="3F1618C8"/>
    <w:rsid w:val="3F3A80B2"/>
    <w:rsid w:val="3F3C0EA9"/>
    <w:rsid w:val="3F430BC1"/>
    <w:rsid w:val="3F432A76"/>
    <w:rsid w:val="3F58EA30"/>
    <w:rsid w:val="3F61C96C"/>
    <w:rsid w:val="3F624159"/>
    <w:rsid w:val="3F637FD2"/>
    <w:rsid w:val="3F838C1D"/>
    <w:rsid w:val="3F8FE922"/>
    <w:rsid w:val="3F9EB5ED"/>
    <w:rsid w:val="3FA780A3"/>
    <w:rsid w:val="3FAC704C"/>
    <w:rsid w:val="3FB2DCAC"/>
    <w:rsid w:val="3FC02ACC"/>
    <w:rsid w:val="3FD164CE"/>
    <w:rsid w:val="3FD67934"/>
    <w:rsid w:val="3FF76E89"/>
    <w:rsid w:val="3FFD2510"/>
    <w:rsid w:val="4006EBB3"/>
    <w:rsid w:val="402458BE"/>
    <w:rsid w:val="4026385F"/>
    <w:rsid w:val="4030A6FF"/>
    <w:rsid w:val="4034CE3C"/>
    <w:rsid w:val="404D3DE3"/>
    <w:rsid w:val="4059DB26"/>
    <w:rsid w:val="405F8482"/>
    <w:rsid w:val="40630829"/>
    <w:rsid w:val="4068352C"/>
    <w:rsid w:val="4068D6B7"/>
    <w:rsid w:val="4075F85B"/>
    <w:rsid w:val="407B7049"/>
    <w:rsid w:val="4086B9F1"/>
    <w:rsid w:val="40A536B9"/>
    <w:rsid w:val="40BB63E4"/>
    <w:rsid w:val="40C0A385"/>
    <w:rsid w:val="40C4D0B4"/>
    <w:rsid w:val="40D04D13"/>
    <w:rsid w:val="40D0CCEC"/>
    <w:rsid w:val="40D35E0E"/>
    <w:rsid w:val="40D74B6A"/>
    <w:rsid w:val="40D9D022"/>
    <w:rsid w:val="41033F4F"/>
    <w:rsid w:val="41092293"/>
    <w:rsid w:val="411F2AC8"/>
    <w:rsid w:val="413D8CAF"/>
    <w:rsid w:val="4140E186"/>
    <w:rsid w:val="414A5A6B"/>
    <w:rsid w:val="415135D3"/>
    <w:rsid w:val="41578C26"/>
    <w:rsid w:val="4159A4A3"/>
    <w:rsid w:val="416070F3"/>
    <w:rsid w:val="416CB930"/>
    <w:rsid w:val="4178974F"/>
    <w:rsid w:val="41834034"/>
    <w:rsid w:val="419A5921"/>
    <w:rsid w:val="41ACC244"/>
    <w:rsid w:val="41B13359"/>
    <w:rsid w:val="41B4A72B"/>
    <w:rsid w:val="41CA152D"/>
    <w:rsid w:val="41DA8AF8"/>
    <w:rsid w:val="41F21F9B"/>
    <w:rsid w:val="421712FE"/>
    <w:rsid w:val="423647E0"/>
    <w:rsid w:val="4236ECDA"/>
    <w:rsid w:val="424B9CC0"/>
    <w:rsid w:val="424BD8ED"/>
    <w:rsid w:val="426BCF0B"/>
    <w:rsid w:val="426CC7B8"/>
    <w:rsid w:val="42752947"/>
    <w:rsid w:val="427917F5"/>
    <w:rsid w:val="42863A43"/>
    <w:rsid w:val="429275A4"/>
    <w:rsid w:val="4298F16D"/>
    <w:rsid w:val="42A59B6D"/>
    <w:rsid w:val="42A91C1B"/>
    <w:rsid w:val="42CF51AD"/>
    <w:rsid w:val="42D75428"/>
    <w:rsid w:val="42FCB109"/>
    <w:rsid w:val="4313761D"/>
    <w:rsid w:val="4316B80E"/>
    <w:rsid w:val="43191EB5"/>
    <w:rsid w:val="431E5786"/>
    <w:rsid w:val="4321881D"/>
    <w:rsid w:val="4359AF8A"/>
    <w:rsid w:val="436167E9"/>
    <w:rsid w:val="43773408"/>
    <w:rsid w:val="439F2F90"/>
    <w:rsid w:val="43A1D410"/>
    <w:rsid w:val="43A9080E"/>
    <w:rsid w:val="43C13D2D"/>
    <w:rsid w:val="43C22D8F"/>
    <w:rsid w:val="43CBC649"/>
    <w:rsid w:val="43D0759F"/>
    <w:rsid w:val="43EAF1BC"/>
    <w:rsid w:val="440D0FC2"/>
    <w:rsid w:val="441E04E1"/>
    <w:rsid w:val="442873B2"/>
    <w:rsid w:val="442A9D07"/>
    <w:rsid w:val="4458A589"/>
    <w:rsid w:val="4459EED4"/>
    <w:rsid w:val="445DF2EB"/>
    <w:rsid w:val="446C019D"/>
    <w:rsid w:val="4478B5E9"/>
    <w:rsid w:val="447920C3"/>
    <w:rsid w:val="448179E5"/>
    <w:rsid w:val="4488E1F4"/>
    <w:rsid w:val="448A9998"/>
    <w:rsid w:val="44A38FB0"/>
    <w:rsid w:val="44BB90A2"/>
    <w:rsid w:val="44BE7486"/>
    <w:rsid w:val="44C27113"/>
    <w:rsid w:val="44D8E29B"/>
    <w:rsid w:val="44E260C2"/>
    <w:rsid w:val="44E62C71"/>
    <w:rsid w:val="44F2E527"/>
    <w:rsid w:val="44F55F70"/>
    <w:rsid w:val="44F994ED"/>
    <w:rsid w:val="450AE328"/>
    <w:rsid w:val="4513C722"/>
    <w:rsid w:val="45218677"/>
    <w:rsid w:val="452239B4"/>
    <w:rsid w:val="45300EA2"/>
    <w:rsid w:val="455246A2"/>
    <w:rsid w:val="4554FBC4"/>
    <w:rsid w:val="455B4097"/>
    <w:rsid w:val="45606979"/>
    <w:rsid w:val="4565E2C5"/>
    <w:rsid w:val="458BFAA6"/>
    <w:rsid w:val="45AA517C"/>
    <w:rsid w:val="45C28ED7"/>
    <w:rsid w:val="45C6669E"/>
    <w:rsid w:val="45CB3D94"/>
    <w:rsid w:val="45CD52D4"/>
    <w:rsid w:val="45D2B103"/>
    <w:rsid w:val="45E12A62"/>
    <w:rsid w:val="45E8911C"/>
    <w:rsid w:val="45E9512C"/>
    <w:rsid w:val="45ED75BB"/>
    <w:rsid w:val="460FE8CD"/>
    <w:rsid w:val="4612FA28"/>
    <w:rsid w:val="4619D6CD"/>
    <w:rsid w:val="4629D3B0"/>
    <w:rsid w:val="462B4504"/>
    <w:rsid w:val="463B746C"/>
    <w:rsid w:val="4641B453"/>
    <w:rsid w:val="46496381"/>
    <w:rsid w:val="464A099C"/>
    <w:rsid w:val="4657E25B"/>
    <w:rsid w:val="466CA25C"/>
    <w:rsid w:val="4673909C"/>
    <w:rsid w:val="46836153"/>
    <w:rsid w:val="468B1AC0"/>
    <w:rsid w:val="469499CA"/>
    <w:rsid w:val="46BA4923"/>
    <w:rsid w:val="46BEEFDE"/>
    <w:rsid w:val="46C448E4"/>
    <w:rsid w:val="46D4FECB"/>
    <w:rsid w:val="46DC25B8"/>
    <w:rsid w:val="46E7B6CD"/>
    <w:rsid w:val="46F9D6AB"/>
    <w:rsid w:val="46FCB6CB"/>
    <w:rsid w:val="47207DA8"/>
    <w:rsid w:val="4725BB11"/>
    <w:rsid w:val="4734F45D"/>
    <w:rsid w:val="47378D8A"/>
    <w:rsid w:val="47444B4F"/>
    <w:rsid w:val="474C99E3"/>
    <w:rsid w:val="476466F7"/>
    <w:rsid w:val="47654664"/>
    <w:rsid w:val="476DC7BE"/>
    <w:rsid w:val="477BA35A"/>
    <w:rsid w:val="47F33429"/>
    <w:rsid w:val="47F647FF"/>
    <w:rsid w:val="480318DA"/>
    <w:rsid w:val="480544A3"/>
    <w:rsid w:val="4811433C"/>
    <w:rsid w:val="48225C43"/>
    <w:rsid w:val="483684C3"/>
    <w:rsid w:val="485B962C"/>
    <w:rsid w:val="485DB49C"/>
    <w:rsid w:val="4889F01B"/>
    <w:rsid w:val="488CCDCB"/>
    <w:rsid w:val="48ACBA09"/>
    <w:rsid w:val="48BF9048"/>
    <w:rsid w:val="48CD67B6"/>
    <w:rsid w:val="48E3E760"/>
    <w:rsid w:val="48E810CF"/>
    <w:rsid w:val="48F60189"/>
    <w:rsid w:val="492091EC"/>
    <w:rsid w:val="49280E3F"/>
    <w:rsid w:val="492BCFD6"/>
    <w:rsid w:val="493F4D23"/>
    <w:rsid w:val="4965231C"/>
    <w:rsid w:val="496675C8"/>
    <w:rsid w:val="49697786"/>
    <w:rsid w:val="496A7E88"/>
    <w:rsid w:val="49706010"/>
    <w:rsid w:val="497BB30C"/>
    <w:rsid w:val="497F0288"/>
    <w:rsid w:val="4980D3C3"/>
    <w:rsid w:val="4986E05B"/>
    <w:rsid w:val="499B3C36"/>
    <w:rsid w:val="49B7BDDF"/>
    <w:rsid w:val="49E426D9"/>
    <w:rsid w:val="49E724F5"/>
    <w:rsid w:val="49FF1C0A"/>
    <w:rsid w:val="4A03B141"/>
    <w:rsid w:val="4A0EF25E"/>
    <w:rsid w:val="4A234F38"/>
    <w:rsid w:val="4A3B0265"/>
    <w:rsid w:val="4A56AF41"/>
    <w:rsid w:val="4A5E1C81"/>
    <w:rsid w:val="4A83EA90"/>
    <w:rsid w:val="4A852672"/>
    <w:rsid w:val="4A8B0E41"/>
    <w:rsid w:val="4A8E40BE"/>
    <w:rsid w:val="4ABB92D6"/>
    <w:rsid w:val="4AC0B3DE"/>
    <w:rsid w:val="4AC67634"/>
    <w:rsid w:val="4ACE21D9"/>
    <w:rsid w:val="4AEB7B56"/>
    <w:rsid w:val="4B174770"/>
    <w:rsid w:val="4B24FB89"/>
    <w:rsid w:val="4B41581E"/>
    <w:rsid w:val="4B479062"/>
    <w:rsid w:val="4B6E3A95"/>
    <w:rsid w:val="4B945DCA"/>
    <w:rsid w:val="4B9D0DB3"/>
    <w:rsid w:val="4BC63EBE"/>
    <w:rsid w:val="4BD0B7E2"/>
    <w:rsid w:val="4BE8FCEB"/>
    <w:rsid w:val="4BECEE2F"/>
    <w:rsid w:val="4BFBCA15"/>
    <w:rsid w:val="4BFE3D00"/>
    <w:rsid w:val="4C0F77D6"/>
    <w:rsid w:val="4C0FC5DA"/>
    <w:rsid w:val="4C2DB6F1"/>
    <w:rsid w:val="4C3043B6"/>
    <w:rsid w:val="4C37CC0F"/>
    <w:rsid w:val="4C3E89A0"/>
    <w:rsid w:val="4C47F11B"/>
    <w:rsid w:val="4C565C51"/>
    <w:rsid w:val="4C58355B"/>
    <w:rsid w:val="4C680A58"/>
    <w:rsid w:val="4C7D19FA"/>
    <w:rsid w:val="4C8AE4F5"/>
    <w:rsid w:val="4C8F2B1B"/>
    <w:rsid w:val="4C929FE9"/>
    <w:rsid w:val="4C979ABC"/>
    <w:rsid w:val="4C99D106"/>
    <w:rsid w:val="4CDE092E"/>
    <w:rsid w:val="4CE42029"/>
    <w:rsid w:val="4D0E99D0"/>
    <w:rsid w:val="4D102C16"/>
    <w:rsid w:val="4D27C930"/>
    <w:rsid w:val="4D3125BF"/>
    <w:rsid w:val="4D456365"/>
    <w:rsid w:val="4D4990B7"/>
    <w:rsid w:val="4D50A8DA"/>
    <w:rsid w:val="4D61D3DE"/>
    <w:rsid w:val="4D65903E"/>
    <w:rsid w:val="4D66EF6F"/>
    <w:rsid w:val="4D76F044"/>
    <w:rsid w:val="4D7E11FE"/>
    <w:rsid w:val="4DD2CDFA"/>
    <w:rsid w:val="4DEB3442"/>
    <w:rsid w:val="4DFDDAC7"/>
    <w:rsid w:val="4DFF04EE"/>
    <w:rsid w:val="4E1908F3"/>
    <w:rsid w:val="4E199006"/>
    <w:rsid w:val="4E2AF376"/>
    <w:rsid w:val="4E332F55"/>
    <w:rsid w:val="4E466876"/>
    <w:rsid w:val="4E49F32E"/>
    <w:rsid w:val="4E4CF39D"/>
    <w:rsid w:val="4E53FDAE"/>
    <w:rsid w:val="4E58C900"/>
    <w:rsid w:val="4E6269CA"/>
    <w:rsid w:val="4E62BBD8"/>
    <w:rsid w:val="4E8FBDCC"/>
    <w:rsid w:val="4E9BAA01"/>
    <w:rsid w:val="4EA2178A"/>
    <w:rsid w:val="4EA9D719"/>
    <w:rsid w:val="4EA9E7EB"/>
    <w:rsid w:val="4EAB1FC1"/>
    <w:rsid w:val="4EB4E03D"/>
    <w:rsid w:val="4EBAB80A"/>
    <w:rsid w:val="4EC32EBB"/>
    <w:rsid w:val="4EC8A84F"/>
    <w:rsid w:val="4EE7FA1B"/>
    <w:rsid w:val="4EF6B0C9"/>
    <w:rsid w:val="4EF96A8A"/>
    <w:rsid w:val="4F1C2DC4"/>
    <w:rsid w:val="4F3C91EF"/>
    <w:rsid w:val="4F490D2E"/>
    <w:rsid w:val="4F4F103B"/>
    <w:rsid w:val="4F52FC1E"/>
    <w:rsid w:val="4F544E0C"/>
    <w:rsid w:val="4F5FF163"/>
    <w:rsid w:val="4F693BE7"/>
    <w:rsid w:val="4F724AF3"/>
    <w:rsid w:val="4F90B9EC"/>
    <w:rsid w:val="4FA3D658"/>
    <w:rsid w:val="4FB4E55D"/>
    <w:rsid w:val="4FC72765"/>
    <w:rsid w:val="4FDAC3C4"/>
    <w:rsid w:val="4FDE21F6"/>
    <w:rsid w:val="4FE71F66"/>
    <w:rsid w:val="4FE94CBB"/>
    <w:rsid w:val="4FEF22AF"/>
    <w:rsid w:val="4FF50EA4"/>
    <w:rsid w:val="501B6A28"/>
    <w:rsid w:val="501F517E"/>
    <w:rsid w:val="502D494C"/>
    <w:rsid w:val="50396AF2"/>
    <w:rsid w:val="50478BD7"/>
    <w:rsid w:val="5067202A"/>
    <w:rsid w:val="5076B5CC"/>
    <w:rsid w:val="507CC97A"/>
    <w:rsid w:val="507ED750"/>
    <w:rsid w:val="507F511A"/>
    <w:rsid w:val="50800655"/>
    <w:rsid w:val="50835164"/>
    <w:rsid w:val="50926E56"/>
    <w:rsid w:val="5096FD41"/>
    <w:rsid w:val="50A035A6"/>
    <w:rsid w:val="50B8877B"/>
    <w:rsid w:val="50CA4186"/>
    <w:rsid w:val="50D7AB84"/>
    <w:rsid w:val="50DC856F"/>
    <w:rsid w:val="50E0EA4A"/>
    <w:rsid w:val="50F3680D"/>
    <w:rsid w:val="50F59292"/>
    <w:rsid w:val="5107D571"/>
    <w:rsid w:val="510B6DF7"/>
    <w:rsid w:val="511209E2"/>
    <w:rsid w:val="513160F5"/>
    <w:rsid w:val="51455336"/>
    <w:rsid w:val="51534DB7"/>
    <w:rsid w:val="517D84F1"/>
    <w:rsid w:val="5180BCA1"/>
    <w:rsid w:val="5182633B"/>
    <w:rsid w:val="519A1D88"/>
    <w:rsid w:val="51C08B14"/>
    <w:rsid w:val="51CA05CD"/>
    <w:rsid w:val="51F87D39"/>
    <w:rsid w:val="51FE61CA"/>
    <w:rsid w:val="52170C3C"/>
    <w:rsid w:val="523C185E"/>
    <w:rsid w:val="525B60B4"/>
    <w:rsid w:val="52657828"/>
    <w:rsid w:val="527EAA37"/>
    <w:rsid w:val="5284940E"/>
    <w:rsid w:val="528DF4FB"/>
    <w:rsid w:val="5293011E"/>
    <w:rsid w:val="52A3362B"/>
    <w:rsid w:val="52C2F7A9"/>
    <w:rsid w:val="52CB7742"/>
    <w:rsid w:val="52DD58B5"/>
    <w:rsid w:val="52DF9506"/>
    <w:rsid w:val="5315437F"/>
    <w:rsid w:val="531EA565"/>
    <w:rsid w:val="532B30D3"/>
    <w:rsid w:val="5337AFC5"/>
    <w:rsid w:val="53613B6F"/>
    <w:rsid w:val="536AE2A9"/>
    <w:rsid w:val="538FC30C"/>
    <w:rsid w:val="53910F6B"/>
    <w:rsid w:val="53AD6206"/>
    <w:rsid w:val="53B38FDE"/>
    <w:rsid w:val="53DBF799"/>
    <w:rsid w:val="53EDE27D"/>
    <w:rsid w:val="53EE5FC7"/>
    <w:rsid w:val="53F698D4"/>
    <w:rsid w:val="53F6EC2E"/>
    <w:rsid w:val="541D7B00"/>
    <w:rsid w:val="54208F9C"/>
    <w:rsid w:val="542AECFF"/>
    <w:rsid w:val="542CA972"/>
    <w:rsid w:val="542CBD99"/>
    <w:rsid w:val="543528FA"/>
    <w:rsid w:val="543E2B41"/>
    <w:rsid w:val="544247B6"/>
    <w:rsid w:val="5448EEB3"/>
    <w:rsid w:val="5454BE9C"/>
    <w:rsid w:val="54670AD8"/>
    <w:rsid w:val="54759146"/>
    <w:rsid w:val="54786256"/>
    <w:rsid w:val="547F3683"/>
    <w:rsid w:val="5494A10B"/>
    <w:rsid w:val="549FD373"/>
    <w:rsid w:val="54A6363A"/>
    <w:rsid w:val="54C18CAA"/>
    <w:rsid w:val="54DD0E2B"/>
    <w:rsid w:val="54F2AB6E"/>
    <w:rsid w:val="550DBBE3"/>
    <w:rsid w:val="55196FD0"/>
    <w:rsid w:val="551A5ECF"/>
    <w:rsid w:val="55379703"/>
    <w:rsid w:val="554495AC"/>
    <w:rsid w:val="55560DFD"/>
    <w:rsid w:val="555AB431"/>
    <w:rsid w:val="5569F841"/>
    <w:rsid w:val="5573684E"/>
    <w:rsid w:val="557DC663"/>
    <w:rsid w:val="558FEB49"/>
    <w:rsid w:val="559A890E"/>
    <w:rsid w:val="55B8E668"/>
    <w:rsid w:val="55C0E66E"/>
    <w:rsid w:val="55CF047A"/>
    <w:rsid w:val="55EAEBAC"/>
    <w:rsid w:val="55FBC92C"/>
    <w:rsid w:val="5610EDBC"/>
    <w:rsid w:val="561EC37E"/>
    <w:rsid w:val="561FA90C"/>
    <w:rsid w:val="56272294"/>
    <w:rsid w:val="563A92A6"/>
    <w:rsid w:val="565ED5EC"/>
    <w:rsid w:val="567572D8"/>
    <w:rsid w:val="5687D598"/>
    <w:rsid w:val="568E94E9"/>
    <w:rsid w:val="56951ACA"/>
    <w:rsid w:val="56A2AF03"/>
    <w:rsid w:val="56A60CD3"/>
    <w:rsid w:val="56AF2C6E"/>
    <w:rsid w:val="56B0DB48"/>
    <w:rsid w:val="56CDCB67"/>
    <w:rsid w:val="56DA178D"/>
    <w:rsid w:val="56DF0C72"/>
    <w:rsid w:val="56E3957E"/>
    <w:rsid w:val="56E9D393"/>
    <w:rsid w:val="5705A0DE"/>
    <w:rsid w:val="57335FA7"/>
    <w:rsid w:val="573CEC92"/>
    <w:rsid w:val="57637FE2"/>
    <w:rsid w:val="5767F76D"/>
    <w:rsid w:val="5779E7EE"/>
    <w:rsid w:val="5787E1EB"/>
    <w:rsid w:val="5795C882"/>
    <w:rsid w:val="57983741"/>
    <w:rsid w:val="57CBCAF8"/>
    <w:rsid w:val="57CC6D08"/>
    <w:rsid w:val="57F5DAEA"/>
    <w:rsid w:val="58119164"/>
    <w:rsid w:val="5818F3A0"/>
    <w:rsid w:val="583834B3"/>
    <w:rsid w:val="5838E507"/>
    <w:rsid w:val="584F8E3A"/>
    <w:rsid w:val="58677F04"/>
    <w:rsid w:val="5887426F"/>
    <w:rsid w:val="589B9A1B"/>
    <w:rsid w:val="58AC76AC"/>
    <w:rsid w:val="58B29999"/>
    <w:rsid w:val="58B373C8"/>
    <w:rsid w:val="58C4C9F6"/>
    <w:rsid w:val="58D99803"/>
    <w:rsid w:val="58E19B58"/>
    <w:rsid w:val="58E5AD6C"/>
    <w:rsid w:val="58F591EE"/>
    <w:rsid w:val="5901B1AD"/>
    <w:rsid w:val="590C7AF6"/>
    <w:rsid w:val="5912817B"/>
    <w:rsid w:val="59343C6E"/>
    <w:rsid w:val="5936BBD7"/>
    <w:rsid w:val="5948726B"/>
    <w:rsid w:val="59524543"/>
    <w:rsid w:val="5957D1E8"/>
    <w:rsid w:val="595DD592"/>
    <w:rsid w:val="59682139"/>
    <w:rsid w:val="5968A843"/>
    <w:rsid w:val="598127DA"/>
    <w:rsid w:val="59821A14"/>
    <w:rsid w:val="598451FC"/>
    <w:rsid w:val="598766F1"/>
    <w:rsid w:val="598E1EBD"/>
    <w:rsid w:val="599CFCDC"/>
    <w:rsid w:val="59BD4802"/>
    <w:rsid w:val="59CD12F1"/>
    <w:rsid w:val="59D067EF"/>
    <w:rsid w:val="59F23F3A"/>
    <w:rsid w:val="59FCF319"/>
    <w:rsid w:val="59FE6DF0"/>
    <w:rsid w:val="5A0EE3EE"/>
    <w:rsid w:val="5A2F3DEC"/>
    <w:rsid w:val="5A4D1E2F"/>
    <w:rsid w:val="5A4D419F"/>
    <w:rsid w:val="5A661C84"/>
    <w:rsid w:val="5A908E09"/>
    <w:rsid w:val="5A95DBC2"/>
    <w:rsid w:val="5A9D6708"/>
    <w:rsid w:val="5AA228BB"/>
    <w:rsid w:val="5AA5486A"/>
    <w:rsid w:val="5AC4F65A"/>
    <w:rsid w:val="5AC80443"/>
    <w:rsid w:val="5AD30C18"/>
    <w:rsid w:val="5AD9FF64"/>
    <w:rsid w:val="5AF11B03"/>
    <w:rsid w:val="5B13BB5A"/>
    <w:rsid w:val="5B1636E2"/>
    <w:rsid w:val="5B174416"/>
    <w:rsid w:val="5B27121D"/>
    <w:rsid w:val="5B375159"/>
    <w:rsid w:val="5B4733B9"/>
    <w:rsid w:val="5B49355C"/>
    <w:rsid w:val="5B557B44"/>
    <w:rsid w:val="5B6253AB"/>
    <w:rsid w:val="5B70B5B9"/>
    <w:rsid w:val="5B746045"/>
    <w:rsid w:val="5B883A2C"/>
    <w:rsid w:val="5BA84AFC"/>
    <w:rsid w:val="5BA91EC2"/>
    <w:rsid w:val="5BBC0B74"/>
    <w:rsid w:val="5BC7A22A"/>
    <w:rsid w:val="5BCD0B83"/>
    <w:rsid w:val="5BE67E33"/>
    <w:rsid w:val="5BEF577F"/>
    <w:rsid w:val="5BF2E38B"/>
    <w:rsid w:val="5C17845D"/>
    <w:rsid w:val="5C2A2215"/>
    <w:rsid w:val="5C5337D4"/>
    <w:rsid w:val="5C5529ED"/>
    <w:rsid w:val="5C5E2E8F"/>
    <w:rsid w:val="5C6CFEDB"/>
    <w:rsid w:val="5C79960C"/>
    <w:rsid w:val="5C7B8EF9"/>
    <w:rsid w:val="5C8644A5"/>
    <w:rsid w:val="5C8B841F"/>
    <w:rsid w:val="5CA3B186"/>
    <w:rsid w:val="5CB7A2E7"/>
    <w:rsid w:val="5CCE1E39"/>
    <w:rsid w:val="5CD50C5B"/>
    <w:rsid w:val="5CDCA279"/>
    <w:rsid w:val="5CFF56A8"/>
    <w:rsid w:val="5D055C25"/>
    <w:rsid w:val="5D0AE66C"/>
    <w:rsid w:val="5D0B9F5A"/>
    <w:rsid w:val="5D0BC3DC"/>
    <w:rsid w:val="5D1E8135"/>
    <w:rsid w:val="5D22C805"/>
    <w:rsid w:val="5D2DCD13"/>
    <w:rsid w:val="5D382AE4"/>
    <w:rsid w:val="5D3A242C"/>
    <w:rsid w:val="5D57C4AC"/>
    <w:rsid w:val="5D5815BF"/>
    <w:rsid w:val="5D6443BA"/>
    <w:rsid w:val="5D8021E9"/>
    <w:rsid w:val="5D83AD3A"/>
    <w:rsid w:val="5D9FF225"/>
    <w:rsid w:val="5DA9DD0F"/>
    <w:rsid w:val="5DBD262C"/>
    <w:rsid w:val="5DD460ED"/>
    <w:rsid w:val="5DE2F360"/>
    <w:rsid w:val="5DFBD3F5"/>
    <w:rsid w:val="5DFD2326"/>
    <w:rsid w:val="5E019FB5"/>
    <w:rsid w:val="5E0945BA"/>
    <w:rsid w:val="5E137D54"/>
    <w:rsid w:val="5E1AAD91"/>
    <w:rsid w:val="5E2A58AB"/>
    <w:rsid w:val="5E38181F"/>
    <w:rsid w:val="5E4C2072"/>
    <w:rsid w:val="5E5FC168"/>
    <w:rsid w:val="5E76CDBA"/>
    <w:rsid w:val="5EA2DD36"/>
    <w:rsid w:val="5EBDD9F0"/>
    <w:rsid w:val="5EC41FD3"/>
    <w:rsid w:val="5ECD6F88"/>
    <w:rsid w:val="5EEA9409"/>
    <w:rsid w:val="5EEBDA8E"/>
    <w:rsid w:val="5EF92839"/>
    <w:rsid w:val="5F0D87A4"/>
    <w:rsid w:val="5F201541"/>
    <w:rsid w:val="5F36DBAA"/>
    <w:rsid w:val="5F4E0C9B"/>
    <w:rsid w:val="5F4F99C1"/>
    <w:rsid w:val="5F5D46DF"/>
    <w:rsid w:val="5F691375"/>
    <w:rsid w:val="5F76264C"/>
    <w:rsid w:val="5F81C345"/>
    <w:rsid w:val="5F876788"/>
    <w:rsid w:val="5F98CDE8"/>
    <w:rsid w:val="5FC1EBEA"/>
    <w:rsid w:val="5FC1FE79"/>
    <w:rsid w:val="5FDB29A5"/>
    <w:rsid w:val="5FEBB0D5"/>
    <w:rsid w:val="5FEF433A"/>
    <w:rsid w:val="5FF02115"/>
    <w:rsid w:val="60039340"/>
    <w:rsid w:val="600AC860"/>
    <w:rsid w:val="600F6A88"/>
    <w:rsid w:val="602035FE"/>
    <w:rsid w:val="60487C9E"/>
    <w:rsid w:val="6052DE39"/>
    <w:rsid w:val="6059E40B"/>
    <w:rsid w:val="60621A62"/>
    <w:rsid w:val="6077009D"/>
    <w:rsid w:val="607BB141"/>
    <w:rsid w:val="60805905"/>
    <w:rsid w:val="60855933"/>
    <w:rsid w:val="60AB36B2"/>
    <w:rsid w:val="60B1FFCB"/>
    <w:rsid w:val="60B8C7E1"/>
    <w:rsid w:val="60B94F0F"/>
    <w:rsid w:val="60BDBB30"/>
    <w:rsid w:val="60D62ABE"/>
    <w:rsid w:val="60DAD12E"/>
    <w:rsid w:val="60DFBF9A"/>
    <w:rsid w:val="61084312"/>
    <w:rsid w:val="6134A498"/>
    <w:rsid w:val="6141B6D1"/>
    <w:rsid w:val="61439FDC"/>
    <w:rsid w:val="614798BC"/>
    <w:rsid w:val="616FA0B7"/>
    <w:rsid w:val="6174A22C"/>
    <w:rsid w:val="61784B81"/>
    <w:rsid w:val="617AC842"/>
    <w:rsid w:val="617D94B8"/>
    <w:rsid w:val="61883363"/>
    <w:rsid w:val="6188D1D1"/>
    <w:rsid w:val="618BED6C"/>
    <w:rsid w:val="6194CCC7"/>
    <w:rsid w:val="6198E50F"/>
    <w:rsid w:val="619AB49E"/>
    <w:rsid w:val="61A093ED"/>
    <w:rsid w:val="61A94245"/>
    <w:rsid w:val="61AC8B44"/>
    <w:rsid w:val="61B8176F"/>
    <w:rsid w:val="61BA65AE"/>
    <w:rsid w:val="61C97803"/>
    <w:rsid w:val="61CADB01"/>
    <w:rsid w:val="61D8E6FC"/>
    <w:rsid w:val="61DA6E42"/>
    <w:rsid w:val="61DDFF7F"/>
    <w:rsid w:val="61E27D1B"/>
    <w:rsid w:val="61E65231"/>
    <w:rsid w:val="61FAB473"/>
    <w:rsid w:val="6203BE3F"/>
    <w:rsid w:val="62042BF3"/>
    <w:rsid w:val="62099AF3"/>
    <w:rsid w:val="620A454B"/>
    <w:rsid w:val="620D4A0E"/>
    <w:rsid w:val="621120C8"/>
    <w:rsid w:val="6227E534"/>
    <w:rsid w:val="622CC5FD"/>
    <w:rsid w:val="62334529"/>
    <w:rsid w:val="623496BE"/>
    <w:rsid w:val="6243E927"/>
    <w:rsid w:val="624A3A26"/>
    <w:rsid w:val="6252EBC2"/>
    <w:rsid w:val="62602ECD"/>
    <w:rsid w:val="6260E7FE"/>
    <w:rsid w:val="6296303A"/>
    <w:rsid w:val="62A886D6"/>
    <w:rsid w:val="62BDF5A6"/>
    <w:rsid w:val="62C4C153"/>
    <w:rsid w:val="62D53857"/>
    <w:rsid w:val="62E20C8C"/>
    <w:rsid w:val="62E28BC8"/>
    <w:rsid w:val="62F2A9AF"/>
    <w:rsid w:val="62FA4F4E"/>
    <w:rsid w:val="6313DE4C"/>
    <w:rsid w:val="63166071"/>
    <w:rsid w:val="6330ACCF"/>
    <w:rsid w:val="6358B579"/>
    <w:rsid w:val="6360E778"/>
    <w:rsid w:val="6366BEDC"/>
    <w:rsid w:val="6371111B"/>
    <w:rsid w:val="6375AA22"/>
    <w:rsid w:val="6376DA2A"/>
    <w:rsid w:val="637F9B63"/>
    <w:rsid w:val="638C1005"/>
    <w:rsid w:val="6390D7D7"/>
    <w:rsid w:val="639B1BF6"/>
    <w:rsid w:val="63A2250B"/>
    <w:rsid w:val="63A26046"/>
    <w:rsid w:val="63B62C58"/>
    <w:rsid w:val="63B892E3"/>
    <w:rsid w:val="63CD3598"/>
    <w:rsid w:val="63EA8C9D"/>
    <w:rsid w:val="6406741F"/>
    <w:rsid w:val="64102444"/>
    <w:rsid w:val="64286423"/>
    <w:rsid w:val="64375C08"/>
    <w:rsid w:val="643F8898"/>
    <w:rsid w:val="6445FA00"/>
    <w:rsid w:val="6454F91D"/>
    <w:rsid w:val="645A2FD5"/>
    <w:rsid w:val="6461BA7C"/>
    <w:rsid w:val="64663B56"/>
    <w:rsid w:val="646A6EB6"/>
    <w:rsid w:val="647B2778"/>
    <w:rsid w:val="647BC77F"/>
    <w:rsid w:val="647D8455"/>
    <w:rsid w:val="64816F29"/>
    <w:rsid w:val="64A79A5A"/>
    <w:rsid w:val="64C3319C"/>
    <w:rsid w:val="64DF3677"/>
    <w:rsid w:val="64E34D02"/>
    <w:rsid w:val="64F41D9A"/>
    <w:rsid w:val="64FAC20B"/>
    <w:rsid w:val="65108CA8"/>
    <w:rsid w:val="65167E39"/>
    <w:rsid w:val="65245F20"/>
    <w:rsid w:val="6524BF9C"/>
    <w:rsid w:val="652819D7"/>
    <w:rsid w:val="652A9E7D"/>
    <w:rsid w:val="6559B7A0"/>
    <w:rsid w:val="655C6BEA"/>
    <w:rsid w:val="6594F75E"/>
    <w:rsid w:val="659F609C"/>
    <w:rsid w:val="65C18443"/>
    <w:rsid w:val="65C31296"/>
    <w:rsid w:val="65F029FB"/>
    <w:rsid w:val="6607B9B4"/>
    <w:rsid w:val="662CF1BC"/>
    <w:rsid w:val="6648B51D"/>
    <w:rsid w:val="66494333"/>
    <w:rsid w:val="665BCC00"/>
    <w:rsid w:val="6686C1E8"/>
    <w:rsid w:val="668A27A8"/>
    <w:rsid w:val="6692B971"/>
    <w:rsid w:val="669A497F"/>
    <w:rsid w:val="66A3342D"/>
    <w:rsid w:val="66BA4FCD"/>
    <w:rsid w:val="66D70326"/>
    <w:rsid w:val="66E4BFD3"/>
    <w:rsid w:val="66EACF7F"/>
    <w:rsid w:val="66EDD801"/>
    <w:rsid w:val="66F71E97"/>
    <w:rsid w:val="66F9F07A"/>
    <w:rsid w:val="671BD584"/>
    <w:rsid w:val="671F6036"/>
    <w:rsid w:val="6721202E"/>
    <w:rsid w:val="6732F71F"/>
    <w:rsid w:val="673E61DB"/>
    <w:rsid w:val="674C2F97"/>
    <w:rsid w:val="677DF0F4"/>
    <w:rsid w:val="6788BD37"/>
    <w:rsid w:val="67A69082"/>
    <w:rsid w:val="67AADA58"/>
    <w:rsid w:val="67AE6DE2"/>
    <w:rsid w:val="67B43887"/>
    <w:rsid w:val="67B49573"/>
    <w:rsid w:val="67B55D01"/>
    <w:rsid w:val="67C557E9"/>
    <w:rsid w:val="67CF0766"/>
    <w:rsid w:val="67D262C0"/>
    <w:rsid w:val="67DE28EE"/>
    <w:rsid w:val="67F30F94"/>
    <w:rsid w:val="67F974D0"/>
    <w:rsid w:val="67FA78F9"/>
    <w:rsid w:val="68007305"/>
    <w:rsid w:val="680E6315"/>
    <w:rsid w:val="6811EDAA"/>
    <w:rsid w:val="6817E6F5"/>
    <w:rsid w:val="6821F557"/>
    <w:rsid w:val="6824CF59"/>
    <w:rsid w:val="68317264"/>
    <w:rsid w:val="68473541"/>
    <w:rsid w:val="684AA7B2"/>
    <w:rsid w:val="68601F13"/>
    <w:rsid w:val="6860531B"/>
    <w:rsid w:val="68718F0D"/>
    <w:rsid w:val="687916F0"/>
    <w:rsid w:val="6880AEDF"/>
    <w:rsid w:val="6894CDB7"/>
    <w:rsid w:val="68B873BB"/>
    <w:rsid w:val="68BCDC37"/>
    <w:rsid w:val="68CA3ED5"/>
    <w:rsid w:val="68D3DCF8"/>
    <w:rsid w:val="68DA5928"/>
    <w:rsid w:val="68F1A4AE"/>
    <w:rsid w:val="68FB5BCB"/>
    <w:rsid w:val="68FB9D5C"/>
    <w:rsid w:val="690B98EE"/>
    <w:rsid w:val="690DEC5E"/>
    <w:rsid w:val="692EE1D7"/>
    <w:rsid w:val="6932C792"/>
    <w:rsid w:val="694B25D0"/>
    <w:rsid w:val="694F6554"/>
    <w:rsid w:val="6950A0AA"/>
    <w:rsid w:val="695F1A6D"/>
    <w:rsid w:val="69652970"/>
    <w:rsid w:val="69677640"/>
    <w:rsid w:val="696C844C"/>
    <w:rsid w:val="6972CAA6"/>
    <w:rsid w:val="69979D44"/>
    <w:rsid w:val="699FBE25"/>
    <w:rsid w:val="69A32E47"/>
    <w:rsid w:val="69B82E3E"/>
    <w:rsid w:val="69BC27F6"/>
    <w:rsid w:val="69C6BA3E"/>
    <w:rsid w:val="69C7447D"/>
    <w:rsid w:val="69CBD178"/>
    <w:rsid w:val="69D3EF62"/>
    <w:rsid w:val="69DC214A"/>
    <w:rsid w:val="69E3A990"/>
    <w:rsid w:val="69EBAD20"/>
    <w:rsid w:val="69EF2297"/>
    <w:rsid w:val="69F2517E"/>
    <w:rsid w:val="6A01BEF0"/>
    <w:rsid w:val="6A078B04"/>
    <w:rsid w:val="6A1449CC"/>
    <w:rsid w:val="6A1EF992"/>
    <w:rsid w:val="6A35A090"/>
    <w:rsid w:val="6A3CE5EF"/>
    <w:rsid w:val="6A4DB845"/>
    <w:rsid w:val="6A5C848C"/>
    <w:rsid w:val="6A5CACAA"/>
    <w:rsid w:val="6A7B48E8"/>
    <w:rsid w:val="6A93D3E4"/>
    <w:rsid w:val="6AA08AC4"/>
    <w:rsid w:val="6ACF434B"/>
    <w:rsid w:val="6AD188DC"/>
    <w:rsid w:val="6ADA9CBF"/>
    <w:rsid w:val="6B027B67"/>
    <w:rsid w:val="6B093C68"/>
    <w:rsid w:val="6B14F1E1"/>
    <w:rsid w:val="6B27037C"/>
    <w:rsid w:val="6B343C85"/>
    <w:rsid w:val="6B390372"/>
    <w:rsid w:val="6B51AAF4"/>
    <w:rsid w:val="6B640BF9"/>
    <w:rsid w:val="6B75C350"/>
    <w:rsid w:val="6B764D0C"/>
    <w:rsid w:val="6B7E6118"/>
    <w:rsid w:val="6B7F55B7"/>
    <w:rsid w:val="6B87B468"/>
    <w:rsid w:val="6BBF04FB"/>
    <w:rsid w:val="6BC54327"/>
    <w:rsid w:val="6BC69C9D"/>
    <w:rsid w:val="6BD98EE4"/>
    <w:rsid w:val="6BEC2DF0"/>
    <w:rsid w:val="6C1CA61C"/>
    <w:rsid w:val="6C230B11"/>
    <w:rsid w:val="6C2FC848"/>
    <w:rsid w:val="6C30F647"/>
    <w:rsid w:val="6C5EECB7"/>
    <w:rsid w:val="6C7F7089"/>
    <w:rsid w:val="6C884255"/>
    <w:rsid w:val="6CA0859F"/>
    <w:rsid w:val="6CAC8BB6"/>
    <w:rsid w:val="6CBB5690"/>
    <w:rsid w:val="6CBC6194"/>
    <w:rsid w:val="6CC2C206"/>
    <w:rsid w:val="6CCD31B7"/>
    <w:rsid w:val="6CD0E8DE"/>
    <w:rsid w:val="6CEF5715"/>
    <w:rsid w:val="6D07B169"/>
    <w:rsid w:val="6D2ECB3A"/>
    <w:rsid w:val="6D3030F3"/>
    <w:rsid w:val="6D3DBF3A"/>
    <w:rsid w:val="6D42A2FE"/>
    <w:rsid w:val="6D4B56C5"/>
    <w:rsid w:val="6D4E06FA"/>
    <w:rsid w:val="6D4F5256"/>
    <w:rsid w:val="6D62510A"/>
    <w:rsid w:val="6D6A5DA4"/>
    <w:rsid w:val="6D7136EF"/>
    <w:rsid w:val="6D73F5AB"/>
    <w:rsid w:val="6D82419A"/>
    <w:rsid w:val="6D8726EF"/>
    <w:rsid w:val="6D918506"/>
    <w:rsid w:val="6D9536D1"/>
    <w:rsid w:val="6D9551CD"/>
    <w:rsid w:val="6DAE68B8"/>
    <w:rsid w:val="6DC3C272"/>
    <w:rsid w:val="6DCD610B"/>
    <w:rsid w:val="6DD29849"/>
    <w:rsid w:val="6DDB958F"/>
    <w:rsid w:val="6DE3E0F1"/>
    <w:rsid w:val="6DE759EF"/>
    <w:rsid w:val="6DEB9DFA"/>
    <w:rsid w:val="6DFC07CC"/>
    <w:rsid w:val="6E0980C4"/>
    <w:rsid w:val="6E0CC2BD"/>
    <w:rsid w:val="6E1F82F9"/>
    <w:rsid w:val="6E283068"/>
    <w:rsid w:val="6E302684"/>
    <w:rsid w:val="6E33601B"/>
    <w:rsid w:val="6E53BE6C"/>
    <w:rsid w:val="6E5C572D"/>
    <w:rsid w:val="6E60C32C"/>
    <w:rsid w:val="6E6A2BDC"/>
    <w:rsid w:val="6E6DEBDE"/>
    <w:rsid w:val="6E787ABF"/>
    <w:rsid w:val="6E90C614"/>
    <w:rsid w:val="6E956E52"/>
    <w:rsid w:val="6E963645"/>
    <w:rsid w:val="6ED515AF"/>
    <w:rsid w:val="6EDC2080"/>
    <w:rsid w:val="6EE34C0C"/>
    <w:rsid w:val="6EE85496"/>
    <w:rsid w:val="6EEB2878"/>
    <w:rsid w:val="6F15F734"/>
    <w:rsid w:val="6F20650F"/>
    <w:rsid w:val="6F264275"/>
    <w:rsid w:val="6F3F44D1"/>
    <w:rsid w:val="6F439AF7"/>
    <w:rsid w:val="6F4AC87C"/>
    <w:rsid w:val="6F703270"/>
    <w:rsid w:val="6F7D1595"/>
    <w:rsid w:val="6FA98ACE"/>
    <w:rsid w:val="6FD005BE"/>
    <w:rsid w:val="6FE458FA"/>
    <w:rsid w:val="6FEBEB0E"/>
    <w:rsid w:val="7026F2A9"/>
    <w:rsid w:val="70286650"/>
    <w:rsid w:val="704A6740"/>
    <w:rsid w:val="704BE0B3"/>
    <w:rsid w:val="7056CE11"/>
    <w:rsid w:val="7056FFA6"/>
    <w:rsid w:val="708B5B22"/>
    <w:rsid w:val="708EF3B4"/>
    <w:rsid w:val="70966784"/>
    <w:rsid w:val="709C0D65"/>
    <w:rsid w:val="70A955D3"/>
    <w:rsid w:val="70B723F2"/>
    <w:rsid w:val="70C52044"/>
    <w:rsid w:val="70D7FF05"/>
    <w:rsid w:val="70E17DAA"/>
    <w:rsid w:val="70E5609E"/>
    <w:rsid w:val="70FB7BE5"/>
    <w:rsid w:val="70FF2CC3"/>
    <w:rsid w:val="7104CF39"/>
    <w:rsid w:val="710B8B6A"/>
    <w:rsid w:val="715CAF4F"/>
    <w:rsid w:val="71602DB9"/>
    <w:rsid w:val="716715D7"/>
    <w:rsid w:val="71685282"/>
    <w:rsid w:val="716DC4AC"/>
    <w:rsid w:val="71AA4988"/>
    <w:rsid w:val="71AD3283"/>
    <w:rsid w:val="71D4DAAB"/>
    <w:rsid w:val="71E3A8F7"/>
    <w:rsid w:val="71EA9923"/>
    <w:rsid w:val="71F946B7"/>
    <w:rsid w:val="71FF0142"/>
    <w:rsid w:val="7207C115"/>
    <w:rsid w:val="720A3CF4"/>
    <w:rsid w:val="72105604"/>
    <w:rsid w:val="7228ABDD"/>
    <w:rsid w:val="7234DF09"/>
    <w:rsid w:val="72495E48"/>
    <w:rsid w:val="726E4154"/>
    <w:rsid w:val="727CA46D"/>
    <w:rsid w:val="72869E03"/>
    <w:rsid w:val="728B8B86"/>
    <w:rsid w:val="72931107"/>
    <w:rsid w:val="72965C8F"/>
    <w:rsid w:val="72A101D9"/>
    <w:rsid w:val="72A2EE0E"/>
    <w:rsid w:val="72C4DE6B"/>
    <w:rsid w:val="72C909BC"/>
    <w:rsid w:val="72D52CC4"/>
    <w:rsid w:val="72FB0012"/>
    <w:rsid w:val="7303C183"/>
    <w:rsid w:val="730FD45E"/>
    <w:rsid w:val="73165670"/>
    <w:rsid w:val="733D231F"/>
    <w:rsid w:val="7345DA47"/>
    <w:rsid w:val="7346CA2C"/>
    <w:rsid w:val="734C4CAE"/>
    <w:rsid w:val="734EA511"/>
    <w:rsid w:val="7367CFC4"/>
    <w:rsid w:val="736D5F00"/>
    <w:rsid w:val="73769328"/>
    <w:rsid w:val="7379CC3F"/>
    <w:rsid w:val="7383A250"/>
    <w:rsid w:val="738995A2"/>
    <w:rsid w:val="739247BA"/>
    <w:rsid w:val="73A30C23"/>
    <w:rsid w:val="73AE141D"/>
    <w:rsid w:val="73DC616A"/>
    <w:rsid w:val="73DEB48A"/>
    <w:rsid w:val="73E1AFBD"/>
    <w:rsid w:val="73EC6F47"/>
    <w:rsid w:val="73F54F0F"/>
    <w:rsid w:val="73F98D59"/>
    <w:rsid w:val="74015F9A"/>
    <w:rsid w:val="7408CFEF"/>
    <w:rsid w:val="7428311C"/>
    <w:rsid w:val="743A31F2"/>
    <w:rsid w:val="743DE006"/>
    <w:rsid w:val="7450772E"/>
    <w:rsid w:val="7455EB28"/>
    <w:rsid w:val="746C5C5D"/>
    <w:rsid w:val="7476C051"/>
    <w:rsid w:val="7476DFC1"/>
    <w:rsid w:val="747B2FF3"/>
    <w:rsid w:val="7480E4DA"/>
    <w:rsid w:val="7489F97B"/>
    <w:rsid w:val="74A23F24"/>
    <w:rsid w:val="74B8EE13"/>
    <w:rsid w:val="74BDBB1F"/>
    <w:rsid w:val="74FC0972"/>
    <w:rsid w:val="752ABCC3"/>
    <w:rsid w:val="753897D8"/>
    <w:rsid w:val="75482B92"/>
    <w:rsid w:val="75696D72"/>
    <w:rsid w:val="756CD3BB"/>
    <w:rsid w:val="75819E03"/>
    <w:rsid w:val="75945DB7"/>
    <w:rsid w:val="7596D896"/>
    <w:rsid w:val="75A5C32A"/>
    <w:rsid w:val="75C79FD0"/>
    <w:rsid w:val="75C80E53"/>
    <w:rsid w:val="75CCCA6A"/>
    <w:rsid w:val="75E877C4"/>
    <w:rsid w:val="76065654"/>
    <w:rsid w:val="7614AB3B"/>
    <w:rsid w:val="7616D289"/>
    <w:rsid w:val="761C11D4"/>
    <w:rsid w:val="76267149"/>
    <w:rsid w:val="762F3885"/>
    <w:rsid w:val="76302D1E"/>
    <w:rsid w:val="7631B84E"/>
    <w:rsid w:val="76341BCD"/>
    <w:rsid w:val="76350AD3"/>
    <w:rsid w:val="7635A930"/>
    <w:rsid w:val="76672343"/>
    <w:rsid w:val="766D3531"/>
    <w:rsid w:val="767E036E"/>
    <w:rsid w:val="769395AB"/>
    <w:rsid w:val="76990188"/>
    <w:rsid w:val="76A7D3C1"/>
    <w:rsid w:val="76A95876"/>
    <w:rsid w:val="76D56807"/>
    <w:rsid w:val="76DE7850"/>
    <w:rsid w:val="76E08AE4"/>
    <w:rsid w:val="76ED9373"/>
    <w:rsid w:val="76EF7781"/>
    <w:rsid w:val="770A11C5"/>
    <w:rsid w:val="771301B7"/>
    <w:rsid w:val="771B658C"/>
    <w:rsid w:val="771B8E9C"/>
    <w:rsid w:val="771DB124"/>
    <w:rsid w:val="7727C173"/>
    <w:rsid w:val="7732DD4B"/>
    <w:rsid w:val="773489FE"/>
    <w:rsid w:val="773BC2BC"/>
    <w:rsid w:val="7752D80F"/>
    <w:rsid w:val="7755A97F"/>
    <w:rsid w:val="77898430"/>
    <w:rsid w:val="77A0C036"/>
    <w:rsid w:val="77AFC456"/>
    <w:rsid w:val="77BFD27D"/>
    <w:rsid w:val="77D12F35"/>
    <w:rsid w:val="77DF2C12"/>
    <w:rsid w:val="77DF4BA3"/>
    <w:rsid w:val="77E8503F"/>
    <w:rsid w:val="77F39A31"/>
    <w:rsid w:val="77F4AB07"/>
    <w:rsid w:val="78042593"/>
    <w:rsid w:val="7804FA37"/>
    <w:rsid w:val="780824B0"/>
    <w:rsid w:val="7819B664"/>
    <w:rsid w:val="78217DA6"/>
    <w:rsid w:val="782501D9"/>
    <w:rsid w:val="78267139"/>
    <w:rsid w:val="783B1270"/>
    <w:rsid w:val="783D66F1"/>
    <w:rsid w:val="7848D776"/>
    <w:rsid w:val="7848DA7B"/>
    <w:rsid w:val="784F9F47"/>
    <w:rsid w:val="7855C261"/>
    <w:rsid w:val="78722483"/>
    <w:rsid w:val="787E01BF"/>
    <w:rsid w:val="788C1B3E"/>
    <w:rsid w:val="789029B0"/>
    <w:rsid w:val="789BB5D7"/>
    <w:rsid w:val="789E013F"/>
    <w:rsid w:val="789FD6B4"/>
    <w:rsid w:val="78A54126"/>
    <w:rsid w:val="78C234B2"/>
    <w:rsid w:val="78C4081C"/>
    <w:rsid w:val="78D50BF1"/>
    <w:rsid w:val="78F00DA8"/>
    <w:rsid w:val="78F4C685"/>
    <w:rsid w:val="78FE26AD"/>
    <w:rsid w:val="790AA86F"/>
    <w:rsid w:val="792ED659"/>
    <w:rsid w:val="7938DA62"/>
    <w:rsid w:val="793B699F"/>
    <w:rsid w:val="7942EA3C"/>
    <w:rsid w:val="79558D74"/>
    <w:rsid w:val="7959FBE4"/>
    <w:rsid w:val="79765856"/>
    <w:rsid w:val="79814059"/>
    <w:rsid w:val="79891410"/>
    <w:rsid w:val="79AEC6B0"/>
    <w:rsid w:val="79B9F401"/>
    <w:rsid w:val="79BE2F76"/>
    <w:rsid w:val="79BF9987"/>
    <w:rsid w:val="79DA57AB"/>
    <w:rsid w:val="79DE90AE"/>
    <w:rsid w:val="79E76E49"/>
    <w:rsid w:val="79FDC970"/>
    <w:rsid w:val="7A0877BE"/>
    <w:rsid w:val="7A13CE9E"/>
    <w:rsid w:val="7A164DD5"/>
    <w:rsid w:val="7A24E213"/>
    <w:rsid w:val="7A2F71CF"/>
    <w:rsid w:val="7A32A30A"/>
    <w:rsid w:val="7A341B2E"/>
    <w:rsid w:val="7A510A5F"/>
    <w:rsid w:val="7A74C29E"/>
    <w:rsid w:val="7A7FE749"/>
    <w:rsid w:val="7AA38F58"/>
    <w:rsid w:val="7AA85028"/>
    <w:rsid w:val="7ABF187C"/>
    <w:rsid w:val="7AC8847A"/>
    <w:rsid w:val="7AC9682F"/>
    <w:rsid w:val="7AD9F55E"/>
    <w:rsid w:val="7AE3034F"/>
    <w:rsid w:val="7B001FB6"/>
    <w:rsid w:val="7B03F09E"/>
    <w:rsid w:val="7B23B100"/>
    <w:rsid w:val="7B37F186"/>
    <w:rsid w:val="7B431CAB"/>
    <w:rsid w:val="7B44B56D"/>
    <w:rsid w:val="7B4CEF3F"/>
    <w:rsid w:val="7B59BCDF"/>
    <w:rsid w:val="7B7CC999"/>
    <w:rsid w:val="7B8B94AC"/>
    <w:rsid w:val="7BAC43BA"/>
    <w:rsid w:val="7BC69ABA"/>
    <w:rsid w:val="7BE73904"/>
    <w:rsid w:val="7BE7F982"/>
    <w:rsid w:val="7BEA4754"/>
    <w:rsid w:val="7BF03D42"/>
    <w:rsid w:val="7C0BB216"/>
    <w:rsid w:val="7C0FEABD"/>
    <w:rsid w:val="7C19BE36"/>
    <w:rsid w:val="7C29DCB5"/>
    <w:rsid w:val="7C34FCE8"/>
    <w:rsid w:val="7C459932"/>
    <w:rsid w:val="7C60AAFE"/>
    <w:rsid w:val="7C8C3CD5"/>
    <w:rsid w:val="7C939BF5"/>
    <w:rsid w:val="7C95AE36"/>
    <w:rsid w:val="7C96860A"/>
    <w:rsid w:val="7C9D09EE"/>
    <w:rsid w:val="7CAB7334"/>
    <w:rsid w:val="7CABEC60"/>
    <w:rsid w:val="7CACFC1B"/>
    <w:rsid w:val="7CAD8BB1"/>
    <w:rsid w:val="7CB7547B"/>
    <w:rsid w:val="7CBFEAE4"/>
    <w:rsid w:val="7CC76879"/>
    <w:rsid w:val="7CD5C192"/>
    <w:rsid w:val="7CE3CD45"/>
    <w:rsid w:val="7CE55A92"/>
    <w:rsid w:val="7CE96041"/>
    <w:rsid w:val="7CEDB04C"/>
    <w:rsid w:val="7CFBFEEC"/>
    <w:rsid w:val="7CFF2EC5"/>
    <w:rsid w:val="7D055644"/>
    <w:rsid w:val="7D4362B8"/>
    <w:rsid w:val="7D439740"/>
    <w:rsid w:val="7D580A45"/>
    <w:rsid w:val="7D5B3DB3"/>
    <w:rsid w:val="7D817C09"/>
    <w:rsid w:val="7D8EF031"/>
    <w:rsid w:val="7D927DE0"/>
    <w:rsid w:val="7D963DC4"/>
    <w:rsid w:val="7DA866C6"/>
    <w:rsid w:val="7DABBB90"/>
    <w:rsid w:val="7DAFBF76"/>
    <w:rsid w:val="7DB7541E"/>
    <w:rsid w:val="7DBE063E"/>
    <w:rsid w:val="7DCA17A3"/>
    <w:rsid w:val="7DCD0AA5"/>
    <w:rsid w:val="7DCD0EDD"/>
    <w:rsid w:val="7DE0BFA3"/>
    <w:rsid w:val="7DE2F327"/>
    <w:rsid w:val="7DE486F8"/>
    <w:rsid w:val="7E018185"/>
    <w:rsid w:val="7E177202"/>
    <w:rsid w:val="7E1F862C"/>
    <w:rsid w:val="7E202807"/>
    <w:rsid w:val="7E27033E"/>
    <w:rsid w:val="7E389C2E"/>
    <w:rsid w:val="7E3CE867"/>
    <w:rsid w:val="7E44DE62"/>
    <w:rsid w:val="7E569226"/>
    <w:rsid w:val="7E589D63"/>
    <w:rsid w:val="7E68AC21"/>
    <w:rsid w:val="7E79CC30"/>
    <w:rsid w:val="7E83C3A9"/>
    <w:rsid w:val="7E88BD01"/>
    <w:rsid w:val="7E89CC16"/>
    <w:rsid w:val="7EAAD493"/>
    <w:rsid w:val="7EB4C319"/>
    <w:rsid w:val="7ECF5B3C"/>
    <w:rsid w:val="7EDFCB72"/>
    <w:rsid w:val="7EEB5342"/>
    <w:rsid w:val="7EF773A4"/>
    <w:rsid w:val="7EFAF214"/>
    <w:rsid w:val="7EFB4016"/>
    <w:rsid w:val="7F058D09"/>
    <w:rsid w:val="7F106D82"/>
    <w:rsid w:val="7F130659"/>
    <w:rsid w:val="7F167B42"/>
    <w:rsid w:val="7F39F3B9"/>
    <w:rsid w:val="7F425605"/>
    <w:rsid w:val="7F489C81"/>
    <w:rsid w:val="7F5362B3"/>
    <w:rsid w:val="7F693F71"/>
    <w:rsid w:val="7F81E095"/>
    <w:rsid w:val="7F940A9A"/>
    <w:rsid w:val="7F94FF3B"/>
    <w:rsid w:val="7FA00AE7"/>
    <w:rsid w:val="7FAB69F3"/>
    <w:rsid w:val="7FBBA3B1"/>
    <w:rsid w:val="7FC8A5AF"/>
    <w:rsid w:val="7FDD3DC7"/>
    <w:rsid w:val="7FDF81A0"/>
    <w:rsid w:val="7FE32CDF"/>
    <w:rsid w:val="7FFD1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717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40" w:lineRule="atLeast"/>
      <w:jc w:val="both"/>
    </w:pPr>
    <w:rPr>
      <w:rFonts w:ascii="EC Square Sans Pro" w:hAnsi="EC Square Sans Pro"/>
      <w:color w:val="00000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rsid w:val="00D85738"/>
    <w:pPr>
      <w:spacing w:after="0" w:line="240" w:lineRule="auto"/>
      <w:jc w:val="left"/>
    </w:pPr>
  </w:style>
  <w:style w:type="paragraph" w:styleId="FootnoteText">
    <w:name w:val="footnote text"/>
    <w:basedOn w:val="Normal"/>
    <w:link w:val="FootnoteTextChar"/>
    <w:uiPriority w:val="99"/>
    <w:rsid w:val="00D85738"/>
    <w:pPr>
      <w:spacing w:after="0" w:line="240" w:lineRule="auto"/>
      <w:ind w:left="283" w:hanging="283"/>
    </w:pPr>
    <w:rPr>
      <w:sz w:val="16"/>
      <w:szCs w:val="20"/>
    </w:rPr>
  </w:style>
  <w:style w:type="paragraph" w:customStyle="1" w:styleId="ChapterName">
    <w:name w:val="Chapter Name"/>
    <w:basedOn w:val="Normal"/>
    <w:next w:val="Normal"/>
    <w:rsid w:val="00D85738"/>
    <w:pPr>
      <w:spacing w:before="1080" w:line="240" w:lineRule="auto"/>
      <w:jc w:val="left"/>
    </w:pPr>
    <w:rPr>
      <w:b/>
      <w:color w:val="808080"/>
      <w:sz w:val="72"/>
    </w:rPr>
  </w:style>
  <w:style w:type="paragraph" w:customStyle="1" w:styleId="ChapterTitle">
    <w:name w:val="Chapter Title"/>
    <w:basedOn w:val="Normal"/>
    <w:next w:val="Normal"/>
    <w:rsid w:val="00D85738"/>
    <w:pPr>
      <w:spacing w:line="240" w:lineRule="auto"/>
      <w:jc w:val="left"/>
    </w:pPr>
    <w:rPr>
      <w:color w:val="333399"/>
      <w:sz w:val="36"/>
    </w:rPr>
  </w:style>
  <w:style w:type="paragraph" w:customStyle="1" w:styleId="SectionTitle">
    <w:name w:val="Section Title"/>
    <w:basedOn w:val="Normal"/>
    <w:next w:val="SectionSubtitle"/>
    <w:rsid w:val="00D85738"/>
    <w:pPr>
      <w:keepNext/>
      <w:spacing w:before="1080" w:line="240" w:lineRule="auto"/>
      <w:ind w:left="567" w:hanging="567"/>
      <w:jc w:val="left"/>
    </w:pPr>
    <w:rPr>
      <w:caps/>
      <w:color w:val="333399"/>
      <w:sz w:val="28"/>
    </w:rPr>
  </w:style>
  <w:style w:type="paragraph" w:customStyle="1" w:styleId="SectionTitletwolines">
    <w:name w:val="Section Title (two lines)"/>
    <w:basedOn w:val="Normal"/>
    <w:next w:val="SectionSubtitle"/>
    <w:rsid w:val="00D85738"/>
    <w:pPr>
      <w:keepNext/>
      <w:spacing w:before="600" w:after="0" w:line="240" w:lineRule="auto"/>
      <w:ind w:left="567" w:hanging="567"/>
      <w:jc w:val="left"/>
    </w:pPr>
    <w:rPr>
      <w:caps/>
      <w:color w:val="333399"/>
      <w:sz w:val="28"/>
    </w:rPr>
  </w:style>
  <w:style w:type="paragraph" w:customStyle="1" w:styleId="SectionSubtitle">
    <w:name w:val="Section Subtitle"/>
    <w:basedOn w:val="Normal"/>
    <w:next w:val="Normal"/>
    <w:rsid w:val="00D85738"/>
    <w:pPr>
      <w:spacing w:after="360" w:line="240" w:lineRule="auto"/>
      <w:ind w:left="567"/>
      <w:jc w:val="left"/>
    </w:pPr>
    <w:rPr>
      <w:color w:val="333399"/>
      <w:sz w:val="24"/>
    </w:rPr>
  </w:style>
  <w:style w:type="paragraph" w:customStyle="1" w:styleId="HeaderTitleLeft">
    <w:name w:val="Header Title Left"/>
    <w:basedOn w:val="Normal"/>
    <w:next w:val="Normal"/>
    <w:rsid w:val="00D85738"/>
    <w:pPr>
      <w:tabs>
        <w:tab w:val="right" w:pos="8220"/>
      </w:tabs>
      <w:spacing w:before="100" w:after="40" w:line="240" w:lineRule="auto"/>
      <w:ind w:left="-1502"/>
    </w:pPr>
    <w:rPr>
      <w:rFonts w:ascii="EC Square Sans Pro Thin" w:hAnsi="EC Square Sans Pro Thin"/>
      <w:color w:val="333399"/>
      <w:sz w:val="14"/>
    </w:rPr>
  </w:style>
  <w:style w:type="paragraph" w:customStyle="1" w:styleId="HeaderSubtitleLeft">
    <w:name w:val="Header Subtitle Left"/>
    <w:basedOn w:val="Normal"/>
    <w:next w:val="Normal"/>
    <w:rsid w:val="00D85738"/>
    <w:pPr>
      <w:tabs>
        <w:tab w:val="right" w:pos="8220"/>
      </w:tabs>
      <w:spacing w:after="0" w:line="240" w:lineRule="auto"/>
      <w:ind w:left="-1502"/>
    </w:pPr>
    <w:rPr>
      <w:rFonts w:ascii="EC Square Sans Pro Thin" w:hAnsi="EC Square Sans Pro Thin"/>
      <w:color w:val="333399"/>
      <w:sz w:val="14"/>
    </w:rPr>
  </w:style>
  <w:style w:type="paragraph" w:customStyle="1" w:styleId="HeaderTitleRight">
    <w:name w:val="Header Title Right"/>
    <w:basedOn w:val="Normal"/>
    <w:next w:val="Normal"/>
    <w:rsid w:val="00D85738"/>
    <w:pPr>
      <w:spacing w:before="100" w:after="40" w:line="240" w:lineRule="auto"/>
      <w:ind w:right="-1502"/>
      <w:jc w:val="right"/>
    </w:pPr>
    <w:rPr>
      <w:rFonts w:ascii="EC Square Sans Pro Thin" w:hAnsi="EC Square Sans Pro Thin"/>
      <w:color w:val="333399"/>
      <w:sz w:val="14"/>
    </w:rPr>
  </w:style>
  <w:style w:type="paragraph" w:customStyle="1" w:styleId="HeaderSubtitleRight">
    <w:name w:val="Header Subtitle Right"/>
    <w:basedOn w:val="Normal"/>
    <w:next w:val="Normal"/>
    <w:rsid w:val="00D85738"/>
    <w:pPr>
      <w:spacing w:after="0" w:line="240" w:lineRule="auto"/>
      <w:ind w:right="-1502"/>
      <w:jc w:val="right"/>
    </w:pPr>
    <w:rPr>
      <w:rFonts w:ascii="EC Square Sans Pro Thin" w:hAnsi="EC Square Sans Pro Thin"/>
      <w:color w:val="333399"/>
      <w:sz w:val="14"/>
    </w:rPr>
  </w:style>
  <w:style w:type="paragraph" w:customStyle="1" w:styleId="FooterPageNumber">
    <w:name w:val="Footer PageNumber"/>
    <w:basedOn w:val="Normal"/>
    <w:next w:val="Normal"/>
    <w:rsid w:val="00D85738"/>
    <w:pPr>
      <w:framePr w:w="567" w:hSpace="992" w:wrap="around" w:vAnchor="page" w:hAnchor="page" w:xAlign="outside" w:y="16046"/>
      <w:spacing w:after="0" w:line="240" w:lineRule="auto"/>
      <w:jc w:val="center"/>
    </w:pPr>
    <w:rPr>
      <w:color w:val="333399"/>
      <w:sz w:val="18"/>
    </w:rPr>
  </w:style>
  <w:style w:type="paragraph" w:customStyle="1" w:styleId="AnnexTitle">
    <w:name w:val="Annex Title"/>
    <w:basedOn w:val="Normal"/>
    <w:rsid w:val="00D85738"/>
    <w:pPr>
      <w:spacing w:before="120" w:line="240" w:lineRule="auto"/>
      <w:jc w:val="left"/>
    </w:pPr>
    <w:rPr>
      <w:rFonts w:ascii="Century Gothic" w:hAnsi="Century Gothic"/>
      <w:color w:val="333399"/>
      <w:sz w:val="28"/>
    </w:rPr>
  </w:style>
  <w:style w:type="paragraph" w:customStyle="1" w:styleId="PublicationTitle">
    <w:name w:val="Publication Title"/>
    <w:basedOn w:val="Normal"/>
    <w:next w:val="Normal"/>
    <w:rsid w:val="00D85738"/>
    <w:pPr>
      <w:spacing w:after="240" w:line="240" w:lineRule="auto"/>
      <w:jc w:val="center"/>
    </w:pPr>
    <w:rPr>
      <w:color w:val="333399"/>
      <w:sz w:val="48"/>
    </w:rPr>
  </w:style>
  <w:style w:type="paragraph" w:customStyle="1" w:styleId="PublicationSubtitle">
    <w:name w:val="Publication Subtitle"/>
    <w:basedOn w:val="Normal"/>
    <w:next w:val="Normal"/>
    <w:rsid w:val="00D85738"/>
    <w:pPr>
      <w:spacing w:after="240" w:line="240" w:lineRule="auto"/>
      <w:jc w:val="center"/>
    </w:pPr>
    <w:rPr>
      <w:sz w:val="32"/>
    </w:rPr>
  </w:style>
  <w:style w:type="paragraph" w:customStyle="1" w:styleId="Series">
    <w:name w:val="Series"/>
    <w:basedOn w:val="Normal"/>
    <w:next w:val="Normal"/>
    <w:rsid w:val="00D85738"/>
    <w:pPr>
      <w:tabs>
        <w:tab w:val="right" w:pos="8787"/>
      </w:tabs>
      <w:spacing w:before="6240" w:line="240" w:lineRule="auto"/>
      <w:jc w:val="left"/>
    </w:pPr>
    <w:rPr>
      <w:color w:val="333399"/>
    </w:rPr>
  </w:style>
  <w:style w:type="paragraph" w:customStyle="1" w:styleId="Institution">
    <w:name w:val="Institution"/>
    <w:basedOn w:val="Normal"/>
    <w:next w:val="Normal"/>
    <w:rsid w:val="00D85738"/>
    <w:pPr>
      <w:spacing w:line="240" w:lineRule="auto"/>
      <w:jc w:val="left"/>
    </w:pPr>
    <w:rPr>
      <w:sz w:val="24"/>
    </w:rPr>
  </w:style>
  <w:style w:type="paragraph" w:customStyle="1" w:styleId="InstitutionSubtitle">
    <w:name w:val="Institution Subtitle"/>
    <w:basedOn w:val="Normal"/>
    <w:next w:val="Normal"/>
    <w:rsid w:val="00D85738"/>
    <w:pPr>
      <w:spacing w:line="240" w:lineRule="auto"/>
      <w:jc w:val="left"/>
    </w:pPr>
  </w:style>
  <w:style w:type="paragraph" w:customStyle="1" w:styleId="PartTitle">
    <w:name w:val="Part Title"/>
    <w:basedOn w:val="Normal"/>
    <w:next w:val="Normal"/>
    <w:rsid w:val="00D85738"/>
    <w:pPr>
      <w:spacing w:before="1080" w:line="240" w:lineRule="auto"/>
      <w:jc w:val="left"/>
    </w:pPr>
    <w:rPr>
      <w:color w:val="333399"/>
      <w:sz w:val="40"/>
    </w:rPr>
  </w:style>
  <w:style w:type="paragraph" w:customStyle="1" w:styleId="PartSubtitle">
    <w:name w:val="Part Subtitle"/>
    <w:basedOn w:val="Normal"/>
    <w:next w:val="Normal"/>
    <w:rsid w:val="00D85738"/>
    <w:pPr>
      <w:spacing w:line="240" w:lineRule="auto"/>
      <w:jc w:val="left"/>
    </w:pPr>
    <w:rPr>
      <w:color w:val="333399"/>
      <w:sz w:val="32"/>
    </w:rPr>
  </w:style>
  <w:style w:type="character" w:customStyle="1" w:styleId="SectionNumber">
    <w:name w:val="Section Number"/>
    <w:rsid w:val="00D85738"/>
    <w:rPr>
      <w:rFonts w:ascii="EC Square Sans Pro" w:hAnsi="EC Square Sans Pro" w:cs="Times New Roman"/>
      <w:b/>
      <w:color w:val="808080"/>
      <w:sz w:val="72"/>
    </w:rPr>
  </w:style>
  <w:style w:type="paragraph" w:customStyle="1" w:styleId="HeaderTitleLeft30">
    <w:name w:val="Header Title Left (30)"/>
    <w:basedOn w:val="Normal"/>
    <w:next w:val="Normal"/>
    <w:rsid w:val="00D85738"/>
    <w:pPr>
      <w:tabs>
        <w:tab w:val="right" w:pos="8504"/>
      </w:tabs>
      <w:spacing w:before="100" w:after="40" w:line="240" w:lineRule="auto"/>
      <w:ind w:left="-850"/>
    </w:pPr>
    <w:rPr>
      <w:rFonts w:ascii="EC Square Sans Pro Thin" w:hAnsi="EC Square Sans Pro Thin"/>
      <w:color w:val="333399"/>
      <w:sz w:val="14"/>
    </w:rPr>
  </w:style>
  <w:style w:type="paragraph" w:customStyle="1" w:styleId="HeaderSubtitleLeft30">
    <w:name w:val="Header Subtitle Left (30)"/>
    <w:basedOn w:val="Normal"/>
    <w:next w:val="Normal"/>
    <w:rsid w:val="00D85738"/>
    <w:pPr>
      <w:tabs>
        <w:tab w:val="right" w:pos="8504"/>
      </w:tabs>
      <w:spacing w:after="0" w:line="240" w:lineRule="auto"/>
      <w:ind w:left="-850"/>
    </w:pPr>
    <w:rPr>
      <w:rFonts w:ascii="EC Square Sans Pro Thin" w:hAnsi="EC Square Sans Pro Thin"/>
      <w:color w:val="333399"/>
      <w:sz w:val="14"/>
    </w:rPr>
  </w:style>
  <w:style w:type="paragraph" w:customStyle="1" w:styleId="HeaderTitleRight30">
    <w:name w:val="Header Title Right (30)"/>
    <w:basedOn w:val="Normal"/>
    <w:next w:val="Normal"/>
    <w:rsid w:val="00D85738"/>
    <w:pPr>
      <w:spacing w:before="100" w:after="40" w:line="240" w:lineRule="auto"/>
      <w:ind w:right="-850"/>
      <w:jc w:val="right"/>
    </w:pPr>
    <w:rPr>
      <w:rFonts w:ascii="EC Square Sans Pro Thin" w:hAnsi="EC Square Sans Pro Thin"/>
      <w:color w:val="333399"/>
      <w:sz w:val="14"/>
    </w:rPr>
  </w:style>
  <w:style w:type="paragraph" w:customStyle="1" w:styleId="HeaderSubtitleRight30">
    <w:name w:val="Header Subtitle Right (30)"/>
    <w:basedOn w:val="Normal"/>
    <w:next w:val="Normal"/>
    <w:rsid w:val="00D85738"/>
    <w:pPr>
      <w:spacing w:after="0" w:line="240" w:lineRule="auto"/>
      <w:ind w:right="-850"/>
      <w:jc w:val="right"/>
    </w:pPr>
    <w:rPr>
      <w:rFonts w:ascii="EC Square Sans Pro Thin" w:hAnsi="EC Square Sans Pro Thin"/>
      <w:color w:val="333399"/>
      <w:sz w:val="14"/>
    </w:rPr>
  </w:style>
  <w:style w:type="paragraph" w:customStyle="1" w:styleId="FooterPageNumber30">
    <w:name w:val="Footer PageNumber (30)"/>
    <w:basedOn w:val="Normal"/>
    <w:next w:val="Normal"/>
    <w:rsid w:val="00D85738"/>
    <w:pPr>
      <w:framePr w:w="567" w:hSpace="567" w:wrap="around" w:vAnchor="page" w:hAnchor="page" w:xAlign="outside" w:y="16046"/>
      <w:spacing w:after="0" w:line="240" w:lineRule="auto"/>
      <w:jc w:val="center"/>
    </w:pPr>
    <w:rPr>
      <w:color w:val="333399"/>
      <w:sz w:val="18"/>
    </w:rPr>
  </w:style>
  <w:style w:type="paragraph" w:customStyle="1" w:styleId="FooterPageNumber15">
    <w:name w:val="Footer PageNumber (15)"/>
    <w:basedOn w:val="Normal"/>
    <w:next w:val="Normal"/>
    <w:rsid w:val="00D85738"/>
    <w:pPr>
      <w:framePr w:w="567" w:wrap="around" w:vAnchor="page" w:hAnchor="margin" w:xAlign="outside" w:y="16046"/>
      <w:spacing w:after="0" w:line="240" w:lineRule="auto"/>
      <w:jc w:val="center"/>
    </w:pPr>
    <w:rPr>
      <w:color w:val="333399"/>
      <w:sz w:val="18"/>
    </w:rPr>
  </w:style>
  <w:style w:type="paragraph" w:customStyle="1" w:styleId="SectionTitlelarge">
    <w:name w:val="Section Title (large)"/>
    <w:basedOn w:val="Normal"/>
    <w:next w:val="SectionSubtitle"/>
    <w:rsid w:val="00D85738"/>
    <w:pPr>
      <w:keepNext/>
      <w:spacing w:before="1080" w:line="240" w:lineRule="auto"/>
      <w:ind w:left="567" w:hanging="567"/>
      <w:jc w:val="left"/>
    </w:pPr>
    <w:rPr>
      <w:caps/>
      <w:color w:val="333399"/>
      <w:sz w:val="32"/>
    </w:rPr>
  </w:style>
  <w:style w:type="paragraph" w:customStyle="1" w:styleId="SectionTitletwolineslarge">
    <w:name w:val="Section Title (two lines) (large)"/>
    <w:basedOn w:val="Normal"/>
    <w:next w:val="SectionSubtitle"/>
    <w:rsid w:val="00D85738"/>
    <w:pPr>
      <w:keepNext/>
      <w:spacing w:before="1080" w:after="40" w:line="240" w:lineRule="auto"/>
      <w:ind w:left="567" w:hanging="567"/>
      <w:jc w:val="left"/>
    </w:pPr>
    <w:rPr>
      <w:caps/>
      <w:color w:val="333399"/>
      <w:sz w:val="32"/>
    </w:rPr>
  </w:style>
  <w:style w:type="character" w:styleId="FootnoteReference">
    <w:name w:val="footnote reference"/>
    <w:link w:val="FootnotesymbolCarZchn"/>
    <w:uiPriority w:val="99"/>
    <w:rsid w:val="00D85738"/>
    <w:rPr>
      <w:vertAlign w:val="superscript"/>
    </w:rPr>
  </w:style>
  <w:style w:type="paragraph" w:customStyle="1" w:styleId="Heading">
    <w:name w:val="Heading"/>
    <w:basedOn w:val="Normal"/>
    <w:next w:val="Normal"/>
    <w:rsid w:val="00D85738"/>
    <w:pPr>
      <w:keepNext/>
      <w:spacing w:before="120"/>
    </w:pPr>
    <w:rPr>
      <w:rFonts w:ascii="EC Square Sans Pro Medium" w:hAnsi="EC Square Sans Pro Medium"/>
      <w:color w:val="333399"/>
    </w:rPr>
  </w:style>
  <w:style w:type="paragraph" w:customStyle="1" w:styleId="SideNote">
    <w:name w:val="Side Note"/>
    <w:basedOn w:val="Normal"/>
    <w:next w:val="Normal"/>
    <w:rsid w:val="00D85738"/>
    <w:pPr>
      <w:keepNext/>
      <w:framePr w:w="1701" w:h="567" w:hSpace="227" w:wrap="around" w:vAnchor="text" w:hAnchor="page" w:xAlign="outside" w:y="1"/>
      <w:spacing w:after="200" w:line="240" w:lineRule="auto"/>
      <w:jc w:val="left"/>
    </w:pPr>
    <w:rPr>
      <w:color w:val="333399"/>
      <w:sz w:val="14"/>
    </w:rPr>
  </w:style>
  <w:style w:type="paragraph" w:customStyle="1" w:styleId="Abbreviation">
    <w:name w:val="Abbreviation"/>
    <w:basedOn w:val="Normal"/>
    <w:rsid w:val="00D85738"/>
    <w:pPr>
      <w:spacing w:after="0"/>
      <w:ind w:left="1134" w:hanging="1134"/>
    </w:pPr>
  </w:style>
  <w:style w:type="paragraph" w:customStyle="1" w:styleId="BoxShape">
    <w:name w:val="Box Shape"/>
    <w:basedOn w:val="Normal"/>
    <w:next w:val="Normal"/>
    <w:rsid w:val="00D85738"/>
    <w:pPr>
      <w:spacing w:before="120"/>
      <w:jc w:val="center"/>
    </w:pPr>
  </w:style>
  <w:style w:type="paragraph" w:customStyle="1" w:styleId="BoxContinueTop">
    <w:name w:val="Box Continue Top"/>
    <w:basedOn w:val="Normal"/>
    <w:next w:val="Normal"/>
    <w:rsid w:val="00D85738"/>
    <w:pPr>
      <w:spacing w:before="20" w:after="0" w:line="240" w:lineRule="auto"/>
      <w:ind w:left="283"/>
    </w:pPr>
    <w:rPr>
      <w:rFonts w:ascii="EC Square Sans Pro Thin" w:hAnsi="EC Square Sans Pro Thin"/>
      <w:i/>
      <w:color w:val="333399"/>
      <w:sz w:val="14"/>
    </w:rPr>
  </w:style>
  <w:style w:type="paragraph" w:customStyle="1" w:styleId="BoxContinueBottom">
    <w:name w:val="Box Continue Bottom"/>
    <w:basedOn w:val="Normal"/>
    <w:next w:val="Normal"/>
    <w:rsid w:val="00D85738"/>
    <w:pPr>
      <w:spacing w:after="20" w:line="240" w:lineRule="auto"/>
      <w:ind w:right="283"/>
      <w:jc w:val="right"/>
    </w:pPr>
    <w:rPr>
      <w:rFonts w:ascii="EC Square Sans Pro Thin" w:hAnsi="EC Square Sans Pro Thin"/>
      <w:i/>
      <w:color w:val="333399"/>
      <w:sz w:val="14"/>
    </w:rPr>
  </w:style>
  <w:style w:type="paragraph" w:customStyle="1" w:styleId="BottomTable">
    <w:name w:val="Bottom Table"/>
    <w:basedOn w:val="Normal"/>
    <w:next w:val="Normal"/>
    <w:rsid w:val="00D85738"/>
    <w:pPr>
      <w:spacing w:after="0" w:line="240" w:lineRule="auto"/>
      <w:jc w:val="left"/>
    </w:pPr>
  </w:style>
  <w:style w:type="paragraph" w:customStyle="1" w:styleId="DefaultTable">
    <w:name w:val="Default Table"/>
    <w:basedOn w:val="Normal"/>
    <w:next w:val="Normal"/>
    <w:rsid w:val="00D85738"/>
    <w:pPr>
      <w:spacing w:after="0" w:line="240" w:lineRule="auto"/>
      <w:jc w:val="left"/>
    </w:pPr>
  </w:style>
  <w:style w:type="paragraph" w:customStyle="1" w:styleId="BottomCenterTable">
    <w:name w:val="Bottom Center Table"/>
    <w:basedOn w:val="Normal"/>
    <w:next w:val="Normal"/>
    <w:rsid w:val="00D85738"/>
    <w:pPr>
      <w:spacing w:before="160" w:after="0" w:line="240" w:lineRule="auto"/>
      <w:jc w:val="center"/>
    </w:pPr>
  </w:style>
  <w:style w:type="paragraph" w:customStyle="1" w:styleId="BottomTableRestrictedShape">
    <w:name w:val="Bottom Table Restricted Shape"/>
    <w:basedOn w:val="Normal"/>
    <w:next w:val="Normal"/>
    <w:rsid w:val="00D85738"/>
    <w:pPr>
      <w:spacing w:before="160" w:after="0" w:line="240" w:lineRule="auto"/>
      <w:jc w:val="center"/>
    </w:pPr>
  </w:style>
  <w:style w:type="paragraph" w:customStyle="1" w:styleId="GraphTitle">
    <w:name w:val="Graph Title"/>
    <w:basedOn w:val="Normal"/>
    <w:next w:val="Normal"/>
    <w:rsid w:val="00D85738"/>
    <w:pPr>
      <w:keepNext/>
      <w:pBdr>
        <w:top w:val="single" w:sz="2" w:space="5" w:color="auto"/>
        <w:bottom w:val="single" w:sz="2" w:space="5" w:color="auto"/>
      </w:pBdr>
      <w:spacing w:before="60" w:after="0" w:line="240" w:lineRule="auto"/>
      <w:ind w:right="100"/>
    </w:pPr>
    <w:rPr>
      <w:rFonts w:ascii="Century Gothic" w:hAnsi="Century Gothic"/>
      <w:color w:val="333399"/>
      <w:sz w:val="14"/>
    </w:rPr>
  </w:style>
  <w:style w:type="paragraph" w:customStyle="1" w:styleId="GraphSource">
    <w:name w:val="Graph Source"/>
    <w:basedOn w:val="Normal"/>
    <w:next w:val="Normal"/>
    <w:rsid w:val="00D85738"/>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GraphShape">
    <w:name w:val="Graph Shape"/>
    <w:basedOn w:val="Normal"/>
    <w:next w:val="Normal"/>
    <w:rsid w:val="00D85738"/>
    <w:pPr>
      <w:keepNext/>
      <w:spacing w:after="0" w:line="240" w:lineRule="auto"/>
    </w:pPr>
  </w:style>
  <w:style w:type="paragraph" w:customStyle="1" w:styleId="TableTitle">
    <w:name w:val="Table Title"/>
    <w:basedOn w:val="Normal"/>
    <w:next w:val="Normal"/>
    <w:rsid w:val="00D85738"/>
    <w:pPr>
      <w:keepNext/>
      <w:pBdr>
        <w:top w:val="single" w:sz="2" w:space="5" w:color="auto"/>
        <w:bottom w:val="single" w:sz="2" w:space="5" w:color="auto"/>
      </w:pBdr>
      <w:spacing w:before="60" w:after="0" w:line="240" w:lineRule="auto"/>
      <w:ind w:right="100"/>
    </w:pPr>
    <w:rPr>
      <w:rFonts w:ascii="Century Gothic" w:hAnsi="Century Gothic"/>
      <w:color w:val="333399"/>
      <w:sz w:val="14"/>
    </w:rPr>
  </w:style>
  <w:style w:type="paragraph" w:customStyle="1" w:styleId="TableSource">
    <w:name w:val="Table Source"/>
    <w:basedOn w:val="Normal"/>
    <w:next w:val="Normal"/>
    <w:rsid w:val="00D85738"/>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TableShape">
    <w:name w:val="Table Shape"/>
    <w:basedOn w:val="Normal"/>
    <w:next w:val="Normal"/>
    <w:rsid w:val="00D85738"/>
    <w:pPr>
      <w:keepNext/>
      <w:spacing w:after="0" w:line="240" w:lineRule="auto"/>
    </w:pPr>
  </w:style>
  <w:style w:type="paragraph" w:customStyle="1" w:styleId="SNText">
    <w:name w:val="SN Text"/>
    <w:basedOn w:val="Normal"/>
    <w:rsid w:val="00F64EC0"/>
  </w:style>
  <w:style w:type="paragraph" w:customStyle="1" w:styleId="SectionTitleSingleBase">
    <w:name w:val="Section Title (Single Base)"/>
    <w:basedOn w:val="Normal"/>
    <w:rsid w:val="00F64EC0"/>
  </w:style>
  <w:style w:type="paragraph" w:customStyle="1" w:styleId="HEADINGTOC">
    <w:name w:val="HEADING TOC"/>
    <w:basedOn w:val="Normal"/>
    <w:rsid w:val="00F64EC0"/>
  </w:style>
  <w:style w:type="paragraph" w:customStyle="1" w:styleId="FooterPageNumber45">
    <w:name w:val="Footer PageNumber (45)"/>
    <w:basedOn w:val="Normal"/>
    <w:rsid w:val="00F64EC0"/>
  </w:style>
  <w:style w:type="paragraph" w:customStyle="1" w:styleId="SNNumberedHeading1">
    <w:name w:val="SN Numbered Heading 1"/>
    <w:basedOn w:val="Normal"/>
    <w:rsid w:val="00F64EC0"/>
  </w:style>
  <w:style w:type="paragraph" w:customStyle="1" w:styleId="SNNumberedHeading2">
    <w:name w:val="SN Numbered Heading 2"/>
    <w:basedOn w:val="Normal"/>
    <w:rsid w:val="00F64EC0"/>
  </w:style>
  <w:style w:type="paragraph" w:customStyle="1" w:styleId="NumberedHeading1">
    <w:name w:val="Numbered Heading 1"/>
    <w:basedOn w:val="Normal"/>
    <w:rsid w:val="00F64EC0"/>
    <w:pPr>
      <w:jc w:val="left"/>
    </w:pPr>
    <w:rPr>
      <w:rFonts w:ascii="EC Square Sans Pro Medium" w:hAnsi="EC Square Sans Pro Medium"/>
    </w:rPr>
  </w:style>
  <w:style w:type="paragraph" w:customStyle="1" w:styleId="NumberedHeading2">
    <w:name w:val="Numbered Heading 2"/>
    <w:basedOn w:val="Normal"/>
    <w:rsid w:val="00F64EC0"/>
    <w:pPr>
      <w:jc w:val="left"/>
    </w:pPr>
  </w:style>
  <w:style w:type="paragraph" w:customStyle="1" w:styleId="NumberedHeading3">
    <w:name w:val="Numbered Heading 3"/>
    <w:basedOn w:val="Normal"/>
    <w:rsid w:val="00F64EC0"/>
    <w:pPr>
      <w:jc w:val="left"/>
    </w:pPr>
    <w:rPr>
      <w:sz w:val="18"/>
    </w:rPr>
  </w:style>
  <w:style w:type="paragraph" w:customStyle="1" w:styleId="ChapterSubtitle">
    <w:name w:val="Chapter Subtitle"/>
    <w:basedOn w:val="SectionSubtitle"/>
    <w:rsid w:val="00F64EC0"/>
    <w:pPr>
      <w:ind w:left="0"/>
    </w:pPr>
  </w:style>
  <w:style w:type="paragraph" w:customStyle="1" w:styleId="SectionTitleoverview">
    <w:name w:val="Section Title (overview)"/>
    <w:basedOn w:val="SectionTitletwolineslarge"/>
    <w:rsid w:val="00F64EC0"/>
    <w:pPr>
      <w:ind w:left="2268" w:hanging="2268"/>
    </w:pPr>
  </w:style>
  <w:style w:type="paragraph" w:customStyle="1" w:styleId="SectionSubtitleoverview">
    <w:name w:val="Section Subtitle (overview)"/>
    <w:basedOn w:val="SectionSubtitle"/>
    <w:rsid w:val="00F64EC0"/>
    <w:pPr>
      <w:ind w:left="2268"/>
    </w:pPr>
  </w:style>
  <w:style w:type="paragraph" w:customStyle="1" w:styleId="SubsectionTitle">
    <w:name w:val="Subsection Title"/>
    <w:basedOn w:val="Normal"/>
    <w:rsid w:val="00F64EC0"/>
  </w:style>
  <w:style w:type="paragraph" w:customStyle="1" w:styleId="SNSideNote">
    <w:name w:val="SN SideNote"/>
    <w:basedOn w:val="Normal"/>
    <w:rsid w:val="00F64EC0"/>
  </w:style>
  <w:style w:type="paragraph" w:customStyle="1" w:styleId="Abstract">
    <w:name w:val="Abstract"/>
    <w:basedOn w:val="Normal"/>
    <w:rsid w:val="00F64EC0"/>
    <w:pPr>
      <w:framePr w:w="8164" w:wrap="around" w:vAnchor="text" w:hAnchor="text" w:y="1"/>
      <w:ind w:left="57" w:right="57"/>
    </w:pPr>
  </w:style>
  <w:style w:type="paragraph" w:customStyle="1" w:styleId="PublicationSupertitle">
    <w:name w:val="Publication Supertitle"/>
    <w:basedOn w:val="Normal"/>
    <w:rsid w:val="00F64EC0"/>
    <w:pPr>
      <w:spacing w:before="2640" w:after="240"/>
      <w:jc w:val="center"/>
    </w:pPr>
  </w:style>
  <w:style w:type="paragraph" w:customStyle="1" w:styleId="SectionTitlenonumber">
    <w:name w:val="Section Title (no number)"/>
    <w:basedOn w:val="Normal"/>
    <w:rsid w:val="00F64EC0"/>
    <w:pPr>
      <w:keepNext/>
      <w:spacing w:before="1080" w:after="40" w:line="240" w:lineRule="auto"/>
      <w:jc w:val="left"/>
    </w:pPr>
    <w:rPr>
      <w:caps/>
      <w:color w:val="333399"/>
      <w:sz w:val="32"/>
    </w:rPr>
  </w:style>
  <w:style w:type="paragraph" w:customStyle="1" w:styleId="TableContinueTop">
    <w:name w:val="Table Continue Top"/>
    <w:basedOn w:val="Normal"/>
    <w:rsid w:val="00F64EC0"/>
    <w:rPr>
      <w:rFonts w:ascii="EC Square Sans Pro Thin" w:hAnsi="EC Square Sans Pro Thin"/>
    </w:rPr>
  </w:style>
  <w:style w:type="paragraph" w:customStyle="1" w:styleId="TableContinueBottom">
    <w:name w:val="Table Continue Bottom"/>
    <w:basedOn w:val="Normal"/>
    <w:rsid w:val="00F64EC0"/>
    <w:rPr>
      <w:rFonts w:ascii="EC Square Sans Pro Thin" w:hAnsi="EC Square Sans Pro Thin"/>
    </w:rPr>
  </w:style>
  <w:style w:type="paragraph" w:styleId="TOC1">
    <w:name w:val="toc 1"/>
    <w:basedOn w:val="Normal"/>
    <w:next w:val="Normal"/>
    <w:autoRedefine/>
    <w:semiHidden/>
    <w:unhideWhenUsed/>
    <w:rsid w:val="00F64EC0"/>
    <w:pPr>
      <w:tabs>
        <w:tab w:val="left" w:pos="709"/>
        <w:tab w:val="right" w:pos="8504"/>
      </w:tabs>
      <w:spacing w:after="100"/>
      <w:ind w:left="709"/>
    </w:pPr>
  </w:style>
  <w:style w:type="paragraph" w:styleId="TOC2">
    <w:name w:val="toc 2"/>
    <w:basedOn w:val="Normal"/>
    <w:next w:val="Normal"/>
    <w:autoRedefine/>
    <w:semiHidden/>
    <w:unhideWhenUsed/>
    <w:rsid w:val="00F64EC0"/>
    <w:pPr>
      <w:tabs>
        <w:tab w:val="left" w:pos="1786"/>
        <w:tab w:val="right" w:pos="8504"/>
      </w:tabs>
      <w:spacing w:after="100"/>
      <w:ind w:left="1786" w:hanging="425"/>
    </w:pPr>
  </w:style>
  <w:style w:type="paragraph" w:styleId="TOC3">
    <w:name w:val="toc 3"/>
    <w:basedOn w:val="Normal"/>
    <w:next w:val="Normal"/>
    <w:autoRedefine/>
    <w:semiHidden/>
    <w:unhideWhenUsed/>
    <w:rsid w:val="00F64EC0"/>
    <w:pPr>
      <w:tabs>
        <w:tab w:val="left" w:pos="1361"/>
        <w:tab w:val="right" w:pos="8504"/>
      </w:tabs>
      <w:spacing w:before="40" w:after="40"/>
      <w:ind w:left="1361" w:hanging="652"/>
    </w:pPr>
    <w:rPr>
      <w:caps/>
      <w:color w:val="333399"/>
    </w:rPr>
  </w:style>
  <w:style w:type="paragraph" w:styleId="TOC4">
    <w:name w:val="toc 4"/>
    <w:basedOn w:val="Normal"/>
    <w:next w:val="Normal"/>
    <w:autoRedefine/>
    <w:semiHidden/>
    <w:unhideWhenUsed/>
    <w:rsid w:val="00F64EC0"/>
    <w:pPr>
      <w:tabs>
        <w:tab w:val="left" w:pos="2211"/>
        <w:tab w:val="right" w:pos="8504"/>
      </w:tabs>
      <w:spacing w:after="100"/>
      <w:ind w:left="2211" w:hanging="850"/>
    </w:pPr>
    <w:rPr>
      <w:color w:val="333399"/>
    </w:rPr>
  </w:style>
  <w:style w:type="paragraph" w:styleId="TOC5">
    <w:name w:val="toc 5"/>
    <w:basedOn w:val="Normal"/>
    <w:next w:val="Normal"/>
    <w:autoRedefine/>
    <w:semiHidden/>
    <w:unhideWhenUsed/>
    <w:rsid w:val="00F64EC0"/>
    <w:pPr>
      <w:tabs>
        <w:tab w:val="left" w:pos="2211"/>
        <w:tab w:val="right" w:pos="8504"/>
      </w:tabs>
      <w:spacing w:after="100"/>
      <w:ind w:left="800"/>
    </w:pPr>
  </w:style>
  <w:style w:type="paragraph" w:styleId="TOC6">
    <w:name w:val="toc 6"/>
    <w:basedOn w:val="Normal"/>
    <w:next w:val="Normal"/>
    <w:autoRedefine/>
    <w:semiHidden/>
    <w:unhideWhenUsed/>
    <w:rsid w:val="00F64EC0"/>
    <w:pPr>
      <w:keepNext/>
      <w:tabs>
        <w:tab w:val="right" w:pos="8504"/>
      </w:tabs>
      <w:spacing w:before="120" w:after="60"/>
      <w:ind w:left="1000"/>
    </w:pPr>
    <w:rPr>
      <w:sz w:val="22"/>
    </w:rPr>
  </w:style>
  <w:style w:type="paragraph" w:styleId="TOC7">
    <w:name w:val="toc 7"/>
    <w:basedOn w:val="Normal"/>
    <w:next w:val="Normal"/>
    <w:autoRedefine/>
    <w:semiHidden/>
    <w:unhideWhenUsed/>
    <w:rsid w:val="00F64EC0"/>
    <w:pPr>
      <w:tabs>
        <w:tab w:val="right" w:pos="8504"/>
      </w:tabs>
      <w:spacing w:after="100"/>
      <w:ind w:left="1200"/>
    </w:pPr>
  </w:style>
  <w:style w:type="paragraph" w:customStyle="1" w:styleId="HeaderTitleLeft45">
    <w:name w:val="Header Title Left (45)"/>
    <w:basedOn w:val="Normal"/>
    <w:rsid w:val="00F64EC0"/>
    <w:rPr>
      <w:rFonts w:ascii="EC Square Sans Pro Thin" w:hAnsi="EC Square Sans Pro Thin"/>
    </w:rPr>
  </w:style>
  <w:style w:type="paragraph" w:customStyle="1" w:styleId="HeaderSubtitleLeft15">
    <w:name w:val="Header Subtitle Left (15)"/>
    <w:basedOn w:val="Normal"/>
    <w:rsid w:val="00F64EC0"/>
    <w:rPr>
      <w:rFonts w:ascii="EC Square Sans Pro Thin" w:hAnsi="EC Square Sans Pro Thin"/>
    </w:rPr>
  </w:style>
  <w:style w:type="paragraph" w:customStyle="1" w:styleId="HeaderSubtitleLeft45">
    <w:name w:val="Header Subtitle Left (45)"/>
    <w:basedOn w:val="Normal"/>
    <w:rsid w:val="00F64EC0"/>
    <w:rPr>
      <w:rFonts w:ascii="EC Square Sans Pro Thin" w:hAnsi="EC Square Sans Pro Thin"/>
    </w:rPr>
  </w:style>
  <w:style w:type="paragraph" w:customStyle="1" w:styleId="HeaderTitleLeft15">
    <w:name w:val="Header Title Left (15)"/>
    <w:basedOn w:val="Normal"/>
    <w:rsid w:val="00F64EC0"/>
    <w:pPr>
      <w:tabs>
        <w:tab w:val="right" w:pos="9921"/>
      </w:tabs>
      <w:spacing w:before="100" w:after="40"/>
    </w:pPr>
    <w:rPr>
      <w:rFonts w:ascii="EC Square Sans Pro Thin" w:hAnsi="EC Square Sans Pro Thin"/>
      <w:color w:val="333399"/>
      <w:sz w:val="14"/>
    </w:rPr>
  </w:style>
  <w:style w:type="paragraph" w:customStyle="1" w:styleId="HeaderSubitleLeft15">
    <w:name w:val="Header Subitle Left (15)"/>
    <w:basedOn w:val="Normal"/>
    <w:rsid w:val="00F64EC0"/>
    <w:pPr>
      <w:tabs>
        <w:tab w:val="right" w:pos="9921"/>
      </w:tabs>
    </w:pPr>
    <w:rPr>
      <w:rFonts w:ascii="EC Square Sans Pro Thin" w:hAnsi="EC Square Sans Pro Thin"/>
      <w:color w:val="333399"/>
      <w:sz w:val="14"/>
    </w:rPr>
  </w:style>
  <w:style w:type="paragraph" w:customStyle="1" w:styleId="HeaderTitleRight45">
    <w:name w:val="Header Title Right (45)"/>
    <w:basedOn w:val="Normal"/>
    <w:rsid w:val="00F64EC0"/>
    <w:rPr>
      <w:rFonts w:ascii="EC Square Sans Pro Thin" w:hAnsi="EC Square Sans Pro Thin"/>
    </w:rPr>
  </w:style>
  <w:style w:type="paragraph" w:customStyle="1" w:styleId="HeaderSubtitleRight15">
    <w:name w:val="Header Subtitle Right (15)"/>
    <w:basedOn w:val="Normal"/>
    <w:rsid w:val="00F64EC0"/>
    <w:rPr>
      <w:rFonts w:ascii="EC Square Sans Pro Thin" w:hAnsi="EC Square Sans Pro Thin"/>
    </w:rPr>
  </w:style>
  <w:style w:type="paragraph" w:customStyle="1" w:styleId="HeaderSubtitleRight45">
    <w:name w:val="Header Subtitle Right (45)"/>
    <w:basedOn w:val="Normal"/>
    <w:rsid w:val="00F64EC0"/>
    <w:rPr>
      <w:rFonts w:ascii="EC Square Sans Pro Thin" w:hAnsi="EC Square Sans Pro Thin"/>
    </w:rPr>
  </w:style>
  <w:style w:type="paragraph" w:customStyle="1" w:styleId="HeaderTitleRight15">
    <w:name w:val="Header Title Right (15)"/>
    <w:basedOn w:val="Normal"/>
    <w:rsid w:val="00F64EC0"/>
    <w:pPr>
      <w:spacing w:before="100" w:after="40"/>
      <w:jc w:val="right"/>
    </w:pPr>
    <w:rPr>
      <w:rFonts w:ascii="EC Square Sans Pro Thin" w:hAnsi="EC Square Sans Pro Thin"/>
      <w:color w:val="333399"/>
      <w:sz w:val="14"/>
    </w:rPr>
  </w:style>
  <w:style w:type="paragraph" w:customStyle="1" w:styleId="HeaderSubitleRight15">
    <w:name w:val="Header Subitle Right (15)"/>
    <w:basedOn w:val="Normal"/>
    <w:rsid w:val="00F64EC0"/>
    <w:pPr>
      <w:jc w:val="right"/>
    </w:pPr>
    <w:rPr>
      <w:rFonts w:ascii="EC Square Sans Pro Thin" w:hAnsi="EC Square Sans Pro Thin"/>
      <w:color w:val="333399"/>
      <w:sz w:val="14"/>
    </w:rPr>
  </w:style>
  <w:style w:type="paragraph" w:customStyle="1" w:styleId="SectionTitletop">
    <w:name w:val="Section Title (top)"/>
    <w:basedOn w:val="SectionTitlelarge"/>
    <w:rsid w:val="00F64EC0"/>
    <w:pPr>
      <w:spacing w:before="600"/>
    </w:pPr>
  </w:style>
  <w:style w:type="paragraph" w:customStyle="1" w:styleId="SectionTitlethreelineslarge">
    <w:name w:val="Section Title (three lines) (large)"/>
    <w:basedOn w:val="Normal"/>
    <w:rsid w:val="00F64EC0"/>
    <w:pPr>
      <w:ind w:left="567" w:hanging="567"/>
    </w:pPr>
  </w:style>
  <w:style w:type="paragraph" w:customStyle="1" w:styleId="MapTitle">
    <w:name w:val="Map Title"/>
    <w:basedOn w:val="Normal"/>
    <w:rsid w:val="00F64EC0"/>
    <w:pPr>
      <w:spacing w:after="0"/>
    </w:pPr>
  </w:style>
  <w:style w:type="paragraph" w:styleId="Header">
    <w:name w:val="header"/>
    <w:basedOn w:val="Normal"/>
    <w:link w:val="HeaderChar"/>
    <w:unhideWhenUsed/>
    <w:rsid w:val="00F64EC0"/>
    <w:pPr>
      <w:tabs>
        <w:tab w:val="center" w:pos="4513"/>
        <w:tab w:val="right" w:pos="9026"/>
      </w:tabs>
      <w:spacing w:after="0" w:line="240" w:lineRule="auto"/>
    </w:pPr>
  </w:style>
  <w:style w:type="character" w:customStyle="1" w:styleId="HeaderChar">
    <w:name w:val="Header Char"/>
    <w:basedOn w:val="DefaultParagraphFont"/>
    <w:link w:val="Header"/>
    <w:rsid w:val="00F64EC0"/>
    <w:rPr>
      <w:rFonts w:ascii="EC Square Sans Pro" w:hAnsi="EC Square Sans Pro"/>
      <w:color w:val="000000"/>
      <w:szCs w:val="24"/>
      <w:lang w:val="ro-RO"/>
    </w:rPr>
  </w:style>
  <w:style w:type="paragraph" w:styleId="ListParagraph">
    <w:name w:val="List Paragraph"/>
    <w:basedOn w:val="Normal"/>
    <w:uiPriority w:val="34"/>
    <w:qFormat/>
    <w:rsid w:val="003C562C"/>
    <w:pPr>
      <w:ind w:left="720"/>
      <w:contextualSpacing/>
    </w:pPr>
  </w:style>
  <w:style w:type="paragraph" w:customStyle="1" w:styleId="Text1">
    <w:name w:val="Text 1"/>
    <w:basedOn w:val="Normal"/>
    <w:uiPriority w:val="99"/>
    <w:rsid w:val="00861E10"/>
    <w:pPr>
      <w:spacing w:before="120" w:line="240" w:lineRule="auto"/>
      <w:ind w:left="850"/>
    </w:pPr>
    <w:rPr>
      <w:rFonts w:ascii="Times New Roman" w:hAnsi="Times New Roman"/>
      <w:color w:val="auto"/>
      <w:sz w:val="24"/>
      <w:szCs w:val="20"/>
      <w:lang w:eastAsia="en-GB"/>
    </w:rPr>
  </w:style>
  <w:style w:type="character" w:styleId="CommentReference">
    <w:name w:val="annotation reference"/>
    <w:basedOn w:val="DefaultParagraphFont"/>
    <w:semiHidden/>
    <w:unhideWhenUsed/>
    <w:rsid w:val="00C25B3E"/>
    <w:rPr>
      <w:sz w:val="16"/>
      <w:szCs w:val="16"/>
    </w:rPr>
  </w:style>
  <w:style w:type="paragraph" w:styleId="CommentText">
    <w:name w:val="annotation text"/>
    <w:basedOn w:val="Normal"/>
    <w:link w:val="CommentTextChar"/>
    <w:unhideWhenUsed/>
    <w:rsid w:val="00C25B3E"/>
    <w:pPr>
      <w:spacing w:line="240" w:lineRule="auto"/>
    </w:pPr>
    <w:rPr>
      <w:szCs w:val="20"/>
    </w:rPr>
  </w:style>
  <w:style w:type="character" w:customStyle="1" w:styleId="CommentTextChar">
    <w:name w:val="Comment Text Char"/>
    <w:basedOn w:val="DefaultParagraphFont"/>
    <w:link w:val="CommentText"/>
    <w:rsid w:val="00C25B3E"/>
    <w:rPr>
      <w:rFonts w:ascii="EC Square Sans Pro" w:hAnsi="EC Square Sans Pro"/>
      <w:color w:val="000000"/>
      <w:lang w:val="ro-RO"/>
    </w:rPr>
  </w:style>
  <w:style w:type="paragraph" w:styleId="CommentSubject">
    <w:name w:val="annotation subject"/>
    <w:basedOn w:val="CommentText"/>
    <w:next w:val="CommentText"/>
    <w:link w:val="CommentSubjectChar"/>
    <w:semiHidden/>
    <w:unhideWhenUsed/>
    <w:rsid w:val="00C25B3E"/>
    <w:rPr>
      <w:b/>
      <w:bCs/>
    </w:rPr>
  </w:style>
  <w:style w:type="character" w:customStyle="1" w:styleId="CommentSubjectChar">
    <w:name w:val="Comment Subject Char"/>
    <w:basedOn w:val="CommentTextChar"/>
    <w:link w:val="CommentSubject"/>
    <w:semiHidden/>
    <w:rsid w:val="00C25B3E"/>
    <w:rPr>
      <w:rFonts w:ascii="EC Square Sans Pro" w:hAnsi="EC Square Sans Pro"/>
      <w:b/>
      <w:bCs/>
      <w:color w:val="000000"/>
      <w:lang w:val="ro-RO"/>
    </w:rPr>
  </w:style>
  <w:style w:type="paragraph" w:styleId="Revision">
    <w:name w:val="Revision"/>
    <w:hidden/>
    <w:uiPriority w:val="99"/>
    <w:semiHidden/>
    <w:rsid w:val="008D530F"/>
    <w:rPr>
      <w:rFonts w:ascii="EC Square Sans Pro" w:hAnsi="EC Square Sans Pro"/>
      <w:color w:val="000000"/>
      <w:szCs w:val="24"/>
    </w:rPr>
  </w:style>
  <w:style w:type="character" w:styleId="Hyperlink">
    <w:name w:val="Hyperlink"/>
    <w:basedOn w:val="DefaultParagraphFont"/>
    <w:uiPriority w:val="99"/>
    <w:unhideWhenUsed/>
    <w:rsid w:val="2C28BDD6"/>
    <w:rPr>
      <w:color w:val="0000FF"/>
      <w:u w:val="single"/>
    </w:rPr>
  </w:style>
  <w:style w:type="character" w:customStyle="1" w:styleId="FootnoteTextChar">
    <w:name w:val="Footnote Text Char"/>
    <w:basedOn w:val="DefaultParagraphFont"/>
    <w:link w:val="FootnoteText"/>
    <w:uiPriority w:val="99"/>
    <w:rsid w:val="009C6F80"/>
    <w:rPr>
      <w:rFonts w:ascii="EC Square Sans Pro" w:hAnsi="EC Square Sans Pro"/>
      <w:color w:val="000000"/>
      <w:sz w:val="16"/>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518DF"/>
    <w:pPr>
      <w:spacing w:after="160" w:line="240" w:lineRule="exact"/>
    </w:pPr>
    <w:rPr>
      <w:rFonts w:ascii="Times New Roman" w:hAnsi="Times New Roman"/>
      <w:color w:val="auto"/>
      <w:szCs w:val="20"/>
      <w:vertAlign w:val="superscript"/>
    </w:rPr>
  </w:style>
  <w:style w:type="character" w:customStyle="1" w:styleId="Mention">
    <w:name w:val="Mention"/>
    <w:basedOn w:val="DefaultParagraphFont"/>
    <w:uiPriority w:val="99"/>
    <w:unhideWhenUsed/>
    <w:rsid w:val="005652EF"/>
    <w:rPr>
      <w:color w:val="2B579A"/>
      <w:shd w:val="clear" w:color="auto" w:fill="E1DFDD"/>
    </w:rPr>
  </w:style>
  <w:style w:type="character" w:customStyle="1" w:styleId="Marker">
    <w:name w:val="Marker"/>
    <w:basedOn w:val="DefaultParagraphFont"/>
    <w:rsid w:val="00E46E5E"/>
    <w:rPr>
      <w:color w:val="0000FF"/>
      <w:shd w:val="clear" w:color="auto" w:fill="auto"/>
    </w:rPr>
  </w:style>
  <w:style w:type="paragraph" w:customStyle="1" w:styleId="Pagedecouverture">
    <w:name w:val="Page de couverture"/>
    <w:basedOn w:val="Normal"/>
    <w:next w:val="Normal"/>
    <w:rsid w:val="00E46E5E"/>
    <w:pPr>
      <w:spacing w:after="0" w:line="240" w:lineRule="auto"/>
    </w:pPr>
    <w:rPr>
      <w:rFonts w:ascii="Times New Roman" w:eastAsiaTheme="minorHAnsi" w:hAnsi="Times New Roman"/>
      <w:color w:val="auto"/>
      <w:sz w:val="24"/>
      <w:szCs w:val="22"/>
    </w:rPr>
  </w:style>
  <w:style w:type="paragraph" w:customStyle="1" w:styleId="FooterCoverPage">
    <w:name w:val="Footer Cover Page"/>
    <w:basedOn w:val="Normal"/>
    <w:link w:val="FooterCoverPageChar"/>
    <w:rsid w:val="00E46E5E"/>
    <w:pPr>
      <w:tabs>
        <w:tab w:val="center" w:pos="4535"/>
        <w:tab w:val="right" w:pos="9071"/>
        <w:tab w:val="right" w:pos="9921"/>
      </w:tabs>
      <w:spacing w:before="360" w:after="0" w:line="240" w:lineRule="auto"/>
      <w:ind w:left="-850" w:right="-850"/>
      <w:jc w:val="left"/>
    </w:pPr>
    <w:rPr>
      <w:rFonts w:ascii="Times New Roman" w:hAnsi="Times New Roman"/>
      <w:sz w:val="24"/>
    </w:rPr>
  </w:style>
  <w:style w:type="character" w:customStyle="1" w:styleId="FooterCoverPageChar">
    <w:name w:val="Footer Cover Page Char"/>
    <w:basedOn w:val="DefaultParagraphFont"/>
    <w:link w:val="FooterCoverPage"/>
    <w:rsid w:val="00E46E5E"/>
    <w:rPr>
      <w:color w:val="000000"/>
      <w:sz w:val="24"/>
      <w:szCs w:val="24"/>
    </w:rPr>
  </w:style>
  <w:style w:type="paragraph" w:customStyle="1" w:styleId="FooterSensitivity">
    <w:name w:val="Footer Sensitivity"/>
    <w:basedOn w:val="Normal"/>
    <w:link w:val="FooterSensitivityChar"/>
    <w:rsid w:val="00E46E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E46E5E"/>
    <w:rPr>
      <w:b/>
      <w:color w:val="000000"/>
      <w:sz w:val="32"/>
      <w:szCs w:val="24"/>
    </w:rPr>
  </w:style>
  <w:style w:type="paragraph" w:customStyle="1" w:styleId="HeaderCoverPage">
    <w:name w:val="Header Cover Page"/>
    <w:basedOn w:val="Normal"/>
    <w:link w:val="HeaderCoverPageChar"/>
    <w:rsid w:val="00E46E5E"/>
    <w:pPr>
      <w:tabs>
        <w:tab w:val="center" w:pos="4535"/>
        <w:tab w:val="right" w:pos="9071"/>
      </w:tabs>
      <w:spacing w:line="240" w:lineRule="auto"/>
    </w:pPr>
    <w:rPr>
      <w:rFonts w:ascii="Times New Roman" w:hAnsi="Times New Roman"/>
      <w:sz w:val="24"/>
    </w:rPr>
  </w:style>
  <w:style w:type="character" w:customStyle="1" w:styleId="HeaderCoverPageChar">
    <w:name w:val="Header Cover Page Char"/>
    <w:basedOn w:val="DefaultParagraphFont"/>
    <w:link w:val="HeaderCoverPage"/>
    <w:rsid w:val="00E46E5E"/>
    <w:rPr>
      <w:color w:val="000000"/>
      <w:sz w:val="24"/>
      <w:szCs w:val="24"/>
    </w:rPr>
  </w:style>
  <w:style w:type="paragraph" w:customStyle="1" w:styleId="HeaderSensitivity">
    <w:name w:val="Header Sensitivity"/>
    <w:basedOn w:val="Normal"/>
    <w:link w:val="HeaderSensitivityChar"/>
    <w:rsid w:val="00E46E5E"/>
    <w:pPr>
      <w:pBdr>
        <w:top w:val="single" w:sz="4" w:space="1" w:color="auto"/>
        <w:left w:val="single" w:sz="4" w:space="4" w:color="auto"/>
        <w:bottom w:val="single" w:sz="4" w:space="1" w:color="auto"/>
        <w:right w:val="single" w:sz="4" w:space="4" w:color="auto"/>
      </w:pBdr>
      <w:spacing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E46E5E"/>
    <w:rPr>
      <w:b/>
      <w:color w:val="000000"/>
      <w:sz w:val="32"/>
      <w:szCs w:val="24"/>
    </w:rPr>
  </w:style>
  <w:style w:type="paragraph" w:customStyle="1" w:styleId="HeaderSensitivityRight">
    <w:name w:val="Header Sensitivity Right"/>
    <w:basedOn w:val="Normal"/>
    <w:link w:val="HeaderSensitivityRightChar"/>
    <w:rsid w:val="00E46E5E"/>
    <w:pPr>
      <w:spacing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E46E5E"/>
    <w:rPr>
      <w:color w:val="00000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294892">
      <w:bodyDiv w:val="1"/>
      <w:marLeft w:val="0"/>
      <w:marRight w:val="0"/>
      <w:marTop w:val="0"/>
      <w:marBottom w:val="0"/>
      <w:divBdr>
        <w:top w:val="none" w:sz="0" w:space="0" w:color="auto"/>
        <w:left w:val="none" w:sz="0" w:space="0" w:color="auto"/>
        <w:bottom w:val="none" w:sz="0" w:space="0" w:color="auto"/>
        <w:right w:val="none" w:sz="0" w:space="0" w:color="auto"/>
      </w:divBdr>
    </w:div>
    <w:div w:id="1664044294">
      <w:bodyDiv w:val="1"/>
      <w:marLeft w:val="0"/>
      <w:marRight w:val="0"/>
      <w:marTop w:val="0"/>
      <w:marBottom w:val="0"/>
      <w:divBdr>
        <w:top w:val="none" w:sz="0" w:space="0" w:color="auto"/>
        <w:left w:val="none" w:sz="0" w:space="0" w:color="auto"/>
        <w:bottom w:val="none" w:sz="0" w:space="0" w:color="auto"/>
        <w:right w:val="none" w:sz="0" w:space="0" w:color="auto"/>
      </w:divBdr>
    </w:div>
    <w:div w:id="1784107409">
      <w:bodyDiv w:val="1"/>
      <w:marLeft w:val="0"/>
      <w:marRight w:val="0"/>
      <w:marTop w:val="0"/>
      <w:marBottom w:val="0"/>
      <w:divBdr>
        <w:top w:val="none" w:sz="0" w:space="0" w:color="auto"/>
        <w:left w:val="none" w:sz="0" w:space="0" w:color="auto"/>
        <w:bottom w:val="none" w:sz="0" w:space="0" w:color="auto"/>
        <w:right w:val="none" w:sz="0" w:space="0" w:color="auto"/>
      </w:divBdr>
    </w:div>
    <w:div w:id="202947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F2504-3657-4E44-8C9A-1A61C817D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12145</Words>
  <Characters>69231</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2026-06-21T17:54:00Z</dcterms:created>
  <dcterms:modified xsi:type="dcterms:W3CDTF">2026-07-03T13:21:00Z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2026-06-21T17:54:01Z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fa656a86-fab6-4f66-8563-8c7c48af66ff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