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D3283D" w:rsidRDefault="00976FE1" w:rsidP="00976FE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B123CD4-EF9C-4139-8209-CD16894F003C" style="width:455.25pt;height:342.75pt">
            <v:imagedata r:id="rId11" o:title=""/>
          </v:shape>
        </w:pict>
      </w:r>
    </w:p>
    <w:p w:rsidR="00920595" w:rsidRPr="00D3283D" w:rsidRDefault="00920595" w:rsidP="00723A68">
      <w:pPr>
        <w:pStyle w:val="Pagedecouverture"/>
        <w:rPr>
          <w:noProof/>
        </w:rPr>
        <w:sectPr w:rsidR="00920595" w:rsidRPr="00D3283D" w:rsidSect="00976FE1">
          <w:footerReference w:type="even" r:id="rId12"/>
          <w:footerReference w:type="default" r:id="rId13"/>
          <w:pgSz w:w="11907" w:h="16839"/>
          <w:pgMar w:top="1134" w:right="1417" w:bottom="1134" w:left="1417" w:header="709" w:footer="709" w:gutter="0"/>
          <w:pgNumType w:start="0"/>
          <w:cols w:space="720"/>
          <w:docGrid w:linePitch="360"/>
        </w:sectPr>
      </w:pPr>
    </w:p>
    <w:p w:rsidR="000A63C4" w:rsidRDefault="00EF050C">
      <w:pPr>
        <w:pStyle w:val="Rfrenceinterinstitutionnelle"/>
        <w:rPr>
          <w:noProof/>
        </w:rPr>
      </w:pPr>
      <w:bookmarkStart w:id="0" w:name="_GoBack"/>
      <w:bookmarkEnd w:id="0"/>
      <w:r>
        <w:rPr>
          <w:noProof/>
        </w:rPr>
        <w:lastRenderedPageBreak/>
        <w:t>2026/0035 (NLE)</w:t>
      </w:r>
    </w:p>
    <w:p w:rsidR="00920595" w:rsidRPr="00D3283D" w:rsidRDefault="004F1788" w:rsidP="004F1788">
      <w:pPr>
        <w:pStyle w:val="Statut"/>
        <w:rPr>
          <w:noProof/>
        </w:rPr>
      </w:pPr>
      <w:r w:rsidRPr="00D3283D">
        <w:rPr>
          <w:noProof/>
        </w:rPr>
        <w:t>Propunere de</w:t>
      </w:r>
    </w:p>
    <w:p w:rsidR="00920595" w:rsidRPr="00D3283D" w:rsidRDefault="004F1788" w:rsidP="004F1788">
      <w:pPr>
        <w:pStyle w:val="Typedudocument"/>
        <w:rPr>
          <w:noProof/>
        </w:rPr>
      </w:pPr>
      <w:r w:rsidRPr="00D3283D">
        <w:rPr>
          <w:noProof/>
        </w:rPr>
        <w:t>DECIZIE DE PUNERE ÎN APLICARE A CONSILIULUI</w:t>
      </w:r>
    </w:p>
    <w:p w:rsidR="00920595" w:rsidRPr="00D3283D" w:rsidRDefault="004F1788" w:rsidP="004F1788">
      <w:pPr>
        <w:pStyle w:val="Titreobjet"/>
        <w:rPr>
          <w:noProof/>
        </w:rPr>
      </w:pPr>
      <w:r w:rsidRPr="00D3283D">
        <w:rPr>
          <w:noProof/>
        </w:rPr>
        <w:t>privind punerea la dispoziția Italiei a asistenței financiare în temeiul Regulamentului (UE) 2025/1106</w:t>
      </w:r>
    </w:p>
    <w:p w:rsidR="00FE6B92" w:rsidRPr="00D3283D" w:rsidRDefault="00FE6B92" w:rsidP="00FE6B92">
      <w:pPr>
        <w:rPr>
          <w:noProof/>
        </w:rPr>
      </w:pPr>
      <w:r w:rsidRPr="00D3283D">
        <w:rPr>
          <w:noProof/>
        </w:rPr>
        <w:t>CONSILIUL UNIUNII EUROPENE,</w:t>
      </w:r>
    </w:p>
    <w:p w:rsidR="00920595" w:rsidRPr="00D3283D" w:rsidRDefault="00920595" w:rsidP="00D31C35">
      <w:pPr>
        <w:rPr>
          <w:rFonts w:eastAsia="Times New Roman"/>
          <w:noProof/>
        </w:rPr>
      </w:pPr>
      <w:r w:rsidRPr="00D3283D">
        <w:rPr>
          <w:noProof/>
        </w:rPr>
        <w:t>având în vedere Tratatul privind funcționarea Uniunii Europene,</w:t>
      </w:r>
    </w:p>
    <w:p w:rsidR="00920595" w:rsidRPr="00D3283D" w:rsidRDefault="00B877D0" w:rsidP="00D31C35">
      <w:pPr>
        <w:rPr>
          <w:rFonts w:eastAsia="Times New Roman"/>
          <w:noProof/>
        </w:rPr>
      </w:pPr>
      <w:bookmarkStart w:id="1" w:name="_Hlk218870434"/>
      <w:r w:rsidRPr="00D3283D">
        <w:rPr>
          <w:noProof/>
        </w:rPr>
        <w:t>având în vedere Regulamentul (UE) 2025/1106 al Consiliului din 27 mai 2025 de instituire a Instrumentului „Acțiunea pentru securitatea Europei” (SAFE) prin consolidarea industriei europene de apărare</w:t>
      </w:r>
      <w:r w:rsidRPr="00D3283D">
        <w:rPr>
          <w:rStyle w:val="FootnoteReference"/>
          <w:noProof/>
        </w:rPr>
        <w:footnoteReference w:id="1"/>
      </w:r>
      <w:r w:rsidRPr="00D3283D">
        <w:rPr>
          <w:noProof/>
        </w:rPr>
        <w:t>, în special articolul 8 alineatul (6)</w:t>
      </w:r>
      <w:bookmarkEnd w:id="1"/>
      <w:r w:rsidRPr="00D3283D">
        <w:rPr>
          <w:noProof/>
        </w:rPr>
        <w:t>,</w:t>
      </w:r>
    </w:p>
    <w:p w:rsidR="00920595" w:rsidRPr="00D3283D" w:rsidRDefault="00920595" w:rsidP="00D31C35">
      <w:pPr>
        <w:rPr>
          <w:rFonts w:eastAsia="Times New Roman"/>
          <w:noProof/>
        </w:rPr>
      </w:pPr>
      <w:r w:rsidRPr="00D3283D">
        <w:rPr>
          <w:noProof/>
        </w:rPr>
        <w:t>având în vedere propunerea Comisiei Europene,</w:t>
      </w:r>
    </w:p>
    <w:p w:rsidR="00920595" w:rsidRPr="00D3283D" w:rsidRDefault="00920595" w:rsidP="00D31C35">
      <w:pPr>
        <w:rPr>
          <w:rFonts w:eastAsia="Times New Roman"/>
          <w:noProof/>
        </w:rPr>
      </w:pPr>
      <w:bookmarkStart w:id="2" w:name="_Hlk216364633"/>
      <w:r w:rsidRPr="00D3283D">
        <w:rPr>
          <w:noProof/>
        </w:rPr>
        <w:t>întrucât:</w:t>
      </w:r>
    </w:p>
    <w:p w:rsidR="00B877D0" w:rsidRPr="00D3283D" w:rsidRDefault="00B877D0" w:rsidP="004A3C4E">
      <w:pPr>
        <w:pStyle w:val="Point0"/>
        <w:rPr>
          <w:noProof/>
        </w:rPr>
      </w:pPr>
      <w:r>
        <w:rPr>
          <w:noProof/>
        </w:rPr>
        <w:t>(1)</w:t>
      </w:r>
      <w:r>
        <w:rPr>
          <w:noProof/>
        </w:rPr>
        <w:tab/>
      </w:r>
      <w:r w:rsidRPr="00D3283D">
        <w:rPr>
          <w:noProof/>
        </w:rPr>
        <w:t xml:space="preserve">Comisia a lansat o cerere de exprimare a interesului pentru a primi asistență financiară în cadrul </w:t>
      </w:r>
      <w:bookmarkStart w:id="3" w:name="_Hlk218868365"/>
      <w:r w:rsidRPr="00D3283D">
        <w:rPr>
          <w:noProof/>
        </w:rPr>
        <w:t xml:space="preserve">Instrumentului „Acțiunea pentru securitatea Europei” (SAFE) prin consolidarea industriei europene de apărare </w:t>
      </w:r>
      <w:bookmarkEnd w:id="3"/>
      <w:r w:rsidRPr="00D3283D">
        <w:rPr>
          <w:noProof/>
        </w:rPr>
        <w:t>(„instrumentul SAFE”), solicitând statelor membre să prevadă o valoare orientativă maximă și o valoare orientativă minimă a împrumutului. Până la 29 august 2025, 19 state membre și-au exprimat interesul de a obține asistență financiară în temeiul Regulamentului (UE) 2025/1106.</w:t>
      </w:r>
    </w:p>
    <w:p w:rsidR="00B877D0" w:rsidRPr="00D3283D" w:rsidRDefault="00B877D0" w:rsidP="00B877D0">
      <w:pPr>
        <w:pStyle w:val="Point0"/>
        <w:rPr>
          <w:noProof/>
        </w:rPr>
      </w:pPr>
      <w:r>
        <w:rPr>
          <w:noProof/>
        </w:rPr>
        <w:t>(2)</w:t>
      </w:r>
      <w:r>
        <w:rPr>
          <w:noProof/>
        </w:rPr>
        <w:tab/>
      </w:r>
      <w:bookmarkStart w:id="4" w:name="_Hlk218868880"/>
      <w:r w:rsidRPr="00D3283D">
        <w:rPr>
          <w:noProof/>
        </w:rPr>
        <w:t>La 9 septembrie 2025, Comisia a notificat statelor membre solicitante alocarea provizorie</w:t>
      </w:r>
      <w:bookmarkEnd w:id="4"/>
      <w:r w:rsidRPr="00D3283D">
        <w:rPr>
          <w:noProof/>
        </w:rPr>
        <w:t xml:space="preserve"> a cuantumurilor împrumuturilor pentru fiecare stat membru.</w:t>
      </w:r>
    </w:p>
    <w:p w:rsidR="00920595" w:rsidRPr="00D3283D" w:rsidRDefault="00B877D0" w:rsidP="00B10759">
      <w:pPr>
        <w:pStyle w:val="Point0"/>
        <w:rPr>
          <w:noProof/>
        </w:rPr>
      </w:pPr>
      <w:r>
        <w:rPr>
          <w:noProof/>
        </w:rPr>
        <w:t>(3)</w:t>
      </w:r>
      <w:r>
        <w:rPr>
          <w:noProof/>
        </w:rPr>
        <w:tab/>
      </w:r>
      <w:bookmarkStart w:id="5" w:name="_Hlk218870488"/>
      <w:r w:rsidRPr="00D3283D">
        <w:rPr>
          <w:noProof/>
        </w:rPr>
        <w:t>La 30 noiembrie 2025, Italia a prezentat o cerere de asistență financiară în conformitate cu articolul 7 alineatul (1) din Regulamentul (UE) 2025/1106 (denumită în continuare „cererea”)</w:t>
      </w:r>
      <w:bookmarkEnd w:id="5"/>
      <w:r w:rsidRPr="00D3283D">
        <w:rPr>
          <w:noProof/>
        </w:rPr>
        <w:t>, însoțită de un plan de investiții pentru industria europeană de apărare (denumit în continuare „planul”).</w:t>
      </w:r>
    </w:p>
    <w:p w:rsidR="007B5A04" w:rsidRPr="00D3283D" w:rsidRDefault="00B877D0" w:rsidP="00B10759">
      <w:pPr>
        <w:pStyle w:val="Point0"/>
        <w:rPr>
          <w:noProof/>
        </w:rPr>
      </w:pPr>
      <w:r>
        <w:rPr>
          <w:noProof/>
        </w:rPr>
        <w:t>(4)</w:t>
      </w:r>
      <w:r>
        <w:rPr>
          <w:noProof/>
        </w:rPr>
        <w:tab/>
      </w:r>
      <w:bookmarkStart w:id="6" w:name="_Hlk218870606"/>
      <w:r w:rsidRPr="00D3283D">
        <w:rPr>
          <w:noProof/>
        </w:rPr>
        <w:t>Comisia a evaluat cererea în raport cu condițiile prevăzute în Regulamentul (UE) 2025/1106.</w:t>
      </w:r>
      <w:bookmarkEnd w:id="6"/>
    </w:p>
    <w:p w:rsidR="00AE4AB6" w:rsidRPr="00D3283D" w:rsidRDefault="00AE4AB6" w:rsidP="00AE4AB6">
      <w:pPr>
        <w:pStyle w:val="Point0"/>
        <w:rPr>
          <w:noProof/>
        </w:rPr>
      </w:pPr>
      <w:r>
        <w:rPr>
          <w:noProof/>
        </w:rPr>
        <w:t>(5)</w:t>
      </w:r>
      <w:r>
        <w:rPr>
          <w:noProof/>
        </w:rPr>
        <w:tab/>
      </w:r>
      <w:r w:rsidRPr="00D3283D">
        <w:rPr>
          <w:noProof/>
        </w:rPr>
        <w:t>În conformitate cu articolul 7 din Regulamentul (UE) 2025/1106, planul a fost motivat și justificat în mod corespunzător și a prezentat o descriere a produselor din domeniul apărării și a celorlalte produse utilizate în scopuri de apărare.</w:t>
      </w:r>
    </w:p>
    <w:bookmarkEnd w:id="2"/>
    <w:p w:rsidR="00B877D0" w:rsidRPr="00D3283D" w:rsidRDefault="00B877D0" w:rsidP="00174898">
      <w:pPr>
        <w:pStyle w:val="Point0"/>
        <w:rPr>
          <w:noProof/>
        </w:rPr>
      </w:pPr>
      <w:r>
        <w:rPr>
          <w:noProof/>
        </w:rPr>
        <w:t>(6)</w:t>
      </w:r>
      <w:r>
        <w:rPr>
          <w:noProof/>
        </w:rPr>
        <w:tab/>
      </w:r>
      <w:r w:rsidRPr="00D3283D">
        <w:rPr>
          <w:noProof/>
        </w:rPr>
        <w:t xml:space="preserve">Comisia a constatat că cererea îndeplinește condițiile prevăzute la articolul 4 din Regulamentul (UE) 2025/1106 pentru utilizarea instrumentului SAFE. În special, acesta asigură faptul că activitățile, cheltuielile și măsurile legate de produsele din domeniul apărării sau de alte produse utilizate în scopuri de apărare sunt efectuate prin achiziții publice în comun sau prin achiziții publice unice. Acestea au, de asemenea, obiectivul de a accelera adaptarea industriei de apărare la schimbările structurale și/sau de a îmbunătăți disponibilitatea în timp util a produselor din </w:t>
      </w:r>
      <w:r w:rsidRPr="00D3283D">
        <w:rPr>
          <w:noProof/>
        </w:rPr>
        <w:lastRenderedPageBreak/>
        <w:t xml:space="preserve">domeniul apărării și/sau de a asigura interoperabilitatea și interschimbabilitatea în întreaga Uniune. </w:t>
      </w:r>
    </w:p>
    <w:p w:rsidR="00B877D0" w:rsidRPr="00D3283D" w:rsidRDefault="00B877D0" w:rsidP="00B877D0">
      <w:pPr>
        <w:pStyle w:val="Point0"/>
        <w:rPr>
          <w:noProof/>
        </w:rPr>
      </w:pPr>
      <w:r>
        <w:rPr>
          <w:noProof/>
        </w:rPr>
        <w:t>(7)</w:t>
      </w:r>
      <w:r>
        <w:rPr>
          <w:noProof/>
        </w:rPr>
        <w:tab/>
      </w:r>
      <w:r w:rsidRPr="00D3283D">
        <w:rPr>
          <w:noProof/>
        </w:rPr>
        <w:t>Comisia a constatat, de asemenea, că cererea conține o descriere a măsurilor planificate menite să asigure conformitatea cu articolul 16 și cu normele privind achizițiile publice din Regulamentul (UE) 2025/1106, inclusiv o descriere a modului în care trebuie asigurată această conformitate.</w:t>
      </w:r>
    </w:p>
    <w:p w:rsidR="00AE4AB6" w:rsidRPr="00D3283D" w:rsidRDefault="00AE4AB6" w:rsidP="00AE4AB6">
      <w:pPr>
        <w:pStyle w:val="Point0"/>
        <w:rPr>
          <w:noProof/>
        </w:rPr>
      </w:pPr>
      <w:r>
        <w:rPr>
          <w:noProof/>
        </w:rPr>
        <w:t>(8)</w:t>
      </w:r>
      <w:r>
        <w:rPr>
          <w:noProof/>
        </w:rPr>
        <w:tab/>
      </w:r>
      <w:r w:rsidRPr="00D3283D">
        <w:rPr>
          <w:noProof/>
        </w:rPr>
        <w:t>Prin urmare, în conformitate cu articolul 8 alineatul (3) din Regulamentul (UE) 2025/1106, Comisia este în măsură să confirme că cererea îndeplinește condițiile prevăzute în regulamentul respectiv.</w:t>
      </w:r>
    </w:p>
    <w:p w:rsidR="00AE4AB6" w:rsidRPr="00D3283D" w:rsidRDefault="00AE4AB6" w:rsidP="00AE4AB6">
      <w:pPr>
        <w:pStyle w:val="Point0"/>
        <w:rPr>
          <w:noProof/>
        </w:rPr>
      </w:pPr>
      <w:r>
        <w:rPr>
          <w:noProof/>
        </w:rPr>
        <w:t>(9)</w:t>
      </w:r>
      <w:r>
        <w:rPr>
          <w:noProof/>
        </w:rPr>
        <w:tab/>
      </w:r>
      <w:r w:rsidRPr="00D3283D">
        <w:rPr>
          <w:noProof/>
        </w:rPr>
        <w:t>În conformitate cu articolul 8 alineatul (5) din Regulamentul (UE) 2025/1106, Comisia a luat în considerare nevoile de finanțare existente și preconizate ale Italiei, precum și cererile de asistență financiară în temeiul respectivului regulament deja prezentate sau prevăzute a fi prezentate de alte state membre, aplicând în același timp principiile egalității de tratament, solidarității, proporționalității și transparenței.</w:t>
      </w:r>
    </w:p>
    <w:p w:rsidR="00C868E3" w:rsidRPr="00D3283D" w:rsidRDefault="00B877D0" w:rsidP="00B877D0">
      <w:pPr>
        <w:pStyle w:val="Point0"/>
        <w:rPr>
          <w:noProof/>
          <w:szCs w:val="24"/>
        </w:rPr>
      </w:pPr>
      <w:r>
        <w:rPr>
          <w:noProof/>
        </w:rPr>
        <w:t>(10)</w:t>
      </w:r>
      <w:r>
        <w:rPr>
          <w:noProof/>
        </w:rPr>
        <w:tab/>
      </w:r>
      <w:r w:rsidRPr="00D3283D">
        <w:rPr>
          <w:noProof/>
        </w:rPr>
        <w:t>Prezenta decizie nu ar trebui să aducă atingere obligației și rezultatului niciuneia dintre procedurile prevăzute în Regulamentul (UE) 2024/1263 al Parlamentului European și al Consiliului</w:t>
      </w:r>
      <w:r w:rsidRPr="00D3283D">
        <w:rPr>
          <w:rStyle w:val="FootnoteReference"/>
          <w:noProof/>
        </w:rPr>
        <w:footnoteReference w:id="2"/>
      </w:r>
      <w:r w:rsidRPr="00D3283D">
        <w:rPr>
          <w:noProof/>
        </w:rPr>
        <w:t xml:space="preserve"> și în Regulamentul (CE) nr. 1467/97 al Consiliului</w:t>
      </w:r>
      <w:r w:rsidRPr="00D3283D">
        <w:rPr>
          <w:rStyle w:val="FootnoteReference"/>
          <w:noProof/>
        </w:rPr>
        <w:footnoteReference w:id="3"/>
      </w:r>
      <w:r w:rsidRPr="00D3283D">
        <w:rPr>
          <w:noProof/>
        </w:rPr>
        <w:t>.</w:t>
      </w:r>
    </w:p>
    <w:p w:rsidR="00B877D0" w:rsidRPr="00D3283D" w:rsidRDefault="00977C6E" w:rsidP="00D43BD9">
      <w:pPr>
        <w:pStyle w:val="Point0"/>
        <w:rPr>
          <w:noProof/>
        </w:rPr>
      </w:pPr>
      <w:r>
        <w:rPr>
          <w:noProof/>
        </w:rPr>
        <w:t>(11)</w:t>
      </w:r>
      <w:r>
        <w:rPr>
          <w:noProof/>
        </w:rPr>
        <w:tab/>
      </w:r>
      <w:bookmarkStart w:id="7" w:name="_Hlk220060799"/>
      <w:r w:rsidRPr="00D3283D">
        <w:rPr>
          <w:noProof/>
        </w:rPr>
        <w:t xml:space="preserve">Prezenta decizie nu aduce atingere normelor relevante adoptate în temeiul articolului 322 din Tratatul </w:t>
      </w:r>
      <w:r w:rsidR="004F1788" w:rsidRPr="00D3283D">
        <w:rPr>
          <w:noProof/>
        </w:rPr>
        <w:t>privind funcționarea</w:t>
      </w:r>
      <w:r w:rsidRPr="00D3283D">
        <w:rPr>
          <w:noProof/>
        </w:rPr>
        <w:t xml:space="preserve"> Uniunii Europene, în special Regulamentului (UE, Euratom) 2024/2509</w:t>
      </w:r>
      <w:r w:rsidRPr="00D3283D">
        <w:rPr>
          <w:rStyle w:val="FootnoteReference"/>
          <w:noProof/>
        </w:rPr>
        <w:footnoteReference w:id="4"/>
      </w:r>
      <w:r w:rsidRPr="00D3283D">
        <w:rPr>
          <w:noProof/>
        </w:rPr>
        <w:t xml:space="preserve"> și Regulamentului (UE, Euratom) 2020/2092 al Parlamentului European și al Consiliului</w:t>
      </w:r>
      <w:r w:rsidRPr="00D3283D">
        <w:rPr>
          <w:rStyle w:val="FootnoteReference"/>
          <w:noProof/>
        </w:rPr>
        <w:footnoteReference w:id="5"/>
      </w:r>
      <w:r w:rsidRPr="00D3283D">
        <w:rPr>
          <w:noProof/>
        </w:rPr>
        <w:t>. În conformitate cu articolul 10 alineatul (2) din Regulamentul (UE)</w:t>
      </w:r>
      <w:r w:rsidR="004F1788" w:rsidRPr="00D3283D">
        <w:rPr>
          <w:noProof/>
          <w:color w:val="333333"/>
        </w:rPr>
        <w:t xml:space="preserve"> </w:t>
      </w:r>
      <w:r w:rsidRPr="00D3283D">
        <w:rPr>
          <w:noProof/>
          <w:color w:val="333333"/>
        </w:rPr>
        <w:t>2025/1106</w:t>
      </w:r>
      <w:r w:rsidRPr="00D3283D">
        <w:rPr>
          <w:noProof/>
        </w:rPr>
        <w:t>, acordul de împrumut ar trebui să stabilească toate măsurile adecvate necesare pentru protecția intereselor financiare ale Uniunii</w:t>
      </w:r>
      <w:bookmarkEnd w:id="7"/>
      <w:r w:rsidRPr="00D3283D">
        <w:rPr>
          <w:noProof/>
        </w:rPr>
        <w:t>,</w:t>
      </w:r>
    </w:p>
    <w:p w:rsidR="00920595" w:rsidRPr="00D3283D" w:rsidRDefault="00920595" w:rsidP="00B20124">
      <w:pPr>
        <w:pStyle w:val="HeaderLandscape"/>
        <w:rPr>
          <w:noProof/>
        </w:rPr>
      </w:pPr>
      <w:r w:rsidRPr="00D3283D">
        <w:rPr>
          <w:noProof/>
        </w:rPr>
        <w:t xml:space="preserve">ADOPTĂ PREZENTA DECIZIE: </w:t>
      </w:r>
    </w:p>
    <w:p w:rsidR="00B877D0" w:rsidRPr="00D3283D" w:rsidRDefault="00B877D0" w:rsidP="00B877D0">
      <w:pPr>
        <w:pStyle w:val="Titrearticle"/>
        <w:rPr>
          <w:noProof/>
        </w:rPr>
      </w:pPr>
      <w:bookmarkStart w:id="8" w:name="_Hlk218870749"/>
      <w:r w:rsidRPr="00D3283D">
        <w:rPr>
          <w:noProof/>
        </w:rPr>
        <w:t>Articolul 1</w:t>
      </w:r>
    </w:p>
    <w:bookmarkEnd w:id="8"/>
    <w:p w:rsidR="00920595" w:rsidRPr="00D3283D" w:rsidRDefault="00B877D0" w:rsidP="00D31C35">
      <w:pPr>
        <w:rPr>
          <w:rFonts w:eastAsia="Times New Roman"/>
          <w:noProof/>
        </w:rPr>
      </w:pPr>
      <w:r w:rsidRPr="00D3283D">
        <w:rPr>
          <w:noProof/>
        </w:rPr>
        <w:t>Cererea de asistență financiară în cadrul Instrumentului „Acțiunea pentru securitatea Europei” (SAFE) prin consolidarea industriei europene de apărare prezentată de Italia la 30 noiembrie 2025 îndeplinește condițiile prevăzute în Regulamentul (UE) 2025/1106, în special cele prevăzute la articolul 4, la articolul 7 alineatul (2) și la articolul 16.</w:t>
      </w:r>
    </w:p>
    <w:p w:rsidR="00920595" w:rsidRPr="00D3283D" w:rsidRDefault="00920595" w:rsidP="00D31C35">
      <w:pPr>
        <w:pStyle w:val="Titrearticle"/>
        <w:rPr>
          <w:noProof/>
        </w:rPr>
      </w:pPr>
      <w:r w:rsidRPr="00D3283D">
        <w:rPr>
          <w:noProof/>
        </w:rPr>
        <w:t>Articolul 2</w:t>
      </w:r>
    </w:p>
    <w:p w:rsidR="00920595" w:rsidRPr="00D3283D" w:rsidRDefault="00896DF7" w:rsidP="009E5065">
      <w:pPr>
        <w:rPr>
          <w:noProof/>
        </w:rPr>
      </w:pPr>
      <w:r w:rsidRPr="00D3283D">
        <w:rPr>
          <w:noProof/>
        </w:rPr>
        <w:t xml:space="preserve">(1) Uniunea pune la dispoziția Italiei un împrumut de maximum </w:t>
      </w:r>
      <w:bookmarkStart w:id="9" w:name="_Hlk216362068"/>
      <w:r w:rsidRPr="00D3283D">
        <w:rPr>
          <w:noProof/>
        </w:rPr>
        <w:t> </w:t>
      </w:r>
      <w:bookmarkEnd w:id="9"/>
      <w:r w:rsidRPr="00D3283D">
        <w:rPr>
          <w:noProof/>
        </w:rPr>
        <w:t>14 900 000 000,00 EUR.</w:t>
      </w:r>
    </w:p>
    <w:p w:rsidR="00B036D4" w:rsidRPr="00D3283D" w:rsidRDefault="00896DF7" w:rsidP="009E5065">
      <w:pPr>
        <w:rPr>
          <w:noProof/>
        </w:rPr>
      </w:pPr>
      <w:r w:rsidRPr="00D3283D">
        <w:rPr>
          <w:noProof/>
        </w:rPr>
        <w:lastRenderedPageBreak/>
        <w:t>(2) Comisia pune sprijinul sub formă de împrumut la dispoziția Italiei.</w:t>
      </w:r>
    </w:p>
    <w:p w:rsidR="00920595" w:rsidRPr="00D3283D" w:rsidRDefault="00920595" w:rsidP="007B36D4">
      <w:pPr>
        <w:pStyle w:val="Titrearticle"/>
        <w:rPr>
          <w:noProof/>
        </w:rPr>
      </w:pPr>
      <w:r w:rsidRPr="00D3283D">
        <w:rPr>
          <w:noProof/>
        </w:rPr>
        <w:t>Articolul 3</w:t>
      </w:r>
    </w:p>
    <w:p w:rsidR="00920595" w:rsidRPr="00D3283D" w:rsidRDefault="00920595" w:rsidP="00D31C35">
      <w:pPr>
        <w:rPr>
          <w:noProof/>
        </w:rPr>
      </w:pPr>
      <w:r w:rsidRPr="00D3283D">
        <w:rPr>
          <w:noProof/>
        </w:rPr>
        <w:t>Prezenta decizie se adresează Republicii Italiene.</w:t>
      </w:r>
    </w:p>
    <w:p w:rsidR="00920595" w:rsidRPr="00D3283D" w:rsidRDefault="004F1788" w:rsidP="007B36D4">
      <w:pPr>
        <w:pStyle w:val="Fait"/>
        <w:rPr>
          <w:noProof/>
        </w:rPr>
      </w:pPr>
      <w:r>
        <w:rPr>
          <w:noProof/>
        </w:rPr>
        <w:t>Adoptată la Bruxelles,</w:t>
      </w:r>
    </w:p>
    <w:p w:rsidR="00920595" w:rsidRPr="00D3283D" w:rsidRDefault="00920595" w:rsidP="007B36D4">
      <w:pPr>
        <w:pStyle w:val="Institutionquisigne"/>
        <w:rPr>
          <w:noProof/>
        </w:rPr>
      </w:pPr>
      <w:r w:rsidRPr="00D3283D">
        <w:rPr>
          <w:noProof/>
        </w:rPr>
        <w:tab/>
        <w:t>Pentru Consiliu</w:t>
      </w:r>
    </w:p>
    <w:p w:rsidR="00920595" w:rsidRPr="004F1788" w:rsidRDefault="00920595" w:rsidP="00D31C35">
      <w:pPr>
        <w:pStyle w:val="Personnequisigne"/>
        <w:rPr>
          <w:noProof/>
        </w:rPr>
      </w:pPr>
      <w:r w:rsidRPr="00D3283D">
        <w:rPr>
          <w:noProof/>
        </w:rPr>
        <w:tab/>
        <w:t>Președintele</w:t>
      </w:r>
    </w:p>
    <w:sectPr w:rsidR="00920595" w:rsidRPr="004F1788" w:rsidSect="00976FE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D3283D" w:rsidRDefault="00D762B1" w:rsidP="00D31C35">
      <w:pPr>
        <w:spacing w:before="0" w:after="0"/>
      </w:pPr>
      <w:r w:rsidRPr="00D3283D">
        <w:separator/>
      </w:r>
    </w:p>
  </w:endnote>
  <w:endnote w:type="continuationSeparator" w:id="0">
    <w:p w:rsidR="00D762B1" w:rsidRPr="00D3283D" w:rsidRDefault="00D762B1" w:rsidP="00D31C35">
      <w:pPr>
        <w:spacing w:before="0" w:after="0"/>
      </w:pPr>
      <w:r w:rsidRPr="00D32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FE1" w:rsidRPr="00976FE1" w:rsidRDefault="00976FE1" w:rsidP="00976FE1">
    <w:pPr>
      <w:pStyle w:val="Footer"/>
      <w:rPr>
        <w:rFonts w:ascii="Arial" w:hAnsi="Arial" w:cs="Arial"/>
        <w:b/>
        <w:sz w:val="48"/>
      </w:rPr>
    </w:pPr>
    <w:r w:rsidRPr="00976FE1">
      <w:rPr>
        <w:rFonts w:ascii="Arial" w:hAnsi="Arial" w:cs="Arial"/>
        <w:b/>
        <w:sz w:val="48"/>
      </w:rPr>
      <w:t>RO</w:t>
    </w:r>
    <w:r w:rsidRPr="00976FE1">
      <w:rPr>
        <w:rFonts w:ascii="Arial" w:hAnsi="Arial" w:cs="Arial"/>
        <w:b/>
        <w:sz w:val="48"/>
      </w:rPr>
      <w:tab/>
    </w:r>
    <w:r w:rsidRPr="00976FE1">
      <w:rPr>
        <w:rFonts w:ascii="Arial" w:hAnsi="Arial" w:cs="Arial"/>
        <w:b/>
        <w:sz w:val="48"/>
      </w:rPr>
      <w:tab/>
    </w:r>
    <w:r w:rsidRPr="00976FE1">
      <w:tab/>
    </w:r>
    <w:r w:rsidRPr="00976FE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FE1" w:rsidRPr="00976FE1" w:rsidRDefault="00976FE1" w:rsidP="00976FE1">
    <w:pPr>
      <w:pStyle w:val="Footer"/>
      <w:rPr>
        <w:rFonts w:ascii="Arial" w:hAnsi="Arial" w:cs="Arial"/>
        <w:b/>
        <w:sz w:val="48"/>
      </w:rPr>
    </w:pPr>
    <w:r w:rsidRPr="00976FE1">
      <w:rPr>
        <w:rFonts w:ascii="Arial" w:hAnsi="Arial" w:cs="Arial"/>
        <w:b/>
        <w:sz w:val="48"/>
      </w:rPr>
      <w:t>RO</w:t>
    </w:r>
    <w:r w:rsidRPr="00976FE1">
      <w:rPr>
        <w:rFonts w:ascii="Arial" w:hAnsi="Arial" w:cs="Arial"/>
        <w:b/>
        <w:sz w:val="48"/>
      </w:rPr>
      <w:tab/>
    </w:r>
    <w:r w:rsidRPr="00976FE1">
      <w:rPr>
        <w:rFonts w:ascii="Arial" w:hAnsi="Arial" w:cs="Arial"/>
        <w:b/>
        <w:sz w:val="48"/>
      </w:rPr>
      <w:tab/>
    </w:r>
    <w:r w:rsidRPr="00976FE1">
      <w:tab/>
    </w:r>
    <w:r w:rsidRPr="00976FE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FE1" w:rsidRDefault="00976F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FE1" w:rsidRPr="00976FE1" w:rsidRDefault="00976FE1" w:rsidP="00976FE1">
    <w:pPr>
      <w:pStyle w:val="Footer"/>
      <w:rPr>
        <w:rFonts w:ascii="Arial" w:hAnsi="Arial" w:cs="Arial"/>
        <w:b/>
        <w:sz w:val="48"/>
      </w:rPr>
    </w:pPr>
    <w:r w:rsidRPr="00976FE1">
      <w:rPr>
        <w:rFonts w:ascii="Arial" w:hAnsi="Arial" w:cs="Arial"/>
        <w:b/>
        <w:sz w:val="48"/>
      </w:rPr>
      <w:t>RO</w:t>
    </w:r>
    <w:r w:rsidRPr="00976FE1">
      <w:rPr>
        <w:rFonts w:ascii="Arial" w:hAnsi="Arial" w:cs="Arial"/>
        <w:b/>
        <w:sz w:val="48"/>
      </w:rPr>
      <w:tab/>
    </w:r>
    <w:r>
      <w:fldChar w:fldCharType="begin"/>
    </w:r>
    <w:r>
      <w:instrText xml:space="preserve"> PAGE  \* MERGEFORMAT </w:instrText>
    </w:r>
    <w:r>
      <w:fldChar w:fldCharType="separate"/>
    </w:r>
    <w:r w:rsidR="007B36D4">
      <w:rPr>
        <w:noProof/>
      </w:rPr>
      <w:t>3</w:t>
    </w:r>
    <w:r>
      <w:fldChar w:fldCharType="end"/>
    </w:r>
    <w:r>
      <w:tab/>
    </w:r>
    <w:r w:rsidRPr="00976FE1">
      <w:tab/>
    </w:r>
    <w:r w:rsidRPr="00976FE1">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FE1" w:rsidRDefault="00976FE1" w:rsidP="00976F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D3283D" w:rsidRDefault="00D762B1" w:rsidP="00D31C35">
      <w:pPr>
        <w:spacing w:before="0" w:after="0"/>
      </w:pPr>
      <w:r w:rsidRPr="00D3283D">
        <w:separator/>
      </w:r>
    </w:p>
  </w:footnote>
  <w:footnote w:type="continuationSeparator" w:id="0">
    <w:p w:rsidR="00D762B1" w:rsidRPr="00D3283D" w:rsidRDefault="00D762B1" w:rsidP="00D31C35">
      <w:pPr>
        <w:spacing w:before="0" w:after="0"/>
      </w:pPr>
      <w:r w:rsidRPr="00D3283D">
        <w:continuationSeparator/>
      </w:r>
    </w:p>
  </w:footnote>
  <w:footnote w:id="1">
    <w:p w:rsidR="00B877D0" w:rsidRPr="00D3283D" w:rsidRDefault="00B877D0" w:rsidP="00B877D0">
      <w:pPr>
        <w:pStyle w:val="FootnoteText"/>
      </w:pPr>
      <w:r w:rsidRPr="00D3283D">
        <w:rPr>
          <w:rStyle w:val="FootnoteReference"/>
        </w:rPr>
        <w:footnoteRef/>
      </w:r>
      <w:r w:rsidRPr="00D3283D">
        <w:tab/>
        <w:t>Regulamentul (UE) 2025/1106 al Consiliului din 27 mai 2025 de instituire a Instrumentului „Acțiunea pentru securitatea Europei” (SAFE) prin consolidarea industriei europene de apărare (JO L, 2025/1106, 28.5.2025, ELI: </w:t>
      </w:r>
      <w:hyperlink r:id="rId1" w:tgtFrame="_blank" w:tooltip="Oferă acces la acest document prin identificatorul său uniform de resurse ELI." w:history="1">
        <w:r w:rsidRPr="00D3283D">
          <w:rPr>
            <w:rStyle w:val="Hyperlink"/>
          </w:rPr>
          <w:t>http://data.europa.eu/eli/reg/2025/1106/oj</w:t>
        </w:r>
      </w:hyperlink>
      <w:r w:rsidRPr="00D3283D">
        <w:t>).</w:t>
      </w:r>
    </w:p>
  </w:footnote>
  <w:footnote w:id="2">
    <w:p w:rsidR="00B877D0" w:rsidRPr="00D3283D" w:rsidRDefault="00B877D0" w:rsidP="00B877D0">
      <w:pPr>
        <w:pStyle w:val="FootnoteText"/>
      </w:pPr>
      <w:r w:rsidRPr="00D3283D">
        <w:rPr>
          <w:rStyle w:val="FootnoteReference"/>
        </w:rPr>
        <w:footnoteRef/>
      </w:r>
      <w:r w:rsidRPr="00D3283D">
        <w:tab/>
        <w:t>Regulamentul (UE) 2024/1263 al Parlamentului European și al Consiliului din 29 aprilie 2024 privind coordonarea eficientă a politicilor economice și supravegherea bugetară multilaterală și de abrogare a Regulamentului (CE) nr. 1466/97 al Consiliului (JO</w:t>
      </w:r>
      <w:r w:rsidR="00D3283D">
        <w:t> </w:t>
      </w:r>
      <w:r w:rsidRPr="00D3283D">
        <w:t>L 2024/1263, 30.4.2024, ELI: </w:t>
      </w:r>
      <w:hyperlink r:id="rId2" w:tgtFrame="_blank" w:tooltip="Oferă acces la acest document prin identificatorul său uniform de resurse ELI." w:history="1">
        <w:r w:rsidRPr="00D3283D">
          <w:rPr>
            <w:rStyle w:val="Hyperlink"/>
          </w:rPr>
          <w:t>http://data.europa.eu/eli/reg/2024/1263/oj</w:t>
        </w:r>
      </w:hyperlink>
      <w:r w:rsidRPr="00D3283D">
        <w:t>).</w:t>
      </w:r>
    </w:p>
  </w:footnote>
  <w:footnote w:id="3">
    <w:p w:rsidR="00B877D0" w:rsidRPr="00D3283D" w:rsidRDefault="00B877D0" w:rsidP="00B877D0">
      <w:pPr>
        <w:pStyle w:val="FootnoteText"/>
      </w:pPr>
      <w:r w:rsidRPr="00D3283D">
        <w:rPr>
          <w:rStyle w:val="FootnoteReference"/>
        </w:rPr>
        <w:footnoteRef/>
      </w:r>
      <w:r w:rsidRPr="00D3283D">
        <w:tab/>
        <w:t>Regulamentul (CE) nr. 1467/97 al Consiliului din 7 iulie 1997 privind accelerarea și clarificarea aplicării procedurii de deficit excesiv (JO</w:t>
      </w:r>
      <w:r w:rsidR="00D3283D">
        <w:t> </w:t>
      </w:r>
      <w:r w:rsidRPr="00D3283D">
        <w:t>L</w:t>
      </w:r>
      <w:r w:rsidR="00D3283D">
        <w:t> </w:t>
      </w:r>
      <w:r w:rsidRPr="00D3283D">
        <w:t>209, 2.8.1997, p. 6, ELI: http://data.europa.eu/eli/reg/1997/1467/oj).</w:t>
      </w:r>
    </w:p>
  </w:footnote>
  <w:footnote w:id="4">
    <w:p w:rsidR="00977C6E" w:rsidRPr="00D3283D" w:rsidRDefault="00977C6E" w:rsidP="00977C6E">
      <w:pPr>
        <w:pStyle w:val="FootnoteText"/>
      </w:pPr>
      <w:r w:rsidRPr="00D3283D">
        <w:rPr>
          <w:rStyle w:val="FootnoteReference"/>
        </w:rPr>
        <w:footnoteRef/>
      </w:r>
      <w:r w:rsidRPr="00D3283D">
        <w:tab/>
        <w:t>Regulamentul (UE, Euratom) 2024/2509 din 23 septembrie 2024 privind normele financiare aplicabile bugetului general al Uniunii  (JO</w:t>
      </w:r>
      <w:r w:rsidR="00D3283D">
        <w:t> </w:t>
      </w:r>
      <w:r w:rsidRPr="00D3283D">
        <w:t xml:space="preserve">L, 2024/2509, 26.9.2024, ELI: </w:t>
      </w:r>
      <w:hyperlink r:id="rId3" w:history="1">
        <w:r w:rsidRPr="00D3283D">
          <w:rPr>
            <w:rStyle w:val="Hyperlink"/>
          </w:rPr>
          <w:t>http://data.europa.eu/eli/reg/2024/2509/oj</w:t>
        </w:r>
      </w:hyperlink>
      <w:r w:rsidRPr="00D3283D">
        <w:t>).</w:t>
      </w:r>
    </w:p>
  </w:footnote>
  <w:footnote w:id="5">
    <w:p w:rsidR="00977C6E" w:rsidRPr="00C868E3" w:rsidRDefault="00977C6E" w:rsidP="00977C6E">
      <w:pPr>
        <w:pStyle w:val="FootnoteText"/>
      </w:pPr>
      <w:r w:rsidRPr="00D3283D">
        <w:rPr>
          <w:rStyle w:val="FootnoteReference"/>
        </w:rPr>
        <w:footnoteRef/>
      </w:r>
      <w:r w:rsidRPr="00D3283D">
        <w:tab/>
        <w:t>Regulamentul (UE, Euratom) 2020/2092 al Parlamentului European și al Consiliului din 16 decembrie 2020 privind un regim general de condiționalitate pentru protecția bugetului Uniunii (JO</w:t>
      </w:r>
      <w:r w:rsidR="00D3283D">
        <w:t> </w:t>
      </w:r>
      <w:r w:rsidRPr="00D3283D">
        <w:t xml:space="preserve">L 433 I, 22.12.2020, p. 1, ELI: </w:t>
      </w:r>
      <w:hyperlink r:id="rId4" w:history="1">
        <w:r w:rsidRPr="00D3283D">
          <w:rPr>
            <w:rStyle w:val="Hyperlink"/>
          </w:rPr>
          <w:t>http://data.europa.eu/eli/reg/2020/2092/oj</w:t>
        </w:r>
      </w:hyperlink>
      <w:r w:rsidRPr="00D3283D">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FE1" w:rsidRDefault="00976F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FE1" w:rsidRDefault="00976F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2 17:37:3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B123CD4-EF9C-4139-8209-CD16894F003C"/>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35"/>
    <w:docVar w:name="LW_REF.II.NEW.CP_YEAR" w:val="2026"/>
    <w:docVar w:name="LW_REF.INST.NEW" w:val="COM"/>
    <w:docVar w:name="LW_REF.INST.NEW_ADOPTED" w:val="final"/>
    <w:docVar w:name="LW_REF.INST.NEW_TEXT" w:val="(2026) 5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unerea la dispozi\u539?ia Italiei a asisten\u539?ei financiare în temeiul Regulamentului (UE) 2025/1106"/>
    <w:docVar w:name="LW_TYPE.DOC.CP" w:val="DECIZIE DE PUNERE ÎN APLICARE A CONSILIULUI"/>
    <w:docVar w:name="LwApiVersions" w:val="LW4CoDe 1.24.5.0; LW 9.2, Build 20251112"/>
  </w:docVars>
  <w:rsids>
    <w:rsidRoot w:val="00D31C35"/>
    <w:rsid w:val="00013DCF"/>
    <w:rsid w:val="00041798"/>
    <w:rsid w:val="00044636"/>
    <w:rsid w:val="0004481F"/>
    <w:rsid w:val="000546BC"/>
    <w:rsid w:val="00062F72"/>
    <w:rsid w:val="00063BD8"/>
    <w:rsid w:val="00065D76"/>
    <w:rsid w:val="00066745"/>
    <w:rsid w:val="00067138"/>
    <w:rsid w:val="000734E5"/>
    <w:rsid w:val="0008156E"/>
    <w:rsid w:val="0008275D"/>
    <w:rsid w:val="00084F77"/>
    <w:rsid w:val="00085500"/>
    <w:rsid w:val="0008689B"/>
    <w:rsid w:val="00087808"/>
    <w:rsid w:val="000A094F"/>
    <w:rsid w:val="000A60D4"/>
    <w:rsid w:val="000A63C4"/>
    <w:rsid w:val="000B3287"/>
    <w:rsid w:val="000B4C67"/>
    <w:rsid w:val="000C3D45"/>
    <w:rsid w:val="000C441D"/>
    <w:rsid w:val="000C6756"/>
    <w:rsid w:val="000D7D98"/>
    <w:rsid w:val="00101BF0"/>
    <w:rsid w:val="00102573"/>
    <w:rsid w:val="001065F5"/>
    <w:rsid w:val="00106A2F"/>
    <w:rsid w:val="00110A59"/>
    <w:rsid w:val="00120CA5"/>
    <w:rsid w:val="001238EF"/>
    <w:rsid w:val="00125302"/>
    <w:rsid w:val="001329FA"/>
    <w:rsid w:val="00132A96"/>
    <w:rsid w:val="0013568E"/>
    <w:rsid w:val="001441D7"/>
    <w:rsid w:val="00154E62"/>
    <w:rsid w:val="00160BC8"/>
    <w:rsid w:val="00162A07"/>
    <w:rsid w:val="001663CA"/>
    <w:rsid w:val="001727F5"/>
    <w:rsid w:val="001745FC"/>
    <w:rsid w:val="00175CE7"/>
    <w:rsid w:val="00197613"/>
    <w:rsid w:val="001A2150"/>
    <w:rsid w:val="001A2B5B"/>
    <w:rsid w:val="001A32E0"/>
    <w:rsid w:val="001A3BCF"/>
    <w:rsid w:val="001C0950"/>
    <w:rsid w:val="001C2E71"/>
    <w:rsid w:val="001C2F5A"/>
    <w:rsid w:val="001C6521"/>
    <w:rsid w:val="001E37DF"/>
    <w:rsid w:val="001E76BC"/>
    <w:rsid w:val="001F3955"/>
    <w:rsid w:val="001F6A37"/>
    <w:rsid w:val="001F7F53"/>
    <w:rsid w:val="00210512"/>
    <w:rsid w:val="00215E60"/>
    <w:rsid w:val="00222DD0"/>
    <w:rsid w:val="00224C1F"/>
    <w:rsid w:val="0022590B"/>
    <w:rsid w:val="00233923"/>
    <w:rsid w:val="00233DC7"/>
    <w:rsid w:val="00247779"/>
    <w:rsid w:val="00253706"/>
    <w:rsid w:val="00256613"/>
    <w:rsid w:val="00260578"/>
    <w:rsid w:val="00262B55"/>
    <w:rsid w:val="00266D1F"/>
    <w:rsid w:val="00285BEE"/>
    <w:rsid w:val="00292708"/>
    <w:rsid w:val="0029533F"/>
    <w:rsid w:val="00296490"/>
    <w:rsid w:val="002A6CBA"/>
    <w:rsid w:val="002B30AF"/>
    <w:rsid w:val="002B4287"/>
    <w:rsid w:val="002B722F"/>
    <w:rsid w:val="002C373D"/>
    <w:rsid w:val="002D1A3D"/>
    <w:rsid w:val="002D2458"/>
    <w:rsid w:val="002D6142"/>
    <w:rsid w:val="002E40CB"/>
    <w:rsid w:val="002E4240"/>
    <w:rsid w:val="002E46FD"/>
    <w:rsid w:val="002F6053"/>
    <w:rsid w:val="00300224"/>
    <w:rsid w:val="00300A8A"/>
    <w:rsid w:val="00303111"/>
    <w:rsid w:val="0031165F"/>
    <w:rsid w:val="0031373D"/>
    <w:rsid w:val="00317C3C"/>
    <w:rsid w:val="0032731E"/>
    <w:rsid w:val="0033088C"/>
    <w:rsid w:val="00330F67"/>
    <w:rsid w:val="003328E1"/>
    <w:rsid w:val="00332BA5"/>
    <w:rsid w:val="003332B3"/>
    <w:rsid w:val="0033344A"/>
    <w:rsid w:val="0034714E"/>
    <w:rsid w:val="00353838"/>
    <w:rsid w:val="003558B4"/>
    <w:rsid w:val="0035755B"/>
    <w:rsid w:val="00360FD8"/>
    <w:rsid w:val="00366CA6"/>
    <w:rsid w:val="00372F04"/>
    <w:rsid w:val="00376167"/>
    <w:rsid w:val="00380F7E"/>
    <w:rsid w:val="00383F20"/>
    <w:rsid w:val="0038429B"/>
    <w:rsid w:val="003867BE"/>
    <w:rsid w:val="003907B7"/>
    <w:rsid w:val="003917CE"/>
    <w:rsid w:val="003A16F9"/>
    <w:rsid w:val="003A3027"/>
    <w:rsid w:val="003B3980"/>
    <w:rsid w:val="003B3D76"/>
    <w:rsid w:val="003B6926"/>
    <w:rsid w:val="003C07A7"/>
    <w:rsid w:val="003C702A"/>
    <w:rsid w:val="003D44C1"/>
    <w:rsid w:val="003E04C7"/>
    <w:rsid w:val="00401E63"/>
    <w:rsid w:val="0040604C"/>
    <w:rsid w:val="004203E0"/>
    <w:rsid w:val="004220AD"/>
    <w:rsid w:val="00422C20"/>
    <w:rsid w:val="0042648E"/>
    <w:rsid w:val="00427ED6"/>
    <w:rsid w:val="004337FD"/>
    <w:rsid w:val="00462B13"/>
    <w:rsid w:val="00464C84"/>
    <w:rsid w:val="004656DA"/>
    <w:rsid w:val="00467087"/>
    <w:rsid w:val="00482FB7"/>
    <w:rsid w:val="00486BAC"/>
    <w:rsid w:val="004936D2"/>
    <w:rsid w:val="004A1CA7"/>
    <w:rsid w:val="004A3C4E"/>
    <w:rsid w:val="004A4627"/>
    <w:rsid w:val="004B053E"/>
    <w:rsid w:val="004B0948"/>
    <w:rsid w:val="004B1852"/>
    <w:rsid w:val="004B525C"/>
    <w:rsid w:val="004C2FFE"/>
    <w:rsid w:val="004C6A80"/>
    <w:rsid w:val="004D5525"/>
    <w:rsid w:val="004E0C4C"/>
    <w:rsid w:val="004F1788"/>
    <w:rsid w:val="004F2D0F"/>
    <w:rsid w:val="005136DE"/>
    <w:rsid w:val="00514EC4"/>
    <w:rsid w:val="0051597B"/>
    <w:rsid w:val="00517C38"/>
    <w:rsid w:val="00525C30"/>
    <w:rsid w:val="0052610A"/>
    <w:rsid w:val="005326BD"/>
    <w:rsid w:val="005338EE"/>
    <w:rsid w:val="005370E0"/>
    <w:rsid w:val="00540CEC"/>
    <w:rsid w:val="00542F05"/>
    <w:rsid w:val="00552176"/>
    <w:rsid w:val="00554E71"/>
    <w:rsid w:val="00563676"/>
    <w:rsid w:val="00567388"/>
    <w:rsid w:val="00576487"/>
    <w:rsid w:val="005829EE"/>
    <w:rsid w:val="00593388"/>
    <w:rsid w:val="005945B1"/>
    <w:rsid w:val="005A2D96"/>
    <w:rsid w:val="005B1EB6"/>
    <w:rsid w:val="005B23A5"/>
    <w:rsid w:val="005B5370"/>
    <w:rsid w:val="005B63E2"/>
    <w:rsid w:val="005C6EFA"/>
    <w:rsid w:val="005D0FC9"/>
    <w:rsid w:val="005D0FD7"/>
    <w:rsid w:val="005D1F90"/>
    <w:rsid w:val="005E4A2F"/>
    <w:rsid w:val="005E68EB"/>
    <w:rsid w:val="005F37E5"/>
    <w:rsid w:val="005F62F4"/>
    <w:rsid w:val="0061287A"/>
    <w:rsid w:val="0061326F"/>
    <w:rsid w:val="00625F6A"/>
    <w:rsid w:val="0063593A"/>
    <w:rsid w:val="00647F57"/>
    <w:rsid w:val="00653DA2"/>
    <w:rsid w:val="006547C6"/>
    <w:rsid w:val="0066389D"/>
    <w:rsid w:val="00671DCA"/>
    <w:rsid w:val="006743AD"/>
    <w:rsid w:val="006746B5"/>
    <w:rsid w:val="00683CE7"/>
    <w:rsid w:val="006958C5"/>
    <w:rsid w:val="0069594B"/>
    <w:rsid w:val="006972E9"/>
    <w:rsid w:val="006A4EEA"/>
    <w:rsid w:val="006C00A7"/>
    <w:rsid w:val="006C2048"/>
    <w:rsid w:val="006C4353"/>
    <w:rsid w:val="006C64F2"/>
    <w:rsid w:val="006D0E97"/>
    <w:rsid w:val="006E0DE0"/>
    <w:rsid w:val="006E26B1"/>
    <w:rsid w:val="006E4161"/>
    <w:rsid w:val="006F34E7"/>
    <w:rsid w:val="006F35B3"/>
    <w:rsid w:val="00701A73"/>
    <w:rsid w:val="00702F5E"/>
    <w:rsid w:val="00703EB1"/>
    <w:rsid w:val="00705BBF"/>
    <w:rsid w:val="007169E9"/>
    <w:rsid w:val="00720CCC"/>
    <w:rsid w:val="00723A68"/>
    <w:rsid w:val="00724598"/>
    <w:rsid w:val="00736EB1"/>
    <w:rsid w:val="00742314"/>
    <w:rsid w:val="00764997"/>
    <w:rsid w:val="00773331"/>
    <w:rsid w:val="00780678"/>
    <w:rsid w:val="00781CF5"/>
    <w:rsid w:val="0078224A"/>
    <w:rsid w:val="007854FF"/>
    <w:rsid w:val="00786DFD"/>
    <w:rsid w:val="0079286A"/>
    <w:rsid w:val="007932EF"/>
    <w:rsid w:val="0079339C"/>
    <w:rsid w:val="007A3AFC"/>
    <w:rsid w:val="007B06AE"/>
    <w:rsid w:val="007B36D4"/>
    <w:rsid w:val="007B5A04"/>
    <w:rsid w:val="007C0CB8"/>
    <w:rsid w:val="007C4B72"/>
    <w:rsid w:val="007D63F2"/>
    <w:rsid w:val="007D7D8B"/>
    <w:rsid w:val="007E05B0"/>
    <w:rsid w:val="007E28E0"/>
    <w:rsid w:val="007E475D"/>
    <w:rsid w:val="007F22EB"/>
    <w:rsid w:val="00815F5B"/>
    <w:rsid w:val="0081616B"/>
    <w:rsid w:val="00823DF6"/>
    <w:rsid w:val="00824065"/>
    <w:rsid w:val="00824DF8"/>
    <w:rsid w:val="00830F67"/>
    <w:rsid w:val="0083135C"/>
    <w:rsid w:val="00854059"/>
    <w:rsid w:val="00855816"/>
    <w:rsid w:val="00855B01"/>
    <w:rsid w:val="00856B3B"/>
    <w:rsid w:val="0087318A"/>
    <w:rsid w:val="00874D22"/>
    <w:rsid w:val="00887F76"/>
    <w:rsid w:val="008938C6"/>
    <w:rsid w:val="00896DF7"/>
    <w:rsid w:val="008A1986"/>
    <w:rsid w:val="008A2914"/>
    <w:rsid w:val="008A5A22"/>
    <w:rsid w:val="008A65FB"/>
    <w:rsid w:val="008B3E15"/>
    <w:rsid w:val="008C5AEE"/>
    <w:rsid w:val="008C5B6D"/>
    <w:rsid w:val="008E4C53"/>
    <w:rsid w:val="008E4D8E"/>
    <w:rsid w:val="008F232D"/>
    <w:rsid w:val="0090283E"/>
    <w:rsid w:val="00904456"/>
    <w:rsid w:val="00911264"/>
    <w:rsid w:val="00915191"/>
    <w:rsid w:val="00920595"/>
    <w:rsid w:val="00922DB7"/>
    <w:rsid w:val="00930F91"/>
    <w:rsid w:val="00933AE2"/>
    <w:rsid w:val="00934DAC"/>
    <w:rsid w:val="00943323"/>
    <w:rsid w:val="009615F9"/>
    <w:rsid w:val="0096401A"/>
    <w:rsid w:val="00973318"/>
    <w:rsid w:val="00976FE1"/>
    <w:rsid w:val="00977026"/>
    <w:rsid w:val="00977C6E"/>
    <w:rsid w:val="00990A08"/>
    <w:rsid w:val="00995282"/>
    <w:rsid w:val="0099627F"/>
    <w:rsid w:val="009A5F0B"/>
    <w:rsid w:val="009B28B1"/>
    <w:rsid w:val="009C128D"/>
    <w:rsid w:val="009C3F06"/>
    <w:rsid w:val="009D0F07"/>
    <w:rsid w:val="009D126D"/>
    <w:rsid w:val="009D5B6A"/>
    <w:rsid w:val="009E5065"/>
    <w:rsid w:val="009F755E"/>
    <w:rsid w:val="00A101B8"/>
    <w:rsid w:val="00A10FC7"/>
    <w:rsid w:val="00A12687"/>
    <w:rsid w:val="00A21E11"/>
    <w:rsid w:val="00A22507"/>
    <w:rsid w:val="00A2386B"/>
    <w:rsid w:val="00A23C77"/>
    <w:rsid w:val="00A26196"/>
    <w:rsid w:val="00A26901"/>
    <w:rsid w:val="00A33427"/>
    <w:rsid w:val="00A42D5C"/>
    <w:rsid w:val="00A6328F"/>
    <w:rsid w:val="00A6623D"/>
    <w:rsid w:val="00A66365"/>
    <w:rsid w:val="00A70346"/>
    <w:rsid w:val="00A71B03"/>
    <w:rsid w:val="00A72D07"/>
    <w:rsid w:val="00A77164"/>
    <w:rsid w:val="00A85F9B"/>
    <w:rsid w:val="00A920D1"/>
    <w:rsid w:val="00A9224A"/>
    <w:rsid w:val="00A97B21"/>
    <w:rsid w:val="00AA3585"/>
    <w:rsid w:val="00AA698C"/>
    <w:rsid w:val="00AA6B3A"/>
    <w:rsid w:val="00AB3995"/>
    <w:rsid w:val="00AC1EC1"/>
    <w:rsid w:val="00AC37EB"/>
    <w:rsid w:val="00AC7277"/>
    <w:rsid w:val="00AC78D5"/>
    <w:rsid w:val="00AD7A78"/>
    <w:rsid w:val="00AE0C87"/>
    <w:rsid w:val="00AE2AFE"/>
    <w:rsid w:val="00AE4AB6"/>
    <w:rsid w:val="00AF4FDE"/>
    <w:rsid w:val="00AF5ED1"/>
    <w:rsid w:val="00B02A7B"/>
    <w:rsid w:val="00B036D4"/>
    <w:rsid w:val="00B10759"/>
    <w:rsid w:val="00B20124"/>
    <w:rsid w:val="00B30909"/>
    <w:rsid w:val="00B34A53"/>
    <w:rsid w:val="00B459FD"/>
    <w:rsid w:val="00B47D28"/>
    <w:rsid w:val="00B5303B"/>
    <w:rsid w:val="00B7387C"/>
    <w:rsid w:val="00B80FAF"/>
    <w:rsid w:val="00B860E3"/>
    <w:rsid w:val="00B8740E"/>
    <w:rsid w:val="00B877D0"/>
    <w:rsid w:val="00B922AB"/>
    <w:rsid w:val="00B938D8"/>
    <w:rsid w:val="00BA723C"/>
    <w:rsid w:val="00BB1994"/>
    <w:rsid w:val="00BB5431"/>
    <w:rsid w:val="00BC2651"/>
    <w:rsid w:val="00BC3714"/>
    <w:rsid w:val="00BC41C7"/>
    <w:rsid w:val="00BD389C"/>
    <w:rsid w:val="00C020B0"/>
    <w:rsid w:val="00C063A8"/>
    <w:rsid w:val="00C06C69"/>
    <w:rsid w:val="00C12301"/>
    <w:rsid w:val="00C15CDE"/>
    <w:rsid w:val="00C17991"/>
    <w:rsid w:val="00C22A1C"/>
    <w:rsid w:val="00C3233E"/>
    <w:rsid w:val="00C360CC"/>
    <w:rsid w:val="00C45188"/>
    <w:rsid w:val="00C45694"/>
    <w:rsid w:val="00C61E02"/>
    <w:rsid w:val="00C64AA0"/>
    <w:rsid w:val="00C75322"/>
    <w:rsid w:val="00C8524B"/>
    <w:rsid w:val="00C85A96"/>
    <w:rsid w:val="00C868E3"/>
    <w:rsid w:val="00C86A9C"/>
    <w:rsid w:val="00C86EB6"/>
    <w:rsid w:val="00CB4A09"/>
    <w:rsid w:val="00CC0CF8"/>
    <w:rsid w:val="00CC4020"/>
    <w:rsid w:val="00CC4ED2"/>
    <w:rsid w:val="00CC60B9"/>
    <w:rsid w:val="00CD6A0C"/>
    <w:rsid w:val="00CD7376"/>
    <w:rsid w:val="00CE1B3F"/>
    <w:rsid w:val="00CE225D"/>
    <w:rsid w:val="00CE6510"/>
    <w:rsid w:val="00CE657D"/>
    <w:rsid w:val="00CE79EF"/>
    <w:rsid w:val="00CF6E11"/>
    <w:rsid w:val="00CF73EC"/>
    <w:rsid w:val="00D0484E"/>
    <w:rsid w:val="00D05579"/>
    <w:rsid w:val="00D05D72"/>
    <w:rsid w:val="00D070AC"/>
    <w:rsid w:val="00D0748C"/>
    <w:rsid w:val="00D10516"/>
    <w:rsid w:val="00D11520"/>
    <w:rsid w:val="00D17151"/>
    <w:rsid w:val="00D20381"/>
    <w:rsid w:val="00D23467"/>
    <w:rsid w:val="00D2376C"/>
    <w:rsid w:val="00D30D0F"/>
    <w:rsid w:val="00D31581"/>
    <w:rsid w:val="00D31C35"/>
    <w:rsid w:val="00D3283D"/>
    <w:rsid w:val="00D423DD"/>
    <w:rsid w:val="00D424B8"/>
    <w:rsid w:val="00D43BD9"/>
    <w:rsid w:val="00D44A8A"/>
    <w:rsid w:val="00D55690"/>
    <w:rsid w:val="00D601C5"/>
    <w:rsid w:val="00D622C1"/>
    <w:rsid w:val="00D62E16"/>
    <w:rsid w:val="00D761A7"/>
    <w:rsid w:val="00D762B1"/>
    <w:rsid w:val="00D775E6"/>
    <w:rsid w:val="00D807AE"/>
    <w:rsid w:val="00D87B8E"/>
    <w:rsid w:val="00DB457E"/>
    <w:rsid w:val="00DC15EA"/>
    <w:rsid w:val="00DC3995"/>
    <w:rsid w:val="00DD0804"/>
    <w:rsid w:val="00DD6FA8"/>
    <w:rsid w:val="00DE10A2"/>
    <w:rsid w:val="00DE6B69"/>
    <w:rsid w:val="00DF4808"/>
    <w:rsid w:val="00DF485D"/>
    <w:rsid w:val="00DF67CF"/>
    <w:rsid w:val="00E10169"/>
    <w:rsid w:val="00E12876"/>
    <w:rsid w:val="00E12C4D"/>
    <w:rsid w:val="00E13151"/>
    <w:rsid w:val="00E17287"/>
    <w:rsid w:val="00E218A1"/>
    <w:rsid w:val="00E25731"/>
    <w:rsid w:val="00E25DB1"/>
    <w:rsid w:val="00E31786"/>
    <w:rsid w:val="00E31F6B"/>
    <w:rsid w:val="00E33132"/>
    <w:rsid w:val="00E33907"/>
    <w:rsid w:val="00E452B7"/>
    <w:rsid w:val="00E53456"/>
    <w:rsid w:val="00E53B7D"/>
    <w:rsid w:val="00E62214"/>
    <w:rsid w:val="00E664ED"/>
    <w:rsid w:val="00E72DC8"/>
    <w:rsid w:val="00E76024"/>
    <w:rsid w:val="00E977D1"/>
    <w:rsid w:val="00EA47FF"/>
    <w:rsid w:val="00EA5DDF"/>
    <w:rsid w:val="00EA5EAB"/>
    <w:rsid w:val="00EC65F1"/>
    <w:rsid w:val="00ED1E67"/>
    <w:rsid w:val="00ED667C"/>
    <w:rsid w:val="00EE38CD"/>
    <w:rsid w:val="00EE620D"/>
    <w:rsid w:val="00F02A7C"/>
    <w:rsid w:val="00F02CCD"/>
    <w:rsid w:val="00F0379A"/>
    <w:rsid w:val="00F07502"/>
    <w:rsid w:val="00F1017E"/>
    <w:rsid w:val="00F12C99"/>
    <w:rsid w:val="00F215D8"/>
    <w:rsid w:val="00F26003"/>
    <w:rsid w:val="00F36D7C"/>
    <w:rsid w:val="00F52CC3"/>
    <w:rsid w:val="00F5343C"/>
    <w:rsid w:val="00F55211"/>
    <w:rsid w:val="00F60C88"/>
    <w:rsid w:val="00F6721B"/>
    <w:rsid w:val="00F7715C"/>
    <w:rsid w:val="00F822C9"/>
    <w:rsid w:val="00F87F7E"/>
    <w:rsid w:val="00F93286"/>
    <w:rsid w:val="00F9659C"/>
    <w:rsid w:val="00FA0913"/>
    <w:rsid w:val="00FA4D60"/>
    <w:rsid w:val="00FA7339"/>
    <w:rsid w:val="00FC0C89"/>
    <w:rsid w:val="00FC242F"/>
    <w:rsid w:val="00FC3100"/>
    <w:rsid w:val="00FC38F8"/>
    <w:rsid w:val="00FD610A"/>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styleId="FollowedHyperlink">
    <w:name w:val="FollowedHyperlink"/>
    <w:basedOn w:val="DefaultParagraphFont"/>
    <w:uiPriority w:val="99"/>
    <w:semiHidden/>
    <w:unhideWhenUsed/>
    <w:rsid w:val="00D3283D"/>
    <w:rPr>
      <w:color w:val="800080" w:themeColor="followedHyperlink"/>
      <w:u w:val="single"/>
    </w:rPr>
  </w:style>
  <w:style w:type="character" w:customStyle="1" w:styleId="HeaderChar">
    <w:name w:val="Header Char"/>
    <w:basedOn w:val="DefaultParagraphFont"/>
    <w:link w:val="Header"/>
    <w:uiPriority w:val="99"/>
    <w:rsid w:val="00976FE1"/>
    <w:rPr>
      <w:rFonts w:ascii="Times New Roman" w:hAnsi="Times New Roman" w:cs="Times New Roman"/>
      <w:sz w:val="24"/>
      <w:lang w:val="ro-RO"/>
    </w:rPr>
  </w:style>
  <w:style w:type="character" w:customStyle="1" w:styleId="FooterChar">
    <w:name w:val="Footer Char"/>
    <w:basedOn w:val="DefaultParagraphFont"/>
    <w:link w:val="Footer"/>
    <w:uiPriority w:val="99"/>
    <w:rsid w:val="00976FE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76FE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76FE1"/>
    <w:pPr>
      <w:spacing w:before="0"/>
      <w:jc w:val="right"/>
    </w:pPr>
    <w:rPr>
      <w:sz w:val="28"/>
    </w:rPr>
  </w:style>
  <w:style w:type="paragraph" w:customStyle="1" w:styleId="FooterSensitivity">
    <w:name w:val="Footer Sensitivity"/>
    <w:basedOn w:val="Normal"/>
    <w:rsid w:val="00976FE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76FE1"/>
    <w:pPr>
      <w:tabs>
        <w:tab w:val="center" w:pos="4535"/>
        <w:tab w:val="right" w:pos="9071"/>
      </w:tabs>
      <w:spacing w:before="0"/>
    </w:pPr>
  </w:style>
  <w:style w:type="paragraph" w:customStyle="1" w:styleId="HeaderLandscape">
    <w:name w:val="HeaderLandscape"/>
    <w:basedOn w:val="Normal"/>
    <w:rsid w:val="00976FE1"/>
    <w:pPr>
      <w:tabs>
        <w:tab w:val="center" w:pos="7285"/>
        <w:tab w:val="right" w:pos="14003"/>
      </w:tabs>
      <w:spacing w:before="0"/>
    </w:pPr>
  </w:style>
  <w:style w:type="paragraph" w:styleId="Footer">
    <w:name w:val="footer"/>
    <w:basedOn w:val="Normal"/>
    <w:link w:val="FooterChar"/>
    <w:uiPriority w:val="99"/>
    <w:unhideWhenUsed/>
    <w:rsid w:val="00976FE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76FE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142376">
      <w:bodyDiv w:val="1"/>
      <w:marLeft w:val="0"/>
      <w:marRight w:val="0"/>
      <w:marTop w:val="0"/>
      <w:marBottom w:val="0"/>
      <w:divBdr>
        <w:top w:val="none" w:sz="0" w:space="0" w:color="auto"/>
        <w:left w:val="none" w:sz="0" w:space="0" w:color="auto"/>
        <w:bottom w:val="none" w:sz="0" w:space="0" w:color="auto"/>
        <w:right w:val="none" w:sz="0" w:space="0" w:color="auto"/>
      </w:divBdr>
    </w:div>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36847BA-0E54-442A-B88B-7682E702F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4</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dcterms:created xsi:type="dcterms:W3CDTF">2026-01-23T11:01:00Z</dcterms:created>
  <dcterms:modified xsi:type="dcterms:W3CDTF">2026-02-02T16:37:00Z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