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F47206F-19B2-408F-92D5-FE2167A8DD9A" style="width:455.25pt;height:313.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Heading1"/>
        <w:rPr>
          <w:rFonts w:ascii="Times New Roman" w:hAnsi="Times New Roman"/>
          <w:b/>
          <w:noProof/>
          <w:sz w:val="28"/>
          <w:szCs w:val="28"/>
        </w:rPr>
      </w:pPr>
      <w:r>
        <w:rPr>
          <w:rFonts w:ascii="Times New Roman" w:hAnsi="Times New Roman"/>
          <w:b/>
          <w:noProof/>
          <w:color w:val="auto"/>
          <w:sz w:val="28"/>
        </w:rPr>
        <w:lastRenderedPageBreak/>
        <w:t>Introducere</w:t>
      </w:r>
    </w:p>
    <w:p>
      <w:pPr>
        <w:spacing w:before="120" w:after="120" w:line="257" w:lineRule="auto"/>
        <w:jc w:val="both"/>
        <w:rPr>
          <w:rFonts w:ascii="Times New Roman" w:eastAsia="Times New Roman" w:hAnsi="Times New Roman" w:cs="Times New Roman"/>
          <w:noProof/>
          <w:sz w:val="24"/>
          <w:szCs w:val="24"/>
        </w:rPr>
      </w:pPr>
      <w:bookmarkStart w:id="1" w:name="_Hlk217337836"/>
      <w:r>
        <w:rPr>
          <w:rFonts w:ascii="Times New Roman" w:hAnsi="Times New Roman"/>
          <w:noProof/>
          <w:sz w:val="24"/>
        </w:rPr>
        <w:t>Recenta criză din Orientul Mijlociu a arătat, pentru a doua oară în cinci ani, riscurile dependenței UE de combustibilii fosili importați. Deși Europa a fost mai bine pregătită ca urmare a măsurilor adoptate începând din 2022, creșterea puternică a prețului petrolului și al gazelor a avut un impact negativ asupra economiei și a societății în general. Având în vedere că peste jumătate din consumul de energie al UE este acoperit prin importarea de combustibili fosili, aceasta este o vulnerabilitate structurală. De la începutul conflictului, cheltuielile UE pentru importurile de combustibili fosili au crescut cu peste 50 de miliarde EUR, iar inflația rezultată a făcut să crească și ratele dobânzilor. În plus, unele state membre au adoptat măsuri fiscale pentru a reduce pe termen scurt sarcina asupra consumatorilor de combustibili fosili, sporind presiunea asupra finanțelor publice.</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Într-o eră marcată de turbulențe geopolitice recurente și de volatilitate pe piețele mondiale, </w:t>
      </w:r>
      <w:r>
        <w:rPr>
          <w:rFonts w:ascii="Times New Roman" w:hAnsi="Times New Roman"/>
          <w:b/>
          <w:noProof/>
          <w:sz w:val="24"/>
        </w:rPr>
        <w:t>o Uniune independentă din punct de vedere energetic, alimentată eficient cu energie curată, abundentă și la prețuri accesibile, este o chestiune de suveranitate</w:t>
      </w:r>
      <w:r>
        <w:rPr>
          <w:rFonts w:ascii="Times New Roman" w:hAnsi="Times New Roman"/>
          <w:noProof/>
          <w:sz w:val="24"/>
        </w:rPr>
        <w:t>. Pentru a asigura reziliența și securitatea Europei, sprijinind în același timp competitivitatea UE, este nevoie de o tranziție radicală către electrificarea eficientă a cererii, iar factorii favorizanți ai unei electrificări rapide și eficiente din punctul de vedere al costurilor sunt implementarea energiei curate și eficiența energetică. În ceea ce privește producția, în prezent aproximativ 70 % din energia electrică a UE provine deja din surse autohtone curate și s-au înregistrat progrese importante pe palierul eficienței, însă aceste progrese își vor atinge în curând limitele dacă nu vor fi însoțite de o electrificare eficientă a sectoarelor generatoare de cerere. În 2024, UE a utilizat cu 20 % mai puțină energie decât în 2006</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rPr>
        <w:t>. Electrificarea trebuie să valorifice câștigurile Europei în materie de eficiență și să continue tranziția către un sistem energetic dominat de energia curată.</w:t>
      </w:r>
    </w:p>
    <w:p>
      <w:pPr>
        <w:spacing w:before="120" w:after="120" w:line="257" w:lineRule="auto"/>
        <w:jc w:val="both"/>
        <w:rPr>
          <w:rFonts w:ascii="Times New Roman" w:eastAsia="Times New Roman" w:hAnsi="Times New Roman" w:cs="Times New Roman"/>
          <w:noProof/>
          <w:sz w:val="24"/>
          <w:szCs w:val="24"/>
        </w:rPr>
      </w:pPr>
      <w:bookmarkStart w:id="2" w:name="_Hlk234673534"/>
      <w:r>
        <w:rPr>
          <w:rFonts w:ascii="Times New Roman" w:hAnsi="Times New Roman"/>
          <w:b/>
          <w:noProof/>
          <w:sz w:val="24"/>
        </w:rPr>
        <w:t>Electrificarea ar aduce beneficii substanțiale economiei și cetățenilor UE.</w:t>
      </w:r>
      <w:r>
        <w:rPr>
          <w:rFonts w:ascii="Times New Roman" w:hAnsi="Times New Roman"/>
          <w:noProof/>
          <w:sz w:val="24"/>
        </w:rPr>
        <w:t xml:space="preserve"> O tranziție energetică accelerată, centrată pe electrificare, ar putea reduce importurile de gaze cu peste 70 % și importurile de țiței cu peste 40 % până în 2040. UE ar putea economisi până la 260 de miliarde EUR pe an până în 2040 prin scăderea facturii la importul de combustibili fosili, iar această realizare ar putea proteja în același timp gospodăriile și industria de efectele crizelor internaționale asupra propriilor facturi la energie. De asemenea, costurile de producere a energiei electrice ar putea scădea cu aproximativ 20 %, ceea ce ar determina tarife mai accesibile pentru energia electrică și ar atrage tranziția către aparate electrice. De-a lungul lanțului valoric, un angajament comun față de realizarea tranziției electrice consolidează argumentele economice ale Europei, oferind siguranță pentru investițiile în extinderea producției și a serviciilor bazate pe tehnologii curate și creând de locuri de muncă adaptate exigențelor viitorului pe tot cuprinsul UE</w:t>
      </w:r>
      <w:r>
        <w:rPr>
          <w:rStyle w:val="FootnoteReference"/>
          <w:rFonts w:ascii="Times New Roman" w:eastAsia="Times New Roman" w:hAnsi="Times New Roman" w:cs="Times New Roman"/>
          <w:noProof/>
          <w:sz w:val="24"/>
          <w:szCs w:val="24"/>
        </w:rPr>
        <w:footnoteReference w:id="3"/>
      </w:r>
      <w:r>
        <w:rPr>
          <w:rFonts w:ascii="Times New Roman" w:hAnsi="Times New Roman"/>
          <w:noProof/>
          <w:sz w:val="24"/>
        </w:rPr>
        <w:t>. De asemenea, electrificarea ar accelera atingerea obiectivului de decarbonizare al Uniunii prin reducerea substanțială a emisiilor, cu peste 2 000 Mt CO₂ mai puțin în 2040 decât în prezent</w:t>
      </w:r>
      <w:r>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w:t>
      </w:r>
    </w:p>
    <w:bookmarkEnd w:id="2"/>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 xml:space="preserve">Prin urmare, </w:t>
      </w:r>
      <w:r>
        <w:rPr>
          <w:rFonts w:ascii="Times New Roman" w:hAnsi="Times New Roman"/>
          <w:b/>
          <w:noProof/>
          <w:sz w:val="24"/>
        </w:rPr>
        <w:t>electrificarea mai rapidă a economiei europene este esențială pentru o competitivitate mai mare, pentru securitatea aprovizionării și pentru scăderea prețului energiei de-a lungul întregului lanț valoric</w:t>
      </w:r>
      <w:r>
        <w:rPr>
          <w:rFonts w:ascii="Times New Roman" w:hAnsi="Times New Roman"/>
          <w:noProof/>
          <w:sz w:val="24"/>
        </w:rPr>
        <w:t>, de la producția de tehnologii „zero net” până la energia care ajunge în locuințe, întreprinderi și industrii. La nivelul utilizării finale, înlocuirea gazului cu pompe de căldură și sisteme de încălzire centralizată în locuințe</w:t>
      </w:r>
      <w:r>
        <w:rPr>
          <w:rStyle w:val="FootnoteReference"/>
          <w:rFonts w:ascii="Times New Roman" w:eastAsia="Times New Roman" w:hAnsi="Times New Roman" w:cs="Times New Roman"/>
          <w:noProof/>
          <w:sz w:val="24"/>
          <w:szCs w:val="24"/>
        </w:rPr>
        <w:footnoteReference w:id="5"/>
      </w:r>
      <w:r>
        <w:rPr>
          <w:rFonts w:ascii="Times New Roman" w:hAnsi="Times New Roman"/>
          <w:noProof/>
          <w:sz w:val="24"/>
        </w:rPr>
        <w:t xml:space="preserve"> și birouri, trecerea de la benzină la vehicule</w:t>
      </w:r>
      <w:r>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 xml:space="preserve">, camioane și feriboturi electrice, precum și electrificarea proceselor industriale reduc costurile sistemului, furnizează energie mai accesibilă ca preț, mai sigură și mai curată produsă în Europa, contribuie la construirea lanțurilor valorice ale unei economii europene electrificate, reduce emisiile și poluarea atmosferică, fiind benefică pentru sănătate. </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Și totuși, deși are în comun cu alte economii majore o expunere puternică la combustibilii fosili importați, rata de electrificare a UE stagnează de zece ani la 23 %, comparativ cu peste 30 % în China, Coreea sau Japonia în prezent</w:t>
      </w:r>
      <w:r>
        <w:rPr>
          <w:rStyle w:val="FootnoteReference"/>
          <w:rFonts w:ascii="Times New Roman" w:eastAsia="Times New Roman" w:hAnsi="Times New Roman" w:cs="Times New Roman"/>
          <w:noProof/>
          <w:sz w:val="24"/>
          <w:szCs w:val="24"/>
        </w:rPr>
        <w:footnoteReference w:id="7"/>
      </w:r>
      <w:r>
        <w:rPr>
          <w:rFonts w:ascii="Times New Roman" w:hAnsi="Times New Roman"/>
          <w:noProof/>
          <w:sz w:val="24"/>
        </w:rPr>
        <w:t>.</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determina schimbări, Comisia propune un </w:t>
      </w:r>
      <w:r>
        <w:rPr>
          <w:rFonts w:ascii="Times New Roman" w:hAnsi="Times New Roman"/>
          <w:b/>
          <w:noProof/>
          <w:sz w:val="24"/>
        </w:rPr>
        <w:t>obiectiv de electrificare</w:t>
      </w:r>
      <w:r>
        <w:rPr>
          <w:rFonts w:ascii="Times New Roman" w:hAnsi="Times New Roman"/>
          <w:noProof/>
          <w:sz w:val="24"/>
        </w:rPr>
        <w:t xml:space="preserve"> ambițios pentru Uniunea Europeană. </w:t>
      </w:r>
    </w:p>
    <w:tbl>
      <w:tblPr>
        <w:tblStyle w:val="TableGrid"/>
        <w:tblW w:w="0" w:type="auto"/>
        <w:tblLook w:val="04A0" w:firstRow="1" w:lastRow="0" w:firstColumn="1" w:lastColumn="0" w:noHBand="0" w:noVBand="1"/>
      </w:tblPr>
      <w:tblGrid>
        <w:gridCol w:w="9016"/>
      </w:tblGrid>
      <w:tr>
        <w:tc>
          <w:tcPr>
            <w:tcW w:w="9016" w:type="dxa"/>
          </w:tcPr>
          <w:p>
            <w:pPr>
              <w:spacing w:before="120" w:after="120" w:line="257" w:lineRule="auto"/>
              <w:jc w:val="both"/>
              <w:rPr>
                <w:rFonts w:ascii="Times New Roman" w:eastAsia="Times New Roman" w:hAnsi="Times New Roman" w:cs="Times New Roman"/>
                <w:b/>
                <w:bCs/>
                <w:noProof/>
                <w:sz w:val="24"/>
                <w:szCs w:val="24"/>
              </w:rPr>
            </w:pPr>
            <w:r>
              <w:rPr>
                <w:rFonts w:ascii="Times New Roman" w:hAnsi="Times New Roman"/>
                <w:b/>
                <w:noProof/>
                <w:sz w:val="24"/>
              </w:rPr>
              <w:t>Acțiunea 1</w:t>
            </w:r>
          </w:p>
          <w:p>
            <w:pPr>
              <w:pStyle w:val="ListParagraph"/>
              <w:numPr>
                <w:ilvl w:val="0"/>
                <w:numId w:val="8"/>
              </w:num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Un obiectiv orientativ de 46 % electrificare până în 2040 (ponderea energiei electrice în consumul final de energie) va face obiectul unei evaluări a impactului de către Comisie, ca parte a pachetului privind uniunea energetică pentru deceniul următor (T4 2026).</w:t>
            </w:r>
          </w:p>
        </w:tc>
      </w:tr>
    </w:tbl>
    <w:p>
      <w:pPr>
        <w:spacing w:before="120" w:after="120" w:line="257" w:lineRule="auto"/>
        <w:jc w:val="both"/>
        <w:rPr>
          <w:rFonts w:ascii="Times New Roman" w:eastAsia="Times New Roman" w:hAnsi="Times New Roman" w:cs="Times New Roman"/>
          <w:noProof/>
          <w:sz w:val="24"/>
          <w:szCs w:val="24"/>
        </w:rPr>
      </w:pP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Având în vedere că pe drumurile din UE circulă peste 8 milioane de vehicule electrice cu baterie</w:t>
      </w:r>
      <w:r>
        <w:rPr>
          <w:rFonts w:ascii="Times New Roman" w:eastAsia="Times New Roman" w:hAnsi="Times New Roman" w:cs="Times New Roman"/>
          <w:noProof/>
          <w:sz w:val="24"/>
          <w:szCs w:val="24"/>
          <w:vertAlign w:val="superscript"/>
        </w:rPr>
        <w:footnoteReference w:id="8"/>
      </w:r>
      <w:r>
        <w:rPr>
          <w:rFonts w:ascii="Times New Roman" w:hAnsi="Times New Roman"/>
          <w:noProof/>
          <w:sz w:val="24"/>
        </w:rPr>
        <w:t>, în clădirile din UE sunt instalate 28 de milioane de pompe de căldură</w:t>
      </w:r>
      <w:r>
        <w:rPr>
          <w:rStyle w:val="FootnoteReference"/>
          <w:rFonts w:ascii="Times New Roman" w:eastAsia="Times New Roman" w:hAnsi="Times New Roman" w:cs="Times New Roman"/>
          <w:noProof/>
          <w:sz w:val="24"/>
          <w:szCs w:val="24"/>
        </w:rPr>
        <w:footnoteReference w:id="9"/>
      </w:r>
      <w:r>
        <w:rPr>
          <w:rFonts w:ascii="Times New Roman" w:hAnsi="Times New Roman"/>
          <w:noProof/>
          <w:sz w:val="24"/>
        </w:rPr>
        <w:t xml:space="preserve">, iar încălzirea centralizată utilizează tot mai multe pompe de căldură de putere mare, schimbarea deja a început. Pentru a înainta pe drumul tranziției electrice, </w:t>
      </w:r>
      <w:r>
        <w:rPr>
          <w:rFonts w:ascii="Times New Roman" w:hAnsi="Times New Roman"/>
          <w:b/>
          <w:noProof/>
          <w:sz w:val="24"/>
        </w:rPr>
        <w:t>UE se poate baza pe tehnologiile curate, disponibile pe piața europeană pentru toate sectoarele-cheie încă din prima zi</w:t>
      </w:r>
      <w:r>
        <w:rPr>
          <w:rFonts w:ascii="Times New Roman" w:hAnsi="Times New Roman"/>
          <w:noProof/>
          <w:sz w:val="24"/>
        </w:rPr>
        <w:t xml:space="preserve">. </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În calitate de actor mondial care produce cu succes tehnologii curate și eficiente, UE este bine plasată pentru a valorifica oportunitățile din amonte. Stimularea potențialului de electrificare ar fi un sprijin pentru baza solidă de fabricare a tehnologiilor „zero net” a Europei și pentru lanțurile valorice aferente, de exemplu în domeniul turbinelor eoliene, al BEV sau al pompelor de căldură, al tehnologiilor pentru izolații sau al instrumentelor digitale de optimizare pentru sistemele de încălzire, ar crește semnificativ numărul locurilor de muncă pentru lucrători calificați și, în consecință, ar reduce riscul unor noi dependențe strategice. Lanțurile valorice ale electrificării curate, cum ar fi sursele regenerabile de energie, inclusiv hidroenergia, energia nucleară, pompele de căldură, bateriile și stocarea energiei termice, tehnologiile pentru izolații, energia termică solară, instrumentele digitale de gestionare a energiei și rețelele angajează deja peste patru milioane de oameni</w:t>
      </w:r>
      <w:r>
        <w:rPr>
          <w:rFonts w:ascii="Times New Roman" w:eastAsia="Times New Roman" w:hAnsi="Times New Roman" w:cs="Times New Roman"/>
          <w:noProof/>
          <w:sz w:val="24"/>
          <w:szCs w:val="24"/>
          <w:vertAlign w:val="superscript"/>
        </w:rPr>
        <w:footnoteReference w:id="10"/>
      </w:r>
      <w:r>
        <w:rPr>
          <w:rFonts w:ascii="Times New Roman" w:hAnsi="Times New Roman"/>
          <w:noProof/>
          <w:sz w:val="24"/>
        </w:rPr>
        <w:t xml:space="preserve">, iar în 2023 sectorul a generat 30 % din creșterea PIB-ului </w:t>
      </w:r>
      <w:r>
        <w:rPr>
          <w:rFonts w:ascii="Times New Roman" w:hAnsi="Times New Roman"/>
          <w:noProof/>
          <w:sz w:val="24"/>
        </w:rPr>
        <w:lastRenderedPageBreak/>
        <w:t>UE</w:t>
      </w:r>
      <w:r>
        <w:rPr>
          <w:rStyle w:val="FootnoteReference"/>
          <w:rFonts w:ascii="Times New Roman" w:eastAsia="Times New Roman" w:hAnsi="Times New Roman" w:cs="Times New Roman"/>
          <w:noProof/>
          <w:sz w:val="24"/>
          <w:szCs w:val="24"/>
        </w:rPr>
        <w:footnoteReference w:id="11"/>
      </w:r>
      <w:r>
        <w:rPr>
          <w:rFonts w:ascii="Times New Roman" w:hAnsi="Times New Roman"/>
          <w:noProof/>
          <w:sz w:val="24"/>
        </w:rPr>
        <w:t xml:space="preserve">. Agenda UE privind electrificarea poate contribui la o piață europeană puternică pentru aceste tehnologii, oferind producătorilor din UE scara necesară pentru a concura la nivel mondial. De exemplu, plasarea electrificării în avangarda tranziției energetice ar putea întări argumentele economice pentru fabricarea de vehicule electrice în UE, prin stimularea adoptării a aproximativ 120 de milioane de BEV (față de cele 8 milioane de BEV existente în prezent) și a aproximativ 100 de milioane de pompe de căldură (față de cele 30 de milioane de pompe de căldură instalate în prezent). </w:t>
      </w:r>
    </w:p>
    <w:p>
      <w:pPr>
        <w:spacing w:before="120" w:after="120" w:line="257" w:lineRule="auto"/>
        <w:jc w:val="both"/>
        <w:rPr>
          <w:rFonts w:ascii="Times New Roman" w:eastAsia="Calibri" w:hAnsi="Times New Roman" w:cs="Times New Roman"/>
          <w:noProof/>
          <w:sz w:val="24"/>
          <w:szCs w:val="24"/>
        </w:rPr>
      </w:pPr>
      <w:r>
        <w:rPr>
          <w:rFonts w:ascii="Times New Roman" w:hAnsi="Times New Roman"/>
          <w:noProof/>
          <w:sz w:val="24"/>
        </w:rPr>
        <w:t xml:space="preserve">Este din ce în ce mai mare proporția sectoarelor în care </w:t>
      </w:r>
      <w:r>
        <w:rPr>
          <w:rFonts w:ascii="Times New Roman" w:hAnsi="Times New Roman"/>
          <w:b/>
          <w:noProof/>
          <w:sz w:val="24"/>
        </w:rPr>
        <w:t>soluțiile electrice curate devin tot mai competitive prin costuri față de alternative bazate pe combustibili fosili și, ca atare, pot reduce costurile energiei suportate de consumatori în majoritatea cazurilor</w:t>
      </w:r>
      <w:r>
        <w:rPr>
          <w:rFonts w:ascii="Times New Roman" w:hAnsi="Times New Roman"/>
          <w:noProof/>
          <w:sz w:val="24"/>
        </w:rPr>
        <w:t>. BEV și pompele de căldură sunt mai eficiente decât alternativele bazate pe ardere și, astfel, ajută economia europeană să obțină economii mai mari de energie. Chiar dacă achiziționarea BEV se poate dovedi mai costisitoare, utilizarea lor costă în general mult mai puțin decât în cazul vehiculelor pe benzină și pe motorină. Conducerea unui BEV poate genera economii de până la 78 % comparativ cu un autoturism echivalent alimentat cu combustibili fosili</w:t>
      </w:r>
      <w:r>
        <w:rPr>
          <w:rStyle w:val="FootnoteReference"/>
          <w:rFonts w:ascii="Times New Roman" w:eastAsia="Times New Roman" w:hAnsi="Times New Roman" w:cs="Times New Roman"/>
          <w:noProof/>
          <w:sz w:val="24"/>
          <w:szCs w:val="24"/>
        </w:rPr>
        <w:footnoteReference w:id="12"/>
      </w:r>
      <w:r>
        <w:rPr>
          <w:rFonts w:ascii="Times New Roman" w:hAnsi="Times New Roman"/>
          <w:noProof/>
          <w:sz w:val="24"/>
        </w:rPr>
        <w:t>. Trecerea de la centralele pe gaz la pompele de căldură reduce factura medie la încălzire a gospodăriilor din UE cu până la 60 %</w:t>
      </w:r>
      <w:r>
        <w:rPr>
          <w:rStyle w:val="FootnoteReference"/>
          <w:rFonts w:ascii="Times New Roman" w:eastAsia="Times New Roman" w:hAnsi="Times New Roman" w:cs="Times New Roman"/>
          <w:noProof/>
          <w:sz w:val="24"/>
          <w:szCs w:val="24"/>
        </w:rPr>
        <w:footnoteReference w:id="13"/>
      </w:r>
      <w:r>
        <w:rPr>
          <w:rFonts w:ascii="Times New Roman" w:hAnsi="Times New Roman"/>
          <w:noProof/>
          <w:sz w:val="24"/>
        </w:rPr>
        <w:t>, oferind în același timp beneficii conexe importante pentru adaptarea la schimbările climatice datorită capacității lor suplimentare de a răci clădirile, mai ales în perioadele caniculare. În unele procese industriale, electrificarea cu pompe de căldură duce la economii de costuri dacă raportul dintre prețul energiei electrice și cel al gazelor se situează între 2,5 și 3,5</w:t>
      </w:r>
      <w:r>
        <w:rPr>
          <w:rStyle w:val="FootnoteReference"/>
          <w:rFonts w:ascii="Times New Roman" w:eastAsia="Calibri" w:hAnsi="Times New Roman" w:cs="Times New Roman"/>
          <w:noProof/>
          <w:sz w:val="24"/>
          <w:szCs w:val="24"/>
        </w:rPr>
        <w:footnoteReference w:id="14"/>
      </w:r>
      <w:r>
        <w:rPr>
          <w:rFonts w:ascii="Times New Roman" w:hAnsi="Times New Roman"/>
          <w:noProof/>
          <w:sz w:val="24"/>
        </w:rPr>
        <w:t>. Aceste creșteri de eficiență scad costurile sistemului energetic, reducând prețul energiei pentru toți utilizatorii și aducând beneficii întregii economii.</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b/>
          <w:noProof/>
          <w:sz w:val="24"/>
        </w:rPr>
        <w:t>Legislația UE în domeniul energiei</w:t>
      </w:r>
      <w:r>
        <w:rPr>
          <w:rStyle w:val="FootnoteReference"/>
          <w:rFonts w:ascii="Times New Roman" w:eastAsia="Times New Roman" w:hAnsi="Times New Roman" w:cs="Times New Roman"/>
          <w:b/>
          <w:bCs/>
          <w:noProof/>
          <w:sz w:val="24"/>
          <w:szCs w:val="24"/>
        </w:rPr>
        <w:footnoteReference w:id="15"/>
      </w:r>
      <w:r>
        <w:rPr>
          <w:rFonts w:ascii="Times New Roman" w:hAnsi="Times New Roman"/>
          <w:b/>
          <w:noProof/>
          <w:sz w:val="24"/>
        </w:rPr>
        <w:t xml:space="preserve"> sprijină deja electrificarea eficientă,</w:t>
      </w:r>
      <w:r>
        <w:rPr>
          <w:rFonts w:ascii="Times New Roman" w:hAnsi="Times New Roman"/>
          <w:noProof/>
          <w:sz w:val="24"/>
        </w:rPr>
        <w:t xml:space="preserve"> așadar este esențial ca ea să fie pusă în aplicare integral și în mod eficace în toate statele membre. În plus, odată cu lansarea Electrify Now</w:t>
      </w:r>
      <w:r>
        <w:rPr>
          <w:rStyle w:val="FootnoteReference"/>
          <w:rFonts w:ascii="Times New Roman" w:eastAsia="Times New Roman" w:hAnsi="Times New Roman" w:cs="Times New Roman"/>
          <w:noProof/>
          <w:sz w:val="24"/>
          <w:szCs w:val="24"/>
        </w:rPr>
        <w:footnoteReference w:id="16"/>
      </w:r>
      <w:r>
        <w:rPr>
          <w:rFonts w:ascii="Times New Roman" w:hAnsi="Times New Roman"/>
          <w:noProof/>
          <w:sz w:val="24"/>
        </w:rPr>
        <w:t xml:space="preserve"> în iunie 2026, o platformă globală pentru accelerarea electrificării curate, UE va promova inclusiv electrificarea la nivel mondial, pe măsură ce lumea intră în ceea ce AIE a numit „epoca energiei electrice”. Totuși, pentru ca UE să rămână în cursa pentru electrificare, sunt necesare acțiuni suplimentare urgente.</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b/>
          <w:noProof/>
          <w:sz w:val="24"/>
        </w:rPr>
        <w:t>Valorificarea potențialului de electrificare al UE înseamnă eliminarea barierelor care împiedică încă adoptarea pe scară largă.</w:t>
      </w:r>
      <w:r>
        <w:rPr>
          <w:rFonts w:ascii="Times New Roman" w:hAnsi="Times New Roman"/>
          <w:noProof/>
          <w:sz w:val="24"/>
        </w:rPr>
        <w:t xml:space="preserve"> Acest obiectiv este în conformitate cu strategia de securitate economică a UE și necesită o abordare bazată pe lanțul valoric, luarea în considerare a amenințărilor cibernetice, fizice și economice la adresa securității rețelelor de energie electrică, precum și anticiparea și gestionarea schimbărilor structurale în toate sectoarele și regiunile</w:t>
      </w:r>
      <w:r>
        <w:rPr>
          <w:rStyle w:val="FootnoteReference"/>
          <w:rFonts w:ascii="Times New Roman" w:eastAsia="Times New Roman" w:hAnsi="Times New Roman" w:cs="Times New Roman"/>
          <w:noProof/>
          <w:sz w:val="24"/>
          <w:szCs w:val="24"/>
        </w:rPr>
        <w:footnoteReference w:id="17"/>
      </w:r>
      <w:r>
        <w:rPr>
          <w:rFonts w:ascii="Times New Roman" w:hAnsi="Times New Roman"/>
          <w:noProof/>
          <w:sz w:val="24"/>
        </w:rPr>
        <w:t xml:space="preserve">. În primul rând, energia electrică este, în medie, de aproape trei ori mai costisitoare decât gazele pentru întreprinderile din UE și de două ori și jumătate mai costisitoare pentru </w:t>
      </w:r>
      <w:r>
        <w:rPr>
          <w:rFonts w:ascii="Times New Roman" w:hAnsi="Times New Roman"/>
          <w:noProof/>
          <w:sz w:val="24"/>
        </w:rPr>
        <w:lastRenderedPageBreak/>
        <w:t>gospodării</w:t>
      </w:r>
      <w:r>
        <w:rPr>
          <w:rStyle w:val="FootnoteReference"/>
          <w:rFonts w:ascii="Times New Roman" w:eastAsia="Calibri" w:hAnsi="Times New Roman" w:cs="Times New Roman"/>
          <w:noProof/>
          <w:sz w:val="24"/>
          <w:szCs w:val="24"/>
        </w:rPr>
        <w:footnoteReference w:id="18"/>
      </w:r>
      <w:r>
        <w:rPr>
          <w:rFonts w:ascii="Times New Roman" w:hAnsi="Times New Roman"/>
          <w:noProof/>
          <w:sz w:val="24"/>
        </w:rPr>
        <w:t>. În al doilea rând, costul inițial al investițiilor pentru trecerea de la combustibili fosili la energie electrică este încă foarte ridicat. În al treilea rând, capacitatea rețelei de energie electrică, listele de așteptare pentru racordare și utilizarea insuficientă a rețelelor existente limitează atât reorientarea consumatorilor către energia electrică, cât și adăugarea de noi capacități de producere a energiei electrice. Un al patrulea obstacol este adoptarea lentă a inovațiilor care ar face ca noile soluții de electrificare să devină viabile din punct de vedere comercial. În fine, este nevoie de acțiuni îndrăznețe pentru a consolida lanțurile de aprovizionare europene, a da un impuls producției din UE și a rezolva problema lipsei de personal calificat.</w:t>
      </w:r>
    </w:p>
    <w:p>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Planul de față, bazat pe AccelerateEU</w:t>
      </w:r>
      <w:r>
        <w:rPr>
          <w:rStyle w:val="FootnoteReference"/>
          <w:rFonts w:ascii="Times New Roman" w:eastAsia="Times New Roman" w:hAnsi="Times New Roman" w:cs="Times New Roman"/>
          <w:noProof/>
          <w:sz w:val="24"/>
          <w:szCs w:val="24"/>
        </w:rPr>
        <w:footnoteReference w:id="19"/>
      </w:r>
      <w:r>
        <w:rPr>
          <w:rFonts w:ascii="Times New Roman" w:hAnsi="Times New Roman"/>
          <w:noProof/>
          <w:sz w:val="24"/>
        </w:rPr>
        <w:t xml:space="preserve">, acționează asupra acestor bariere pentru </w:t>
      </w:r>
      <w:r>
        <w:rPr>
          <w:rFonts w:ascii="Times New Roman" w:hAnsi="Times New Roman"/>
          <w:b/>
          <w:noProof/>
          <w:sz w:val="24"/>
        </w:rPr>
        <w:t>a accelera electrificarea în sectoarele cele mai dependente de combustibilii fosili, în special transporturile, clădirile și industria</w:t>
      </w:r>
      <w:r>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w:t>
      </w:r>
    </w:p>
    <w:p>
      <w:pPr>
        <w:spacing w:before="120" w:after="120" w:line="257" w:lineRule="auto"/>
        <w:jc w:val="both"/>
        <w:rPr>
          <w:rFonts w:ascii="Times New Roman" w:eastAsia="Times New Roman" w:hAnsi="Times New Roman" w:cs="Times New Roman"/>
          <w:noProof/>
          <w:sz w:val="24"/>
          <w:szCs w:val="24"/>
        </w:rPr>
      </w:pPr>
    </w:p>
    <w:p>
      <w:pPr>
        <w:spacing w:before="120" w:after="120" w:line="257" w:lineRule="auto"/>
        <w:jc w:val="both"/>
        <w:rPr>
          <w:rFonts w:ascii="Times New Roman" w:eastAsia="Times New Roman" w:hAnsi="Times New Roman" w:cs="Times New Roman"/>
          <w:noProof/>
          <w:sz w:val="24"/>
          <w:szCs w:val="24"/>
        </w:rPr>
      </w:pPr>
    </w:p>
    <w:p>
      <w:pPr>
        <w:spacing w:before="120" w:after="120" w:line="257" w:lineRule="auto"/>
        <w:jc w:val="both"/>
        <w:rPr>
          <w:rFonts w:ascii="Times New Roman" w:eastAsia="Times New Roman" w:hAnsi="Times New Roman" w:cs="Times New Roman"/>
          <w:noProof/>
          <w:sz w:val="24"/>
          <w:szCs w:val="24"/>
        </w:rPr>
      </w:pPr>
    </w:p>
    <w:p>
      <w:pPr>
        <w:spacing w:before="120" w:after="120" w:line="257" w:lineRule="auto"/>
        <w:jc w:val="both"/>
        <w:rPr>
          <w:rFonts w:ascii="Times New Roman" w:eastAsia="Times New Roman" w:hAnsi="Times New Roman" w:cs="Times New Roman"/>
          <w:noProof/>
          <w:sz w:val="24"/>
          <w:szCs w:val="24"/>
        </w:rPr>
      </w:pPr>
    </w:p>
    <w:bookmarkEnd w:id="1"/>
    <w:p>
      <w:pPr>
        <w:spacing w:before="120" w:after="120" w:line="257" w:lineRule="auto"/>
        <w:jc w:val="both"/>
        <w:rPr>
          <w:rFonts w:ascii="Times New Roman" w:eastAsia="Calibri" w:hAnsi="Times New Roman" w:cs="Times New Roman"/>
          <w:b/>
          <w:noProof/>
          <w:sz w:val="32"/>
          <w:szCs w:val="32"/>
        </w:rPr>
      </w:pPr>
      <w:r>
        <w:rPr>
          <w:rFonts w:ascii="Times New Roman" w:hAnsi="Times New Roman"/>
          <w:b/>
          <w:noProof/>
          <w:sz w:val="32"/>
        </w:rPr>
        <w:t>1.</w:t>
      </w:r>
      <w:r>
        <w:rPr>
          <w:noProof/>
        </w:rPr>
        <w:tab/>
      </w:r>
      <w:r>
        <w:rPr>
          <w:rFonts w:ascii="Times New Roman" w:hAnsi="Times New Roman"/>
          <w:b/>
          <w:noProof/>
          <w:sz w:val="32"/>
        </w:rPr>
        <w:t xml:space="preserve">Reducerea decalajului dintre costurile energiei electrice și cele ale energiei fosile </w:t>
      </w:r>
    </w:p>
    <w:p>
      <w:pPr>
        <w:spacing w:before="120" w:after="120"/>
        <w:jc w:val="both"/>
        <w:rPr>
          <w:rFonts w:ascii="Times New Roman" w:hAnsi="Times New Roman" w:cs="Times New Roman"/>
          <w:noProof/>
          <w:sz w:val="24"/>
          <w:szCs w:val="24"/>
        </w:rPr>
      </w:pPr>
      <w:r>
        <w:rPr>
          <w:rFonts w:ascii="Times New Roman" w:hAnsi="Times New Roman"/>
          <w:noProof/>
          <w:sz w:val="24"/>
        </w:rPr>
        <w:t>Prețurile energiei electrice pentru gospodării și industrie sunt, în multe cazuri, semnificativ mai mari decât cele ale combustibilii fosili. Energia electrică este de cel puțin două ori mai scumpă decât gazul în aproape toate statele membre, cu excepția a două dintre ele</w:t>
      </w:r>
      <w:r>
        <w:rPr>
          <w:rStyle w:val="FootnoteReference"/>
          <w:rFonts w:ascii="Times New Roman" w:hAnsi="Times New Roman" w:cs="Times New Roman"/>
          <w:noProof/>
          <w:sz w:val="24"/>
          <w:szCs w:val="24"/>
        </w:rPr>
        <w:footnoteReference w:id="21"/>
      </w:r>
      <w:r>
        <w:rPr>
          <w:rFonts w:ascii="Times New Roman" w:hAnsi="Times New Roman"/>
          <w:noProof/>
          <w:sz w:val="24"/>
        </w:rPr>
        <w:t>. Decalajul de preț dintre energia electrică și combustibilii fosili este o barieră critică și structurală, care trebuie și poate fi rezolvată pentru a încuraja electrificarea atât în industrie, cât și în gospodării.</w:t>
      </w:r>
      <w:r>
        <w:rPr>
          <w:noProof/>
        </w:rPr>
        <w:t xml:space="preserve"> </w:t>
      </w:r>
      <w:r>
        <w:rPr>
          <w:rFonts w:ascii="Times New Roman" w:hAnsi="Times New Roman"/>
          <w:noProof/>
          <w:sz w:val="24"/>
        </w:rPr>
        <w:t>Acest dezechilibru structural este cauzat de mai multe motive, printre care poziția dominantă a combustibililor fosili în stabilirea prețului energiei electrice și costurile infrastructurii. Acestea din urmă sunt apoi distribuite între consumatorii finali într-un mod care nu corespunde realităților din domeniul producerii și distribuției energiei electrice. Pe măsură ce sistemul de energie electrică se dezvoltă și se modifică, este necesar ca structura tarifelor de rețea să evolueze la rândul ei, astfel încât să asigure rețele de transport și distribuție eficiente din punctul de vedere al costurilor și o utilizare optimă a sistemelor de energie electrică existente. În plus, taxele și impozitele incluse în factura de energie electrică sunt, în unele cazuri, disproporționate și fără legătură. Dacă se iau în calcul toate impozitele, consumatorii finali sunt taxați mai mult pentru energia electrică decât pentru gaze în majoritatea statelor membre</w:t>
      </w:r>
      <w:r>
        <w:rPr>
          <w:rStyle w:val="FootnoteReference"/>
          <w:rFonts w:ascii="Times New Roman" w:hAnsi="Times New Roman" w:cs="Times New Roman"/>
          <w:noProof/>
          <w:sz w:val="24"/>
          <w:szCs w:val="24"/>
        </w:rPr>
        <w:footnoteReference w:id="22"/>
      </w:r>
      <w:r>
        <w:rPr>
          <w:rStyle w:val="FootnoteReference"/>
          <w:noProof/>
        </w:rPr>
        <w:t xml:space="preserve"> </w:t>
      </w:r>
      <w:r>
        <w:rPr>
          <w:rFonts w:ascii="Times New Roman" w:hAnsi="Times New Roman"/>
          <w:noProof/>
          <w:sz w:val="24"/>
        </w:rPr>
        <w:t>, iar în cel puțin cinci state membre unele dintre aceste taxe nu au legătură cu sistemul de energie electrică sau depășesc cadrul acestuia</w:t>
      </w:r>
      <w:r>
        <w:rPr>
          <w:rStyle w:val="FootnoteReference"/>
          <w:rFonts w:ascii="Times New Roman" w:hAnsi="Times New Roman" w:cs="Times New Roman"/>
          <w:noProof/>
          <w:sz w:val="24"/>
          <w:szCs w:val="24"/>
        </w:rPr>
        <w:footnoteReference w:id="23"/>
      </w:r>
      <w:r>
        <w:rPr>
          <w:rFonts w:ascii="Times New Roman" w:hAnsi="Times New Roman"/>
          <w:noProof/>
          <w:sz w:val="24"/>
        </w:rPr>
        <w:t xml:space="preserve">. În fine, regimurile de subvenționare a energiei din mai multe state membre, în principal pentru combustibilii fosili, subminează justificarea economică a electrificării și denaturează prețurile pieței, deoarece scad artificial costul combustibililor fosili și slăbesc semnalele pieței pentru o energie mai curată. Efectele se văd în facturile de energie </w:t>
      </w:r>
      <w:r>
        <w:rPr>
          <w:rFonts w:ascii="Times New Roman" w:hAnsi="Times New Roman"/>
          <w:noProof/>
          <w:sz w:val="24"/>
        </w:rPr>
        <w:lastRenderedPageBreak/>
        <w:t>electrică. Până în prezent, jumătate din valoarea facturilor de energie electrică plătită de gospodăriile din UE constă în prețul energiei electrice, un sfert reprezintă tarifele de rețea, iar un sfert – impozitele și taxele</w:t>
      </w:r>
      <w:r>
        <w:rPr>
          <w:rStyle w:val="FootnoteReference"/>
          <w:rFonts w:ascii="Times New Roman" w:hAnsi="Times New Roman" w:cs="Times New Roman"/>
          <w:noProof/>
          <w:sz w:val="24"/>
          <w:szCs w:val="24"/>
        </w:rPr>
        <w:footnoteReference w:id="24"/>
      </w:r>
      <w:r>
        <w:rPr>
          <w:rFonts w:ascii="Times New Roman" w:hAnsi="Times New Roman"/>
          <w:noProof/>
          <w:sz w:val="24"/>
        </w:rPr>
        <w:t xml:space="preserve">. </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Decalajul dintre costurile energiei electrice și cele ale energiei fosile poate fi măsurat prin </w:t>
      </w:r>
      <w:bookmarkStart w:id="3" w:name="_Hlk234687565"/>
      <w:r>
        <w:rPr>
          <w:rFonts w:ascii="Times New Roman" w:hAnsi="Times New Roman"/>
          <w:noProof/>
          <w:sz w:val="24"/>
        </w:rPr>
        <w:t xml:space="preserve">raporturile dintre prețul energiei electrice și cel al </w:t>
      </w:r>
      <w:bookmarkEnd w:id="3"/>
      <w:r>
        <w:rPr>
          <w:rFonts w:ascii="Times New Roman" w:hAnsi="Times New Roman"/>
          <w:noProof/>
          <w:sz w:val="24"/>
        </w:rPr>
        <w:t>gazelor. Un raport de doi înseamnă că prețurile energiei electrice sunt duble față de cele ale gazelor pentru aceeași cantitate de energie. Un raport ridicat sufocă în mod direct cererea pentru alternative electrice: statele membre cu cel mai mic raport între prețul energiei electrice și cel al gazelor înregistrează de trei ori mai multe vânzări de pompe de căldură decât statele membre în care raportul este mai mare de trei</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Atunci când costul energiei electrice este de peste 2/2,5 ori mai mari decât cel al gazelor, argumentele economice în favoarea trecerii la pompe de căldură sau la alte procese electrice își pierd semnificativ din putere. </w:t>
      </w:r>
    </w:p>
    <w:p>
      <w:pPr>
        <w:spacing w:before="120" w:after="120"/>
        <w:jc w:val="both"/>
        <w:rPr>
          <w:rFonts w:ascii="Times New Roman" w:hAnsi="Times New Roman" w:cs="Times New Roman"/>
          <w:noProof/>
          <w:sz w:val="24"/>
          <w:szCs w:val="24"/>
        </w:rPr>
      </w:pPr>
      <w:r>
        <w:rPr>
          <w:rFonts w:ascii="Times New Roman" w:hAnsi="Times New Roman"/>
          <w:noProof/>
          <w:sz w:val="24"/>
        </w:rPr>
        <w:t>Din aceste motive, Comisia sprijină eforturile statelor membre de a elimina disparitățile dintre costul energiei electrice și cel al energiei bazate pe combustibili fosili. Planul de acțiune pentru energie la prețuri accesibile, Grupul operativ pentru uniunea energetică și Cadrul privind ajutoarele de stat în contextul Pactului pentru o industrie curată au pus la dispoziție instrumente de acțiune și coordonare, iar Mecanismul de redresare și reziliență a oferit sprijin pentru reforme în acest domeniu. Comisia încurajează statele membre să ia măsuri pentru scăderea raportului dintre prețul energiei electrice și cel al gazelor la nivel național, astfel încât acesta să fie de maximum 2,5 în cazul gospodăriilor și de maximum 2 în cazul industriei până în 2030. Planul de față își propune să traseze o cale de urmat către obținerea acestor niveluri.</w:t>
      </w:r>
    </w:p>
    <w:p>
      <w:pPr>
        <w:spacing w:before="120" w:after="120" w:line="240" w:lineRule="auto"/>
        <w:jc w:val="both"/>
        <w:rPr>
          <w:rFonts w:ascii="Times New Roman" w:hAnsi="Times New Roman" w:cs="Times New Roman"/>
          <w:noProof/>
          <w:sz w:val="24"/>
          <w:szCs w:val="24"/>
        </w:rPr>
      </w:pPr>
    </w:p>
    <w:p>
      <w:pPr>
        <w:spacing w:before="120" w:after="120" w:line="240" w:lineRule="auto"/>
        <w:jc w:val="both"/>
        <w:rPr>
          <w:rFonts w:ascii="Times New Roman" w:hAnsi="Times New Roman" w:cs="Times New Roman"/>
          <w:noProof/>
          <w:sz w:val="24"/>
          <w:szCs w:val="24"/>
        </w:rPr>
      </w:pPr>
    </w:p>
    <w:p>
      <w:pPr>
        <w:spacing w:before="120" w:after="120"/>
        <w:jc w:val="both"/>
        <w:rPr>
          <w:rFonts w:ascii="Times New Roman" w:hAnsi="Times New Roman"/>
          <w:noProof/>
          <w:sz w:val="24"/>
        </w:rPr>
      </w:pPr>
      <w:r>
        <w:rPr>
          <w:rFonts w:ascii="Times New Roman" w:hAnsi="Times New Roman"/>
          <w:i/>
          <w:noProof/>
          <w:sz w:val="24"/>
        </w:rPr>
        <w:lastRenderedPageBreak/>
        <w:drawing>
          <wp:inline distT="0" distB="0" distL="0" distR="0">
            <wp:extent cx="5731510" cy="4345940"/>
            <wp:effectExtent l="0" t="0" r="2540" b="0"/>
            <wp:docPr id="1190468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68576" name=""/>
                    <pic:cNvPicPr/>
                  </pic:nvPicPr>
                  <pic:blipFill>
                    <a:blip r:embed="rId18"/>
                    <a:stretch>
                      <a:fillRect/>
                    </a:stretch>
                  </pic:blipFill>
                  <pic:spPr>
                    <a:xfrm>
                      <a:off x="0" y="0"/>
                      <a:ext cx="5731510" cy="4345940"/>
                    </a:xfrm>
                    <a:prstGeom prst="rect">
                      <a:avLst/>
                    </a:prstGeom>
                  </pic:spPr>
                </pic:pic>
              </a:graphicData>
            </a:graphic>
          </wp:inline>
        </w:drawing>
      </w:r>
      <w:r>
        <w:rPr>
          <w:rFonts w:ascii="Times New Roman" w:hAnsi="Times New Roman"/>
          <w:i/>
          <w:noProof/>
          <w:sz w:val="24"/>
        </w:rPr>
        <w:t xml:space="preserve"> Raporturile dintre prețul energiei electrice și cel al gazelor în statele membre ale UE</w:t>
      </w:r>
      <w:r>
        <w:rPr>
          <w:rFonts w:ascii="Times New Roman" w:hAnsi="Times New Roman" w:cs="Times New Roman"/>
          <w:i/>
          <w:noProof/>
          <w:sz w:val="24"/>
          <w:szCs w:val="24"/>
          <w:vertAlign w:val="superscript"/>
        </w:rPr>
        <w:footnoteReference w:id="26"/>
      </w:r>
      <w:r>
        <w:rPr>
          <w:rFonts w:ascii="Times New Roman" w:hAnsi="Times New Roman"/>
          <w:i/>
          <w:noProof/>
          <w:sz w:val="24"/>
        </w:rPr>
        <w:t>, pentru industrie și gospodării, în 2025</w:t>
      </w:r>
      <w:r>
        <w:rPr>
          <w:rStyle w:val="FootnoteReference"/>
          <w:rFonts w:ascii="Times New Roman" w:hAnsi="Times New Roman" w:cs="Times New Roman"/>
          <w:i/>
          <w:iCs/>
          <w:noProof/>
          <w:sz w:val="24"/>
          <w:szCs w:val="24"/>
        </w:rPr>
        <w:footnoteReference w:id="27"/>
      </w:r>
      <w:r>
        <w:rPr>
          <w:rFonts w:ascii="Times New Roman" w:hAnsi="Times New Roman"/>
          <w:i/>
          <w:noProof/>
          <w:sz w:val="24"/>
        </w:rPr>
        <w:t xml:space="preserve"> </w:t>
      </w:r>
    </w:p>
    <w:p>
      <w:pPr>
        <w:spacing w:before="120" w:after="120"/>
        <w:jc w:val="both"/>
        <w:rPr>
          <w:rFonts w:ascii="Times New Roman" w:hAnsi="Times New Roman" w:cs="Times New Roman"/>
          <w:noProof/>
          <w:sz w:val="24"/>
          <w:szCs w:val="24"/>
        </w:rPr>
      </w:pPr>
    </w:p>
    <w:p>
      <w:pPr>
        <w:pStyle w:val="Heading2"/>
        <w:numPr>
          <w:ilvl w:val="1"/>
          <w:numId w:val="1"/>
        </w:numPr>
        <w:rPr>
          <w:rFonts w:ascii="Times New Roman" w:hAnsi="Times New Roman"/>
          <w:b/>
          <w:noProof/>
          <w:color w:val="auto"/>
          <w:sz w:val="24"/>
          <w:szCs w:val="24"/>
        </w:rPr>
      </w:pPr>
      <w:r>
        <w:rPr>
          <w:rFonts w:ascii="Times New Roman" w:hAnsi="Times New Roman"/>
          <w:b/>
          <w:noProof/>
          <w:color w:val="auto"/>
          <w:sz w:val="24"/>
        </w:rPr>
        <w:t>Reducerea costurilor sistemului de energie electrică prin tarife de rețea, flexibilitate și stocare</w:t>
      </w:r>
    </w:p>
    <w:p>
      <w:pPr>
        <w:spacing w:before="120" w:after="120"/>
        <w:jc w:val="both"/>
        <w:rPr>
          <w:rFonts w:ascii="Times New Roman" w:hAnsi="Times New Roman" w:cs="Times New Roman"/>
          <w:noProof/>
          <w:sz w:val="24"/>
          <w:szCs w:val="24"/>
        </w:rPr>
      </w:pPr>
      <w:r>
        <w:rPr>
          <w:rFonts w:ascii="Times New Roman" w:hAnsi="Times New Roman"/>
          <w:noProof/>
          <w:sz w:val="24"/>
        </w:rPr>
        <w:t>Reorientarea către electrificare nu poate fi o opțiune convingătoare pentru gospodării și industrie decât dacă există condiții prielnice în acest sens. Oferta de energie electrică trebuie să prezinte încredere și să fie accesibilă ca preț. În caz contrar, volatilitatea prețurilor creează incertitudine și crește riscul și costul capitalului, subminând pledoaria pentru electrificare. Stocarea energiei (baterii de uz casnic, baterii cu stocare de lungă durată și baterii de mari dimensiuni, stocarea energiei termice și acumularea hidroenergiei prin pompare) și serviciile de flexibilitate sunt esențiale pentru un sistem energetic stabil și fiabil, cu prețuri accesibile la energie.</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Flexibilitatea oferă capacitatea de a reacționa la vârfurile de preț și la prețurile zero sau negative, atenuând diferențele și crescând reziliența sistemului energetic, precum și reducând costurile sistemului, în beneficiul tuturor </w:t>
      </w:r>
      <w:r>
        <w:rPr>
          <w:rFonts w:ascii="Times New Roman" w:hAnsi="Times New Roman" w:cs="Times New Roman"/>
          <w:noProof/>
          <w:sz w:val="24"/>
          <w:szCs w:val="24"/>
        </w:rPr>
        <w:t>utilizatorilor. Gospodăriile, consumatorii industriali, producătorii de hidrogen, centrele de date și conducătorii de BEV</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pot avea la rândul lor de </w:t>
      </w:r>
      <w:r>
        <w:rPr>
          <w:rFonts w:ascii="Times New Roman" w:hAnsi="Times New Roman" w:cs="Times New Roman"/>
          <w:noProof/>
          <w:sz w:val="24"/>
          <w:szCs w:val="24"/>
        </w:rPr>
        <w:lastRenderedPageBreak/>
        <w:t>câștigat de pe urma flexibilității atunci când remunerarea și condițiile-cadru sunt adecvate, cum ar fi contractele cu prețuri dinamice și tarifele de rețea dinamice, precum și remunerația pentru furnizarea de servicii auxiliare.</w:t>
      </w:r>
      <w:r>
        <w:rPr>
          <w:rFonts w:ascii="Times New Roman" w:hAnsi="Times New Roman" w:cs="Times New Roman"/>
          <w:noProof/>
          <w:sz w:val="24"/>
        </w:rPr>
        <w:t xml:space="preserve"> </w:t>
      </w:r>
      <w:r>
        <w:rPr>
          <w:rFonts w:ascii="Times New Roman" w:hAnsi="Times New Roman"/>
          <w:noProof/>
          <w:sz w:val="24"/>
        </w:rPr>
        <w:t>Comisia ajută statele membre să asigure valorificarea flexibilității pe care o oferă clădirile și produsele existente, punând accentul pe transparența pentru consumatori</w:t>
      </w:r>
      <w:r>
        <w:rPr>
          <w:rStyle w:val="FootnoteReference"/>
          <w:rFonts w:ascii="Times New Roman" w:hAnsi="Times New Roman" w:cs="Times New Roman"/>
          <w:noProof/>
          <w:sz w:val="24"/>
          <w:szCs w:val="24"/>
        </w:rPr>
        <w:footnoteReference w:id="29"/>
      </w:r>
      <w:r>
        <w:rPr>
          <w:rFonts w:ascii="Times New Roman" w:hAnsi="Times New Roman"/>
          <w:noProof/>
          <w:sz w:val="24"/>
        </w:rPr>
        <w:t xml:space="preserve">. De asemenea, flexibilitatea asigură că noua cerere de energie electrică nu crește în mod excesiv costurile sistemului. </w:t>
      </w:r>
    </w:p>
    <w:p>
      <w:pPr>
        <w:spacing w:before="120" w:after="120"/>
        <w:jc w:val="both"/>
        <w:rPr>
          <w:rFonts w:ascii="Times New Roman" w:hAnsi="Times New Roman" w:cs="Times New Roman"/>
          <w:noProof/>
          <w:sz w:val="24"/>
          <w:szCs w:val="24"/>
        </w:rPr>
      </w:pPr>
      <w:r>
        <w:rPr>
          <w:rFonts w:ascii="Times New Roman" w:hAnsi="Times New Roman"/>
          <w:noProof/>
          <w:sz w:val="24"/>
        </w:rPr>
        <w:t>Extinderea capacităților de calcul pe teritoriul Uniunii și a inteligenței artificiale (IA) dezvoltate și implementate în UE prin tehnologii de cloud și de IA inovatoare și durabile sunt esențiale pentru suveranitatea tehnologică a UE. Prin propunerea de act legislativ privind dezvoltarea tehnologiei de cloud și a IA</w:t>
      </w:r>
      <w:r>
        <w:rPr>
          <w:rStyle w:val="FootnoteReference"/>
          <w:rFonts w:ascii="Times New Roman" w:hAnsi="Times New Roman" w:cs="Times New Roman"/>
          <w:noProof/>
          <w:sz w:val="24"/>
          <w:szCs w:val="24"/>
        </w:rPr>
        <w:footnoteReference w:id="30"/>
      </w:r>
      <w:r>
        <w:rPr>
          <w:rFonts w:ascii="Times New Roman" w:hAnsi="Times New Roman"/>
          <w:noProof/>
          <w:sz w:val="24"/>
        </w:rPr>
        <w:t>, Comisia urmărește să remedieze problema disponibilității limitate și concentrate geografic a capacității de calcul în UE, precum și să elimine riscurile asociate dependenței de IA și de tehnologia de tip cloud puse la dispoziție de furnizori din afara Europei. Obiectivul prezintă însă și provocări, nu numai în ceea ce privește creșterea consumului de energie, ci și în ceea ce privește rețelele electrice, emisiile de dioxid de carbon și resursele de mediu, cum ar fi apa. Pentru a limita impactul, centrele de date trebuie să fie sustenabile și foarte eficiente din punctul de vedere al consumului de apă și de energie. Centrele de date flexibile, bine concepute și integrate pot ajuta la scăderea costurilor globale ale sistemului de energie electrică și la moderarea prețurilor, deoarece sprijină stabilitatea rețelei și integrarea surselor regenerabile de energie. Centrele de date flexibile pot contribui la eficiența rețelei, la consumul dispecerizabil, la capacitatea de a produce energie curată la fața locului și la flexibilitatea sistemului, prin urmare ar trebui stimulate corespunzător.</w:t>
      </w:r>
      <w:r>
        <w:rPr>
          <w:noProof/>
        </w:rPr>
        <w:t xml:space="preserve"> </w:t>
      </w:r>
      <w:r>
        <w:rPr>
          <w:rFonts w:ascii="Times New Roman" w:hAnsi="Times New Roman"/>
          <w:noProof/>
          <w:sz w:val="24"/>
        </w:rPr>
        <w:t xml:space="preserve">Zonele de accelerare a centrelor de date, care vor fi stabilite de statele membre conform propunerii din actului legislativ privind dezvoltarea tehnologiei de cloud și a IA, precum și acordul tripartit anunțat în Foaia de parcurs strategică pentru digitalizare și IA în sectorul energetic ar putea contribui prin facilitarea integrării centrelor de date, facilitarea implementării infrastructurii și limitarea impactului asupra resurselor și a facturilor plătite de consumatori. </w:t>
      </w:r>
    </w:p>
    <w:p>
      <w:pPr>
        <w:spacing w:before="120" w:after="120"/>
        <w:jc w:val="both"/>
        <w:rPr>
          <w:rFonts w:ascii="Times New Roman" w:hAnsi="Times New Roman" w:cs="Times New Roman"/>
          <w:noProof/>
          <w:sz w:val="24"/>
          <w:szCs w:val="24"/>
        </w:rPr>
      </w:pPr>
      <w:r>
        <w:rPr>
          <w:rFonts w:ascii="Times New Roman" w:hAnsi="Times New Roman"/>
          <w:noProof/>
          <w:sz w:val="24"/>
        </w:rPr>
        <w:t>Stocarea energiei este un element esențial pentru optimizarea funcționării sistemului energetic al UE – în special stocarea de lungă durată, care furnizează energie timp de peste opt ore, asigurând o energie de bază fiabilă pentru a reduce dependența de capacitățile de rezervă bazate pe combustibili fosili și pentru a utiliza mai bine producția internă de energie din surse regenerabile. Recent, Acordul tripartit privind stocarea energiei</w:t>
      </w:r>
      <w:r>
        <w:rPr>
          <w:rStyle w:val="FootnoteReference"/>
          <w:rFonts w:ascii="Times New Roman" w:hAnsi="Times New Roman" w:cs="Times New Roman"/>
          <w:noProof/>
          <w:sz w:val="24"/>
          <w:szCs w:val="24"/>
        </w:rPr>
        <w:footnoteReference w:id="31"/>
      </w:r>
      <w:r>
        <w:rPr>
          <w:rFonts w:ascii="Times New Roman" w:hAnsi="Times New Roman"/>
          <w:noProof/>
          <w:sz w:val="24"/>
        </w:rPr>
        <w:t xml:space="preserve"> a reunit actori importanți din lanțul valoric, printre care se numără state membre, dezvoltatori și producători de sisteme de stocare și de energie din surse regenerabile, precum și consumatori industriali, alături de Comisia Europeană și de instituții financiare în jurul angajamentelor reciproce de a accelera exploatarea și implementarea capacităților de stocare a energiei ca prioritate pentru următorii ani (2026-2028). Totalitatea angajamentelor asumate pentru perioada 2026-2028 echivalează cu o capacitate de stocare de 30-35 GW în acumulatori staționari. </w:t>
      </w:r>
    </w:p>
    <w:p>
      <w:pPr>
        <w:spacing w:before="120" w:after="120"/>
        <w:jc w:val="both"/>
        <w:rPr>
          <w:rFonts w:ascii="Times New Roman" w:hAnsi="Times New Roman" w:cs="Times New Roman"/>
          <w:noProof/>
          <w:sz w:val="24"/>
          <w:szCs w:val="24"/>
        </w:rPr>
      </w:pPr>
      <w:r>
        <w:rPr>
          <w:rFonts w:ascii="Times New Roman" w:hAnsi="Times New Roman"/>
          <w:noProof/>
          <w:sz w:val="24"/>
        </w:rPr>
        <w:t>Cu toate acestea, vor fi necesare eforturi suplimentare pentru ca sistemul energetic să își asigure flexibilitatea și necesarul de stocare a energiei până în 2030 (200 GW</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și 500 GW instalați </w:t>
      </w:r>
      <w:r>
        <w:rPr>
          <w:rFonts w:ascii="Times New Roman" w:hAnsi="Times New Roman"/>
          <w:noProof/>
          <w:sz w:val="24"/>
        </w:rPr>
        <w:lastRenderedPageBreak/>
        <w:t>până în 2040, de la aproximativ 55 GW în 2026), atât pentru stocarea de scurtă durată, cât și pentru cea de lungă durată. În ceea ce privește stocarea intersezonieră, fluxurile potențiale de venituri sunt adesea insuficiente pentru a acoperi investițiile inițiale.</w:t>
      </w:r>
    </w:p>
    <w:p>
      <w:pPr>
        <w:spacing w:before="120" w:after="120"/>
        <w:jc w:val="both"/>
        <w:rPr>
          <w:rFonts w:ascii="Times New Roman" w:hAnsi="Times New Roman" w:cs="Times New Roman"/>
          <w:noProof/>
          <w:sz w:val="24"/>
          <w:szCs w:val="24"/>
        </w:rPr>
      </w:pPr>
      <w:r>
        <w:rPr>
          <w:rFonts w:ascii="Times New Roman" w:hAnsi="Times New Roman"/>
          <w:noProof/>
          <w:sz w:val="24"/>
        </w:rPr>
        <w:t>Stocarea este din ce în ce mai importantă și pentru consumatorii industriali. În contractele de achiziție de energie electrică, stocarea energiei electrice poate contribui la acoperirea unei părți mai mari a cererii consumatorilor din surse regenerabile</w:t>
      </w:r>
      <w:r>
        <w:rPr>
          <w:rStyle w:val="FootnoteReference"/>
          <w:rFonts w:ascii="Times New Roman" w:hAnsi="Times New Roman" w:cs="Times New Roman"/>
          <w:noProof/>
          <w:sz w:val="24"/>
          <w:szCs w:val="24"/>
        </w:rPr>
        <w:footnoteReference w:id="33"/>
      </w:r>
      <w:r>
        <w:rPr>
          <w:rFonts w:ascii="Times New Roman" w:hAnsi="Times New Roman"/>
          <w:noProof/>
          <w:sz w:val="24"/>
        </w:rPr>
        <w:t>. Statele membre pot promova acest lucru prin punerea în aplicare a Recomandării Comisiei din aprilie 2026 referitoare la eliminarea barierelor din calea dezvoltării contractelor de achiziție de energie electrică</w:t>
      </w:r>
      <w:r>
        <w:rPr>
          <w:rStyle w:val="FootnoteReference"/>
          <w:rFonts w:ascii="Times New Roman" w:hAnsi="Times New Roman" w:cs="Times New Roman"/>
          <w:noProof/>
          <w:sz w:val="24"/>
          <w:szCs w:val="24"/>
        </w:rPr>
        <w:footnoteReference w:id="34"/>
      </w:r>
      <w:r>
        <w:rPr>
          <w:rFonts w:ascii="Times New Roman" w:hAnsi="Times New Roman"/>
          <w:noProof/>
          <w:sz w:val="24"/>
        </w:rPr>
        <w:t>. Pe partea de consum, stocarea termică oferă o altă sursă de flexibilitate pentru industriile care utilizează căldură: estimările arată că aceasta își va tripla capacitatea în UE, ajungând la 1,5 GWh până în 2028.</w:t>
      </w:r>
    </w:p>
    <w:p>
      <w:pPr>
        <w:spacing w:before="120" w:after="120"/>
        <w:jc w:val="both"/>
        <w:rPr>
          <w:rFonts w:ascii="Times New Roman" w:hAnsi="Times New Roman" w:cs="Times New Roman"/>
          <w:noProof/>
          <w:sz w:val="24"/>
          <w:szCs w:val="24"/>
        </w:rPr>
      </w:pPr>
      <w:r>
        <w:rPr>
          <w:rFonts w:ascii="Times New Roman" w:hAnsi="Times New Roman"/>
          <w:noProof/>
          <w:sz w:val="24"/>
        </w:rPr>
        <w:t>Întrucât electrificarea este elementul central al strategiei energetice a Grupului BEI, Grupul BEI intenționează să pună la dispoziție peste 75 de miliarde EUR în următorii trei ani, concentrându-se pe electrificarea la scară largă a sectoarelor de utilizare finală din industrie, sectorul clădirilor și al transporturilor, alături de decarbonizare și de extinderea capacităților în sectorul energiei electrice. Aceasta presupune investiții în rețele, în stocare și în soluții de flexibilitate menite să sprijine creșterea producției de energie electrică, electrificarea pe scară mai largă și integrarea surselor regenerabile variabile de energie. De asemenea, Grupul BEI își consolidează sprijinul acordat producătorilor de echipamente conexe, cum sunt tehnologiile de electrificare industrială, pompele de căldură și încărcătoarele pentru vehicule electrice.</w:t>
      </w: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b/>
          <w:bCs/>
          <w:i/>
          <w:iCs/>
          <w:noProof/>
          <w:sz w:val="24"/>
          <w:szCs w:val="24"/>
        </w:rPr>
      </w:pPr>
      <w:r>
        <w:rPr>
          <w:rFonts w:ascii="Times New Roman" w:hAnsi="Times New Roman"/>
          <w:b/>
          <w:i/>
          <w:noProof/>
          <w:sz w:val="24"/>
        </w:rPr>
        <w:t>Acțiunea 2</w:t>
      </w: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b/>
          <w:bCs/>
          <w:i/>
          <w:iCs/>
          <w:noProof/>
          <w:sz w:val="24"/>
          <w:szCs w:val="24"/>
        </w:rPr>
      </w:pP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i/>
          <w:iCs/>
          <w:noProof/>
          <w:sz w:val="24"/>
          <w:szCs w:val="24"/>
        </w:rPr>
      </w:pPr>
      <w:r>
        <w:rPr>
          <w:rFonts w:ascii="Times New Roman" w:hAnsi="Times New Roman"/>
          <w:i/>
          <w:noProof/>
          <w:sz w:val="24"/>
        </w:rPr>
        <w:t>Comisia a adoptat, în paralel cu acest plan,</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i/>
          <w:noProof/>
          <w:sz w:val="24"/>
        </w:rPr>
        <w:t xml:space="preserve">o </w:t>
      </w:r>
      <w:r>
        <w:rPr>
          <w:rFonts w:ascii="Times New Roman" w:hAnsi="Times New Roman"/>
          <w:b/>
          <w:i/>
          <w:noProof/>
          <w:sz w:val="24"/>
        </w:rPr>
        <w:t>propunere legislativă privind tarifele de rețea cu scopul de a stimula electrificarea</w:t>
      </w:r>
      <w:r>
        <w:rPr>
          <w:rFonts w:ascii="Times New Roman" w:hAnsi="Times New Roman"/>
          <w:i/>
          <w:noProof/>
          <w:sz w:val="24"/>
        </w:rPr>
        <w:t>, de a utiliza rețeaua într-un mod flexibil și favorabil sistemului, inclusiv prin instalații de stocare și accelerarea instalării contoarelor inteligente, și de a îmbunătăți raportul dintre prețul energiei electrice și cel al gazelor în ceea ce privește tarifele de rețea.</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iCs/>
          <w:noProof/>
          <w:sz w:val="24"/>
          <w:szCs w:val="24"/>
        </w:rPr>
      </w:pPr>
      <w:bookmarkStart w:id="4" w:name="_Hlk234774116"/>
      <w:r>
        <w:rPr>
          <w:rFonts w:ascii="Times New Roman" w:hAnsi="Times New Roman"/>
          <w:i/>
          <w:noProof/>
          <w:sz w:val="24"/>
        </w:rPr>
        <w:t xml:space="preserve">Comisia: </w:t>
      </w:r>
    </w:p>
    <w:bookmarkEnd w:id="4"/>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i/>
          <w:noProof/>
          <w:sz w:val="24"/>
        </w:rPr>
        <w:t xml:space="preserve">va propune </w:t>
      </w:r>
      <w:r>
        <w:rPr>
          <w:rFonts w:ascii="Times New Roman" w:hAnsi="Times New Roman"/>
          <w:b/>
          <w:i/>
          <w:noProof/>
          <w:sz w:val="24"/>
        </w:rPr>
        <w:t>un nou cod de rețea și revizuirea codurilor de rețea privind cerințele pentru unitățile generatoare și pentru racordarea consumatorilor</w:t>
      </w:r>
      <w:r>
        <w:rPr>
          <w:rFonts w:ascii="Times New Roman" w:hAnsi="Times New Roman"/>
          <w:i/>
          <w:noProof/>
          <w:sz w:val="24"/>
        </w:rPr>
        <w:t xml:space="preserve"> în 2026, pentru a facilita răspunsul părții de consum și integrarea fără sincope a stocării în baterii, a stocării termice, a energiei geotermice, a VE și a pompelor de căldură în rețeaua de energie electrică;</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i/>
          <w:noProof/>
          <w:sz w:val="24"/>
        </w:rPr>
        <w:t xml:space="preserve">împreună cu alte părți la </w:t>
      </w:r>
      <w:r>
        <w:rPr>
          <w:rFonts w:ascii="Times New Roman" w:hAnsi="Times New Roman"/>
          <w:b/>
          <w:i/>
          <w:noProof/>
          <w:sz w:val="24"/>
        </w:rPr>
        <w:t>Acordul tripartit privind stocarea</w:t>
      </w:r>
      <w:r>
        <w:rPr>
          <w:rFonts w:ascii="Times New Roman" w:hAnsi="Times New Roman"/>
          <w:i/>
          <w:noProof/>
          <w:sz w:val="24"/>
        </w:rPr>
        <w:t xml:space="preserve"> și cu Grupul operativ pentru uniunea energetică, va asigura îndeplinirea efectivă a angajamentelor convenite prin acest model de cooperare, care vizează întregul lanț valoric al stocării, inclusiv soluțiile de stocare pe termen lung;</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i/>
          <w:noProof/>
          <w:sz w:val="24"/>
        </w:rPr>
        <w:t xml:space="preserve">va organiza </w:t>
      </w:r>
      <w:r>
        <w:rPr>
          <w:rFonts w:ascii="Times New Roman" w:hAnsi="Times New Roman"/>
          <w:b/>
          <w:i/>
          <w:noProof/>
          <w:sz w:val="24"/>
        </w:rPr>
        <w:t>o conferință la nivel înalt pentru a evalua barierele din calea stocării și soluțiile de stocare</w:t>
      </w:r>
      <w:r>
        <w:rPr>
          <w:rFonts w:ascii="Times New Roman" w:hAnsi="Times New Roman"/>
          <w:i/>
          <w:noProof/>
          <w:sz w:val="24"/>
        </w:rPr>
        <w:t>, inclusiv stocarea de lungă durată și stocarea combinată cu contracte de achiziție de energie electrică din surse regenerabile;</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b/>
          <w:i/>
          <w:noProof/>
          <w:sz w:val="24"/>
        </w:rPr>
        <w:lastRenderedPageBreak/>
        <w:t>va evalua nevoile de flexibilitate ale UE pe termen lung</w:t>
      </w:r>
      <w:r>
        <w:rPr>
          <w:rFonts w:ascii="Times New Roman" w:hAnsi="Times New Roman"/>
          <w:i/>
          <w:noProof/>
          <w:sz w:val="24"/>
        </w:rPr>
        <w:t>, și anume până în 2030, 2040 și 2050, pe baza evaluărilor nevoilor de flexibilitate și estimând în special potențialul stocării de lungă durată și al consumului dispecerizabil, și va contribui la identificarea cazurilor de utilizare prioritare, a barierelor din calea implementării și a nevoilor de investiții, inclusiv în industriile mari consumatoare de energie, în centrele de date, în insule, în zonele îndepărtate și în regiunile cu constrângeri legate de rețea.</w:t>
      </w:r>
    </w:p>
    <w:p>
      <w:pPr>
        <w:pBdr>
          <w:top w:val="single" w:sz="4" w:space="1" w:color="auto"/>
          <w:left w:val="single" w:sz="4" w:space="4" w:color="auto"/>
          <w:bottom w:val="single" w:sz="4" w:space="1" w:color="auto"/>
          <w:right w:val="single" w:sz="4" w:space="4" w:color="auto"/>
        </w:pBdr>
        <w:spacing w:before="120" w:after="120"/>
        <w:jc w:val="both"/>
        <w:rPr>
          <w:rFonts w:ascii="Times New Roman" w:eastAsia="Calibri" w:hAnsi="Times New Roman" w:cs="Times New Roman"/>
          <w:i/>
          <w:noProof/>
          <w:sz w:val="24"/>
          <w:szCs w:val="24"/>
        </w:rPr>
      </w:pPr>
      <w:r>
        <w:rPr>
          <w:rFonts w:ascii="Times New Roman" w:hAnsi="Times New Roman"/>
          <w:i/>
          <w:noProof/>
          <w:sz w:val="24"/>
        </w:rPr>
        <w:t>Indicator-cheie de performanță: o capacitate de stocare de 200 GW până în 2030, de la aproximativ 55 GW în 2026.</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Comisia: </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i/>
          <w:noProof/>
          <w:sz w:val="24"/>
        </w:rPr>
        <w:t xml:space="preserve">va lansa un cadru pentru </w:t>
      </w:r>
      <w:r>
        <w:rPr>
          <w:rFonts w:ascii="Times New Roman" w:hAnsi="Times New Roman"/>
          <w:b/>
          <w:i/>
          <w:noProof/>
          <w:sz w:val="24"/>
        </w:rPr>
        <w:t>spațiile de testare în materie de reglementare și pentru laboratoarele vii</w:t>
      </w:r>
      <w:r>
        <w:rPr>
          <w:rFonts w:ascii="Times New Roman" w:hAnsi="Times New Roman"/>
          <w:i/>
          <w:noProof/>
          <w:sz w:val="24"/>
        </w:rPr>
        <w:t xml:space="preserve"> din toate statele membre, cu scopul de a facilita noi modele de afaceri de la vehicul la rețea (V2G) [a se vedea </w:t>
      </w:r>
      <w:r>
        <w:rPr>
          <w:rFonts w:ascii="Times New Roman" w:hAnsi="Times New Roman"/>
          <w:b/>
          <w:i/>
          <w:noProof/>
          <w:sz w:val="24"/>
        </w:rPr>
        <w:t>SWD(2026) 596</w:t>
      </w:r>
      <w:r>
        <w:rPr>
          <w:rFonts w:ascii="Times New Roman" w:hAnsi="Times New Roman"/>
          <w:i/>
          <w:noProof/>
          <w:sz w:val="24"/>
        </w:rPr>
        <w:t>];</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b/>
          <w:i/>
          <w:noProof/>
          <w:sz w:val="24"/>
        </w:rPr>
        <w:t>va evalua și va promova introducerea implicită a încărcării inteligente</w:t>
      </w:r>
      <w:r>
        <w:rPr>
          <w:rFonts w:ascii="Times New Roman" w:hAnsi="Times New Roman"/>
          <w:i/>
          <w:noProof/>
          <w:sz w:val="24"/>
        </w:rPr>
        <w:t xml:space="preserve"> în contractele de furnizare a energiei electrice legate de vehiculele electrice până la jumătatea anului 2027;</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iCs/>
          <w:noProof/>
          <w:sz w:val="24"/>
          <w:szCs w:val="24"/>
        </w:rPr>
      </w:pPr>
      <w:r>
        <w:rPr>
          <w:rFonts w:ascii="Times New Roman" w:hAnsi="Times New Roman"/>
          <w:i/>
          <w:noProof/>
          <w:sz w:val="24"/>
        </w:rPr>
        <w:t xml:space="preserve">va introduce, până la sfârșitul anului 2027, </w:t>
      </w:r>
      <w:r>
        <w:rPr>
          <w:rFonts w:ascii="Times New Roman" w:hAnsi="Times New Roman"/>
          <w:b/>
          <w:i/>
          <w:noProof/>
          <w:sz w:val="24"/>
        </w:rPr>
        <w:t>cerințe V2G pentru noile vehicule electrice noi introduse pe piața internă a Uniunii începând din 2030</w:t>
      </w:r>
      <w:r>
        <w:rPr>
          <w:rFonts w:ascii="Times New Roman" w:hAnsi="Times New Roman"/>
          <w:i/>
          <w:noProof/>
          <w:sz w:val="24"/>
        </w:rPr>
        <w:t>, inclusiv cerințe tehnice care să asigure interoperabilitatea, cum ar fi protocoale de comunicare standardizate</w:t>
      </w:r>
      <w:r>
        <w:rPr>
          <w:rStyle w:val="FootnoteReference"/>
          <w:rFonts w:ascii="Times New Roman" w:eastAsia="Calibri" w:hAnsi="Times New Roman" w:cs="Times New Roman"/>
          <w:i/>
          <w:iCs/>
          <w:noProof/>
          <w:sz w:val="24"/>
          <w:szCs w:val="24"/>
        </w:rPr>
        <w:footnoteReference w:id="35"/>
      </w:r>
      <w:r>
        <w:rPr>
          <w:rFonts w:ascii="Times New Roman" w:hAnsi="Times New Roman"/>
          <w:i/>
          <w:noProof/>
          <w:sz w:val="24"/>
        </w:rPr>
        <w:t>;</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iCs/>
          <w:noProof/>
          <w:sz w:val="24"/>
          <w:szCs w:val="24"/>
        </w:rPr>
      </w:pPr>
      <w:r>
        <w:rPr>
          <w:rFonts w:ascii="Times New Roman" w:hAnsi="Times New Roman"/>
          <w:i/>
          <w:noProof/>
          <w:sz w:val="24"/>
        </w:rPr>
        <w:t xml:space="preserve">va sprijini </w:t>
      </w:r>
      <w:r>
        <w:rPr>
          <w:rFonts w:ascii="Times New Roman" w:hAnsi="Times New Roman"/>
          <w:b/>
          <w:i/>
          <w:noProof/>
          <w:sz w:val="24"/>
        </w:rPr>
        <w:t>elaborarea unei metodologii de evaluare a potențialului de flexibilitate existent în diferite industrii și procese industriale</w:t>
      </w:r>
      <w:r>
        <w:rPr>
          <w:rFonts w:ascii="Times New Roman" w:hAnsi="Times New Roman"/>
          <w:i/>
          <w:noProof/>
          <w:sz w:val="24"/>
        </w:rPr>
        <w:t>, precum și în centrele de date, cu scopul de a completa cunoștințele lipsă din sectorul emergent al flexibilității industriale până în 2027;</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cs="Times New Roman"/>
          <w:noProof/>
          <w:sz w:val="24"/>
          <w:szCs w:val="24"/>
        </w:rPr>
      </w:pPr>
      <w:r>
        <w:rPr>
          <w:rFonts w:ascii="Times New Roman" w:hAnsi="Times New Roman"/>
          <w:i/>
          <w:noProof/>
          <w:sz w:val="24"/>
        </w:rPr>
        <w:t xml:space="preserve">va adopta un </w:t>
      </w:r>
      <w:r>
        <w:rPr>
          <w:rFonts w:ascii="Times New Roman" w:hAnsi="Times New Roman"/>
          <w:b/>
          <w:i/>
          <w:noProof/>
          <w:sz w:val="24"/>
        </w:rPr>
        <w:t>sistem comun al Uniunii de acordare de calificative centrelor de date</w:t>
      </w:r>
      <w:r>
        <w:rPr>
          <w:rFonts w:ascii="Times New Roman" w:hAnsi="Times New Roman"/>
          <w:i/>
          <w:noProof/>
          <w:sz w:val="24"/>
        </w:rPr>
        <w:t xml:space="preserve">, cu scopul de a spori transparența în ceea ce privește utilizarea energiei de către centrele de date și de a promova piețele-lider de active și servicii digitale durabile în toată Europa, și va introduce </w:t>
      </w:r>
      <w:r>
        <w:rPr>
          <w:rFonts w:ascii="Times New Roman" w:hAnsi="Times New Roman"/>
          <w:b/>
          <w:i/>
          <w:noProof/>
          <w:sz w:val="24"/>
        </w:rPr>
        <w:t>standarde minime de performanță pentru centrele de date</w:t>
      </w:r>
      <w:r>
        <w:rPr>
          <w:rFonts w:ascii="Times New Roman" w:hAnsi="Times New Roman"/>
          <w:i/>
          <w:noProof/>
          <w:sz w:val="24"/>
        </w:rPr>
        <w:t>, astfel încât acestea să își valorifice potențialul de flexibilitate.</w:t>
      </w:r>
    </w:p>
    <w:p>
      <w:pPr>
        <w:spacing w:before="120" w:after="120"/>
        <w:jc w:val="both"/>
        <w:rPr>
          <w:rFonts w:ascii="Times New Roman" w:hAnsi="Times New Roman" w:cs="Times New Roman"/>
          <w:noProof/>
          <w:sz w:val="24"/>
          <w:szCs w:val="24"/>
        </w:rPr>
      </w:pPr>
    </w:p>
    <w:p>
      <w:pPr>
        <w:pStyle w:val="Heading2"/>
        <w:numPr>
          <w:ilvl w:val="1"/>
          <w:numId w:val="1"/>
        </w:numPr>
        <w:rPr>
          <w:rFonts w:ascii="Times New Roman" w:hAnsi="Times New Roman"/>
          <w:b/>
          <w:noProof/>
          <w:sz w:val="24"/>
          <w:szCs w:val="24"/>
        </w:rPr>
      </w:pPr>
      <w:r>
        <w:rPr>
          <w:rFonts w:ascii="Times New Roman" w:hAnsi="Times New Roman"/>
          <w:b/>
          <w:noProof/>
          <w:color w:val="auto"/>
          <w:sz w:val="24"/>
        </w:rPr>
        <w:t>Abordarea diferenței de impozitare dintre energia electrică și gaze</w:t>
      </w:r>
    </w:p>
    <w:p>
      <w:pPr>
        <w:spacing w:before="120" w:after="120" w:line="240" w:lineRule="auto"/>
        <w:jc w:val="both"/>
        <w:rPr>
          <w:rFonts w:ascii="Times New Roman" w:hAnsi="Times New Roman"/>
          <w:noProof/>
          <w:sz w:val="24"/>
          <w:szCs w:val="24"/>
        </w:rPr>
      </w:pPr>
      <w:r>
        <w:rPr>
          <w:rFonts w:ascii="Times New Roman" w:hAnsi="Times New Roman"/>
          <w:noProof/>
          <w:sz w:val="24"/>
        </w:rPr>
        <w:t>Pentru a aborda o altă componentă a facturii la energie electrică și a contribui la reechilibrarea prețului energiei electrice cu cel al gazelor, statele membre pot realiza reforme fiscale. Pentru a corela principiile impozitării energiei electrice cu electrificarea, energia electrică nu ar trebui impozitată mai mult decât gazul. Recent, Țările de Jos și Belgia au luat măsuri pentru a restabili echilibrul dintre prețul energiei electrice și cel al gazelor prin limitarea diferenței de impozitare dintre acești purtători de energie. Danemarca a luat de asemenea măsuri, reducând accizele la energia electrică pentru gospodăriile care utilizează pompe de căldură și reducând la minimum impozitarea energiei electrice timp de doi ani.</w:t>
      </w:r>
    </w:p>
    <w:p>
      <w:pPr>
        <w:spacing w:before="120" w:after="120" w:line="240" w:lineRule="auto"/>
        <w:jc w:val="both"/>
        <w:rPr>
          <w:rFonts w:ascii="Times New Roman" w:hAnsi="Times New Roman"/>
          <w:noProof/>
          <w:sz w:val="24"/>
          <w:szCs w:val="24"/>
        </w:rPr>
      </w:pPr>
      <w:r>
        <w:rPr>
          <w:rFonts w:ascii="Times New Roman" w:hAnsi="Times New Roman"/>
          <w:noProof/>
          <w:sz w:val="24"/>
        </w:rPr>
        <w:t>În plus, subvențiile pentru energie reprezintă eforturi fiscale și costuri pentru bugetele publice. Este prin urmare esențial ca subvențiile pentru energie să fie bine gândite și bine cheltuite și să ofere un sprijin coerent pentru obiectivele de politică ale UE, de exemplu pentru electrificarea sectoarelor-cheie. În 2024, subvențiile pentru combustibilii fosili s-au ridicat la 97 de miliarde EUR, un nivel ridicat față de media de aproximativ 60 de miliarde EUR înregistrată între 2015 și 2019</w:t>
      </w:r>
      <w:r>
        <w:rPr>
          <w:rStyle w:val="FootnoteReference"/>
          <w:rFonts w:ascii="Times New Roman" w:eastAsia="Calibri" w:hAnsi="Times New Roman" w:cs="Times New Roman"/>
          <w:i/>
          <w:iCs/>
          <w:noProof/>
          <w:sz w:val="24"/>
          <w:szCs w:val="24"/>
        </w:rPr>
        <w:footnoteReference w:id="36"/>
      </w:r>
      <w:r>
        <w:rPr>
          <w:rFonts w:ascii="Times New Roman" w:hAnsi="Times New Roman"/>
          <w:noProof/>
          <w:sz w:val="24"/>
        </w:rPr>
        <w:t>.</w:t>
      </w:r>
      <w:r>
        <w:rPr>
          <w:rStyle w:val="FootnoteReference"/>
          <w:i/>
          <w:noProof/>
        </w:rPr>
        <w:t xml:space="preserve"> </w:t>
      </w:r>
      <w:r>
        <w:rPr>
          <w:rFonts w:ascii="Times New Roman" w:hAnsi="Times New Roman"/>
          <w:noProof/>
          <w:sz w:val="24"/>
        </w:rPr>
        <w:t xml:space="preserve">În 2024, subvențiile pentru combustibilii fosili au scăzut cu 20 % față de 2023 (121 de miliarde EUR) și cu 42 % față de maximul înregistrat în 2022 (168 de miliarde EUR), ca urmare a eliminării treptate a numeroase măsuri temporare de criză. Conform planurilor </w:t>
      </w:r>
      <w:r>
        <w:rPr>
          <w:rFonts w:ascii="Times New Roman" w:hAnsi="Times New Roman"/>
          <w:noProof/>
          <w:sz w:val="24"/>
        </w:rPr>
        <w:lastRenderedPageBreak/>
        <w:t>naționale de eliminare treptată comunicate de statele membre în 2023 și 2024</w:t>
      </w:r>
      <w:r>
        <w:rPr>
          <w:rStyle w:val="FootnoteReference"/>
          <w:rFonts w:eastAsia="Calibri" w:cs="Times New Roman"/>
          <w:i/>
          <w:iCs/>
          <w:noProof/>
        </w:rPr>
        <w:footnoteReference w:id="37"/>
      </w:r>
      <w:r>
        <w:rPr>
          <w:rFonts w:ascii="Times New Roman" w:hAnsi="Times New Roman"/>
          <w:noProof/>
          <w:sz w:val="24"/>
        </w:rPr>
        <w:t>, mai puțin de jumătate (39 % sau 38 de miliarde EUR) din subvențiile pentru combustibilii fosili aveau un termen-limită planificat înainte de 2025, alte 8 % (8 miliarde EUR) erau programate să se încheie în perioada 2026-2030, iar pentru restul de 52 % (50 de miliarde EUR) fie nu există un termen-limită, fie termenul-limită a fost stabilit după 2030.</w:t>
      </w:r>
    </w:p>
    <w:p>
      <w:pPr>
        <w:spacing w:before="120" w:after="120"/>
        <w:jc w:val="both"/>
        <w:rPr>
          <w:noProof/>
        </w:rPr>
      </w:pP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b/>
          <w:i/>
          <w:noProof/>
          <w:sz w:val="24"/>
          <w:szCs w:val="24"/>
        </w:rPr>
      </w:pPr>
      <w:r>
        <w:rPr>
          <w:rFonts w:ascii="Times New Roman" w:hAnsi="Times New Roman"/>
          <w:b/>
          <w:i/>
          <w:noProof/>
          <w:sz w:val="24"/>
        </w:rPr>
        <w:t>Acțiunea 3:</w:t>
      </w: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i/>
          <w:iCs/>
          <w:noProof/>
          <w:sz w:val="24"/>
          <w:szCs w:val="24"/>
        </w:rPr>
      </w:pPr>
    </w:p>
    <w:p>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i/>
          <w:iCs/>
          <w:noProof/>
          <w:sz w:val="24"/>
          <w:szCs w:val="24"/>
        </w:rPr>
      </w:pPr>
      <w:r>
        <w:rPr>
          <w:rFonts w:ascii="Times New Roman" w:hAnsi="Times New Roman"/>
          <w:i/>
          <w:noProof/>
          <w:sz w:val="24"/>
        </w:rPr>
        <w:t>Comisia a adoptat, în paralel cu acest plan,</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b/>
          <w:i/>
          <w:noProof/>
          <w:sz w:val="24"/>
        </w:rPr>
        <w:t>ca parte a propunerii legislative privind tarifele de rețea</w:t>
      </w:r>
      <w:r>
        <w:rPr>
          <w:rFonts w:ascii="Times New Roman" w:hAnsi="Times New Roman"/>
          <w:i/>
          <w:noProof/>
          <w:sz w:val="24"/>
        </w:rPr>
        <w:t>, o dispoziție privind diferența de impozitare dintre energia electrică și gaze.</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rPr>
      </w:pPr>
      <w:r>
        <w:rPr>
          <w:rFonts w:ascii="Times New Roman" w:hAnsi="Times New Roman"/>
          <w:i/>
          <w:noProof/>
          <w:sz w:val="24"/>
        </w:rPr>
        <w:t xml:space="preserve">Comisia: </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rPr>
      </w:pPr>
      <w:r>
        <w:rPr>
          <w:rFonts w:ascii="Times New Roman" w:hAnsi="Times New Roman"/>
          <w:i/>
          <w:noProof/>
          <w:sz w:val="24"/>
        </w:rPr>
        <w:t xml:space="preserve">va propune </w:t>
      </w:r>
      <w:r>
        <w:rPr>
          <w:rFonts w:ascii="Times New Roman" w:hAnsi="Times New Roman"/>
          <w:b/>
          <w:i/>
          <w:noProof/>
          <w:sz w:val="24"/>
        </w:rPr>
        <w:t>măsuri de eliminare treptată a subvențiilor pentru combustibilii fosili</w:t>
      </w:r>
      <w:r>
        <w:rPr>
          <w:rFonts w:ascii="Times New Roman" w:hAnsi="Times New Roman"/>
          <w:i/>
          <w:noProof/>
          <w:sz w:val="24"/>
        </w:rPr>
        <w:t xml:space="preserve"> ca parte a pachetului privind uniunea energetică post-2030 (T4 2026).</w:t>
      </w:r>
    </w:p>
    <w:p>
      <w:p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i/>
          <w:noProof/>
          <w:sz w:val="24"/>
          <w:szCs w:val="24"/>
        </w:rPr>
      </w:pPr>
      <w:r>
        <w:rPr>
          <w:rFonts w:ascii="Times New Roman" w:hAnsi="Times New Roman"/>
          <w:i/>
          <w:noProof/>
          <w:sz w:val="24"/>
        </w:rPr>
        <w:t>Indicatorii-cheie de performanță privind raporturile dintre prețul energiei electrice și cel al gazelor la nivel național sunt de maximum 2,5 pentru gospodării și maximum 2 pentru industrie până în 2030</w:t>
      </w:r>
      <w:r>
        <w:rPr>
          <w:rStyle w:val="FootnoteReference"/>
          <w:rFonts w:ascii="Times New Roman" w:hAnsi="Times New Roman" w:cs="Times New Roman"/>
          <w:i/>
          <w:noProof/>
          <w:sz w:val="24"/>
          <w:szCs w:val="24"/>
        </w:rPr>
        <w:footnoteReference w:id="38"/>
      </w:r>
      <w:r>
        <w:rPr>
          <w:rFonts w:ascii="Times New Roman" w:hAnsi="Times New Roman"/>
          <w:i/>
          <w:noProof/>
          <w:sz w:val="24"/>
        </w:rPr>
        <w:t>.</w:t>
      </w:r>
    </w:p>
    <w:p>
      <w:pPr>
        <w:spacing w:before="120" w:after="120"/>
        <w:jc w:val="both"/>
        <w:rPr>
          <w:rFonts w:ascii="Times New Roman" w:hAnsi="Times New Roman" w:cs="Times New Roman"/>
          <w:noProof/>
          <w:sz w:val="24"/>
          <w:szCs w:val="24"/>
        </w:rPr>
      </w:pPr>
    </w:p>
    <w:p>
      <w:pPr>
        <w:pStyle w:val="Heading2"/>
        <w:numPr>
          <w:ilvl w:val="1"/>
          <w:numId w:val="1"/>
        </w:numPr>
        <w:rPr>
          <w:rFonts w:ascii="Times New Roman" w:hAnsi="Times New Roman"/>
          <w:b/>
          <w:noProof/>
          <w:color w:val="auto"/>
          <w:sz w:val="24"/>
        </w:rPr>
      </w:pPr>
      <w:r>
        <w:rPr>
          <w:rFonts w:ascii="Times New Roman" w:hAnsi="Times New Roman"/>
          <w:b/>
          <w:noProof/>
          <w:color w:val="auto"/>
          <w:sz w:val="24"/>
        </w:rPr>
        <w:t>Ieftinirea energiei electrice și creșterea ponderii energiei autohtone curate, la prețuri accesibile</w:t>
      </w:r>
    </w:p>
    <w:p>
      <w:pPr>
        <w:spacing w:before="120" w:after="120"/>
        <w:jc w:val="both"/>
        <w:rPr>
          <w:rFonts w:ascii="Times New Roman" w:hAnsi="Times New Roman" w:cs="Times New Roman"/>
          <w:noProof/>
          <w:sz w:val="24"/>
          <w:szCs w:val="24"/>
        </w:rPr>
      </w:pPr>
      <w:r>
        <w:rPr>
          <w:rFonts w:ascii="Times New Roman" w:hAnsi="Times New Roman"/>
          <w:noProof/>
          <w:sz w:val="24"/>
        </w:rPr>
        <w:t>După cum se arată în figura de mai jos, cele mai mici prețuri ale energiei electrice din UE sunt observate pe piețele cu ponderi foarte ridicate ale energiei electrice curate (din surse regenerabile și nucleară</w:t>
      </w:r>
      <w:r>
        <w:rPr>
          <w:rStyle w:val="FootnoteReference"/>
          <w:rFonts w:ascii="Times New Roman" w:hAnsi="Times New Roman" w:cs="Times New Roman"/>
          <w:noProof/>
          <w:sz w:val="24"/>
          <w:szCs w:val="24"/>
        </w:rPr>
        <w:footnoteReference w:id="39"/>
      </w:r>
      <w:r>
        <w:rPr>
          <w:rFonts w:ascii="Times New Roman" w:hAnsi="Times New Roman"/>
          <w:noProof/>
          <w:sz w:val="24"/>
        </w:rPr>
        <w:t>), deoarece acestea sunt mai puțin expuse riscului ca prețul angro al energiei electrice să fie stabilit în funcție de combustibilii fosili. În plus, energia din surse regenerabile și energia nucleară elimină combustibilii fosili: capacitatea eoliană și solară suplimentară de 260 GW instalată începând din 2021 a înlocuit 14 miliarde de metri cubi de gaze doar în 2025, generând o economie de peste 5 miliarde EUR din costurile combustibililor. Întrucât electrificarea crește cererea de energie electrică, va fi necesară o dezvoltare mai rapidă a producției de energie din surse regenerabile și nucleare</w:t>
      </w:r>
      <w:r>
        <w:rPr>
          <w:rStyle w:val="FootnoteReference"/>
          <w:rFonts w:ascii="Times New Roman" w:hAnsi="Times New Roman" w:cs="Times New Roman"/>
          <w:noProof/>
          <w:sz w:val="24"/>
          <w:szCs w:val="24"/>
        </w:rPr>
        <w:footnoteReference w:id="40"/>
      </w:r>
      <w:r>
        <w:rPr>
          <w:rFonts w:ascii="Times New Roman" w:hAnsi="Times New Roman"/>
          <w:noProof/>
          <w:sz w:val="24"/>
        </w:rPr>
        <w:t>. Ca atare, Europa trebuie să se miște și mai rapid.</w:t>
      </w:r>
      <w:r>
        <w:rPr>
          <w:rFonts w:ascii="Times New Roman" w:hAnsi="Times New Roman"/>
          <w:i/>
          <w:noProof/>
          <w:sz w:val="24"/>
        </w:rPr>
        <w:t xml:space="preserve"> </w:t>
      </w:r>
    </w:p>
    <w:p>
      <w:pPr>
        <w:rPr>
          <w:noProof/>
        </w:rPr>
      </w:pP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extent cx="5731510" cy="3641090"/>
            <wp:effectExtent l="0" t="0" r="2540" b="0"/>
            <wp:docPr id="1672112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12689" name=""/>
                    <pic:cNvPicPr/>
                  </pic:nvPicPr>
                  <pic:blipFill>
                    <a:blip r:embed="rId19"/>
                    <a:stretch>
                      <a:fillRect/>
                    </a:stretch>
                  </pic:blipFill>
                  <pic:spPr>
                    <a:xfrm>
                      <a:off x="0" y="0"/>
                      <a:ext cx="5731510" cy="3641090"/>
                    </a:xfrm>
                    <a:prstGeom prst="rect">
                      <a:avLst/>
                    </a:prstGeom>
                  </pic:spPr>
                </pic:pic>
              </a:graphicData>
            </a:graphic>
          </wp:inline>
        </w:drawing>
      </w:r>
    </w:p>
    <w:p>
      <w:pPr>
        <w:spacing w:before="120" w:after="120"/>
        <w:jc w:val="both"/>
        <w:rPr>
          <w:rFonts w:ascii="Times New Roman" w:hAnsi="Times New Roman"/>
          <w:noProof/>
          <w:sz w:val="24"/>
        </w:rPr>
      </w:pPr>
      <w:r>
        <w:rPr>
          <w:rFonts w:ascii="Times New Roman" w:hAnsi="Times New Roman"/>
          <w:noProof/>
          <w:sz w:val="24"/>
        </w:rPr>
        <w:t>UE a instituit un cadru de sprijin menit să accelereze creșterea capacității de energie electrică curată</w:t>
      </w:r>
      <w:r>
        <w:rPr>
          <w:rStyle w:val="FootnoteReference"/>
          <w:rFonts w:ascii="Times New Roman" w:hAnsi="Times New Roman" w:cs="Times New Roman"/>
          <w:noProof/>
          <w:sz w:val="24"/>
          <w:szCs w:val="24"/>
        </w:rPr>
        <w:footnoteReference w:id="41"/>
      </w:r>
      <w:r>
        <w:rPr>
          <w:rFonts w:ascii="Times New Roman" w:hAnsi="Times New Roman"/>
          <w:noProof/>
          <w:sz w:val="24"/>
        </w:rPr>
        <w:t>, inclusiv prin stabilirea unui preț al carbonului în cadrul EU ETS. Constituie priorități punerea în aplicare a legislației UE în domeniul energiei și asigurarea respectării acesteia în vederea atingerii obiectivelor convenite pentru 2030, inclusiv a cadrului privind energia din surse regenerabile. Integrarea în sistem a producției de energie din surse regenerabile este frânată de planificarea insuficientă, de lipsa semnalelor de localizare, de congestionarea rețelei, de lipsa capacităților de stocare a energiei și de o lipsă generală de flexibilitate, ceea ce duce la restricționări periodice. Deși Directiva privind energia din surse regenerabile (DESR III) abordează unele dintre barierele din calea electrificării, iar termenul de transpunere a acesteia a expirat la 21 mai 2025</w:t>
      </w:r>
      <w:r>
        <w:rPr>
          <w:rStyle w:val="FootnoteReference"/>
          <w:rFonts w:ascii="Times New Roman" w:hAnsi="Times New Roman" w:cs="Times New Roman"/>
          <w:noProof/>
          <w:sz w:val="24"/>
          <w:szCs w:val="24"/>
        </w:rPr>
        <w:footnoteReference w:id="42"/>
      </w:r>
      <w:r>
        <w:rPr>
          <w:rFonts w:ascii="Times New Roman" w:hAnsi="Times New Roman"/>
          <w:noProof/>
          <w:sz w:val="24"/>
        </w:rPr>
        <w:t>, niciun stat membru nu a transpus încă integral părțile respective ale acestui cadru. În consecință, introducerea capacității de energie din surse regenerabile este încetinită, ceea ce contribuie la menținerea prețurilor ridicate ale energiei electrice. În plus, SMR-urile pot consolida securitatea și autonomia energetică a UE prin reducerea dependenței de combustibilii fosili, completând în același timp sursele regenerabile.</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În plus, sunt necesare acțiuni suplimentare. La toate nivelurile, Europa poate îmbunătăți previzibilitatea și coordonarea investițiilor în aprovizionarea cu energie curată și poate contribui la valorificarea densității unice a rețelei europene de energie electrică. De asemenea, ar trebui o coordonare mai bună între aceste investiții în producție și flexibilitate, aceasta având la rândul ei un rol esențial în accesibilitatea prețurilor energiei electrice. La nivelul UE, o platformă existentă oferă tuturor părților interesate transparență cu privire la viitoarele licitații pentru energia din surse regenerabile. Prin adăugarea unei baze de date cu informații detaliate despre aceste licitații și scheme de sprijinire a flexibilității, Comisia va ajuta statele membre să </w:t>
      </w:r>
      <w:r>
        <w:rPr>
          <w:rFonts w:ascii="Times New Roman" w:hAnsi="Times New Roman"/>
          <w:noProof/>
          <w:sz w:val="24"/>
        </w:rPr>
        <w:lastRenderedPageBreak/>
        <w:t>utilizeze în mod optim fondurile publice pentru a accelera utilizarea surselor regenerabile de energie în beneficiul consumatorilor de energie electrică.</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rPr>
      </w:pPr>
      <w:r>
        <w:rPr>
          <w:rFonts w:ascii="Times New Roman" w:hAnsi="Times New Roman"/>
          <w:b/>
          <w:i/>
          <w:noProof/>
          <w:sz w:val="24"/>
        </w:rPr>
        <w:t>Acțiunea 4</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Comisia:</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Times New Roman" w:hAnsi="Times New Roman" w:cs="Times New Roman"/>
          <w:i/>
          <w:iCs/>
          <w:noProof/>
          <w:sz w:val="24"/>
          <w:szCs w:val="24"/>
        </w:rPr>
      </w:pPr>
      <w:r>
        <w:rPr>
          <w:rFonts w:ascii="Times New Roman" w:hAnsi="Times New Roman"/>
          <w:b/>
          <w:i/>
          <w:noProof/>
          <w:sz w:val="24"/>
        </w:rPr>
        <w:t>va consolida sprijinul acordat statelor membre pentru punerea în aplicare</w:t>
      </w:r>
      <w:r>
        <w:rPr>
          <w:rFonts w:ascii="Times New Roman" w:hAnsi="Times New Roman"/>
          <w:i/>
          <w:noProof/>
          <w:sz w:val="24"/>
        </w:rPr>
        <w:t xml:space="preserve"> a Directivei (UE) 2023/2413 în ceea ce privește promovarea energiei din surse regenerabile (DESR III), astfel încât aceasta să fie transpusă integral și corespunzător până în vara anului 2027;</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Calibri" w:hAnsi="Times New Roman" w:cs="Times New Roman"/>
          <w:i/>
          <w:noProof/>
          <w:sz w:val="24"/>
          <w:szCs w:val="24"/>
        </w:rPr>
      </w:pPr>
      <w:r>
        <w:rPr>
          <w:rFonts w:ascii="Times New Roman" w:hAnsi="Times New Roman"/>
          <w:i/>
          <w:noProof/>
          <w:sz w:val="24"/>
        </w:rPr>
        <w:t xml:space="preserve">va sprijini </w:t>
      </w:r>
      <w:r>
        <w:rPr>
          <w:rFonts w:ascii="Times New Roman" w:hAnsi="Times New Roman"/>
          <w:b/>
          <w:i/>
          <w:noProof/>
          <w:sz w:val="24"/>
        </w:rPr>
        <w:t>cooperarea transfrontalieră dintre autoritățile naționale, în interesul unor decizii mai rapide de acordare a licențelor pentru reactoarele nucleare</w:t>
      </w:r>
      <w:r>
        <w:rPr>
          <w:rFonts w:ascii="Times New Roman" w:hAnsi="Times New Roman"/>
          <w:i/>
          <w:noProof/>
          <w:sz w:val="24"/>
        </w:rPr>
        <w:t>. Ar trebui urmărită prelungirea duratei de viață a reactoarelor existente, respectând pe deplin prerogativa statelor membre de a-și stabili propriul mix energetic, cu excepția cazului în care acest lucru este nerentabil sau incompatibil cu cele mai înalte standarde de siguranță;</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Times New Roman" w:hAnsi="Times New Roman" w:cs="Times New Roman"/>
          <w:i/>
          <w:noProof/>
          <w:sz w:val="24"/>
          <w:szCs w:val="24"/>
        </w:rPr>
      </w:pPr>
      <w:r>
        <w:rPr>
          <w:rFonts w:ascii="Times New Roman" w:hAnsi="Times New Roman"/>
          <w:i/>
          <w:noProof/>
          <w:sz w:val="24"/>
        </w:rPr>
        <w:t xml:space="preserve">va revizui legislația relevantă a UE pentru </w:t>
      </w:r>
      <w:r>
        <w:rPr>
          <w:rFonts w:ascii="Times New Roman" w:hAnsi="Times New Roman"/>
          <w:b/>
          <w:i/>
          <w:noProof/>
          <w:sz w:val="24"/>
        </w:rPr>
        <w:t>a facilita încheierea de contracte de energie electrică la nivel transfrontalier pe termen lung</w:t>
      </w:r>
      <w:r>
        <w:rPr>
          <w:rFonts w:ascii="Times New Roman" w:hAnsi="Times New Roman"/>
          <w:i/>
          <w:noProof/>
          <w:sz w:val="24"/>
        </w:rPr>
        <w:t xml:space="preserve">, inclusiv între producătorii de energie cu emisii scăzute de dioxid de carbon dintr-un stat membru și achizitorii din alt stat membru și va lansa, până în T2 2027, un </w:t>
      </w:r>
      <w:r>
        <w:rPr>
          <w:rFonts w:ascii="Times New Roman" w:hAnsi="Times New Roman"/>
          <w:b/>
          <w:i/>
          <w:noProof/>
          <w:sz w:val="24"/>
        </w:rPr>
        <w:t>instrument bazat pe hărți</w:t>
      </w:r>
      <w:r>
        <w:rPr>
          <w:rFonts w:ascii="Times New Roman" w:hAnsi="Times New Roman"/>
          <w:i/>
          <w:noProof/>
          <w:sz w:val="24"/>
        </w:rPr>
        <w:t xml:space="preserve"> cu scopul de a ajuta industriile mari consumatoare de energie și investitorii să evalueze factorii specifici amplasamentului pe care își fundamentează deciziile de a investi în domeniul energiei („</w:t>
      </w:r>
      <w:r>
        <w:rPr>
          <w:rFonts w:ascii="Times New Roman" w:hAnsi="Times New Roman"/>
          <w:b/>
          <w:i/>
          <w:noProof/>
          <w:sz w:val="24"/>
        </w:rPr>
        <w:t>GeoDep</w:t>
      </w:r>
      <w:r>
        <w:rPr>
          <w:rFonts w:ascii="Times New Roman" w:hAnsi="Times New Roman"/>
          <w:i/>
          <w:noProof/>
          <w:sz w:val="24"/>
        </w:rPr>
        <w:t>”), cum ar fi proximitatea producției, infrastructura disponibilă sau raporturile favorabile dintre prețul energiei electrice și cel al gazelor</w:t>
      </w:r>
      <w:r>
        <w:rPr>
          <w:rStyle w:val="FootnoteReference"/>
          <w:rFonts w:ascii="Times New Roman" w:eastAsia="Calibri" w:hAnsi="Times New Roman" w:cs="Times New Roman"/>
          <w:i/>
          <w:iCs/>
          <w:noProof/>
          <w:sz w:val="24"/>
          <w:szCs w:val="24"/>
        </w:rPr>
        <w:footnoteReference w:id="43"/>
      </w:r>
      <w:r>
        <w:rPr>
          <w:rFonts w:ascii="Times New Roman" w:hAnsi="Times New Roman"/>
          <w:i/>
          <w:noProof/>
          <w:sz w:val="24"/>
        </w:rPr>
        <w:t>;</w:t>
      </w:r>
    </w:p>
    <w:p>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Calibri" w:hAnsi="Times New Roman" w:cs="Times New Roman"/>
          <w:i/>
          <w:noProof/>
          <w:sz w:val="24"/>
          <w:szCs w:val="24"/>
        </w:rPr>
      </w:pPr>
      <w:r>
        <w:rPr>
          <w:rFonts w:ascii="Times New Roman" w:hAnsi="Times New Roman"/>
          <w:i/>
          <w:noProof/>
          <w:sz w:val="24"/>
        </w:rPr>
        <w:t xml:space="preserve">va crea, </w:t>
      </w:r>
      <w:r>
        <w:rPr>
          <w:rFonts w:ascii="Times New Roman" w:hAnsi="Times New Roman"/>
          <w:b/>
          <w:i/>
          <w:noProof/>
          <w:sz w:val="24"/>
        </w:rPr>
        <w:t>până în 2027, o bază de date detaliată pentru conceperea licitațiilor, care să completeze platforma de licitație existentă pentru SRE</w:t>
      </w:r>
      <w:r>
        <w:rPr>
          <w:rStyle w:val="FootnoteReference"/>
          <w:rFonts w:ascii="Times New Roman" w:hAnsi="Times New Roman"/>
          <w:b/>
          <w:noProof/>
          <w:sz w:val="24"/>
        </w:rPr>
        <w:footnoteReference w:id="44"/>
      </w:r>
      <w:r>
        <w:rPr>
          <w:rFonts w:ascii="Times New Roman" w:hAnsi="Times New Roman"/>
          <w:i/>
          <w:noProof/>
          <w:sz w:val="24"/>
        </w:rPr>
        <w:t xml:space="preserve"> în vederea utilizării optime a sprijinului public;</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noProof/>
          <w:sz w:val="24"/>
          <w:szCs w:val="24"/>
        </w:rPr>
      </w:pPr>
      <w:r>
        <w:rPr>
          <w:rFonts w:ascii="Times New Roman" w:hAnsi="Times New Roman"/>
          <w:i/>
          <w:noProof/>
          <w:sz w:val="24"/>
        </w:rPr>
        <w:t xml:space="preserve">va adopta </w:t>
      </w:r>
      <w:r>
        <w:rPr>
          <w:rFonts w:ascii="Times New Roman" w:hAnsi="Times New Roman"/>
          <w:b/>
          <w:i/>
          <w:noProof/>
          <w:sz w:val="24"/>
        </w:rPr>
        <w:t>orientări privind criteriile NZIA nelegate de preț din cadrul licitațiilor pentru energie din surse regenerabile</w:t>
      </w:r>
      <w:r>
        <w:rPr>
          <w:rFonts w:ascii="Times New Roman" w:hAnsi="Times New Roman"/>
          <w:i/>
          <w:noProof/>
          <w:sz w:val="24"/>
        </w:rPr>
        <w:t xml:space="preserve">, astfel încât să asigure o bază industrială sigură și diversificată pentru tehnologiile energetice curate. </w:t>
      </w:r>
    </w:p>
    <w:p>
      <w:pPr>
        <w:spacing w:after="0" w:line="276" w:lineRule="auto"/>
        <w:jc w:val="both"/>
        <w:rPr>
          <w:rFonts w:ascii="Times New Roman" w:eastAsia="Calibri" w:hAnsi="Times New Roman" w:cs="Times New Roman"/>
          <w:i/>
          <w:noProof/>
          <w:sz w:val="24"/>
          <w:szCs w:val="24"/>
        </w:rPr>
      </w:pPr>
    </w:p>
    <w:p>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Energia geotermică continuă să fie o resursă insuficient utilizată pentru producerea de energie electrică din surse regenerabile de înaltă eficiență și ca soluție de încălzire și răcire cu costuri mici de rețea. Potrivit estimărilor recente, ea ar putea satisface într-un mod eficient din punctul de vedere al costurilor cel puțin 10 % din necesarul de energie electrică al Europei</w:t>
      </w:r>
      <w:r>
        <w:rPr>
          <w:rFonts w:ascii="Times New Roman" w:eastAsia="Times New Roman" w:hAnsi="Times New Roman" w:cs="Times New Roman"/>
          <w:noProof/>
          <w:sz w:val="24"/>
          <w:szCs w:val="24"/>
          <w:vertAlign w:val="superscript"/>
        </w:rPr>
        <w:footnoteReference w:id="45"/>
      </w:r>
      <w:r>
        <w:rPr>
          <w:rFonts w:ascii="Times New Roman" w:hAnsi="Times New Roman"/>
          <w:noProof/>
          <w:sz w:val="24"/>
        </w:rPr>
        <w:t xml:space="preserve"> și 25 % din necesarul său de încălzire și răcire dacă s-ar institui un cadru favorabil. În plus, energia geotermică, la fel ca energia termică solară, are potențialul de a contribui la răcirea pasivă.</w:t>
      </w:r>
    </w:p>
    <w:p>
      <w:pPr>
        <w:spacing w:after="0" w:line="276" w:lineRule="auto"/>
        <w:jc w:val="both"/>
        <w:rPr>
          <w:rFonts w:ascii="Times New Roman" w:eastAsia="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b/>
          <w:i/>
          <w:noProof/>
          <w:sz w:val="24"/>
          <w:szCs w:val="24"/>
        </w:rPr>
      </w:pPr>
      <w:r>
        <w:rPr>
          <w:rFonts w:ascii="Times New Roman" w:hAnsi="Times New Roman"/>
          <w:b/>
          <w:i/>
          <w:noProof/>
          <w:sz w:val="24"/>
        </w:rPr>
        <w:t>Acțiunea 5</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 xml:space="preserve">Până în T1 2027, Comisia va crea un parteneriat al părților interesate din domeniul energiei geotermice, pentru a contribui la eliminarea barierelor normative, tehnice și de investiții și la introducerea accelerată a energiei geotermice. Parteneriatul părților interesate din domeniul </w:t>
      </w:r>
      <w:r>
        <w:rPr>
          <w:rFonts w:ascii="Times New Roman" w:hAnsi="Times New Roman"/>
          <w:i/>
          <w:noProof/>
          <w:sz w:val="24"/>
        </w:rPr>
        <w:lastRenderedPageBreak/>
        <w:t>energiei geotermice va reuni profesioniști calificați din statele membre și din industrie care vor face schimb de bune practici privind culegerea datelor, strategiile naționale de dezvoltare geotermică, finanțarea, autorizarea, competențele și acceptarea de către public.</w:t>
      </w:r>
    </w:p>
    <w:p>
      <w:pPr>
        <w:pStyle w:val="Heading1"/>
        <w:rPr>
          <w:rFonts w:ascii="Times New Roman" w:hAnsi="Times New Roman"/>
          <w:b/>
          <w:noProof/>
          <w:sz w:val="28"/>
        </w:rPr>
      </w:pPr>
      <w:bookmarkStart w:id="5" w:name="_Hlk190463342"/>
      <w:r>
        <w:rPr>
          <w:rFonts w:ascii="Times New Roman" w:hAnsi="Times New Roman"/>
          <w:b/>
          <w:noProof/>
          <w:color w:val="auto"/>
          <w:sz w:val="32"/>
        </w:rPr>
        <w:t>2. Scăderea costurilor inițiale de electrificare a sectoarelor de utilizare finală</w:t>
      </w:r>
      <w:r>
        <w:rPr>
          <w:rFonts w:ascii="Times New Roman" w:hAnsi="Times New Roman"/>
          <w:b/>
          <w:noProof/>
          <w:sz w:val="28"/>
        </w:rPr>
        <w:t xml:space="preserve"> </w:t>
      </w:r>
    </w:p>
    <w:bookmarkEnd w:id="5"/>
    <w:p>
      <w:pPr>
        <w:spacing w:before="120" w:after="120"/>
        <w:jc w:val="both"/>
        <w:rPr>
          <w:rFonts w:ascii="Times New Roman" w:eastAsia="Calibri" w:hAnsi="Times New Roman" w:cs="Times New Roman"/>
          <w:noProof/>
          <w:sz w:val="24"/>
          <w:szCs w:val="24"/>
        </w:rPr>
      </w:pPr>
      <w:r>
        <w:rPr>
          <w:rFonts w:ascii="Times New Roman" w:hAnsi="Times New Roman"/>
          <w:noProof/>
          <w:sz w:val="24"/>
        </w:rPr>
        <w:t>Pentru a accelera electrificarea, trebuie abordate costurile tehnice, administrative și financiare inițiale. În timp ce ETS1</w:t>
      </w:r>
      <w:r>
        <w:rPr>
          <w:rStyle w:val="FootnoteReference"/>
          <w:rFonts w:ascii="Times New Roman" w:eastAsia="Calibri" w:hAnsi="Times New Roman" w:cs="Times New Roman"/>
          <w:noProof/>
          <w:sz w:val="24"/>
          <w:szCs w:val="24"/>
        </w:rPr>
        <w:footnoteReference w:id="46"/>
      </w:r>
      <w:r>
        <w:rPr>
          <w:rFonts w:ascii="Times New Roman" w:hAnsi="Times New Roman"/>
          <w:noProof/>
          <w:sz w:val="24"/>
        </w:rPr>
        <w:t xml:space="preserve"> oferă deja argumente economice pentru decarbonizarea sectorului energiei electrice în industrie și în transportul maritim, ETS2</w:t>
      </w:r>
      <w:r>
        <w:rPr>
          <w:rStyle w:val="FootnoteReference"/>
          <w:rFonts w:ascii="Times New Roman" w:eastAsia="Calibri" w:hAnsi="Times New Roman" w:cs="Times New Roman"/>
          <w:noProof/>
          <w:sz w:val="24"/>
          <w:szCs w:val="24"/>
        </w:rPr>
        <w:footnoteReference w:id="47"/>
      </w:r>
      <w:r>
        <w:rPr>
          <w:rFonts w:ascii="Times New Roman" w:hAnsi="Times New Roman"/>
          <w:noProof/>
          <w:sz w:val="24"/>
        </w:rPr>
        <w:t xml:space="preserve"> va avea un rol esențial în stimularea electrificării transportului rutier și a clădirilor, inclusiv la nivelul IMM-urilor, generând în același timp venituri care vor accelera investițiile atât de necesare pentru a sprijini tranziția utilizatorilor către surse de energie mai curate. Punerea în aplicare a ETS2 va fi însoțită de Fondul social pentru climă, prin acordarea de sprijin specific gospodăriilor vulnerabile, utilizatorilor de transport și microîntreprinderilor. Statele membre pot aborda această barieră și prin reforme fiscale, cum ar fi acordarea unor regimuri fiscale preferențiale pentru investițiile în electrificare. Doar șase state membre aplică în cazul pompelor de căldură o cotă de TVA mai mică decât cea pentru centralele pe gaz</w:t>
      </w:r>
      <w:r>
        <w:rPr>
          <w:rFonts w:ascii="Times New Roman" w:eastAsia="Calibri" w:hAnsi="Times New Roman" w:cs="Times New Roman"/>
          <w:noProof/>
          <w:vertAlign w:val="superscript"/>
        </w:rPr>
        <w:footnoteReference w:id="48"/>
      </w:r>
      <w:r>
        <w:rPr>
          <w:rFonts w:ascii="Times New Roman" w:hAnsi="Times New Roman"/>
          <w:noProof/>
          <w:sz w:val="24"/>
        </w:rPr>
        <w:t>, iar Comisia încurajează alte state membre să le urmeze exemplul. Statele membre pot oferi taxe de înmatriculare reduse pentru vehiculele electrice, perioade de amortizare mai scurte sau stimulente fiscale pentru vehiculele electrice sau pompele de căldură ale întreprinderilor</w:t>
      </w:r>
      <w:r>
        <w:rPr>
          <w:rStyle w:val="FootnoteReference"/>
          <w:rFonts w:ascii="Times New Roman" w:eastAsia="Calibri" w:hAnsi="Times New Roman" w:cs="Times New Roman"/>
          <w:noProof/>
          <w:sz w:val="24"/>
          <w:szCs w:val="24"/>
        </w:rPr>
        <w:footnoteReference w:id="49"/>
      </w:r>
      <w:r>
        <w:rPr>
          <w:rFonts w:ascii="Times New Roman" w:hAnsi="Times New Roman"/>
          <w:noProof/>
          <w:sz w:val="24"/>
        </w:rPr>
        <w:t>. Statele membre pot utiliza o flexibilitate bugetară specifică, solicitând extinderea domeniului de aplicare al clauzei derogatorii naționale (plafonată la 0,3 % din PIB-ul anual și la 0,6 % din PIB-ul cumulat) pentru a introduce măsuri de securitate energetică în vederea reducerii dependenței de combustibilii fosili importați, inclusiv măsuri de electrificare</w:t>
      </w:r>
      <w:r>
        <w:rPr>
          <w:rStyle w:val="FootnoteReference"/>
          <w:rFonts w:ascii="Times New Roman" w:hAnsi="Times New Roman" w:cs="Times New Roman"/>
          <w:noProof/>
          <w:sz w:val="24"/>
          <w:szCs w:val="24"/>
        </w:rPr>
        <w:footnoteReference w:id="50"/>
      </w:r>
      <w:r>
        <w:rPr>
          <w:rFonts w:ascii="Times New Roman" w:hAnsi="Times New Roman"/>
          <w:noProof/>
          <w:sz w:val="24"/>
        </w:rPr>
        <w:t>. Pentru a oferi orientări, Comisia va colabora cu băncile naționale de promovare în contextul Consiliului pentru investiții în tranziția energetică. De asemenea, va informa băncile naționale de promovare despre cele mai bune practici, inclusiv în ceea ce privește finanțarea proiectelor de electrificare.</w:t>
      </w:r>
    </w:p>
    <w:p>
      <w:pPr>
        <w:spacing w:before="120" w:after="120"/>
        <w:jc w:val="both"/>
        <w:rPr>
          <w:rFonts w:ascii="Times New Roman" w:hAnsi="Times New Roman" w:cs="Times New Roman"/>
          <w:bCs/>
          <w:iCs/>
          <w:noProof/>
          <w:sz w:val="24"/>
          <w:szCs w:val="24"/>
        </w:rPr>
      </w:pPr>
      <w:r>
        <w:rPr>
          <w:rFonts w:ascii="Times New Roman" w:hAnsi="Times New Roman"/>
          <w:noProof/>
          <w:sz w:val="24"/>
        </w:rPr>
        <w:t>În anexa II, Comisia propune orientări adresate statelor membre privind leasingul social și schemele de sprijin, de exemplu pentru bateriile de uz casnic, energia curată și produsele de încălzire și răcire, precum și pentru BEV. Pe această bază, Comisia va ajuta statele membre să direcționeze fonduri din cadrul Fondului social pentru climă către aceste mecanisme.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rPr>
      </w:pPr>
      <w:r>
        <w:rPr>
          <w:rFonts w:ascii="Times New Roman" w:hAnsi="Times New Roman"/>
          <w:b/>
          <w:i/>
          <w:noProof/>
          <w:sz w:val="24"/>
        </w:rPr>
        <w:t>Acțiunea 6</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i/>
          <w:noProof/>
          <w:sz w:val="24"/>
          <w:szCs w:val="24"/>
        </w:rPr>
      </w:pPr>
      <w:r>
        <w:rPr>
          <w:rFonts w:ascii="Times New Roman" w:hAnsi="Times New Roman"/>
          <w:i/>
          <w:noProof/>
          <w:sz w:val="24"/>
        </w:rPr>
        <w:t xml:space="preserve">Statele membre sunt încurajate </w:t>
      </w:r>
      <w:r>
        <w:rPr>
          <w:rFonts w:ascii="Times New Roman" w:hAnsi="Times New Roman"/>
          <w:b/>
          <w:i/>
          <w:noProof/>
          <w:sz w:val="24"/>
        </w:rPr>
        <w:t>să utilizeze opțiunile deja prevăzute în Directiva TVA</w:t>
      </w:r>
      <w:r>
        <w:rPr>
          <w:rStyle w:val="FootnoteReference"/>
          <w:rFonts w:ascii="Times New Roman" w:eastAsia="Calibri" w:hAnsi="Times New Roman" w:cs="Times New Roman"/>
          <w:b/>
          <w:bCs/>
          <w:i/>
          <w:noProof/>
          <w:sz w:val="24"/>
          <w:szCs w:val="24"/>
        </w:rPr>
        <w:footnoteReference w:id="51"/>
      </w:r>
      <w:r>
        <w:rPr>
          <w:rFonts w:ascii="Times New Roman" w:hAnsi="Times New Roman"/>
          <w:i/>
          <w:noProof/>
          <w:sz w:val="24"/>
        </w:rPr>
        <w:t xml:space="preserve">, pentru a sprijini electrificarea prin aplicarea unor cote mai mici de TVA tehnologiilor de electrificare, de exemplu pompelor de căldură, panourilor solare și bateriilor rezidențiale, precum și să </w:t>
      </w:r>
      <w:r>
        <w:rPr>
          <w:rFonts w:ascii="Times New Roman" w:hAnsi="Times New Roman"/>
          <w:i/>
          <w:noProof/>
          <w:sz w:val="24"/>
        </w:rPr>
        <w:lastRenderedPageBreak/>
        <w:t>ofere taxe de înmatriculare reduse pentru vehiculele electrice, perioade de amortizare mai scurte sau stimulente fiscale pentru BEV ale întreprinderilor.</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rPr>
      </w:pPr>
      <w:r>
        <w:rPr>
          <w:rFonts w:ascii="Times New Roman" w:hAnsi="Times New Roman"/>
          <w:i/>
          <w:noProof/>
          <w:sz w:val="24"/>
        </w:rPr>
        <w:t xml:space="preserve">Ca parte a inițiativei privind TVA-ul circular, anunțată în Pactul pentru o industrie curată, Comisia va prezenta </w:t>
      </w:r>
      <w:r>
        <w:rPr>
          <w:rFonts w:ascii="Times New Roman" w:hAnsi="Times New Roman"/>
          <w:b/>
          <w:i/>
          <w:noProof/>
          <w:sz w:val="24"/>
        </w:rPr>
        <w:t>un cadru al UE pe baza căruia statele membre să încurajeze electrificarea parcurilor de vehicule ale întreprinderilor</w:t>
      </w:r>
      <w:r>
        <w:rPr>
          <w:rFonts w:ascii="Times New Roman" w:hAnsi="Times New Roman"/>
          <w:i/>
          <w:noProof/>
          <w:sz w:val="24"/>
        </w:rPr>
        <w:t xml:space="preserve">. </w:t>
      </w:r>
    </w:p>
    <w:p>
      <w:pPr>
        <w:pStyle w:val="Heading2"/>
        <w:numPr>
          <w:ilvl w:val="1"/>
          <w:numId w:val="6"/>
        </w:numPr>
        <w:rPr>
          <w:rFonts w:ascii="Times New Roman" w:hAnsi="Times New Roman"/>
          <w:b/>
          <w:noProof/>
          <w:color w:val="auto"/>
          <w:sz w:val="24"/>
        </w:rPr>
      </w:pPr>
      <w:r>
        <w:rPr>
          <w:rFonts w:ascii="Times New Roman" w:hAnsi="Times New Roman"/>
          <w:b/>
          <w:noProof/>
          <w:color w:val="auto"/>
          <w:sz w:val="24"/>
        </w:rPr>
        <w:t>Industria</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Deși sectorul industrial al UE a realizat îmbunătățiri majore în materie de eficiență energetică, aproape un sfert din cererea de energie a UE provine din acest sector, iar tranziția lui de la combustibilii fosili la energia electrică rămâne una lentă. Recuperarea căldurii reziduale industriale oferă, de asemenea, un mare potențial de reducere a costurilor energiei, estimat la 300 TWh/an</w:t>
      </w:r>
      <w:r>
        <w:rPr>
          <w:rStyle w:val="FootnoteReference"/>
          <w:rFonts w:ascii="Times New Roman" w:eastAsia="Calibri" w:hAnsi="Times New Roman" w:cs="Times New Roman"/>
          <w:noProof/>
          <w:sz w:val="24"/>
          <w:szCs w:val="24"/>
        </w:rPr>
        <w:footnoteReference w:id="52"/>
      </w:r>
      <w:r>
        <w:rPr>
          <w:rFonts w:ascii="Times New Roman" w:hAnsi="Times New Roman"/>
          <w:noProof/>
          <w:sz w:val="24"/>
        </w:rPr>
        <w:t>.</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În prezența condițiilor adecvate, electrificarea industrială reprezintă pentru industria europeană o oportunitate de a se moderniza, de a-și spori și mai mult eficiența și productivitatea și de a-și consolida competitivitatea pe plan mondial. Electrificarea este deja fezabilă din punct de vedere tehnic pentru 60 % din cererea de energie a industriei bazate pe combustibili</w:t>
      </w:r>
      <w:r>
        <w:rPr>
          <w:rStyle w:val="FootnoteReference"/>
          <w:rFonts w:ascii="Times New Roman" w:eastAsia="Calibri" w:hAnsi="Times New Roman" w:cs="Times New Roman"/>
          <w:noProof/>
          <w:sz w:val="24"/>
          <w:szCs w:val="24"/>
        </w:rPr>
        <w:footnoteReference w:id="53"/>
      </w:r>
      <w:r>
        <w:rPr>
          <w:rFonts w:ascii="Times New Roman" w:hAnsi="Times New Roman"/>
          <w:noProof/>
          <w:sz w:val="24"/>
        </w:rPr>
        <w:t xml:space="preserve">, în special prin utilizarea pompelor de căldură industriale. </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În multe cazuri, noile echipamente trebuie adaptate pentru a fi introduse în aplicații industriale specifice. Accelerarea acestei transformări necesită o abordare care să coordoneze toți actorii relevanți din întregul lanț valoric, pentru a aborda împreună obstacolele. Electrificarea proceselor industriale în industriile cele mai mari consumatoare de energie va duce la o creștere substanțială a cererii de energie electrică a UE – cererea doar din partea sectorului siderurgic are potențialul de a crește de peste două ori, ajungând la 165 TWh până în 2030, și se pot înregistra alte creșteri majore în sectorul aluminiului, al cimentului și al substanțelor chimice până în 2050</w:t>
      </w:r>
      <w:r>
        <w:rPr>
          <w:rStyle w:val="FootnoteReference"/>
          <w:rFonts w:ascii="Times New Roman" w:hAnsi="Times New Roman" w:cs="Times New Roman"/>
          <w:noProof/>
          <w:sz w:val="24"/>
          <w:szCs w:val="24"/>
        </w:rPr>
        <w:footnoteReference w:id="54"/>
      </w:r>
      <w:r>
        <w:rPr>
          <w:rFonts w:ascii="Times New Roman" w:hAnsi="Times New Roman"/>
          <w:noProof/>
          <w:sz w:val="24"/>
        </w:rPr>
        <w:t>. De exemplu, concluzia unui studiu de caz în sectorul produselor lactate a fost că investițiile în pompe de căldură la temperatură înaltă pot ajunge la fel de rentabile ca sistemele de gaze după 10 ani dacă raportul dintre prețul energiei electrice și cel al gazelor este de aproximativ 2</w:t>
      </w:r>
      <w:r>
        <w:rPr>
          <w:rStyle w:val="FootnoteReference"/>
          <w:rFonts w:ascii="Times New Roman" w:eastAsia="Calibri" w:hAnsi="Times New Roman" w:cs="Times New Roman"/>
          <w:noProof/>
          <w:sz w:val="24"/>
          <w:szCs w:val="24"/>
        </w:rPr>
        <w:footnoteReference w:id="55"/>
      </w:r>
      <w:r>
        <w:rPr>
          <w:rFonts w:ascii="Times New Roman" w:hAnsi="Times New Roman"/>
          <w:noProof/>
          <w:sz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rPr>
        <w:t>Eforturile imediate ar trebui să pună accentul pe aplicațiile cu cel mai mare potențial de electrificare folosind tehnologiile disponibile pe piață. Tehnologiile de electrificare pot asigura deja o căldură industrială de până la 400-500 °C pentru industrii precum cea alimentară și a băuturilor, industria celulozei și hârtiei sau industria textilă, utilizând pompe de căldură industriale sau centrale electrice</w:t>
      </w:r>
      <w:r>
        <w:rPr>
          <w:noProof/>
        </w:rPr>
        <w:footnoteReference w:id="56"/>
      </w:r>
      <w:r>
        <w:rPr>
          <w:rFonts w:ascii="Times New Roman" w:hAnsi="Times New Roman"/>
          <w:noProof/>
          <w:sz w:val="24"/>
        </w:rPr>
        <w:t>. În procesele care necesită astfel de temperaturi mici spre medii se pot obține avantaje economice. Anumite aplicații la temperaturi mai înalte</w:t>
      </w:r>
      <w:r>
        <w:rPr>
          <w:rStyle w:val="FootnoteReference"/>
          <w:rFonts w:ascii="Times New Roman" w:hAnsi="Times New Roman" w:cs="Times New Roman"/>
          <w:noProof/>
          <w:sz w:val="24"/>
          <w:szCs w:val="24"/>
        </w:rPr>
        <w:footnoteReference w:id="57"/>
      </w:r>
      <w:r>
        <w:rPr>
          <w:rFonts w:ascii="Times New Roman" w:hAnsi="Times New Roman"/>
          <w:noProof/>
          <w:sz w:val="24"/>
        </w:rPr>
        <w:t xml:space="preserve"> pot fi electrificate în mare măsură prin încălzirea cu rezistență și prin cuptoare cu arc electric.</w:t>
      </w:r>
      <w:r>
        <w:rPr>
          <w:noProof/>
        </w:rPr>
        <w:t xml:space="preserve"> </w:t>
      </w:r>
      <w:r>
        <w:rPr>
          <w:rFonts w:ascii="Times New Roman" w:hAnsi="Times New Roman"/>
          <w:noProof/>
          <w:sz w:val="24"/>
        </w:rPr>
        <w:t>Pentru alte procese la temperatură înaltă, de exemplu fabricarea de produse petrochimice, electrificarea se află într-un stadiu demonstrativ.</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Refolosirea surplusului de căldură – fie la fața locului în aceeași instalație, într-un centru de date sau într-un cluster industrial, fie prin intermediul încălzirii centralizate –, combinată cu </w:t>
      </w:r>
      <w:r>
        <w:rPr>
          <w:rFonts w:ascii="Times New Roman" w:hAnsi="Times New Roman"/>
          <w:noProof/>
          <w:sz w:val="24"/>
        </w:rPr>
        <w:lastRenderedPageBreak/>
        <w:t>electrificarea, va îmbunătăți și mai mult eficiența proceselor industriale. Întrucât centrele de date sunt deja electrificate, creșterea consumului lor merge mână în mână cu electrificarea; integrarea lor armonioasă în rețea poate fi îmbunătățită prin digitalizare, acorduri flexibile de racordare, capacitate suplimentară de producere a energiei din surse regenerabile (inclusiv la fața locului) și utilizarea minirețelelor.</w:t>
      </w:r>
    </w:p>
    <w:p>
      <w:pPr>
        <w:spacing w:after="120" w:line="240" w:lineRule="auto"/>
        <w:jc w:val="both"/>
        <w:rPr>
          <w:rFonts w:ascii="Times New Roman" w:hAnsi="Times New Roman" w:cs="Times New Roman"/>
          <w:noProof/>
          <w:sz w:val="24"/>
          <w:szCs w:val="24"/>
        </w:rPr>
      </w:pPr>
      <w:r>
        <w:rPr>
          <w:rFonts w:ascii="Times New Roman" w:hAnsi="Times New Roman"/>
          <w:noProof/>
          <w:sz w:val="24"/>
        </w:rPr>
        <w:t>Statele membre se pot baza deja pe unele dintre inițiativele lansate în cadrul Pactului pentru o industrie curată, în special pe Cadrul privind ajutoarele de stat în contextul Pactului pentru o industrie curată și pe recomandarea aferentă privind stimulentele fiscale, pentru a reduce costurile de electrificare ale industriei. În plus, actul legislativ privind accelerarea industrială ar urma să creeze piețe-lider care să consolideze cererea de produse cu emisii scăzute de dioxid de carbon și „fabricate în UE”. Comisia încurajează colegiuitorii să adopte propunerea legislativă cu promptitudine și să anticipeze punerea sa în aplicare.</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noProof/>
          <w:sz w:val="24"/>
          <w:szCs w:val="24"/>
        </w:rPr>
      </w:pPr>
      <w:r>
        <w:rPr>
          <w:rFonts w:ascii="Times New Roman" w:hAnsi="Times New Roman"/>
          <w:b/>
          <w:i/>
          <w:noProof/>
          <w:sz w:val="24"/>
        </w:rPr>
        <w:t>Acțiunea 7</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noProof/>
        </w:rPr>
      </w:pPr>
      <w:r>
        <w:rPr>
          <w:rFonts w:ascii="Times New Roman" w:hAnsi="Times New Roman"/>
          <w:i/>
          <w:noProof/>
          <w:sz w:val="24"/>
        </w:rPr>
        <w:t>Propunerea de revizuire a Directivei ETS sprijină decarbonizarea industriei, inclusiv a industriilor mari consumatoare de energie, printre altele prin asigurarea faptului că statele membre cheltuiesc mai mult din veniturile ETS naționale pentru decarbonizarea sectorului industrial și prin condiționarea alocării tranzitorii a certificatelor cu titlu gratuit de efectuarea unor investiții în reducerea emisiilor, inclusiv în electrificare.</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iCs/>
          <w:noProof/>
          <w:sz w:val="24"/>
          <w:szCs w:val="24"/>
        </w:rPr>
      </w:pPr>
      <w:r>
        <w:rPr>
          <w:rFonts w:ascii="Times New Roman" w:hAnsi="Times New Roman"/>
          <w:i/>
          <w:noProof/>
          <w:sz w:val="24"/>
        </w:rPr>
        <w:t>Propunerea de revizuire a cadrului ETS include înființarea Băncii de Decarbonizare Industrială, care va dispune de 100 de miliarde EUR, din care sprijinul pentru stimularea investițiilor din cadrul ETS se va ridica la 30 de miliarde EUR. Ambele mecanisme pot sprijini investițiile în electrificare industrială, ca etapă esențială către decarbonizarea industrială, în infrastructură de conectare la rețea, în sisteme de gestionare a energiei la fața locului și în baterii sau stocare termică, care vor contribui la integrarea sistemului. Cererile de propuneri vor fi lansate imediat după adoptarea legislației.</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i/>
          <w:noProof/>
          <w:sz w:val="24"/>
          <w:szCs w:val="24"/>
        </w:rPr>
      </w:pP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Comisia:</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i/>
          <w:noProof/>
          <w:sz w:val="24"/>
        </w:rPr>
        <w:t xml:space="preserve">va lansa o </w:t>
      </w:r>
      <w:r>
        <w:rPr>
          <w:rFonts w:ascii="Times New Roman" w:hAnsi="Times New Roman"/>
          <w:b/>
          <w:i/>
          <w:noProof/>
          <w:sz w:val="24"/>
        </w:rPr>
        <w:t>a doua licitație pentru căldură industrială în cadrul Fondului pentru inovare în 2026</w:t>
      </w:r>
      <w:r>
        <w:rPr>
          <w:rFonts w:ascii="Times New Roman" w:hAnsi="Times New Roman"/>
          <w:i/>
          <w:noProof/>
          <w:sz w:val="24"/>
        </w:rPr>
        <w:t xml:space="preserve"> și va sprijini în continuare introducerea soluțiilor de încălzire electrificate și din surse regenerabile și a soluțiilor de flexibilitate industrială, pentru a reduce dependența de combustibilii fosili importați;</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i/>
          <w:iCs/>
          <w:noProof/>
          <w:sz w:val="24"/>
          <w:szCs w:val="24"/>
        </w:rPr>
      </w:pPr>
      <w:r>
        <w:rPr>
          <w:rFonts w:ascii="Times New Roman" w:hAnsi="Times New Roman"/>
          <w:i/>
          <w:noProof/>
          <w:sz w:val="24"/>
        </w:rPr>
        <w:t xml:space="preserve">va examina oportunitatea unui </w:t>
      </w:r>
      <w:r>
        <w:rPr>
          <w:rFonts w:ascii="Times New Roman" w:hAnsi="Times New Roman"/>
          <w:b/>
          <w:i/>
          <w:noProof/>
          <w:sz w:val="24"/>
        </w:rPr>
        <w:t>mecanism la nivelul UE de punere în comun a cererii industriale de energie electrică</w:t>
      </w:r>
      <w:r>
        <w:rPr>
          <w:rFonts w:ascii="Times New Roman" w:hAnsi="Times New Roman"/>
          <w:i/>
          <w:noProof/>
          <w:sz w:val="24"/>
        </w:rPr>
        <w:t xml:space="preserve"> și de îmbunătățire a accesului la energie diversificată cu emisii scăzute de dioxid de carbon, pentru a reduce riscurile financiare asociate contractelor de achiziție de energie electrică;</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i/>
          <w:iCs/>
          <w:noProof/>
          <w:sz w:val="24"/>
          <w:szCs w:val="24"/>
        </w:rPr>
      </w:pPr>
      <w:r>
        <w:rPr>
          <w:rFonts w:ascii="Times New Roman" w:hAnsi="Times New Roman"/>
          <w:i/>
          <w:noProof/>
          <w:sz w:val="24"/>
        </w:rPr>
        <w:t xml:space="preserve">va sprijini </w:t>
      </w:r>
      <w:r>
        <w:rPr>
          <w:rFonts w:ascii="Times New Roman" w:hAnsi="Times New Roman"/>
          <w:b/>
          <w:i/>
          <w:noProof/>
          <w:sz w:val="24"/>
        </w:rPr>
        <w:t>explorarea potențialului și a barierelor din calea implementării tehnologiilor de încălzire din surse regenerabile direct utilizabile</w:t>
      </w:r>
      <w:r>
        <w:rPr>
          <w:rFonts w:ascii="Times New Roman" w:hAnsi="Times New Roman"/>
          <w:i/>
          <w:noProof/>
          <w:sz w:val="24"/>
        </w:rPr>
        <w:t xml:space="preserve"> (inclusiv a stocării energiei termice) pentru anumite tipuri de industrii și zone geografice în care căldura directă ar putea fi o soluție plauzibilă și mai eficientă decât electrificarea</w:t>
      </w:r>
      <w:r>
        <w:rPr>
          <w:rStyle w:val="FootnoteReference"/>
          <w:rFonts w:ascii="Times New Roman" w:eastAsia="Calibri" w:hAnsi="Times New Roman" w:cs="Times New Roman"/>
          <w:i/>
          <w:noProof/>
          <w:sz w:val="24"/>
          <w:szCs w:val="24"/>
        </w:rPr>
        <w:footnoteReference w:id="58"/>
      </w:r>
      <w:r>
        <w:rPr>
          <w:rFonts w:ascii="Times New Roman" w:hAnsi="Times New Roman"/>
          <w:i/>
          <w:noProof/>
          <w:sz w:val="24"/>
        </w:rPr>
        <w:t>;</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i/>
          <w:noProof/>
          <w:sz w:val="24"/>
        </w:rPr>
        <w:t xml:space="preserve">va colabora cu sectoarele industriale, cu furnizorii de tehnologie și cu statele membre pentru a elabora </w:t>
      </w:r>
      <w:r>
        <w:rPr>
          <w:rFonts w:ascii="Times New Roman" w:hAnsi="Times New Roman"/>
          <w:b/>
          <w:i/>
          <w:noProof/>
          <w:sz w:val="24"/>
        </w:rPr>
        <w:t>foi de parcurs sectoriale privind electrificarea de-a lungul lanțului valoric</w:t>
      </w:r>
      <w:r>
        <w:rPr>
          <w:rFonts w:ascii="Times New Roman" w:hAnsi="Times New Roman"/>
          <w:i/>
          <w:noProof/>
          <w:sz w:val="24"/>
        </w:rPr>
        <w:t xml:space="preserve">, care vor viza printre altele extinderea tehnologiilor de electrificare, standarde, modularizarea componentelor, flexibilitatea cererii și protocoalele pentru integrarea </w:t>
      </w:r>
      <w:r>
        <w:rPr>
          <w:rFonts w:ascii="Times New Roman" w:hAnsi="Times New Roman"/>
          <w:i/>
          <w:noProof/>
          <w:sz w:val="24"/>
        </w:rPr>
        <w:lastRenderedPageBreak/>
        <w:t>eficace a acestor tehnologii în procesele industriale, modelele de afaceri inovatoare și accesul la finanțare;</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i/>
          <w:noProof/>
          <w:sz w:val="24"/>
          <w:szCs w:val="24"/>
        </w:rPr>
      </w:pPr>
      <w:r>
        <w:rPr>
          <w:rFonts w:ascii="Times New Roman" w:hAnsi="Times New Roman"/>
          <w:i/>
          <w:noProof/>
          <w:sz w:val="24"/>
        </w:rPr>
        <w:t xml:space="preserve">va colabora cu industria pentru a facilita </w:t>
      </w:r>
      <w:r>
        <w:rPr>
          <w:rFonts w:ascii="Times New Roman" w:hAnsi="Times New Roman"/>
          <w:b/>
          <w:i/>
          <w:noProof/>
          <w:sz w:val="24"/>
        </w:rPr>
        <w:t>parteneriate bazate pe clustere pentru electrificarea și reutilizarea căldurii reziduale a siturilor industriale</w:t>
      </w:r>
      <w:r>
        <w:rPr>
          <w:rFonts w:ascii="Times New Roman" w:hAnsi="Times New Roman"/>
          <w:i/>
          <w:noProof/>
          <w:sz w:val="24"/>
        </w:rPr>
        <w:t>, cu implicarea actorilor industriali, inclusiv a centrelor de date</w:t>
      </w:r>
      <w:r>
        <w:rPr>
          <w:rStyle w:val="FootnoteReference"/>
          <w:rFonts w:ascii="Times New Roman" w:eastAsia="Calibri" w:hAnsi="Times New Roman" w:cs="Times New Roman"/>
          <w:i/>
          <w:iCs/>
          <w:noProof/>
          <w:sz w:val="24"/>
          <w:szCs w:val="24"/>
        </w:rPr>
        <w:footnoteReference w:id="59"/>
      </w:r>
      <w:r>
        <w:rPr>
          <w:rFonts w:ascii="Times New Roman" w:hAnsi="Times New Roman"/>
          <w:i/>
          <w:noProof/>
          <w:sz w:val="24"/>
        </w:rPr>
        <w:t>, precum și a furnizorilor de servicii energetice și de flexibilitate</w:t>
      </w:r>
      <w:r>
        <w:rPr>
          <w:rStyle w:val="FootnoteReference"/>
          <w:rFonts w:ascii="Times New Roman" w:eastAsia="Calibri" w:hAnsi="Times New Roman" w:cs="Times New Roman"/>
          <w:i/>
          <w:iCs/>
          <w:noProof/>
          <w:sz w:val="24"/>
          <w:szCs w:val="24"/>
        </w:rPr>
        <w:footnoteReference w:id="60"/>
      </w:r>
      <w:r>
        <w:rPr>
          <w:rFonts w:ascii="Times New Roman" w:hAnsi="Times New Roman"/>
          <w:i/>
          <w:noProof/>
          <w:sz w:val="24"/>
        </w:rPr>
        <w:t xml:space="preserve">. </w:t>
      </w:r>
    </w:p>
    <w:p>
      <w:pPr>
        <w:pStyle w:val="Heading2"/>
        <w:numPr>
          <w:ilvl w:val="1"/>
          <w:numId w:val="6"/>
        </w:numPr>
        <w:rPr>
          <w:rFonts w:ascii="Times New Roman" w:hAnsi="Times New Roman"/>
          <w:b/>
          <w:noProof/>
          <w:color w:val="auto"/>
          <w:sz w:val="24"/>
        </w:rPr>
      </w:pPr>
      <w:r>
        <w:rPr>
          <w:rFonts w:ascii="Times New Roman" w:hAnsi="Times New Roman"/>
          <w:b/>
          <w:noProof/>
          <w:color w:val="auto"/>
          <w:sz w:val="24"/>
        </w:rPr>
        <w:t>Transporturile</w:t>
      </w:r>
    </w:p>
    <w:p>
      <w:pPr>
        <w:spacing w:before="120" w:after="120"/>
        <w:jc w:val="both"/>
        <w:rPr>
          <w:rFonts w:ascii="Times New Roman" w:hAnsi="Times New Roman" w:cs="Times New Roman"/>
          <w:noProof/>
          <w:sz w:val="24"/>
          <w:szCs w:val="24"/>
        </w:rPr>
      </w:pPr>
      <w:r>
        <w:rPr>
          <w:rFonts w:ascii="Times New Roman" w:hAnsi="Times New Roman"/>
          <w:noProof/>
          <w:sz w:val="24"/>
        </w:rPr>
        <w:t>Transportul rutier consumă aproape o treime din energia UE</w:t>
      </w:r>
      <w:r>
        <w:rPr>
          <w:rStyle w:val="FootnoteReference"/>
          <w:rFonts w:ascii="Times New Roman" w:hAnsi="Times New Roman" w:cs="Times New Roman"/>
          <w:noProof/>
          <w:sz w:val="24"/>
          <w:szCs w:val="24"/>
        </w:rPr>
        <w:footnoteReference w:id="61"/>
      </w:r>
      <w:r>
        <w:rPr>
          <w:rFonts w:ascii="Times New Roman" w:hAnsi="Times New Roman"/>
          <w:noProof/>
          <w:sz w:val="24"/>
        </w:rPr>
        <w:t xml:space="preserve">. Deși numărul </w:t>
      </w:r>
      <w:r>
        <w:rPr>
          <w:rFonts w:ascii="Times New Roman" w:hAnsi="Times New Roman"/>
          <w:b/>
          <w:noProof/>
          <w:sz w:val="24"/>
        </w:rPr>
        <w:t>BEV</w:t>
      </w:r>
      <w:r>
        <w:rPr>
          <w:rFonts w:ascii="Times New Roman" w:hAnsi="Times New Roman"/>
          <w:noProof/>
          <w:sz w:val="24"/>
        </w:rPr>
        <w:t xml:space="preserve"> a crescut de peste șapte ori din 2020, doar 2,9 % dintre autoturisme sunt vehicule electrice cu baterie. Pe tot cuprinsul UE, peste 8 milioane de BEV dau deja tonul transformării acestui sector, care depinde cel mai mult de combustibilii fosili importați. În 2025, chiar și înainte de conflictul din Orientul Mijlociu, cu ajutorul BEV s-au economisit 4,1 miliarde EUR sub formă de importuri de petrol evitate</w:t>
      </w:r>
      <w:r>
        <w:rPr>
          <w:rStyle w:val="FootnoteReference"/>
          <w:rFonts w:ascii="Times New Roman" w:hAnsi="Times New Roman" w:cs="Times New Roman"/>
          <w:noProof/>
          <w:sz w:val="24"/>
          <w:szCs w:val="24"/>
        </w:rPr>
        <w:footnoteReference w:id="62"/>
      </w:r>
      <w:r>
        <w:rPr>
          <w:rFonts w:ascii="Times New Roman" w:hAnsi="Times New Roman"/>
          <w:noProof/>
          <w:sz w:val="24"/>
        </w:rPr>
        <w:t>. Vânzările de autoturisme BEV au crescut la un nivel record de 20,7 % din vânzările noi în aprilie 2026</w:t>
      </w:r>
      <w:r>
        <w:rPr>
          <w:rFonts w:ascii="Times New Roman" w:hAnsi="Times New Roman" w:cs="Times New Roman"/>
          <w:noProof/>
          <w:sz w:val="24"/>
          <w:szCs w:val="24"/>
          <w:vertAlign w:val="superscript"/>
        </w:rPr>
        <w:footnoteReference w:id="63"/>
      </w:r>
      <w:r>
        <w:rPr>
          <w:rFonts w:ascii="Times New Roman" w:hAnsi="Times New Roman"/>
          <w:noProof/>
          <w:sz w:val="24"/>
        </w:rPr>
        <w:t>, fiind impulsionate în special de standardele privind emisiile de CO</w:t>
      </w:r>
      <w:r>
        <w:rPr>
          <w:rFonts w:ascii="Times New Roman" w:hAnsi="Times New Roman"/>
          <w:noProof/>
          <w:sz w:val="24"/>
          <w:vertAlign w:val="subscript"/>
        </w:rPr>
        <w:t>2</w:t>
      </w:r>
      <w:r>
        <w:rPr>
          <w:rFonts w:ascii="Times New Roman" w:hAnsi="Times New Roman"/>
          <w:noProof/>
          <w:sz w:val="24"/>
        </w:rPr>
        <w:t xml:space="preserve"> utilizate ca principal instrument de politică la nivelul UE, de stimulentele fiscale, de noile scheme de sprijin, printre care se numără și leasingul social, și de costul total de proprietate mai mic decât cel al vehiculelor comparabile pe benzină și pe motorină. Cu toate acestea, încă mai trebuie făcute progrese, în special în sectorul vehiculelor electrice grele cu baterie (e-HDV). Prin urmare, Comisia încurajează statele membre să scutească de la plata taxelor de trecere camioanele cu emisii zero și să aplice cote reduse ale taxelor de trecere pentru vehiculele cu emisii zero, în conformitate cu Directiva privind eurovinieta</w:t>
      </w:r>
      <w:r>
        <w:rPr>
          <w:rFonts w:ascii="Times New Roman" w:hAnsi="Times New Roman" w:cs="Times New Roman"/>
          <w:noProof/>
          <w:sz w:val="24"/>
          <w:szCs w:val="24"/>
          <w:vertAlign w:val="superscript"/>
        </w:rPr>
        <w:footnoteReference w:id="64"/>
      </w:r>
      <w:r>
        <w:rPr>
          <w:rFonts w:ascii="Times New Roman" w:hAnsi="Times New Roman"/>
          <w:noProof/>
          <w:sz w:val="24"/>
        </w:rPr>
        <w:t>. Comisia a propus un regulament privind vehiculele nepoluante ale întreprinderilor pentru a accelera înmatricularea autoturismelor electrice de către întreprinderile mari, care reprezintă de asemenea o sursă de vehicule la prețuri accesibile pentru piața vehiculelor electrice de ocazie, ca urmare a ratei ridicate de înlocuire</w:t>
      </w:r>
      <w:r>
        <w:rPr>
          <w:rStyle w:val="FootnoteReference"/>
          <w:rFonts w:ascii="Times New Roman" w:hAnsi="Times New Roman" w:cs="Times New Roman"/>
          <w:noProof/>
          <w:sz w:val="24"/>
          <w:szCs w:val="24"/>
        </w:rPr>
        <w:footnoteReference w:id="65"/>
      </w:r>
      <w:r>
        <w:rPr>
          <w:rFonts w:ascii="Times New Roman" w:hAnsi="Times New Roman"/>
          <w:noProof/>
          <w:sz w:val="24"/>
        </w:rPr>
        <w:t>. Unele state membre utilizează impozitarea autovehiculelor de serviciu pentru a stimula electrificarea, măsură pe care Comisia o încurajează: Belgia a adoptat-o în 2021, iar ponderea BEV în numărul de vehicule nou înmatriculate ale întreprinderilor a ajuns la 54 % în 2025</w:t>
      </w:r>
      <w:r>
        <w:rPr>
          <w:rStyle w:val="FootnoteReference"/>
          <w:rFonts w:ascii="Times New Roman" w:hAnsi="Times New Roman" w:cs="Times New Roman"/>
          <w:noProof/>
          <w:sz w:val="24"/>
          <w:szCs w:val="24"/>
        </w:rPr>
        <w:footnoteReference w:id="66"/>
      </w:r>
      <w:r>
        <w:rPr>
          <w:rFonts w:ascii="Times New Roman" w:hAnsi="Times New Roman"/>
          <w:noProof/>
          <w:sz w:val="24"/>
        </w:rPr>
        <w:t>. Alte state membre sunt încurajate să îi urmeze exemplul.</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Statele membre pot direcționa sume din cadrul Fondului social pentru climă și venituri din cadrul ETS către finanțarea programelor de leasing social pentru vehiculele electrice destinate gospodăriilor cu venituri mici și medii sau a scutirilor de taxe de trecere. Stimulentele fiscale, subvențiile sau creditele preferențiale, inclusiv pentru vehiculele electrice de ocazie, reprezintă de asemenea instrumente eficace prin care statele membre pot crește accesibilitatea financiară </w:t>
      </w:r>
      <w:r>
        <w:rPr>
          <w:rFonts w:ascii="Times New Roman" w:hAnsi="Times New Roman"/>
          <w:noProof/>
          <w:sz w:val="24"/>
        </w:rPr>
        <w:lastRenderedPageBreak/>
        <w:t xml:space="preserve">a vehiculelor electrice. Pe lângă transportul rutier, potențialul de electrificare al transportului maritim este, de asemenea, în creștere și merită să se acorde atenție unui cadru care să facă posibile investițiile necesare. În fine, electrificarea poate juca un rol din ce în ce mai important în decarbonizarea sectorului aviației, alături de combustibilii de aviație durabili (SAF), contribuind la o bază industrială mai puternică în UE.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noProof/>
          <w:sz w:val="24"/>
          <w:szCs w:val="24"/>
        </w:rPr>
      </w:pPr>
      <w:r>
        <w:rPr>
          <w:rFonts w:ascii="Times New Roman" w:hAnsi="Times New Roman"/>
          <w:b/>
          <w:i/>
          <w:noProof/>
          <w:sz w:val="24"/>
        </w:rPr>
        <w:t>Acțiunea 8</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i/>
          <w:noProof/>
          <w:sz w:val="24"/>
        </w:rPr>
        <w:t>Comisia:</w:t>
      </w:r>
    </w:p>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cs="Times New Roman"/>
          <w:i/>
          <w:iCs/>
          <w:noProof/>
          <w:sz w:val="24"/>
          <w:szCs w:val="24"/>
        </w:rPr>
      </w:pPr>
      <w:bookmarkStart w:id="6" w:name="_Hlk234957471"/>
      <w:r>
        <w:rPr>
          <w:rFonts w:ascii="Times New Roman" w:hAnsi="Times New Roman"/>
          <w:b/>
          <w:i/>
          <w:noProof/>
          <w:sz w:val="24"/>
        </w:rPr>
        <w:t>va revizui Directiva privind vehiculele nepoluante</w:t>
      </w:r>
      <w:r>
        <w:rPr>
          <w:rFonts w:ascii="Times New Roman" w:hAnsi="Times New Roman"/>
          <w:i/>
          <w:noProof/>
          <w:sz w:val="24"/>
        </w:rPr>
        <w:t xml:space="preserve"> pentru a evalua obiectivele și, eventual, pentru a conferi încă și mai multă forță achizițiilor publice de vehicule cu emisii zero până în T4 2027; </w:t>
      </w:r>
    </w:p>
    <w:bookmarkEnd w:id="6"/>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cs="Times New Roman"/>
          <w:i/>
          <w:iCs/>
          <w:noProof/>
          <w:sz w:val="24"/>
          <w:szCs w:val="24"/>
        </w:rPr>
      </w:pPr>
      <w:r>
        <w:rPr>
          <w:rFonts w:ascii="Times New Roman" w:hAnsi="Times New Roman"/>
          <w:i/>
          <w:noProof/>
          <w:sz w:val="24"/>
        </w:rPr>
        <w:t xml:space="preserve">va prezenta </w:t>
      </w:r>
      <w:r>
        <w:rPr>
          <w:rFonts w:ascii="Times New Roman" w:hAnsi="Times New Roman"/>
          <w:b/>
          <w:i/>
          <w:noProof/>
          <w:sz w:val="24"/>
        </w:rPr>
        <w:t>o recomandare privind stimulentele fiscale și nefiscale legate de cerere pentru vehiculele cu emisii zero</w:t>
      </w:r>
      <w:r>
        <w:rPr>
          <w:rFonts w:ascii="Times New Roman" w:hAnsi="Times New Roman"/>
          <w:i/>
          <w:noProof/>
          <w:sz w:val="24"/>
        </w:rPr>
        <w:t xml:space="preserve"> până în T4 2026.</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i/>
          <w:noProof/>
          <w:sz w:val="24"/>
          <w:szCs w:val="24"/>
        </w:rPr>
      </w:pPr>
      <w:bookmarkStart w:id="7" w:name="_Hlk234939140"/>
      <w:r>
        <w:rPr>
          <w:rFonts w:ascii="Times New Roman" w:hAnsi="Times New Roman"/>
          <w:i/>
          <w:noProof/>
          <w:sz w:val="24"/>
        </w:rPr>
        <w:t>Indicator-cheie de performanță: până în 2040, vor trebui realizate suficiente racordări la rețea pentru reîncărcarea vehiculelor grele în puncte accesibile publicului și pentru încărcarea vehiculelor grele în autobaze încât 40 % din parcul de camioane din UE să poate fi propulsate electric pe bază de baterii.</w:t>
      </w:r>
    </w:p>
    <w:bookmarkEnd w:id="7"/>
    <w:p>
      <w:pPr>
        <w:pStyle w:val="Heading2"/>
        <w:numPr>
          <w:ilvl w:val="1"/>
          <w:numId w:val="6"/>
        </w:numPr>
        <w:rPr>
          <w:rFonts w:ascii="Times New Roman" w:hAnsi="Times New Roman"/>
          <w:b/>
          <w:noProof/>
          <w:color w:val="auto"/>
          <w:sz w:val="24"/>
        </w:rPr>
      </w:pPr>
      <w:r>
        <w:rPr>
          <w:rFonts w:ascii="Times New Roman" w:hAnsi="Times New Roman"/>
          <w:b/>
          <w:noProof/>
          <w:color w:val="auto"/>
          <w:sz w:val="24"/>
        </w:rPr>
        <w:t>Clădirile</w:t>
      </w:r>
    </w:p>
    <w:p>
      <w:pP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Jumătate din consumul de gaze al UE are loc în clădiri comerciale și rezidențiale, iar eforturile de renovare și electrificare avansează lent. </w:t>
      </w:r>
      <w:r>
        <w:rPr>
          <w:rFonts w:ascii="Times New Roman" w:hAnsi="Times New Roman"/>
          <w:noProof/>
          <w:color w:val="000000" w:themeColor="text1"/>
          <w:sz w:val="24"/>
        </w:rPr>
        <w:t>În clădirile rezidențiale și în sistemele colective de încălzire, pompele de căldură pot acoperi integral nevoile de încălzire, răcire și apă caldă ale spațiilor, adică aproximativ 80 % din consumul de energie.</w:t>
      </w:r>
      <w:r>
        <w:rPr>
          <w:rFonts w:ascii="Times New Roman" w:hAnsi="Times New Roman"/>
          <w:noProof/>
          <w:sz w:val="24"/>
        </w:rPr>
        <w:t xml:space="preserve"> Cadrul UE privind energia din surse regenerabile prevede norme de autorizare simplificate pentru instalarea acestora. Electrificarea consumului de energie al clădirilor și îmbunătățirea performanței lor energetice generează beneficii multiple pentru consumatori, de la facturi mai mici la un mediu interior mai sănătos.</w:t>
      </w:r>
      <w:r>
        <w:rPr>
          <w:rFonts w:ascii="Times New Roman" w:hAnsi="Times New Roman"/>
          <w:noProof/>
          <w:color w:val="000000" w:themeColor="text1"/>
          <w:sz w:val="24"/>
        </w:rPr>
        <w:t xml:space="preserve"> </w:t>
      </w:r>
      <w:r>
        <w:rPr>
          <w:rFonts w:ascii="Times New Roman" w:hAnsi="Times New Roman"/>
          <w:noProof/>
          <w:sz w:val="24"/>
        </w:rPr>
        <w:t>Trecerea de la centralele pe gaz la pompele de căldură poate reduce factura la încălzire a gospodăriilor din UE cu 20 %, economia putând ajunge până la peste 60 %</w:t>
      </w:r>
      <w:r>
        <w:rPr>
          <w:rFonts w:ascii="Times New Roman" w:eastAsia="Times New Roman" w:hAnsi="Times New Roman" w:cs="Times New Roman"/>
          <w:noProof/>
          <w:sz w:val="24"/>
          <w:szCs w:val="24"/>
          <w:vertAlign w:val="superscript"/>
        </w:rPr>
        <w:footnoteReference w:id="67"/>
      </w:r>
      <w:r>
        <w:rPr>
          <w:rFonts w:ascii="Times New Roman" w:hAnsi="Times New Roman"/>
          <w:noProof/>
          <w:sz w:val="24"/>
        </w:rPr>
        <w:t>.</w:t>
      </w:r>
      <w:r>
        <w:rPr>
          <w:rFonts w:ascii="Times New Roman" w:hAnsi="Times New Roman"/>
          <w:noProof/>
          <w:color w:val="000000" w:themeColor="text1"/>
          <w:sz w:val="24"/>
        </w:rPr>
        <w:t xml:space="preserve"> De asemenea, beneficiile pompelor de căldură pot fi și mai mari dacă sunt combinate cu energia solară fotovoltaică, energia termică solară, căldura și răcoarea ambientală sau reziduală și cu alte soluții de energie curată sau de stocare, cum ar fi bateriile, inclusiv prin intermediul rețelelor locale de încălzire. </w:t>
      </w:r>
      <w:r>
        <w:rPr>
          <w:rFonts w:ascii="Times New Roman" w:hAnsi="Times New Roman"/>
          <w:noProof/>
          <w:sz w:val="24"/>
        </w:rPr>
        <w:t xml:space="preserve">Totodată, un parc imobiliar eficient și decarbonizat ar reduce încărcarea cererea maximă, contribuind astfel la scăderea costurilor în întregul sistem energetic. În contextul perioadelor de caniculă mai lungi și mai intense, pompele de căldură au în plus avantajul de a furniza și capacități de răcire pe lângă încălzire, eficiența lor ridicată contribuind la creșterea rezilienței UE la schimbările climatice. Deplasarea cererii de încălzire sau răcire de la orele de vârf la orele cu o producție ridicată de energie din surse regenerabile ar reduce costurile totale ale sistemului energetic, menținând în același timp confortul termic. </w:t>
      </w:r>
      <w:r>
        <w:rPr>
          <w:rFonts w:ascii="Times New Roman" w:hAnsi="Times New Roman"/>
          <w:noProof/>
          <w:color w:val="000000" w:themeColor="text1"/>
          <w:sz w:val="24"/>
        </w:rPr>
        <w:t xml:space="preserve">Totuși, costul achiziționării și instalării unei pompe de căldură poate varia foarte mult de la un stat membru la altul și chiar în cadrul aceluiași stat membru. Leasingul social și alte măsuri de sprijin, de exemplu subvențiile, creditele preferențiale sau cu dobândă zero și schemele de finanțare rambursată prin facturi pentru pompele de căldură și pentru alte produse energetice și de încălzire curate pot facilita tranziția gospodăriilor cu venituri mici și medii la sisteme de încălzire care nu se mai bazează pe combustibili fosili. Fondurile politicii de coeziune, Fondul social pentru climă, Fondul pentru modernizare și </w:t>
      </w:r>
      <w:r>
        <w:rPr>
          <w:rFonts w:ascii="Times New Roman" w:hAnsi="Times New Roman"/>
          <w:noProof/>
          <w:sz w:val="24"/>
        </w:rPr>
        <w:t xml:space="preserve">planurile de redresare și reziliență pot sprijini </w:t>
      </w:r>
      <w:r>
        <w:rPr>
          <w:rFonts w:ascii="Times New Roman" w:hAnsi="Times New Roman"/>
          <w:noProof/>
          <w:sz w:val="24"/>
        </w:rPr>
        <w:lastRenderedPageBreak/>
        <w:t xml:space="preserve">electrificarea clădirilor, așa cum se întâmplă în Belgia, unde unele locuințe sociale sunt echipate cu o combinație de panouri solare, baterii și pompe de căldură. </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Comisia va explora modalități de mobilizare a cererii publice de pompe de căldură, inclusiv în cadrul achizițiilor publice, de exemplu prin reunirea achizitorilor publici într-o comunitate de practică în vederea coordonării și a consolidării necesarului lor, întărind în același timp lanțul valoric prin cerințele privind fabricarea în Europa.</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Pentru a genera economii de costuri semnificative și alte beneficii pentru consumatori, implementarea acestor tehnologii ar trebui coordonată cu izolarea și renovarea clădirilor, dând prioritate clădirilor cu cele mai slabe performanțe. </w:t>
      </w:r>
      <w:r>
        <w:rPr>
          <w:rFonts w:ascii="Times New Roman" w:hAnsi="Times New Roman"/>
          <w:noProof/>
          <w:color w:val="000000" w:themeColor="text1"/>
          <w:sz w:val="24"/>
        </w:rPr>
        <w:t>Statele membre au posibilitatea de a-și transforma structural parcul imobiliar în clădiri cu emisii zero prin intermediul planurilor naționale de renovare a clădirilor, iar Coaliția pentru finanțarea eficienței energetice poate contribui la intensificarea finanțării private pentru renovări, precum și la o bună utilizare a veniturilor generate prin ETS2.</w:t>
      </w:r>
    </w:p>
    <w:p>
      <w:pPr>
        <w:pBdr>
          <w:top w:val="single" w:sz="4" w:space="1" w:color="auto"/>
          <w:left w:val="single" w:sz="4" w:space="4" w:color="auto"/>
          <w:bottom w:val="single" w:sz="4" w:space="0" w:color="auto"/>
          <w:right w:val="single" w:sz="4" w:space="4" w:color="auto"/>
        </w:pBdr>
        <w:spacing w:before="120" w:after="120" w:line="240" w:lineRule="auto"/>
        <w:jc w:val="both"/>
        <w:rPr>
          <w:rFonts w:ascii="Times New Roman" w:eastAsia="Calibri" w:hAnsi="Times New Roman" w:cs="Times New Roman"/>
          <w:b/>
          <w:i/>
          <w:noProof/>
          <w:sz w:val="24"/>
          <w:szCs w:val="24"/>
        </w:rPr>
      </w:pPr>
      <w:r>
        <w:rPr>
          <w:rFonts w:ascii="Times New Roman" w:hAnsi="Times New Roman"/>
          <w:b/>
          <w:i/>
          <w:noProof/>
          <w:sz w:val="24"/>
        </w:rPr>
        <w:t>Acțiunea 9</w:t>
      </w:r>
    </w:p>
    <w:p>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Calibri" w:hAnsi="Times New Roman" w:cs="Times New Roman"/>
          <w:i/>
          <w:noProof/>
          <w:sz w:val="24"/>
          <w:szCs w:val="24"/>
        </w:rPr>
      </w:pPr>
      <w:r>
        <w:rPr>
          <w:rFonts w:ascii="Times New Roman" w:hAnsi="Times New Roman"/>
          <w:i/>
          <w:noProof/>
          <w:sz w:val="24"/>
        </w:rPr>
        <w:t>Comisia:</w:t>
      </w:r>
    </w:p>
    <w:p>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Calibri" w:hAnsi="Times New Roman" w:cs="Times New Roman"/>
          <w:i/>
          <w:noProof/>
          <w:sz w:val="24"/>
          <w:szCs w:val="24"/>
        </w:rPr>
      </w:pPr>
    </w:p>
    <w:p>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Pr>
          <w:rFonts w:ascii="Times New Roman" w:hAnsi="Times New Roman"/>
          <w:i/>
          <w:noProof/>
          <w:sz w:val="24"/>
        </w:rPr>
        <w:t xml:space="preserve">va explora posibilitatea de a introduce un </w:t>
      </w:r>
      <w:r>
        <w:rPr>
          <w:rFonts w:ascii="Times New Roman" w:hAnsi="Times New Roman"/>
          <w:b/>
          <w:i/>
          <w:noProof/>
          <w:sz w:val="24"/>
        </w:rPr>
        <w:t>mecanism pentru piața căldurii curate</w:t>
      </w:r>
      <w:r>
        <w:rPr>
          <w:rFonts w:ascii="Times New Roman" w:hAnsi="Times New Roman"/>
          <w:i/>
          <w:noProof/>
          <w:sz w:val="24"/>
        </w:rPr>
        <w:t xml:space="preserve"> prin care să stimuleze creșterea cotelor de vânzări de pompe de căldură ale producătorilor, de a reorienta instalatorii și producătorii către soluții de încălzire și răcire curate și de a spori concurența prin reducerea diferențelor dintre costurile inițiale ale pompelor de căldură până în 2027;</w:t>
      </w:r>
    </w:p>
    <w:p>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Pr>
          <w:rFonts w:ascii="Times New Roman" w:hAnsi="Times New Roman"/>
          <w:i/>
          <w:noProof/>
          <w:sz w:val="24"/>
        </w:rPr>
        <w:t xml:space="preserve">va examina modalități de </w:t>
      </w:r>
      <w:r>
        <w:rPr>
          <w:rFonts w:ascii="Times New Roman" w:hAnsi="Times New Roman"/>
          <w:b/>
          <w:i/>
          <w:noProof/>
          <w:sz w:val="24"/>
        </w:rPr>
        <w:t>accelerare a instalării pompelor de căldură în clădirile publice</w:t>
      </w:r>
      <w:r>
        <w:rPr>
          <w:rFonts w:ascii="Times New Roman" w:hAnsi="Times New Roman"/>
          <w:i/>
          <w:noProof/>
          <w:sz w:val="24"/>
        </w:rPr>
        <w:t xml:space="preserve"> prin intermediul achizițiilor publice;</w:t>
      </w:r>
    </w:p>
    <w:p>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Pr>
          <w:rFonts w:ascii="Times New Roman" w:hAnsi="Times New Roman"/>
          <w:i/>
          <w:noProof/>
          <w:sz w:val="24"/>
        </w:rPr>
        <w:t xml:space="preserve">va asigura transparența costurilor pompelor de căldură, </w:t>
      </w:r>
      <w:r>
        <w:rPr>
          <w:rFonts w:ascii="Times New Roman" w:hAnsi="Times New Roman"/>
          <w:b/>
          <w:i/>
          <w:noProof/>
          <w:sz w:val="24"/>
        </w:rPr>
        <w:t>va facilita introducerea unor instrumente naționale de comparare online</w:t>
      </w:r>
      <w:r>
        <w:rPr>
          <w:rFonts w:ascii="Times New Roman" w:hAnsi="Times New Roman"/>
          <w:i/>
          <w:noProof/>
          <w:sz w:val="24"/>
        </w:rPr>
        <w:t xml:space="preserve"> cu ajutorul cărora consumatorii să poată obține cu ușurință o „cotație a pompelor de căldură” adaptată, transparentă și comparabilă de la diferite mărci și diferiți instalatori;</w:t>
      </w:r>
    </w:p>
    <w:p>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contextualSpacing w:val="0"/>
        <w:jc w:val="both"/>
        <w:rPr>
          <w:rFonts w:ascii="Times New Roman" w:hAnsi="Times New Roman" w:cs="Times New Roman"/>
          <w:i/>
          <w:iCs/>
          <w:noProof/>
          <w:sz w:val="24"/>
          <w:szCs w:val="24"/>
        </w:rPr>
      </w:pPr>
      <w:r>
        <w:rPr>
          <w:rFonts w:ascii="Times New Roman" w:hAnsi="Times New Roman"/>
          <w:i/>
          <w:noProof/>
          <w:sz w:val="24"/>
        </w:rPr>
        <w:t xml:space="preserve">va promova </w:t>
      </w:r>
      <w:r>
        <w:rPr>
          <w:rFonts w:ascii="Times New Roman" w:hAnsi="Times New Roman"/>
          <w:b/>
          <w:i/>
          <w:noProof/>
          <w:sz w:val="24"/>
        </w:rPr>
        <w:t>modele de finanțare și de afaceri inovatoare</w:t>
      </w:r>
      <w:r>
        <w:rPr>
          <w:rFonts w:ascii="Times New Roman" w:hAnsi="Times New Roman"/>
          <w:i/>
          <w:noProof/>
          <w:sz w:val="24"/>
        </w:rPr>
        <w:t xml:space="preserve"> pentru pompele de căldură în cadrul pachetelor integrate de lucrări de renovare și adaptare a clădirilor rezidențiale, prin intermediul parteneriatelor pentru locuințe mai bune, cu scopul de a accelera adoptarea, replicarea și accesul la finanțare;</w:t>
      </w:r>
    </w:p>
    <w:p>
      <w:pPr>
        <w:pStyle w:val="ListParagraph"/>
        <w:numPr>
          <w:ilvl w:val="0"/>
          <w:numId w:val="3"/>
        </w:numPr>
        <w:pBdr>
          <w:top w:val="single" w:sz="4" w:space="1" w:color="auto"/>
          <w:left w:val="single" w:sz="4" w:space="4" w:color="auto"/>
          <w:bottom w:val="single" w:sz="4" w:space="0" w:color="auto"/>
          <w:right w:val="single" w:sz="4" w:space="4" w:color="auto"/>
        </w:pBdr>
        <w:spacing w:after="240" w:line="240" w:lineRule="auto"/>
        <w:ind w:left="357" w:hanging="357"/>
        <w:contextualSpacing w:val="0"/>
        <w:jc w:val="both"/>
        <w:rPr>
          <w:rFonts w:ascii="Times New Roman" w:hAnsi="Times New Roman" w:cs="Times New Roman"/>
          <w:i/>
          <w:iCs/>
          <w:noProof/>
          <w:sz w:val="24"/>
          <w:szCs w:val="24"/>
        </w:rPr>
      </w:pPr>
      <w:r>
        <w:rPr>
          <w:rFonts w:ascii="Times New Roman" w:hAnsi="Times New Roman"/>
          <w:i/>
          <w:noProof/>
          <w:sz w:val="24"/>
        </w:rPr>
        <w:t xml:space="preserve">va mobiliza </w:t>
      </w:r>
      <w:r>
        <w:rPr>
          <w:rFonts w:ascii="Times New Roman" w:hAnsi="Times New Roman"/>
          <w:b/>
          <w:i/>
          <w:noProof/>
          <w:sz w:val="24"/>
        </w:rPr>
        <w:t>platforma cu rol de accelerator al pompelor de căldură și acceleratorul de finanțare a eficienței energetice</w:t>
      </w:r>
      <w:r>
        <w:rPr>
          <w:rFonts w:ascii="Times New Roman" w:hAnsi="Times New Roman"/>
          <w:i/>
          <w:noProof/>
          <w:sz w:val="24"/>
        </w:rPr>
        <w:t xml:space="preserve"> pentru a reduce riscurile și a finanța investițiile în pompe de căldură și în racordările la sistemele de încălzire și răcire centralizată asociate proiectelor de energie termică solară și geotermică;</w:t>
      </w:r>
    </w:p>
    <w:p>
      <w:pPr>
        <w:pStyle w:val="ListParagraph"/>
        <w:numPr>
          <w:ilvl w:val="0"/>
          <w:numId w:val="3"/>
        </w:numPr>
        <w:pBdr>
          <w:top w:val="single" w:sz="4" w:space="1" w:color="auto"/>
          <w:left w:val="single" w:sz="4" w:space="4" w:color="auto"/>
          <w:bottom w:val="single" w:sz="4" w:space="0" w:color="auto"/>
          <w:right w:val="single" w:sz="4" w:space="4" w:color="auto"/>
        </w:pBdr>
        <w:spacing w:after="240" w:line="240" w:lineRule="auto"/>
        <w:ind w:left="357" w:hanging="357"/>
        <w:contextualSpacing w:val="0"/>
        <w:jc w:val="both"/>
        <w:rPr>
          <w:rFonts w:ascii="Times New Roman" w:hAnsi="Times New Roman" w:cs="Times New Roman"/>
          <w:i/>
          <w:iCs/>
          <w:noProof/>
          <w:sz w:val="24"/>
          <w:szCs w:val="24"/>
        </w:rPr>
      </w:pPr>
      <w:r>
        <w:rPr>
          <w:rFonts w:ascii="Times New Roman" w:hAnsi="Times New Roman"/>
          <w:i/>
          <w:noProof/>
          <w:sz w:val="24"/>
        </w:rPr>
        <w:t xml:space="preserve">va adopta un </w:t>
      </w:r>
      <w:r>
        <w:rPr>
          <w:rFonts w:ascii="Times New Roman" w:hAnsi="Times New Roman"/>
          <w:b/>
          <w:i/>
          <w:noProof/>
          <w:sz w:val="24"/>
        </w:rPr>
        <w:t>plan de acțiune pentru răcire și încălzire</w:t>
      </w:r>
      <w:r>
        <w:rPr>
          <w:rFonts w:ascii="Times New Roman" w:hAnsi="Times New Roman"/>
          <w:i/>
          <w:noProof/>
          <w:sz w:val="24"/>
        </w:rPr>
        <w:t>, inclusiv pentru a răspunde nevoii tot mai mari a cetățenilor și a economiei UE privind soluții de răcire eficientă.</w:t>
      </w:r>
    </w:p>
    <w:p>
      <w:pPr>
        <w:pBdr>
          <w:top w:val="single" w:sz="4" w:space="1" w:color="auto"/>
          <w:left w:val="single" w:sz="4" w:space="4" w:color="auto"/>
          <w:bottom w:val="single" w:sz="4" w:space="0"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i/>
          <w:noProof/>
          <w:sz w:val="24"/>
        </w:rPr>
        <w:t>Indicator-cheie de performanță: creșterea ratei de instalare a pompelor de căldură la aproximativ 4 milioane pe an în 2030, față de 2,4 milioane în 2025.</w:t>
      </w:r>
    </w:p>
    <w:p>
      <w:pPr>
        <w:pStyle w:val="Heading1"/>
        <w:rPr>
          <w:rFonts w:ascii="Times New Roman" w:hAnsi="Times New Roman" w:cs="Times New Roman"/>
          <w:b/>
          <w:noProof/>
          <w:color w:val="auto"/>
          <w:sz w:val="32"/>
          <w:szCs w:val="32"/>
        </w:rPr>
      </w:pPr>
      <w:r>
        <w:rPr>
          <w:rFonts w:ascii="Times New Roman" w:hAnsi="Times New Roman"/>
          <w:b/>
          <w:noProof/>
          <w:color w:val="auto"/>
          <w:sz w:val="32"/>
        </w:rPr>
        <w:t xml:space="preserve">3. Accesul la infrastructură </w:t>
      </w:r>
    </w:p>
    <w:p>
      <w:pPr>
        <w:tabs>
          <w:tab w:val="right" w:pos="9026"/>
        </w:tabs>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Pentru a accelera electrificarea, este nevoie ca productivitatea rețelelor să se îmbunătățească semnificativ. O altă constrângere clară asupra electrificării constă în dificultățile de racordare și de acces la rețeaua de energie electrică, asociate întârzierilor în dezvoltarea rețelelor. UE a </w:t>
      </w:r>
      <w:r>
        <w:rPr>
          <w:rFonts w:ascii="Times New Roman" w:hAnsi="Times New Roman"/>
          <w:noProof/>
          <w:sz w:val="24"/>
        </w:rPr>
        <w:lastRenderedPageBreak/>
        <w:t xml:space="preserve">luat deja măsuri pentru a remedia această problemă, prin transparență în ceea ce privește capacitatea de găzduire a rețelei, acorduri flexibile de racordare și regimuri flexibile de racordare la rețea, inclusiv cadre pentru stabilirea priorităților sau pentru investiții anticipative. În plus, Pachetul privind rețeaua europeană a propus noi măsuri privind planificarea și productivitatea rețelei, care utilizează tehnologii de consolidare a rețelei și soluții inteligente. Ca parte a pachetului, sunt în curs de negociere de către colegiuitori inclusiv măsuri privind rețelele de energie electrică și autorizarea producției din surse regenerabile, stocarea sau punctele de reîncărcare.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Statele membre ar trebui să stimuleze </w:t>
      </w:r>
      <w:r>
        <w:rPr>
          <w:rFonts w:ascii="Times New Roman" w:hAnsi="Times New Roman" w:cs="Times New Roman"/>
          <w:noProof/>
          <w:sz w:val="24"/>
          <w:szCs w:val="24"/>
        </w:rPr>
        <w:t>investițiile în rețele și să simplifice procedurile de autorizare în zonele de accelerare create prin legislația UE. Operatorii de sisteme sunt încurajați să implice în procesele lor de planificare a rețelei și de extindere a capacității rețelei principalii actori din domeniul investițiilor în electrificare, inclusiv siturile și parcurile industriale, cum ar fi zonele de accelerare a producției industriale, centrele de date, operatorii de încălzire centralizată, operatorii punctelor de încărcare, aeroporturile și porturile. Evaluarea la jumătatea perioadei a politicii de coeziune a avut drept rezultat alocarea</w:t>
      </w:r>
      <w:r>
        <w:rPr>
          <w:rFonts w:ascii="Times New Roman" w:hAnsi="Times New Roman"/>
          <w:noProof/>
          <w:sz w:val="24"/>
        </w:rPr>
        <w:t xml:space="preserve"> de resurse suplimentare de către statele membre pentru investiții în rețelele de energie electrică și în capacități de interconexiune (1,2 miliarde EUR)</w:t>
      </w:r>
      <w:r>
        <w:rPr>
          <w:rFonts w:ascii="Times New Roman" w:hAnsi="Times New Roman" w:cs="Times New Roman"/>
          <w:noProof/>
          <w:sz w:val="24"/>
          <w:szCs w:val="24"/>
          <w:vertAlign w:val="superscript"/>
        </w:rPr>
        <w:footnoteReference w:id="68"/>
      </w:r>
      <w:r>
        <w:rPr>
          <w:rFonts w:ascii="Times New Roman" w:hAnsi="Times New Roman"/>
          <w:noProof/>
          <w:sz w:val="24"/>
        </w:rPr>
        <w:t>. Prin aplicarea consecventă a principiului „eficiența energetică înainte de toate” în toate procesele de planificare a infrastructurii, aceste evoluții vor contribui la reducerea costurilor de sistem și la îmbunătățirea productivității rețelei și a accesului la aceasta. În contextul Strategiei de investiții în energia curată</w:t>
      </w:r>
      <w:r>
        <w:rPr>
          <w:rStyle w:val="FootnoteReference"/>
          <w:rFonts w:ascii="Times New Roman" w:hAnsi="Times New Roman" w:cs="Times New Roman"/>
          <w:noProof/>
          <w:sz w:val="24"/>
          <w:szCs w:val="24"/>
        </w:rPr>
        <w:footnoteReference w:id="69"/>
      </w:r>
      <w:r>
        <w:rPr>
          <w:rFonts w:ascii="Times New Roman" w:hAnsi="Times New Roman"/>
          <w:noProof/>
          <w:sz w:val="24"/>
        </w:rPr>
        <w:t>, Banca Europeană de Investiții intenționează să asigure finanțare în cuantum de peste 75 de miliarde EUR pe o perioadă de 3 ani, rețelele fiind o prioritate-cheie.</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Statele membre ar trebui, de asemenea, să contribuie la îmbunătățirea interfeței dintre rețelele electrice și utilizatori. În ceea ce privește extinderea infrastructurii de reîncărcare pentru transporturi, au fost luate mai multe măsuri și a fost oferit sprijin; drept rezultat, în prezent există peste 1,1 milioane de puncte de reîncărcare accesibile publicului în UE</w:t>
      </w:r>
      <w:r>
        <w:rPr>
          <w:rFonts w:ascii="Times New Roman" w:eastAsia="Calibri" w:hAnsi="Times New Roman" w:cs="Times New Roman"/>
          <w:bCs/>
          <w:noProof/>
          <w:sz w:val="24"/>
          <w:szCs w:val="24"/>
          <w:vertAlign w:val="superscript"/>
        </w:rPr>
        <w:footnoteReference w:id="70"/>
      </w:r>
      <w:r>
        <w:rPr>
          <w:rFonts w:ascii="Times New Roman" w:hAnsi="Times New Roman"/>
          <w:noProof/>
          <w:sz w:val="24"/>
        </w:rPr>
        <w:t>. Deși flota europeană de e-HDV cunoaște o creștere</w:t>
      </w:r>
      <w:r>
        <w:rPr>
          <w:rStyle w:val="FootnoteReference"/>
          <w:rFonts w:ascii="Times New Roman" w:eastAsia="Calibri" w:hAnsi="Times New Roman" w:cs="Times New Roman"/>
          <w:bCs/>
          <w:noProof/>
          <w:sz w:val="24"/>
          <w:szCs w:val="24"/>
        </w:rPr>
        <w:footnoteReference w:id="71"/>
      </w:r>
      <w:r>
        <w:rPr>
          <w:rFonts w:ascii="Times New Roman" w:hAnsi="Times New Roman"/>
          <w:noProof/>
          <w:sz w:val="24"/>
        </w:rPr>
        <w:t>, extinderea acesteia necesită abordarea lacunelor în materie de infrastructură prin oferirea unei mai mari certitudini investitorilor și operatorilor, în vederea deblocării investițiilor. Mecanismul destinat infrastructurii pentru combustibili alternativi se axează pe finanțarea stațiilor de reîncărcare pentru e-HDV, aceste investiții putând fi sprijinite și de statele membre prin intermediul fondurilor regionale. Cu toate acestea, este nevoie de sprijin financiar suplimentar pentru a oferi încredere operatorilor punctelor de încărcare și a-i convinge pe consumatori că mobilitatea electrică va deveni rapid cea mai fiabilă și mai accesibilă formă de transport, chiar și în zonele mai puțin populate.</w:t>
      </w:r>
    </w:p>
    <w:p>
      <w:pPr>
        <w:spacing w:before="240" w:after="120"/>
        <w:jc w:val="both"/>
        <w:rPr>
          <w:rFonts w:ascii="Times New Roman" w:hAnsi="Times New Roman" w:cs="Times New Roman"/>
          <w:noProof/>
          <w:sz w:val="24"/>
          <w:szCs w:val="24"/>
        </w:rPr>
      </w:pPr>
      <w:bookmarkStart w:id="8" w:name="_Hlk223541892"/>
      <w:bookmarkStart w:id="9" w:name="_Hlk223541196"/>
      <w:r>
        <w:rPr>
          <w:rFonts w:ascii="Times New Roman" w:hAnsi="Times New Roman"/>
          <w:noProof/>
          <w:sz w:val="24"/>
        </w:rPr>
        <w:t>Infrastructura portuară are un mare potențial de a facilita electrificarea transportului maritim și a pescuitului prin alimentarea cu energie electrică de la mal (</w:t>
      </w:r>
      <w:r>
        <w:rPr>
          <w:rFonts w:ascii="Times New Roman" w:hAnsi="Times New Roman"/>
          <w:i/>
          <w:noProof/>
          <w:sz w:val="24"/>
        </w:rPr>
        <w:t>onshore power supply</w:t>
      </w:r>
      <w:r>
        <w:rPr>
          <w:rFonts w:ascii="Times New Roman" w:hAnsi="Times New Roman"/>
          <w:noProof/>
          <w:sz w:val="24"/>
        </w:rPr>
        <w:t xml:space="preserve"> – OPS). Rămâne o prioritate instalarea unei infrastructuri de încărcare adecvate de mare putere în porturi, inclusiv în porturile mici din zonele îndepărtate, iar integrarea în timp util în procesele de planificare a rețelei, previziunile privind cererea de energie electrică, implementarea capacităților de stocare a energiei, integrarea în sistemele energetice locale sau accesul la finanțare pot contribui la transformarea acestora în centre energetice. Cadrul de politică al UE pentru porturi pune un accent deosebit pe rolul OPS și pe potențialul porturilor de a deveni </w:t>
      </w:r>
      <w:r>
        <w:rPr>
          <w:rFonts w:ascii="Times New Roman" w:hAnsi="Times New Roman"/>
          <w:noProof/>
          <w:sz w:val="24"/>
        </w:rPr>
        <w:lastRenderedPageBreak/>
        <w:t>centre energetice</w:t>
      </w:r>
      <w:r>
        <w:rPr>
          <w:rStyle w:val="FootnoteReference"/>
          <w:rFonts w:ascii="Times New Roman" w:hAnsi="Times New Roman" w:cs="Times New Roman"/>
          <w:noProof/>
          <w:sz w:val="24"/>
          <w:szCs w:val="24"/>
        </w:rPr>
        <w:footnoteReference w:id="72"/>
      </w:r>
      <w:r>
        <w:rPr>
          <w:rFonts w:ascii="Times New Roman" w:hAnsi="Times New Roman"/>
          <w:noProof/>
          <w:sz w:val="24"/>
        </w:rPr>
        <w:t>. Pentru a sprijini această transformare, este de asemenea esențial ca prețurile serviciilor de alimentare cu energie electrică de la mal să fie stabilite în mod transparent și nediscriminatoriu, precum și ca porturile să fie desemnate zone de accelerare industrială, în conformitate cu propunerea de act legislativ privind accelerarea industrială.</w:t>
      </w:r>
      <w:r>
        <w:rPr>
          <w:noProof/>
        </w:rPr>
        <w:t xml:space="preserve"> </w:t>
      </w:r>
      <w:r>
        <w:rPr>
          <w:rFonts w:ascii="Times New Roman" w:hAnsi="Times New Roman"/>
          <w:noProof/>
          <w:sz w:val="24"/>
        </w:rPr>
        <w:t xml:space="preserve">Comisia invită părțile interesate relevante, inclusiv pe cele din cadrul Forumului european pentru un transport naval sustenabil, să elaboreze bune practici privind stabilirea transparentă și nediscriminatorie a prețurilor pentru serviciile OPS, inclusiv privind structurile tarifare și componentele de cost. Dacă va fi necesar, Comisia va lua măsuri suplimentare pentru a spori transparența prețurilor și comparabilitatea serviciilor OPS în întreaga UE. </w:t>
      </w:r>
      <w:bookmarkEnd w:id="8"/>
    </w:p>
    <w:p>
      <w:pPr>
        <w:pBdr>
          <w:top w:val="single" w:sz="4" w:space="1" w:color="auto"/>
          <w:left w:val="single" w:sz="4" w:space="4" w:color="auto"/>
          <w:bottom w:val="single" w:sz="4" w:space="1" w:color="auto"/>
          <w:right w:val="single" w:sz="4" w:space="4" w:color="auto"/>
        </w:pBdr>
        <w:tabs>
          <w:tab w:val="left" w:pos="1440"/>
        </w:tabs>
        <w:spacing w:after="120" w:line="240" w:lineRule="auto"/>
        <w:jc w:val="both"/>
        <w:rPr>
          <w:rFonts w:ascii="Times New Roman" w:eastAsia="Calibri" w:hAnsi="Times New Roman" w:cs="Times New Roman"/>
          <w:b/>
          <w:i/>
          <w:noProof/>
          <w:sz w:val="24"/>
          <w:szCs w:val="24"/>
        </w:rPr>
      </w:pPr>
      <w:bookmarkStart w:id="10" w:name="_Hlk223541605"/>
      <w:bookmarkEnd w:id="9"/>
      <w:r>
        <w:rPr>
          <w:rFonts w:ascii="Times New Roman" w:hAnsi="Times New Roman"/>
          <w:b/>
          <w:i/>
          <w:noProof/>
          <w:sz w:val="24"/>
        </w:rPr>
        <w:t>Acțiunea 10</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i/>
          <w:noProof/>
          <w:sz w:val="24"/>
          <w:szCs w:val="24"/>
        </w:rPr>
      </w:pPr>
      <w:r>
        <w:rPr>
          <w:rFonts w:ascii="Times New Roman" w:hAnsi="Times New Roman"/>
          <w:i/>
          <w:noProof/>
          <w:sz w:val="24"/>
        </w:rPr>
        <w:t>Comisia:</w:t>
      </w:r>
    </w:p>
    <w:p>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Pr>
          <w:rFonts w:ascii="Times New Roman" w:hAnsi="Times New Roman"/>
          <w:b/>
          <w:i/>
          <w:noProof/>
          <w:sz w:val="24"/>
        </w:rPr>
        <w:t>va revizui Regulamentul privind infrastructura pentru combustibili alternativi (RICA)</w:t>
      </w:r>
      <w:r>
        <w:rPr>
          <w:rFonts w:ascii="Times New Roman" w:hAnsi="Times New Roman"/>
          <w:i/>
          <w:noProof/>
          <w:sz w:val="24"/>
        </w:rPr>
        <w:t xml:space="preserve"> în 2026 pentru a sprijini în continuare implementarea accelerată a infrastructurii de încărcare, inclusiv pentru e-HDV, asigurându-se totodată că nicio regiune nu este lăsată în urmă. Revizuirea va aborda colectarea de date privind nevoile actuale și viitoare legate de încărcarea în autobaze și va oferi mai mult sprijin pentru introducerea accelerată a surselor de alimentare cu energie electrică de la mal;</w:t>
      </w:r>
    </w:p>
    <w:p>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Pr>
          <w:rFonts w:ascii="Times New Roman" w:hAnsi="Times New Roman"/>
          <w:b/>
          <w:i/>
          <w:noProof/>
          <w:sz w:val="24"/>
        </w:rPr>
        <w:t>va actualiza specificațiile tehnice comune pentru punctele de reîncărcare private și accesibile publicului</w:t>
      </w:r>
      <w:r>
        <w:rPr>
          <w:rFonts w:ascii="Times New Roman" w:hAnsi="Times New Roman"/>
          <w:i/>
          <w:noProof/>
          <w:sz w:val="24"/>
        </w:rPr>
        <w:t xml:space="preserve"> în conformitate cu RICA, pentru a asigura interoperabilitatea tehnică și capacități de reîncărcare bidirecțională;</w:t>
      </w:r>
    </w:p>
    <w:p>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iCs/>
          <w:noProof/>
          <w:sz w:val="24"/>
          <w:szCs w:val="24"/>
        </w:rPr>
      </w:pPr>
      <w:r>
        <w:rPr>
          <w:rFonts w:ascii="Times New Roman" w:hAnsi="Times New Roman"/>
          <w:i/>
          <w:noProof/>
          <w:sz w:val="24"/>
        </w:rPr>
        <w:t xml:space="preserve">va asigura </w:t>
      </w:r>
      <w:r>
        <w:rPr>
          <w:rFonts w:ascii="Times New Roman" w:hAnsi="Times New Roman"/>
          <w:b/>
          <w:i/>
          <w:noProof/>
          <w:sz w:val="24"/>
        </w:rPr>
        <w:t>instalarea coordonată la nivel european a infrastructurii de încărcare pentru e-HDV</w:t>
      </w:r>
      <w:r>
        <w:rPr>
          <w:rFonts w:ascii="Times New Roman" w:hAnsi="Times New Roman"/>
          <w:i/>
          <w:noProof/>
          <w:sz w:val="24"/>
        </w:rPr>
        <w:t xml:space="preserve"> în 2026, ca parte a abordării întregului lanț valoric al e-HDV, va extinde inițiativa privind coridoarele de transport curat pentru e-HDV la alte coridoare TEN-T și va proiecta, împreună cu statele membre, un instrument financiar european pentru diminuarea riscurilor de investiție în stații de reîncărcare pentru e-HDV;</w:t>
      </w:r>
    </w:p>
    <w:p>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iCs/>
          <w:noProof/>
          <w:sz w:val="24"/>
          <w:szCs w:val="24"/>
        </w:rPr>
      </w:pPr>
      <w:r>
        <w:rPr>
          <w:rFonts w:ascii="Times New Roman" w:hAnsi="Times New Roman"/>
          <w:i/>
          <w:noProof/>
          <w:sz w:val="24"/>
        </w:rPr>
        <w:t xml:space="preserve">va colabora cu statele membre și cu industria pentru </w:t>
      </w:r>
      <w:r>
        <w:rPr>
          <w:rFonts w:ascii="Times New Roman" w:hAnsi="Times New Roman"/>
          <w:b/>
          <w:i/>
          <w:noProof/>
          <w:sz w:val="24"/>
        </w:rPr>
        <w:t>a identifica ultimele condiții favorizante pentru introducerea vehiculelor grele cu emisii zero</w:t>
      </w:r>
      <w:r>
        <w:rPr>
          <w:rFonts w:ascii="Times New Roman" w:hAnsi="Times New Roman"/>
          <w:i/>
          <w:noProof/>
          <w:sz w:val="24"/>
        </w:rPr>
        <w:t>, de exemplu stimulentele pentru cererea de vehicule, și va conveni asupra unor planuri de acțiune comune pentru cadrul favorabil acestei tranziții, pe baza obiectivelor privind emisiile de CO</w:t>
      </w:r>
      <w:r>
        <w:rPr>
          <w:rFonts w:ascii="Times New Roman" w:hAnsi="Times New Roman"/>
          <w:i/>
          <w:noProof/>
          <w:sz w:val="24"/>
          <w:vertAlign w:val="subscript"/>
        </w:rPr>
        <w:t>2</w:t>
      </w:r>
      <w:r>
        <w:rPr>
          <w:rFonts w:ascii="Times New Roman" w:hAnsi="Times New Roman"/>
          <w:i/>
          <w:noProof/>
          <w:sz w:val="24"/>
        </w:rPr>
        <w:t xml:space="preserve"> stabilite pentru vehiculele grele până în 2030;</w:t>
      </w:r>
    </w:p>
    <w:p>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i/>
          <w:iCs/>
          <w:noProof/>
          <w:sz w:val="24"/>
          <w:szCs w:val="24"/>
        </w:rPr>
      </w:pPr>
      <w:r>
        <w:rPr>
          <w:rFonts w:ascii="Times New Roman" w:hAnsi="Times New Roman"/>
          <w:i/>
          <w:noProof/>
          <w:sz w:val="24"/>
        </w:rPr>
        <w:t xml:space="preserve">va depune eforturi pentru </w:t>
      </w:r>
      <w:r>
        <w:rPr>
          <w:rFonts w:ascii="Times New Roman" w:hAnsi="Times New Roman"/>
          <w:b/>
          <w:i/>
          <w:noProof/>
          <w:sz w:val="24"/>
        </w:rPr>
        <w:t>eliminarea barierelor din calea electrificării feriboturilor și a navelor de navigație interioară</w:t>
      </w:r>
      <w:r>
        <w:rPr>
          <w:rFonts w:ascii="Times New Roman" w:hAnsi="Times New Roman"/>
          <w:i/>
          <w:noProof/>
          <w:sz w:val="24"/>
        </w:rPr>
        <w:t>, cum ar fi lipsa infrastructurii de reîncărcare în porturi.</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i/>
          <w:noProof/>
          <w:sz w:val="24"/>
        </w:rPr>
        <w:t xml:space="preserve">Statele membre ar trebui să aibă în vedere posibilitatea concentrării creditelor la începutul perioadei în cadrul </w:t>
      </w:r>
      <w:r>
        <w:rPr>
          <w:rFonts w:ascii="Times New Roman" w:hAnsi="Times New Roman"/>
          <w:b/>
          <w:i/>
          <w:noProof/>
          <w:sz w:val="24"/>
        </w:rPr>
        <w:t>mecanismului de creditare prevăzut în DESR</w:t>
      </w:r>
      <w:r>
        <w:rPr>
          <w:rFonts w:ascii="Times New Roman" w:hAnsi="Times New Roman"/>
          <w:i/>
          <w:noProof/>
          <w:sz w:val="24"/>
        </w:rPr>
        <w:t>, pentru a facilita investițiile în puncte de reîncărcare, inclusiv de încărcare în autobaze</w:t>
      </w:r>
      <w:r>
        <w:rPr>
          <w:rFonts w:ascii="Times New Roman" w:eastAsia="Calibri" w:hAnsi="Times New Roman" w:cs="Times New Roman"/>
          <w:i/>
          <w:iCs/>
          <w:noProof/>
          <w:sz w:val="24"/>
          <w:szCs w:val="24"/>
          <w:vertAlign w:val="superscript"/>
        </w:rPr>
        <w:footnoteReference w:id="73"/>
      </w:r>
      <w:r>
        <w:rPr>
          <w:rFonts w:ascii="Times New Roman" w:hAnsi="Times New Roman"/>
          <w:i/>
          <w:noProof/>
          <w:sz w:val="24"/>
        </w:rPr>
        <w:t>.</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i/>
          <w:noProof/>
          <w:sz w:val="24"/>
        </w:rPr>
        <w:t>Indicator-cheie de performanță: până în 2040, instalarea unei capacități de rețea suficiente în porturi și a unei infrastructuri de încărcare de la mal pentru ca o treime din flota de feriboturi a UE să poată fi propulsată electric pe bază de baterii.</w:t>
      </w:r>
    </w:p>
    <w:p>
      <w:pPr>
        <w:spacing w:before="240" w:after="120"/>
        <w:jc w:val="both"/>
        <w:rPr>
          <w:rFonts w:ascii="Times New Roman" w:eastAsia="Times New Roman" w:hAnsi="Times New Roman" w:cs="Times New Roman"/>
          <w:noProof/>
          <w:sz w:val="24"/>
          <w:szCs w:val="24"/>
        </w:rPr>
      </w:pPr>
      <w:bookmarkStart w:id="11" w:name="_Hlk223542027"/>
      <w:bookmarkEnd w:id="10"/>
      <w:r>
        <w:rPr>
          <w:rFonts w:ascii="Times New Roman" w:hAnsi="Times New Roman"/>
          <w:noProof/>
          <w:sz w:val="24"/>
        </w:rPr>
        <w:t xml:space="preserve">Sistemele de încălzire și răcire centralizată care utilizează pompe de căldură sau centrale electrice, rețelele urbane de încălzire centralizată și stocarea termică pot oferi posibilități ample de flexibilitate și pot atenua sarcina suportată de rețeaua de energie electrică. Ele pot mobiliza </w:t>
      </w:r>
      <w:r>
        <w:rPr>
          <w:rFonts w:ascii="Times New Roman" w:hAnsi="Times New Roman"/>
          <w:noProof/>
          <w:sz w:val="24"/>
        </w:rPr>
        <w:lastRenderedPageBreak/>
        <w:t>surse directe de căldură curată (energie geotermică și solară termică, căldură reziduală</w:t>
      </w:r>
      <w:r>
        <w:rPr>
          <w:rFonts w:ascii="Times New Roman" w:eastAsia="Times New Roman" w:hAnsi="Times New Roman" w:cs="Times New Roman"/>
          <w:noProof/>
          <w:sz w:val="24"/>
          <w:szCs w:val="24"/>
          <w:vertAlign w:val="superscript"/>
        </w:rPr>
        <w:footnoteReference w:id="74"/>
      </w:r>
      <w:r>
        <w:rPr>
          <w:rFonts w:ascii="Times New Roman" w:hAnsi="Times New Roman"/>
          <w:noProof/>
          <w:sz w:val="24"/>
        </w:rPr>
        <w:t>) în completarea electrificării. Comisia va sprijini investițiile în proiecte de încălzire și răcire centralizată și de recuperare a căldurii reziduale, va aborda lipsa de conștientizare prin promovarea unor abordări reproductibile în vederea corelării cererii cu oferta și va promova asigurarea capacității tehnice la nivel local.</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i/>
          <w:iCs/>
          <w:noProof/>
          <w:sz w:val="24"/>
          <w:szCs w:val="24"/>
        </w:rPr>
      </w:pPr>
      <w:r>
        <w:rPr>
          <w:rFonts w:ascii="Times New Roman" w:hAnsi="Times New Roman"/>
          <w:b/>
          <w:i/>
          <w:noProof/>
          <w:sz w:val="24"/>
        </w:rPr>
        <w:t xml:space="preserve">Acțiunea 11 </w:t>
      </w:r>
    </w:p>
    <w:bookmarkEnd w:id="11"/>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Comisia:</w:t>
      </w:r>
    </w:p>
    <w:p>
      <w:pPr>
        <w:pStyle w:val="ListParagraph"/>
        <w:numPr>
          <w:ilvl w:val="0"/>
          <w:numId w:val="7"/>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i/>
          <w:iCs/>
          <w:noProof/>
          <w:sz w:val="24"/>
          <w:szCs w:val="24"/>
        </w:rPr>
      </w:pPr>
      <w:r>
        <w:rPr>
          <w:rFonts w:ascii="Times New Roman" w:hAnsi="Times New Roman"/>
          <w:i/>
          <w:noProof/>
          <w:sz w:val="24"/>
        </w:rPr>
        <w:t xml:space="preserve">va lansa o </w:t>
      </w:r>
      <w:r>
        <w:rPr>
          <w:rFonts w:ascii="Times New Roman" w:hAnsi="Times New Roman"/>
          <w:b/>
          <w:i/>
          <w:noProof/>
          <w:sz w:val="24"/>
        </w:rPr>
        <w:t>inițiativă a UE privind căldura reziduală</w:t>
      </w:r>
      <w:r>
        <w:rPr>
          <w:rFonts w:ascii="Times New Roman" w:hAnsi="Times New Roman"/>
          <w:i/>
          <w:noProof/>
          <w:sz w:val="24"/>
        </w:rPr>
        <w:t xml:space="preserve"> pentru a oferi certitudine în materie de investiții și pentru a sprijini modelele de afaceri care valorifică recuperarea căldurii reziduale și utilizarea acesteia în sistemele de încălzire și răcire centralizată (până în T2 2027);</w:t>
      </w:r>
    </w:p>
    <w:p>
      <w:pPr>
        <w:pStyle w:val="ListParagraph"/>
        <w:numPr>
          <w:ilvl w:val="0"/>
          <w:numId w:val="7"/>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i/>
          <w:iCs/>
          <w:noProof/>
          <w:sz w:val="24"/>
          <w:szCs w:val="24"/>
        </w:rPr>
      </w:pPr>
      <w:r>
        <w:rPr>
          <w:rFonts w:ascii="Times New Roman" w:hAnsi="Times New Roman"/>
          <w:i/>
          <w:noProof/>
          <w:sz w:val="24"/>
        </w:rPr>
        <w:t xml:space="preserve">va mobiliza Coaliția pentru finanțarea eficienței energetice și acceleratorul de finanțare a eficienței energetice pentru </w:t>
      </w:r>
      <w:r>
        <w:rPr>
          <w:rFonts w:ascii="Times New Roman" w:hAnsi="Times New Roman"/>
          <w:b/>
          <w:i/>
          <w:noProof/>
          <w:sz w:val="24"/>
        </w:rPr>
        <w:t>a reduce riscurile și a finanța investițiile în sisteme de încălzire și răcire centralizată</w:t>
      </w:r>
      <w:r>
        <w:rPr>
          <w:rFonts w:ascii="Times New Roman" w:hAnsi="Times New Roman"/>
          <w:i/>
          <w:noProof/>
          <w:sz w:val="24"/>
        </w:rPr>
        <w:t>, precum și pentru a consolida lanțul de aprovizionare al UE;</w:t>
      </w:r>
    </w:p>
    <w:p>
      <w:pPr>
        <w:pStyle w:val="ListParagraph"/>
        <w:numPr>
          <w:ilvl w:val="0"/>
          <w:numId w:val="7"/>
        </w:numPr>
        <w:pBdr>
          <w:top w:val="single" w:sz="4" w:space="1" w:color="auto"/>
          <w:left w:val="single" w:sz="4" w:space="4" w:color="auto"/>
          <w:bottom w:val="single" w:sz="4" w:space="1" w:color="auto"/>
          <w:right w:val="single" w:sz="4" w:space="4" w:color="auto"/>
        </w:pBdr>
        <w:spacing w:after="240" w:line="240" w:lineRule="auto"/>
        <w:ind w:left="357" w:hanging="357"/>
        <w:jc w:val="both"/>
        <w:rPr>
          <w:rFonts w:ascii="Times New Roman" w:hAnsi="Times New Roman" w:cs="Times New Roman"/>
          <w:i/>
          <w:iCs/>
          <w:noProof/>
          <w:sz w:val="24"/>
          <w:szCs w:val="24"/>
        </w:rPr>
      </w:pPr>
      <w:r>
        <w:rPr>
          <w:rFonts w:ascii="Times New Roman" w:hAnsi="Times New Roman"/>
          <w:i/>
          <w:noProof/>
          <w:sz w:val="24"/>
        </w:rPr>
        <w:t xml:space="preserve">va sprijini </w:t>
      </w:r>
      <w:r>
        <w:rPr>
          <w:rFonts w:ascii="Times New Roman" w:hAnsi="Times New Roman"/>
          <w:b/>
          <w:i/>
          <w:noProof/>
          <w:sz w:val="24"/>
        </w:rPr>
        <w:t>Mecanismul pentru orașe europene în vederea finanțării planurilor municipale de încălzire și răcire</w:t>
      </w:r>
      <w:r>
        <w:rPr>
          <w:rFonts w:ascii="Times New Roman" w:hAnsi="Times New Roman"/>
          <w:i/>
          <w:noProof/>
          <w:sz w:val="24"/>
        </w:rPr>
        <w:t xml:space="preserve"> și va lansa, până în vara anului 2026, o primă acțiune-pilot care să finanțeze cu 15 milioane EUR un număr de până la 180 de planuri lansate, cu scopul de a le extinde pentru a transforma 1 000 de planuri locale de încălzire și răcire în afaceri pretabile investițiilor.</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i/>
          <w:noProof/>
          <w:sz w:val="24"/>
        </w:rPr>
        <w:t xml:space="preserve">Indicatori-cheie de performanță: asigurarea a 11 % din cererea de căldură a UE din recuperarea căldurii reziduale până în 2050; asigurarea prin sistemele de încălzire și răcire centralizată a 15 % din oferta totală de încălzire și răcire până în 2030 și extinderea rețelelor de încălzire și răcire centralizată cu 6-7 % pe an până în 2030. </w:t>
      </w:r>
    </w:p>
    <w:p>
      <w:pPr>
        <w:spacing w:after="0"/>
        <w:rPr>
          <w:rFonts w:ascii="Times New Roman" w:eastAsia="Calibri" w:hAnsi="Times New Roman" w:cs="Times New Roman"/>
          <w:i/>
          <w:iCs/>
          <w:noProof/>
          <w:sz w:val="24"/>
          <w:szCs w:val="24"/>
        </w:rPr>
      </w:pPr>
    </w:p>
    <w:p>
      <w:pPr>
        <w:rPr>
          <w:rFonts w:ascii="Times New Roman" w:hAnsi="Times New Roman"/>
          <w:b/>
          <w:noProof/>
          <w:sz w:val="32"/>
        </w:rPr>
      </w:pPr>
      <w:bookmarkStart w:id="12" w:name="_Hlk223542064"/>
      <w:r>
        <w:rPr>
          <w:rFonts w:ascii="Times New Roman" w:hAnsi="Times New Roman"/>
          <w:b/>
          <w:noProof/>
          <w:sz w:val="32"/>
        </w:rPr>
        <w:t xml:space="preserve">4. Accelerarea inovării în domeniul soluțiilor de electrificare </w:t>
      </w:r>
    </w:p>
    <w:p>
      <w:pPr>
        <w:spacing w:after="120"/>
        <w:jc w:val="both"/>
        <w:rPr>
          <w:rFonts w:ascii="Times New Roman" w:hAnsi="Times New Roman" w:cs="Times New Roman"/>
          <w:noProof/>
          <w:sz w:val="24"/>
          <w:szCs w:val="24"/>
        </w:rPr>
      </w:pPr>
      <w:r>
        <w:rPr>
          <w:rFonts w:ascii="Times New Roman" w:hAnsi="Times New Roman"/>
          <w:noProof/>
          <w:sz w:val="24"/>
        </w:rPr>
        <w:t xml:space="preserve">Datorită îmbunătățirii permanente a soluțiilor, tehnologiile de electrificare acoperă un spectru din ce în ce mai larg de nevoi energetice ale UE. Cea mai mare parte a consumului actual de combustibili fosili poate fi electrificat, dar încă există utilizări și procese energetice care necesită cercetare și inovare suplimentare, în special transportul pe distanțe lungi și anumite procese industriale. UE angajează deja 18,6 miliarde EUR pentru a sprijini dezvoltarea tehnologiilor de electrificare, prin intermediul programului Orizont Europa, al Fondului pentru modernizare și al Fondului pentru inovare. Pentru perioada 2026-2027, Orizont Europa alocă aproape 2 miliarde EUR pentru abordarea unor aspecte precum stocarea energiei, noile tehnologii energetice revoluționare, energia din surse regenerabile, tehnologiile pentru rețele și sistemele energetice, electrificarea clădirilor și a industriei, încălzirea și răcirea și soluțiile destinate sistemului de transport. </w:t>
      </w:r>
      <w:bookmarkStart w:id="13" w:name="_Hlk232094692"/>
      <w:r>
        <w:rPr>
          <w:rFonts w:ascii="Times New Roman" w:hAnsi="Times New Roman"/>
          <w:noProof/>
          <w:sz w:val="24"/>
        </w:rPr>
        <w:t>De asemenea, Comisia sprijină tehnologiile nucleare inovatoare, inclusiv prin reactoare modulare mici (SMR), pentru a furniza energie electrică curată consumatorilor industriali în condiții de siguranță, astfel cum se reflectă în Strategia UE pentru SMR</w:t>
      </w:r>
      <w:r>
        <w:rPr>
          <w:rStyle w:val="FootnoteReference"/>
          <w:rFonts w:ascii="Times New Roman" w:hAnsi="Times New Roman" w:cs="Times New Roman"/>
          <w:noProof/>
          <w:sz w:val="24"/>
          <w:szCs w:val="24"/>
        </w:rPr>
        <w:footnoteReference w:id="75"/>
      </w:r>
      <w:r>
        <w:rPr>
          <w:rFonts w:ascii="Times New Roman" w:hAnsi="Times New Roman"/>
          <w:noProof/>
          <w:sz w:val="24"/>
        </w:rPr>
        <w:t xml:space="preserve">. </w:t>
      </w:r>
    </w:p>
    <w:p>
      <w:pPr>
        <w:spacing w:after="120"/>
        <w:jc w:val="both"/>
        <w:rPr>
          <w:rFonts w:ascii="Times New Roman" w:hAnsi="Times New Roman" w:cs="Times New Roman"/>
          <w:noProof/>
          <w:sz w:val="24"/>
          <w:szCs w:val="24"/>
        </w:rPr>
      </w:pPr>
      <w:r>
        <w:rPr>
          <w:rFonts w:ascii="Times New Roman" w:hAnsi="Times New Roman"/>
          <w:noProof/>
          <w:sz w:val="24"/>
        </w:rPr>
        <w:t xml:space="preserve">Digitalizarea, schimbul de date și IA sunt motoare ale inovării în domeniul soluțiilor de electrificare și factori favorizanți esențiali pentru flexibilitatea cererii, inclusiv în domeniul </w:t>
      </w:r>
      <w:r>
        <w:rPr>
          <w:rFonts w:ascii="Times New Roman" w:hAnsi="Times New Roman"/>
          <w:noProof/>
          <w:sz w:val="24"/>
        </w:rPr>
        <w:lastRenderedPageBreak/>
        <w:t xml:space="preserve">soluțiilor de la vehicul la rețea (V2G), al pompelor de căldură și al clădirilor. </w:t>
      </w:r>
      <w:bookmarkEnd w:id="13"/>
      <w:r>
        <w:rPr>
          <w:rFonts w:ascii="Times New Roman" w:hAnsi="Times New Roman"/>
          <w:noProof/>
          <w:sz w:val="24"/>
        </w:rPr>
        <w:t xml:space="preserve">În plus, decarbonizarea completă a anumitor procese industriale ar necesita dezvoltarea altor opțiuni, cum ar fi utilizarea biogazului sau a hidrogenului sau captarea, utilizarea și stocarea dioxidului de carbon. </w:t>
      </w:r>
    </w:p>
    <w:p>
      <w:pPr>
        <w:spacing w:after="120"/>
        <w:jc w:val="both"/>
        <w:rPr>
          <w:rFonts w:ascii="Times New Roman" w:hAnsi="Times New Roman" w:cs="Times New Roman"/>
          <w:noProof/>
          <w:sz w:val="24"/>
          <w:szCs w:val="24"/>
        </w:rPr>
      </w:pPr>
      <w:r>
        <w:rPr>
          <w:rFonts w:ascii="Times New Roman" w:hAnsi="Times New Roman"/>
          <w:noProof/>
          <w:sz w:val="24"/>
        </w:rPr>
        <w:t>Cerințele normative, operaționale și de infrastructură pentru aviația electrică impun testarea în condiții reale. Comisia va lansa un proiect-pilot de înființare a unor centre regionale de excelență pentru aviația cu emisii zero, în cadrul căruia va reuni state membre, diverse regiuni și industria.</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noProof/>
          <w:sz w:val="24"/>
          <w:szCs w:val="24"/>
        </w:rPr>
      </w:pPr>
      <w:r>
        <w:rPr>
          <w:rFonts w:ascii="Times New Roman" w:hAnsi="Times New Roman"/>
          <w:b/>
          <w:i/>
          <w:noProof/>
          <w:sz w:val="24"/>
        </w:rPr>
        <w:t xml:space="preserve">Acțiunea 12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Cs/>
          <w:i/>
          <w:noProof/>
          <w:sz w:val="24"/>
          <w:szCs w:val="24"/>
        </w:rPr>
      </w:pPr>
      <w:r>
        <w:rPr>
          <w:rFonts w:ascii="Times New Roman" w:hAnsi="Times New Roman"/>
          <w:i/>
          <w:noProof/>
          <w:sz w:val="24"/>
        </w:rPr>
        <w:t>Comisia:</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b/>
          <w:i/>
          <w:noProof/>
          <w:sz w:val="24"/>
        </w:rPr>
        <w:t>va consolida, în cadrul Planului SET, sprijinul pentru adoptarea tehnologiilor energetice curate esențiale pentru electrificarea anumitor procese industriale</w:t>
      </w:r>
      <w:r>
        <w:rPr>
          <w:rFonts w:ascii="Times New Roman" w:hAnsi="Times New Roman"/>
          <w:i/>
          <w:noProof/>
          <w:sz w:val="24"/>
        </w:rPr>
        <w:t>, prin elaborarea și aprobarea unui plan comun de investiții și de punere în aplicare pentru aceste tehnologii până în T1 2027;</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i/>
          <w:noProof/>
          <w:sz w:val="24"/>
        </w:rPr>
        <w:t xml:space="preserve">va colabora cu </w:t>
      </w:r>
      <w:r>
        <w:rPr>
          <w:rFonts w:ascii="Times New Roman" w:hAnsi="Times New Roman"/>
          <w:b/>
          <w:i/>
          <w:noProof/>
          <w:sz w:val="24"/>
        </w:rPr>
        <w:t>Alianța industrială europeană pentru SMR pentru a încheia a doua cerere de proiecte</w:t>
      </w:r>
      <w:r>
        <w:rPr>
          <w:rFonts w:ascii="Times New Roman" w:hAnsi="Times New Roman"/>
          <w:i/>
          <w:noProof/>
          <w:sz w:val="24"/>
        </w:rPr>
        <w:t xml:space="preserve"> în contextul obiectivului ca primele proiecte SMR să devină operaționale în Europa până la începutul anilor 2030;</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rPr>
      </w:pPr>
      <w:r>
        <w:rPr>
          <w:rFonts w:ascii="Times New Roman" w:hAnsi="Times New Roman"/>
          <w:b/>
          <w:i/>
          <w:noProof/>
          <w:sz w:val="24"/>
        </w:rPr>
        <w:t>va actualiza strategia UE privind hidrogenul</w:t>
      </w:r>
      <w:r>
        <w:rPr>
          <w:rFonts w:ascii="Times New Roman" w:hAnsi="Times New Roman"/>
          <w:i/>
          <w:noProof/>
          <w:sz w:val="24"/>
        </w:rPr>
        <w:t xml:space="preserve"> pentru a asigura disponibilitatea unor soluții de decarbonizare complementare în cazul proceselor industriale în care electrificarea directă nu este fezabilă sau eficientă din punctul de vedere al costurilor.</w:t>
      </w:r>
    </w:p>
    <w:p>
      <w:pPr>
        <w:pStyle w:val="Heading1"/>
        <w:ind w:right="-472"/>
        <w:rPr>
          <w:rFonts w:ascii="Times New Roman" w:hAnsi="Times New Roman" w:cs="Times New Roman"/>
          <w:b/>
          <w:noProof/>
          <w:color w:val="auto"/>
          <w:sz w:val="32"/>
          <w:szCs w:val="32"/>
        </w:rPr>
      </w:pPr>
      <w:r>
        <w:rPr>
          <w:rFonts w:ascii="Times New Roman" w:hAnsi="Times New Roman"/>
          <w:b/>
          <w:noProof/>
          <w:color w:val="auto"/>
          <w:sz w:val="32"/>
        </w:rPr>
        <w:t>5. Alinierea lanțurilor valorice la nivelul de ambiție: competențele și producția</w:t>
      </w:r>
    </w:p>
    <w:p>
      <w:pPr>
        <w:jc w:val="both"/>
        <w:rPr>
          <w:rFonts w:ascii="Times New Roman" w:eastAsia="Times New Roman" w:hAnsi="Times New Roman" w:cs="Times New Roman"/>
          <w:noProof/>
          <w:sz w:val="24"/>
          <w:szCs w:val="24"/>
        </w:rPr>
      </w:pPr>
      <w:r>
        <w:rPr>
          <w:rFonts w:ascii="Times New Roman" w:hAnsi="Times New Roman"/>
          <w:noProof/>
          <w:sz w:val="24"/>
        </w:rPr>
        <w:t>Atingerea obiectivelor energetice ale UE, creșterea gradului de electrificare, modernizarea infrastructurii și asigurarea securității sistemului de energie electrică aflat în permanentă dezvoltare reprezintă o provocare. Pentru a realiza obiectivele și a îndeplini indicatorii-cheie de performanță este nevoie de capital uman calificat și de acțiuni pe toată lungimea lanțurilor valorice ale Europei, de creșterea și diversificarea accesului la materiale, de extinderea capacităților de producție, de dezvoltarea constantă a ofertei de forță de muncă și de stimularea cererii. Se preconizează că forța de muncă din sectorul energetic va crește cu 50 % până în 2030 în vederea implementării tehnologiilor din domeniul energiei din surse regenerabile, a tehnologiilor de rețea și a tehnologiilor eficiente din punct de vedere energetic</w:t>
      </w:r>
      <w:r>
        <w:rPr>
          <w:rStyle w:val="FootnoteReference"/>
          <w:rFonts w:ascii="Times New Roman" w:hAnsi="Times New Roman" w:cs="Times New Roman"/>
          <w:noProof/>
        </w:rPr>
        <w:footnoteReference w:id="76"/>
      </w:r>
      <w:r>
        <w:rPr>
          <w:rFonts w:ascii="Times New Roman" w:hAnsi="Times New Roman"/>
          <w:noProof/>
          <w:sz w:val="24"/>
        </w:rPr>
        <w:t>.</w:t>
      </w:r>
      <w:r>
        <w:rPr>
          <w:rFonts w:ascii="Times New Roman" w:hAnsi="Times New Roman"/>
          <w:noProof/>
        </w:rPr>
        <w:t xml:space="preserve"> </w:t>
      </w:r>
      <w:r>
        <w:rPr>
          <w:rFonts w:ascii="Times New Roman" w:hAnsi="Times New Roman"/>
          <w:noProof/>
          <w:sz w:val="24"/>
        </w:rPr>
        <w:t>În ceea ce privește producția, evaluarea nevoilor care însoțește Regulamentul privind industria „zero net” prevede un număr de 30 000-100 000 de locuri de muncă suplimentare până în 2030 pentru producerea tehnologiilor eoliene și solare. Cel mai mare efect asupra ocupării forței de muncă se materializează în aval. Instalarea și implementarea producției de energie eoliană și solară ar putea necesita încă 130 000-145 000 de lucrători calificați până în 2030, aproximativ 90 % dintre aceștia în construcții și servicii</w:t>
      </w:r>
      <w:r>
        <w:rPr>
          <w:rFonts w:ascii="Times New Roman" w:eastAsia="Times New Roman" w:hAnsi="Times New Roman" w:cs="Times New Roman"/>
          <w:noProof/>
          <w:sz w:val="24"/>
          <w:szCs w:val="24"/>
          <w:vertAlign w:val="superscript"/>
        </w:rPr>
        <w:footnoteReference w:id="77"/>
      </w:r>
      <w:r>
        <w:rPr>
          <w:rFonts w:ascii="Times New Roman" w:hAnsi="Times New Roman"/>
          <w:noProof/>
          <w:sz w:val="24"/>
        </w:rPr>
        <w:t>. Se estimează că investițiile în rețelele de distribuție vor susține doar ele 440 000-620 000 de locuri de muncă de calitate la nivel local pe an</w:t>
      </w:r>
      <w:r>
        <w:rPr>
          <w:rStyle w:val="FootnoteReference"/>
          <w:noProof/>
        </w:rPr>
        <w:footnoteReference w:id="78"/>
      </w:r>
      <w:r>
        <w:rPr>
          <w:rFonts w:ascii="Times New Roman" w:hAnsi="Times New Roman"/>
          <w:noProof/>
          <w:sz w:val="24"/>
        </w:rPr>
        <w:t xml:space="preserve">, iar </w:t>
      </w:r>
      <w:r>
        <w:rPr>
          <w:rFonts w:ascii="Times New Roman" w:hAnsi="Times New Roman"/>
          <w:noProof/>
          <w:sz w:val="24"/>
        </w:rPr>
        <w:lastRenderedPageBreak/>
        <w:t>AIE identifică deficitul de lucrători calificați în domeniul rețelelor ca fiind un blocaj emergent pentru furnizarea la timp a noilor infrastructuri</w:t>
      </w:r>
      <w:r>
        <w:rPr>
          <w:rFonts w:ascii="Times New Roman" w:eastAsia="Times New Roman" w:hAnsi="Times New Roman" w:cs="Times New Roman"/>
          <w:noProof/>
          <w:sz w:val="24"/>
          <w:szCs w:val="24"/>
          <w:vertAlign w:val="superscript"/>
        </w:rPr>
        <w:footnoteReference w:id="79"/>
      </w:r>
      <w:r>
        <w:rPr>
          <w:rFonts w:ascii="Times New Roman" w:hAnsi="Times New Roman"/>
          <w:noProof/>
          <w:sz w:val="24"/>
        </w:rPr>
        <w:t>.</w:t>
      </w:r>
      <w:r>
        <w:rPr>
          <w:rFonts w:ascii="Times New Roman" w:hAnsi="Times New Roman"/>
          <w:noProof/>
        </w:rPr>
        <w:t xml:space="preserve"> </w:t>
      </w:r>
    </w:p>
    <w:p>
      <w:pPr>
        <w:jc w:val="both"/>
        <w:rPr>
          <w:rStyle w:val="FootnoteReference"/>
          <w:noProof/>
        </w:rPr>
      </w:pPr>
      <w:r>
        <w:rPr>
          <w:rFonts w:ascii="Times New Roman" w:hAnsi="Times New Roman"/>
          <w:noProof/>
          <w:sz w:val="24"/>
        </w:rPr>
        <w:t>Ulterior etapei de implementare, activele de electrificare generează locuri de muncă pe termen lung: un studiu comandat de JRC estimează aproape 110 000 de locuri de muncă pe perioadă nedeterminată doar pentru exploatarea și întreținerea infrastructurii de încărcare</w:t>
      </w:r>
      <w:r>
        <w:rPr>
          <w:rStyle w:val="FootnoteReference"/>
          <w:noProof/>
        </w:rPr>
        <w:footnoteReference w:id="80"/>
      </w:r>
      <w:r>
        <w:rPr>
          <w:rFonts w:ascii="Times New Roman" w:hAnsi="Times New Roman"/>
          <w:noProof/>
          <w:sz w:val="24"/>
        </w:rPr>
        <w:t>. Centrul European pentru Dezvoltarea Formării Profesionale (Cedefop) indică crearea de noi locuri de muncă în domeniul exploatării mașinilor și al comerțului cu metale, mașini și energie electrică – ocupații în care lucrează mai ales absolvenți de educație și formare profesională, ceea ce confirmă rolul central al EFP pentru forța de muncă din domeniul electrificării</w:t>
      </w:r>
      <w:r>
        <w:rPr>
          <w:rStyle w:val="FootnoteReference"/>
          <w:noProof/>
        </w:rPr>
        <w:footnoteReference w:id="81"/>
      </w:r>
      <w:r>
        <w:rPr>
          <w:rFonts w:ascii="Times New Roman" w:hAnsi="Times New Roman"/>
          <w:noProof/>
          <w:sz w:val="24"/>
        </w:rPr>
        <w:t>.</w:t>
      </w:r>
    </w:p>
    <w:p>
      <w:pPr>
        <w:jc w:val="both"/>
        <w:rPr>
          <w:rFonts w:ascii="Times New Roman" w:eastAsia="Times New Roman" w:hAnsi="Times New Roman" w:cs="Times New Roman"/>
          <w:noProof/>
          <w:sz w:val="24"/>
          <w:szCs w:val="24"/>
        </w:rPr>
      </w:pPr>
      <w:r>
        <w:rPr>
          <w:rFonts w:ascii="Times New Roman" w:hAnsi="Times New Roman"/>
          <w:noProof/>
          <w:sz w:val="24"/>
        </w:rPr>
        <w:t>AIE estimează, de asemenea, că UE are nevoie de 500 000 de lucrători calificați, față de 165 000 în 2024, pentru a-și îndeplini ambițiile în ceea ce privește instalarea pompelor de căldură. Având în vedere deficitele, există o nevoie substanțială de calificare și perfecționare. În cadrul uniunii competențelor, UE oferă un cadru cuprinzător pentru a sprijini dezvoltarea competențelor, inclusiv prin finanțare</w:t>
      </w:r>
      <w:r>
        <w:rPr>
          <w:rFonts w:ascii="Times New Roman" w:eastAsia="Times New Roman" w:hAnsi="Times New Roman" w:cs="Times New Roman"/>
          <w:noProof/>
          <w:sz w:val="24"/>
          <w:szCs w:val="24"/>
          <w:vertAlign w:val="superscript"/>
        </w:rPr>
        <w:footnoteReference w:id="82"/>
      </w:r>
      <w:r>
        <w:rPr>
          <w:rFonts w:ascii="Times New Roman" w:hAnsi="Times New Roman"/>
          <w:noProof/>
          <w:sz w:val="24"/>
        </w:rPr>
        <w:t>. Recomandarea Consiliului UE referitoare la capitalul uman invită statele membre să abordeze deficitul de competențe prin investiții în educația STEM</w:t>
      </w:r>
      <w:r>
        <w:rPr>
          <w:rFonts w:ascii="Times New Roman" w:eastAsia="Times New Roman" w:hAnsi="Times New Roman" w:cs="Times New Roman"/>
          <w:noProof/>
          <w:sz w:val="24"/>
          <w:szCs w:val="24"/>
          <w:vertAlign w:val="superscript"/>
        </w:rPr>
        <w:footnoteReference w:id="83"/>
      </w:r>
      <w:r>
        <w:rPr>
          <w:rFonts w:ascii="Times New Roman" w:hAnsi="Times New Roman"/>
          <w:noProof/>
          <w:sz w:val="24"/>
        </w:rPr>
        <w:t>.</w:t>
      </w:r>
      <w:r>
        <w:rPr>
          <w:noProof/>
        </w:rPr>
        <w:t xml:space="preserve"> </w:t>
      </w:r>
      <w:r>
        <w:rPr>
          <w:rFonts w:ascii="Times New Roman" w:hAnsi="Times New Roman"/>
          <w:noProof/>
          <w:sz w:val="24"/>
        </w:rPr>
        <w:t>Se pot dovedi utile și alte acțiuni. Diversitatea sistemelor de certificare și de autorizare din statele membre reprezintă, de asemenea, un obstacol în calea dezvoltării unei piețe a UE pentru instalarea și întreținerea soluțiilor de electrificare.</w:t>
      </w:r>
      <w:r>
        <w:rPr>
          <w:noProof/>
        </w:rPr>
        <w:t xml:space="preserve">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b/>
          <w:i/>
          <w:noProof/>
          <w:sz w:val="24"/>
        </w:rPr>
      </w:pPr>
      <w:bookmarkStart w:id="14" w:name="_Hlk223542094"/>
      <w:bookmarkEnd w:id="12"/>
      <w:r>
        <w:rPr>
          <w:rFonts w:ascii="Times New Roman" w:hAnsi="Times New Roman"/>
          <w:b/>
          <w:i/>
          <w:noProof/>
          <w:sz w:val="24"/>
        </w:rPr>
        <w:t xml:space="preserve">Acțiunea 13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Cs/>
          <w:i/>
          <w:noProof/>
          <w:sz w:val="24"/>
          <w:szCs w:val="24"/>
        </w:rPr>
      </w:pPr>
      <w:r>
        <w:rPr>
          <w:rFonts w:ascii="Times New Roman" w:hAnsi="Times New Roman"/>
          <w:i/>
          <w:noProof/>
          <w:sz w:val="24"/>
        </w:rPr>
        <w:t>Comisia:</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rPr>
      </w:pPr>
      <w:r>
        <w:rPr>
          <w:rFonts w:ascii="Times New Roman" w:hAnsi="Times New Roman"/>
          <w:b/>
          <w:i/>
          <w:noProof/>
          <w:sz w:val="24"/>
        </w:rPr>
        <w:t>va sprijini statele membre și industria în contextul viitoarei Strategii europene pentru educație și formare profesională (EFP)</w:t>
      </w:r>
      <w:r>
        <w:rPr>
          <w:rFonts w:ascii="Times New Roman" w:hAnsi="Times New Roman"/>
          <w:i/>
          <w:noProof/>
          <w:sz w:val="24"/>
        </w:rPr>
        <w:t>, cu un accent sectorial mai puternic și cu acțiuni de sensibilizare pentru a atrage o nouă generație de lucrători calificați de-a lungul întregului lanț valoric al electrificării;</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rPr>
      </w:pPr>
      <w:r>
        <w:rPr>
          <w:rFonts w:ascii="Times New Roman" w:hAnsi="Times New Roman"/>
          <w:i/>
          <w:noProof/>
          <w:sz w:val="24"/>
        </w:rPr>
        <w:t xml:space="preserve">va adopta </w:t>
      </w:r>
      <w:r>
        <w:rPr>
          <w:rFonts w:ascii="Times New Roman" w:hAnsi="Times New Roman"/>
          <w:b/>
          <w:i/>
          <w:noProof/>
          <w:sz w:val="24"/>
        </w:rPr>
        <w:t>o inițiativă de sprijinire a portabilității calificărilor și competențelor în întreaga UE</w:t>
      </w:r>
      <w:r>
        <w:rPr>
          <w:rFonts w:ascii="Times New Roman" w:hAnsi="Times New Roman"/>
          <w:i/>
          <w:noProof/>
          <w:sz w:val="24"/>
        </w:rPr>
        <w:t>, inclusiv în domeniul tehnologiilor cu dublă utilizare și al aplicațiilor de protecție cibernetică pentru rețelele electrice;</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rPr>
      </w:pPr>
      <w:r>
        <w:rPr>
          <w:rFonts w:ascii="Times New Roman" w:hAnsi="Times New Roman"/>
          <w:i/>
          <w:noProof/>
          <w:sz w:val="24"/>
        </w:rPr>
        <w:t xml:space="preserve">va oferi, prin intermediul mecanismului pentru piața căldurii curate, suficiente </w:t>
      </w:r>
      <w:r>
        <w:rPr>
          <w:rFonts w:ascii="Times New Roman" w:hAnsi="Times New Roman"/>
          <w:b/>
          <w:i/>
          <w:noProof/>
          <w:sz w:val="24"/>
        </w:rPr>
        <w:t>stimulente destinate producătorilor pentru a sprijini formarea electricienilor și a instalatorilor prin parteneriate de educație și formare profesională</w:t>
      </w:r>
      <w:r>
        <w:rPr>
          <w:rFonts w:ascii="Times New Roman" w:hAnsi="Times New Roman"/>
          <w:i/>
          <w:noProof/>
          <w:sz w:val="24"/>
        </w:rPr>
        <w:t xml:space="preserve"> între întreprinderi și unitățile de învățământ tehnic, cu scopul de a face schimb de echipamente și a dezvolta echipamente de vârf cu aplicabilitate reală;</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noProof/>
          <w:sz w:val="24"/>
          <w:szCs w:val="24"/>
        </w:rPr>
      </w:pPr>
      <w:bookmarkStart w:id="15" w:name="_Hlk223542134"/>
      <w:bookmarkEnd w:id="14"/>
      <w:r>
        <w:rPr>
          <w:rFonts w:ascii="Times New Roman" w:hAnsi="Times New Roman"/>
          <w:i/>
          <w:noProof/>
          <w:sz w:val="24"/>
        </w:rPr>
        <w:t xml:space="preserve">va explora posibilități de sprijin pentru obținerea </w:t>
      </w:r>
      <w:r>
        <w:rPr>
          <w:rFonts w:ascii="Times New Roman" w:hAnsi="Times New Roman"/>
          <w:b/>
          <w:i/>
          <w:noProof/>
          <w:sz w:val="24"/>
        </w:rPr>
        <w:t>accesului la certificări pentru serviciile de construcții și instalații eficiente din punct de vedere energetic și pentru electrificare de la stadiul conceperii</w:t>
      </w:r>
      <w:r>
        <w:rPr>
          <w:rFonts w:ascii="Times New Roman" w:hAnsi="Times New Roman"/>
          <w:i/>
          <w:noProof/>
          <w:sz w:val="24"/>
        </w:rPr>
        <w:t xml:space="preserve"> în viitorul act legislativ privind serviciile din domeniul construcțiilor.</w:t>
      </w:r>
    </w:p>
    <w:p>
      <w:pPr>
        <w:spacing w:before="240" w:after="120"/>
        <w:jc w:val="both"/>
        <w:rPr>
          <w:rFonts w:ascii="Times New Roman" w:hAnsi="Times New Roman" w:cs="Times New Roman"/>
          <w:noProof/>
          <w:sz w:val="24"/>
          <w:szCs w:val="24"/>
        </w:rPr>
      </w:pPr>
      <w:r>
        <w:rPr>
          <w:rFonts w:ascii="Times New Roman" w:hAnsi="Times New Roman"/>
          <w:noProof/>
          <w:sz w:val="24"/>
        </w:rPr>
        <w:t xml:space="preserve">UE este unul dintre liderii mondiali în ceea ce privește fabricarea tehnologiilor necesare acestei tranziții către electrificare. Este necesar să se abordeze, de asemenea, reducerea la minimum a </w:t>
      </w:r>
      <w:r>
        <w:rPr>
          <w:rFonts w:ascii="Times New Roman" w:hAnsi="Times New Roman"/>
          <w:noProof/>
          <w:sz w:val="24"/>
        </w:rPr>
        <w:lastRenderedPageBreak/>
        <w:t xml:space="preserve">riscurilor de securitate cibernetică pentru rețeaua de energie electrică, ceea ce presupune apelarea pe scară mai largă la tehnologii autohtone și la furnizori de active informatice esențiale, cum ar fi invertoarele. </w:t>
      </w:r>
    </w:p>
    <w:p>
      <w:pPr>
        <w:spacing w:before="240" w:after="120"/>
        <w:jc w:val="both"/>
        <w:rPr>
          <w:rFonts w:ascii="Times New Roman" w:hAnsi="Times New Roman" w:cs="Times New Roman"/>
          <w:noProof/>
          <w:sz w:val="24"/>
          <w:szCs w:val="24"/>
        </w:rPr>
      </w:pPr>
      <w:r>
        <w:rPr>
          <w:rFonts w:ascii="Times New Roman" w:hAnsi="Times New Roman"/>
          <w:noProof/>
          <w:sz w:val="24"/>
        </w:rPr>
        <w:t xml:space="preserve">Pe baza Regulamentului privind industria „zero net”, propunerea Comisiei referitoare la un act legislativ privind accelerarea industrială direcționează investițiile publice în electrificare către produse reziliente și „fabricate în UE”, astfel încât producătorii europeni să poată beneficia de eforturile de electrificare ale Europei și să se poată plasa în avangarda acestora. Pentru a contribui la acest efort, statele membre sunt încurajate să realizeze progrese în ceea ce privește aplicarea tehnologiilor de electrificare. </w:t>
      </w:r>
    </w:p>
    <w:p>
      <w:pPr>
        <w:spacing w:before="240" w:after="120"/>
        <w:jc w:val="both"/>
        <w:rPr>
          <w:rFonts w:ascii="Times New Roman" w:hAnsi="Times New Roman" w:cs="Times New Roman"/>
          <w:noProof/>
          <w:sz w:val="24"/>
          <w:szCs w:val="24"/>
        </w:rPr>
      </w:pPr>
      <w:r>
        <w:rPr>
          <w:rFonts w:ascii="Times New Roman" w:hAnsi="Times New Roman"/>
          <w:noProof/>
          <w:sz w:val="24"/>
        </w:rPr>
        <w:t>Alianța industrială europeană pentru reactoarele modulare mici ia măsuri pentru a spori capacitatea industriei SMR din UE, iar Italia a utilizat cel puțin 400 de milioane EUR din planul său de redresare și reziliență pentru a institui Mecanismul pentru „tehnologii zero net”, mobilizând investiții private în fabricarea de tehnologii curate cum ar fi bateriile, energia solară și eoliană și tehnologiile de încălzire și răcire curate. De asemenea, statele membre alocă resurse pentru cercetare, inovare, schimb de cunoștințe și transfer tehnologic către alte întreprinderi din cadrul lanțurilor valorice ale tehnologiilor curate prin intermediul platformei Tehnologii strategice pentru Europa (STEP) – 15,2 miliarde EUR în cadrul noii priorități privind competitivitatea</w:t>
      </w:r>
      <w:r>
        <w:rPr>
          <w:rStyle w:val="FootnoteReference"/>
          <w:noProof/>
        </w:rPr>
        <w:footnoteReference w:id="84"/>
      </w:r>
      <w:r>
        <w:rPr>
          <w:rFonts w:ascii="Times New Roman" w:hAnsi="Times New Roman"/>
          <w:noProof/>
          <w:sz w:val="24"/>
        </w:rPr>
        <w:t>. Este nevoie de acțiuni similare pe tot cuprinsul UE, pentru toate tehnologiile energetice curate. La un nivel mai general, consolidarea pieței unice și a uniunii energetice va îmbunătăți competitivitatea industriei și dezvoltarea unor piețe dinamice și integrate, bazate pe norme armonizate.</w:t>
      </w:r>
    </w:p>
    <w:p>
      <w:pPr>
        <w:spacing w:before="240" w:after="120"/>
        <w:jc w:val="both"/>
        <w:rPr>
          <w:rFonts w:ascii="Times New Roman" w:hAnsi="Times New Roman" w:cs="Times New Roman"/>
          <w:noProof/>
          <w:sz w:val="24"/>
          <w:szCs w:val="24"/>
        </w:rPr>
      </w:pPr>
      <w:r>
        <w:rPr>
          <w:rFonts w:ascii="Times New Roman" w:hAnsi="Times New Roman"/>
          <w:noProof/>
          <w:sz w:val="24"/>
        </w:rPr>
        <w:t>Acolo unde este fezabil, electrificarea poate crea oportunități și pentru baza de producție navală a Europei, în conformitate cu viziunea pentru 2030 a Strategiei maritime industriale a UE</w:t>
      </w:r>
      <w:r>
        <w:rPr>
          <w:rStyle w:val="FootnoteReference"/>
          <w:rFonts w:ascii="Times New Roman" w:hAnsi="Times New Roman" w:cs="Times New Roman"/>
          <w:noProof/>
          <w:sz w:val="24"/>
          <w:szCs w:val="24"/>
        </w:rPr>
        <w:footnoteReference w:id="85"/>
      </w:r>
      <w:r>
        <w:rPr>
          <w:rFonts w:ascii="Times New Roman" w:hAnsi="Times New Roman"/>
          <w:noProof/>
          <w:sz w:val="24"/>
        </w:rPr>
        <w:t>, având rolul de piață-lider pentru adoptarea feriboturilor, a barjelor și a remorcherelor electrice. De asemenea, Comisia va coopera cu statele membre și cu părțile interesate în cadrul viitoarei Alianțe pentru lanțurile valorice din industria maritimă a UE.</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bCs/>
          <w:i/>
          <w:iCs/>
          <w:noProof/>
          <w:sz w:val="24"/>
          <w:szCs w:val="24"/>
        </w:rPr>
      </w:pPr>
      <w:r>
        <w:rPr>
          <w:rFonts w:ascii="Times New Roman" w:hAnsi="Times New Roman"/>
          <w:b/>
          <w:i/>
          <w:noProof/>
          <w:sz w:val="24"/>
        </w:rPr>
        <w:t>Acțiunea 14</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bCs/>
          <w:i/>
          <w:iCs/>
          <w:noProof/>
          <w:sz w:val="24"/>
          <w:szCs w:val="24"/>
        </w:rPr>
      </w:pP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i/>
          <w:iCs/>
          <w:noProof/>
          <w:sz w:val="24"/>
          <w:szCs w:val="24"/>
        </w:rPr>
      </w:pPr>
      <w:r>
        <w:rPr>
          <w:rFonts w:ascii="Times New Roman" w:hAnsi="Times New Roman"/>
          <w:i/>
          <w:noProof/>
          <w:sz w:val="24"/>
        </w:rPr>
        <w:t>Comisia:</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rPr>
      </w:pPr>
      <w:r>
        <w:rPr>
          <w:rFonts w:ascii="Times New Roman" w:hAnsi="Times New Roman"/>
          <w:b/>
          <w:i/>
          <w:noProof/>
          <w:sz w:val="24"/>
        </w:rPr>
        <w:t>va adopta orientări privind dispozițiile NZIA referitoare la procedurile de achiziții publice</w:t>
      </w:r>
      <w:r>
        <w:rPr>
          <w:rFonts w:ascii="Times New Roman" w:hAnsi="Times New Roman"/>
          <w:i/>
          <w:noProof/>
          <w:sz w:val="24"/>
        </w:rPr>
        <w:t xml:space="preserve"> pentru tehnologiile „zero net”;</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rPr>
      </w:pPr>
      <w:r>
        <w:rPr>
          <w:rFonts w:ascii="Times New Roman" w:hAnsi="Times New Roman"/>
          <w:i/>
          <w:noProof/>
          <w:sz w:val="24"/>
        </w:rPr>
        <w:t xml:space="preserve">va crea o </w:t>
      </w:r>
      <w:r>
        <w:rPr>
          <w:rFonts w:ascii="Times New Roman" w:hAnsi="Times New Roman"/>
          <w:b/>
          <w:i/>
          <w:noProof/>
          <w:sz w:val="24"/>
        </w:rPr>
        <w:t>alianță pentru planul de acțiune privind electrificarea</w:t>
      </w:r>
      <w:r>
        <w:rPr>
          <w:rFonts w:ascii="Times New Roman" w:hAnsi="Times New Roman"/>
          <w:i/>
          <w:noProof/>
          <w:sz w:val="24"/>
        </w:rPr>
        <w:t xml:space="preserve"> împreună cu autoritățile naționale, în sinergie cu Grupul operativ pentru uniunea energetică, care va reuni toate părțile interesate aflate de-a lungul lanțului valoric și va pune un accent deosebit pe electrificarea rapidă.</w:t>
      </w:r>
    </w:p>
    <w:p>
      <w:pPr>
        <w:pStyle w:val="Heading1"/>
        <w:spacing w:line="257" w:lineRule="auto"/>
        <w:ind w:right="-472"/>
        <w:rPr>
          <w:rFonts w:ascii="Times New Roman" w:eastAsia="Times New Roman" w:hAnsi="Times New Roman" w:cs="Times New Roman"/>
          <w:b/>
          <w:bCs/>
          <w:noProof/>
          <w:color w:val="auto"/>
          <w:sz w:val="32"/>
          <w:szCs w:val="32"/>
        </w:rPr>
      </w:pPr>
      <w:r>
        <w:rPr>
          <w:rFonts w:ascii="Times New Roman" w:hAnsi="Times New Roman"/>
          <w:b/>
          <w:noProof/>
          <w:color w:val="auto"/>
          <w:sz w:val="32"/>
        </w:rPr>
        <w:t xml:space="preserve">6. Accelerarea electrificării curate la nivel mondial </w:t>
      </w:r>
    </w:p>
    <w:p>
      <w:pPr>
        <w:spacing w:before="240" w:after="120" w:line="257" w:lineRule="auto"/>
        <w:jc w:val="both"/>
        <w:rPr>
          <w:rFonts w:ascii="Times New Roman" w:eastAsia="Aptos" w:hAnsi="Times New Roman" w:cs="Times New Roman"/>
          <w:noProof/>
          <w:sz w:val="24"/>
          <w:szCs w:val="24"/>
        </w:rPr>
      </w:pPr>
      <w:r>
        <w:rPr>
          <w:rFonts w:ascii="Times New Roman" w:hAnsi="Times New Roman"/>
          <w:noProof/>
          <w:sz w:val="24"/>
        </w:rPr>
        <w:t xml:space="preserve">Electrificarea curată la nivel mondial contribuie la promovarea acțiunilor internaționale în domeniul climei. IRENA estimează că, „pentru a rămâne pe o traiectorie compatibilă cu obiectivul de 1,5 °C, energia electrică trebuie să reprezinte 35 % din consumul final total de </w:t>
      </w:r>
      <w:r>
        <w:rPr>
          <w:rFonts w:ascii="Times New Roman" w:hAnsi="Times New Roman"/>
          <w:noProof/>
          <w:sz w:val="24"/>
        </w:rPr>
        <w:lastRenderedPageBreak/>
        <w:t>energie la nivel mondial până în 2035 și peste 50 % până în 2050”. Comisia Europeană, președinția COP30 (Brazilia), președinția COP31 (Australia, Turcia), președinția COP32 (Etiopia), Canada, Filipine, Republica Coreea, Regatul Unit, Agenția Internațională a Energiei și Agenția Internațională pentru Energie Regenerabilă și-au unit forțele cu partenerii internaționali și cu industria pentru a lansa „Electrify Now” la 23 iunie 2026, o platformă globală pentru accelerarea electrificării economiei mondiale.</w:t>
      </w:r>
    </w:p>
    <w:p>
      <w:pPr>
        <w:spacing w:before="240" w:after="120" w:line="257" w:lineRule="auto"/>
        <w:jc w:val="both"/>
        <w:rPr>
          <w:rFonts w:ascii="Times New Roman" w:eastAsia="Aptos" w:hAnsi="Times New Roman" w:cs="Times New Roman"/>
          <w:noProof/>
          <w:sz w:val="24"/>
          <w:szCs w:val="24"/>
        </w:rPr>
      </w:pPr>
      <w:r>
        <w:rPr>
          <w:rFonts w:ascii="Times New Roman" w:hAnsi="Times New Roman"/>
          <w:noProof/>
          <w:sz w:val="24"/>
        </w:rPr>
        <w:t>Electrificarea curată la nivel mondial va fi însoțită de beneficii socioeconomice substanțiale datorită construirii masive a infrastructurii, extinderii la nivel mondial a capacității de producție și reducerii costurilor aferente tehnologiilor curate. De asemenea, ea poate crea piețe de export pentru inovațiile și tehnologiile europene, iar elaborarea de timpuriu și promovarea internațională a standardelor tehnice pot oferi întreprinderilor europene un avantaj pe piețele de export.</w:t>
      </w:r>
    </w:p>
    <w:p>
      <w:pPr>
        <w:tabs>
          <w:tab w:val="left" w:pos="851"/>
        </w:tabs>
        <w:spacing w:before="240" w:after="120" w:line="257" w:lineRule="auto"/>
        <w:jc w:val="both"/>
        <w:rPr>
          <w:rFonts w:ascii="Times New Roman" w:eastAsia="Aptos" w:hAnsi="Times New Roman" w:cs="Times New Roman"/>
          <w:noProof/>
          <w:sz w:val="24"/>
          <w:szCs w:val="24"/>
        </w:rPr>
      </w:pPr>
      <w:r>
        <w:rPr>
          <w:rFonts w:ascii="Times New Roman" w:hAnsi="Times New Roman"/>
          <w:noProof/>
          <w:sz w:val="24"/>
        </w:rPr>
        <w:t>În fine, electrificarea ajută la efectuarea tranziției mondiale de la peisajul unei securități energetice fragile, bazată pe extracția combustibililor fosili, la un sistem mai curat, rezilient și previzibil, bazat pe cooperare tehnologică. În special în cazul națiunilor afectate de sărăcie energetică, electrificarea curată poate atenua efectele multiplicatorilor de conflict și de instabilitate, cum sunt prăbușirea rețelelor și volatilitatea prețurilor combustibililor, și poate încuraja stabilitatea economică regională.</w:t>
      </w:r>
    </w:p>
    <w:p>
      <w:pPr>
        <w:tabs>
          <w:tab w:val="left" w:pos="851"/>
        </w:tabs>
        <w:spacing w:before="240" w:after="120" w:line="257" w:lineRule="auto"/>
        <w:jc w:val="both"/>
        <w:rPr>
          <w:rFonts w:ascii="Times New Roman" w:eastAsia="Aptos" w:hAnsi="Times New Roman" w:cs="Times New Roman"/>
          <w:noProof/>
          <w:sz w:val="24"/>
          <w:szCs w:val="24"/>
        </w:rPr>
      </w:pPr>
      <w:r>
        <w:rPr>
          <w:rFonts w:ascii="Times New Roman" w:hAnsi="Times New Roman"/>
          <w:noProof/>
          <w:sz w:val="24"/>
        </w:rPr>
        <w:t>În conformitate cu Comunicarea comună privind viziunea UE asupra climei și energiei la nivel mondial</w:t>
      </w:r>
      <w:r>
        <w:rPr>
          <w:rStyle w:val="FootnoteReference"/>
          <w:rFonts w:ascii="Times New Roman" w:eastAsia="Aptos" w:hAnsi="Times New Roman" w:cs="Times New Roman"/>
          <w:noProof/>
          <w:sz w:val="24"/>
          <w:szCs w:val="24"/>
        </w:rPr>
        <w:footnoteReference w:id="86"/>
      </w:r>
      <w:r>
        <w:rPr>
          <w:rFonts w:ascii="Times New Roman" w:hAnsi="Times New Roman"/>
          <w:noProof/>
          <w:sz w:val="24"/>
        </w:rPr>
        <w:t>, electrificarea curată la nivel mondial face parte din strategia internațională a UE de asigurare a rolului competitiv al Europei pe piețele mondiale.</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bCs/>
          <w:i/>
          <w:iCs/>
          <w:noProof/>
          <w:sz w:val="24"/>
          <w:szCs w:val="24"/>
        </w:rPr>
      </w:pPr>
      <w:r>
        <w:rPr>
          <w:rFonts w:ascii="Times New Roman" w:hAnsi="Times New Roman"/>
          <w:b/>
          <w:i/>
          <w:noProof/>
          <w:sz w:val="24"/>
        </w:rPr>
        <w:t>Acțiunea 15</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i/>
          <w:iCs/>
          <w:noProof/>
          <w:sz w:val="24"/>
          <w:szCs w:val="24"/>
        </w:rPr>
      </w:pPr>
      <w:r>
        <w:rPr>
          <w:rFonts w:ascii="Times New Roman" w:hAnsi="Times New Roman"/>
          <w:i/>
          <w:noProof/>
          <w:sz w:val="24"/>
        </w:rPr>
        <w:t>Comisia:</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b/>
          <w:bCs/>
          <w:i/>
          <w:iCs/>
          <w:noProof/>
          <w:sz w:val="24"/>
          <w:szCs w:val="24"/>
        </w:rPr>
      </w:pPr>
      <w:r>
        <w:rPr>
          <w:rFonts w:ascii="Times New Roman" w:hAnsi="Times New Roman"/>
          <w:i/>
          <w:noProof/>
          <w:sz w:val="24"/>
        </w:rPr>
        <w:t xml:space="preserve">va căuta să ambiționeze toate regiunile globului împreună cu partenerii săi din cadrul </w:t>
      </w:r>
      <w:r>
        <w:rPr>
          <w:rFonts w:ascii="Times New Roman" w:hAnsi="Times New Roman"/>
          <w:b/>
          <w:i/>
          <w:noProof/>
          <w:sz w:val="24"/>
        </w:rPr>
        <w:t>inițiativei Electrify Now</w:t>
      </w:r>
      <w:r>
        <w:rPr>
          <w:rFonts w:ascii="Times New Roman" w:hAnsi="Times New Roman"/>
          <w:i/>
          <w:noProof/>
          <w:sz w:val="24"/>
        </w:rPr>
        <w:t xml:space="preserve"> prin evidențierea succeselor, identificarea oportunităților, asigurarea angajamentelor și consolidarea planurilor de punere în aplicare;</w:t>
      </w:r>
    </w:p>
    <w:p>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b/>
          <w:bCs/>
          <w:i/>
          <w:iCs/>
          <w:noProof/>
          <w:sz w:val="24"/>
          <w:szCs w:val="24"/>
        </w:rPr>
      </w:pPr>
      <w:r>
        <w:rPr>
          <w:rFonts w:ascii="Times New Roman" w:hAnsi="Times New Roman"/>
          <w:i/>
          <w:noProof/>
          <w:sz w:val="24"/>
        </w:rPr>
        <w:t xml:space="preserve">va construi o largă </w:t>
      </w:r>
      <w:r>
        <w:rPr>
          <w:rFonts w:ascii="Times New Roman" w:hAnsi="Times New Roman"/>
          <w:b/>
          <w:i/>
          <w:noProof/>
          <w:sz w:val="24"/>
        </w:rPr>
        <w:t>coaliție de țări dispuse să își asume angajamente în vederea electrificării curate la nivel mondial</w:t>
      </w:r>
      <w:r>
        <w:rPr>
          <w:rFonts w:ascii="Times New Roman" w:hAnsi="Times New Roman"/>
          <w:i/>
          <w:noProof/>
          <w:sz w:val="24"/>
        </w:rPr>
        <w:t>, bazată pe triplarea capacității de producere a energiei din surse regenerabile la nivel mondial și pe noile obiective globale de a atinge un grad de electrificare de 35 % până în 2035 promovate de președinția COP31.</w:t>
      </w:r>
    </w:p>
    <w:bookmarkEnd w:id="15"/>
    <w:p>
      <w:pPr>
        <w:rPr>
          <w:rFonts w:ascii="Times New Roman" w:hAnsi="Times New Roman" w:cs="Times New Roman"/>
          <w:noProof/>
          <w:sz w:val="24"/>
          <w:szCs w:val="24"/>
        </w:rPr>
      </w:pPr>
    </w:p>
    <w:p>
      <w:pPr>
        <w:rPr>
          <w:rFonts w:ascii="Times New Roman" w:hAnsi="Times New Roman" w:cs="Times New Roman"/>
          <w:noProof/>
          <w:sz w:val="24"/>
          <w:szCs w:val="24"/>
        </w:rPr>
      </w:pPr>
    </w:p>
    <w:p>
      <w:pPr>
        <w:rPr>
          <w:rFonts w:ascii="Times New Roman" w:hAnsi="Times New Roman" w:cs="Times New Roman"/>
          <w:noProof/>
          <w:sz w:val="24"/>
          <w:szCs w:val="24"/>
        </w:rPr>
      </w:pPr>
      <w:r>
        <w:rPr>
          <w:noProof/>
        </w:rPr>
        <w:br w:type="page"/>
      </w:r>
    </w:p>
    <w:p>
      <w:pPr>
        <w:rPr>
          <w:rFonts w:ascii="Times New Roman" w:hAnsi="Times New Roman" w:cs="Times New Roman"/>
          <w:noProof/>
          <w:sz w:val="24"/>
          <w:szCs w:val="24"/>
        </w:rPr>
        <w:sectPr>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pPr>
    </w:p>
    <w:p>
      <w:pPr>
        <w:jc w:val="both"/>
        <w:rPr>
          <w:rFonts w:ascii="Times New Roman" w:hAnsi="Times New Roman" w:cs="Times New Roman"/>
          <w:b/>
          <w:bCs/>
          <w:noProof/>
          <w:sz w:val="24"/>
          <w:szCs w:val="24"/>
        </w:rPr>
      </w:pPr>
    </w:p>
    <w:p>
      <w:pPr>
        <w:jc w:val="both"/>
        <w:rPr>
          <w:rFonts w:ascii="Times New Roman" w:hAnsi="Times New Roman" w:cs="Times New Roman"/>
          <w:b/>
          <w:bCs/>
          <w:noProof/>
          <w:sz w:val="24"/>
          <w:szCs w:val="24"/>
        </w:rPr>
      </w:pPr>
      <w:r>
        <w:rPr>
          <w:rFonts w:ascii="Times New Roman" w:hAnsi="Times New Roman"/>
          <w:b/>
          <w:noProof/>
          <w:sz w:val="24"/>
        </w:rPr>
        <w:t>Anexa I – Matricea barierelor și a acțiunilor pentru sectorul industrial, al transporturilor și al clădirilor</w:t>
      </w:r>
    </w:p>
    <w:p>
      <w:pPr>
        <w:jc w:val="both"/>
        <w:rPr>
          <w:rFonts w:ascii="Times New Roman" w:hAnsi="Times New Roman" w:cs="Times New Roman"/>
          <w:noProof/>
          <w:sz w:val="24"/>
          <w:szCs w:val="24"/>
        </w:rPr>
      </w:pPr>
      <w:r>
        <w:rPr>
          <w:rFonts w:ascii="Times New Roman" w:hAnsi="Times New Roman"/>
          <w:noProof/>
          <w:sz w:val="24"/>
        </w:rPr>
        <w:t>(</w:t>
      </w:r>
      <w:r>
        <w:rPr>
          <w:rFonts w:ascii="Times New Roman" w:hAnsi="Times New Roman"/>
          <w:i/>
          <w:noProof/>
          <w:sz w:val="24"/>
        </w:rPr>
        <w:t>Acțiunile sunt precedate de numărul casetei corespunzătoare</w:t>
      </w:r>
      <w:r>
        <w:rPr>
          <w:rFonts w:ascii="Times New Roman" w:hAnsi="Times New Roman"/>
          <w:noProof/>
          <w:sz w:val="24"/>
        </w:rPr>
        <w:t>)</w:t>
      </w:r>
    </w:p>
    <w:tbl>
      <w:tblPr>
        <w:tblStyle w:val="TableGrid"/>
        <w:tblW w:w="14312" w:type="dxa"/>
        <w:tblLook w:val="04A0" w:firstRow="1" w:lastRow="0" w:firstColumn="1" w:lastColumn="0" w:noHBand="0" w:noVBand="1"/>
      </w:tblPr>
      <w:tblGrid>
        <w:gridCol w:w="2263"/>
        <w:gridCol w:w="4016"/>
        <w:gridCol w:w="4016"/>
        <w:gridCol w:w="4017"/>
      </w:tblGrid>
      <w:tr>
        <w:trPr>
          <w:tblHeader/>
        </w:trPr>
        <w:tc>
          <w:tcPr>
            <w:tcW w:w="2263" w:type="dxa"/>
            <w:tcBorders>
              <w:top w:val="single" w:sz="4" w:space="0" w:color="auto"/>
              <w:left w:val="single" w:sz="4" w:space="0" w:color="auto"/>
              <w:bottom w:val="single" w:sz="4" w:space="0" w:color="auto"/>
              <w:right w:val="single" w:sz="4" w:space="0" w:color="auto"/>
            </w:tcBorders>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Industrie</w:t>
            </w:r>
          </w:p>
        </w:tc>
        <w:tc>
          <w:tcPr>
            <w:tcW w:w="4016"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Transporturi</w:t>
            </w:r>
          </w:p>
        </w:tc>
        <w:tc>
          <w:tcPr>
            <w:tcW w:w="4017"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Clădiri</w:t>
            </w:r>
          </w:p>
        </w:tc>
      </w:tr>
      <w:tr>
        <w:tc>
          <w:tcPr>
            <w:tcW w:w="2263"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Bariere</w:t>
            </w: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pPr>
              <w:spacing w:after="160" w:line="259" w:lineRule="auto"/>
              <w:jc w:val="both"/>
              <w:rPr>
                <w:rFonts w:ascii="Times New Roman" w:hAnsi="Times New Roman" w:cs="Times New Roman"/>
                <w:noProof/>
                <w:sz w:val="24"/>
                <w:szCs w:val="24"/>
              </w:rPr>
            </w:pPr>
          </w:p>
        </w:tc>
        <w:tc>
          <w:tcPr>
            <w:tcW w:w="401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pPr>
              <w:spacing w:after="160" w:line="259" w:lineRule="auto"/>
              <w:jc w:val="both"/>
              <w:rPr>
                <w:rFonts w:ascii="Times New Roman" w:hAnsi="Times New Roman" w:cs="Times New Roman"/>
                <w:noProof/>
                <w:sz w:val="24"/>
                <w:szCs w:val="24"/>
              </w:rPr>
            </w:pPr>
          </w:p>
        </w:tc>
      </w:tr>
      <w:tr>
        <w:tc>
          <w:tcPr>
            <w:tcW w:w="2263"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Raporturi nefavorabile între prețul energiei electrice și cel al combustibililor fosili</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7"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r>
      <w:tr>
        <w:tc>
          <w:tcPr>
            <w:tcW w:w="2263"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Costuri inițiale ridicate</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7"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r>
      <w:tr>
        <w:tc>
          <w:tcPr>
            <w:tcW w:w="2263"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Întârzieri mari în ceea ce privește accesul la rețeaua de energie electrică</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p>
            <w:pPr>
              <w:spacing w:after="160" w:line="259" w:lineRule="auto"/>
              <w:jc w:val="both"/>
              <w:rPr>
                <w:rFonts w:ascii="Times New Roman" w:hAnsi="Times New Roman" w:cs="Times New Roman"/>
                <w:noProof/>
                <w:sz w:val="24"/>
                <w:szCs w:val="24"/>
              </w:rPr>
            </w:pPr>
            <w:r>
              <w:rPr>
                <w:rFonts w:ascii="Times New Roman" w:hAnsi="Times New Roman"/>
                <w:noProof/>
                <w:sz w:val="24"/>
              </w:rPr>
              <w:t>(pentru stațiile de încărcare)</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p>
        </w:tc>
      </w:tr>
      <w:tr>
        <w:tc>
          <w:tcPr>
            <w:tcW w:w="2263"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Sunt încă necesare inovații pentru anumite utilizări</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p>
            <w:pPr>
              <w:spacing w:after="160" w:line="259" w:lineRule="auto"/>
              <w:jc w:val="both"/>
              <w:rPr>
                <w:rFonts w:ascii="Times New Roman" w:hAnsi="Times New Roman" w:cs="Times New Roman"/>
                <w:noProof/>
                <w:sz w:val="24"/>
                <w:szCs w:val="24"/>
              </w:rPr>
            </w:pP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p>
        </w:tc>
      </w:tr>
      <w:tr>
        <w:tc>
          <w:tcPr>
            <w:tcW w:w="2263" w:type="dxa"/>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Deficitul de forță de muncă calificată</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p>
        </w:tc>
        <w:tc>
          <w:tcPr>
            <w:tcW w:w="4017"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X</w:t>
            </w:r>
          </w:p>
        </w:tc>
      </w:tr>
      <w:tr>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Acțiuni</w:t>
            </w: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pPr>
              <w:spacing w:after="160" w:line="259" w:lineRule="auto"/>
              <w:jc w:val="both"/>
              <w:rPr>
                <w:rFonts w:ascii="Times New Roman" w:hAnsi="Times New Roman" w:cs="Times New Roman"/>
                <w:noProof/>
                <w:sz w:val="24"/>
                <w:szCs w:val="24"/>
              </w:rPr>
            </w:pPr>
          </w:p>
        </w:tc>
        <w:tc>
          <w:tcPr>
            <w:tcW w:w="4017"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pPr>
              <w:spacing w:after="160" w:line="259" w:lineRule="auto"/>
              <w:jc w:val="both"/>
              <w:rPr>
                <w:rFonts w:ascii="Times New Roman" w:hAnsi="Times New Roman" w:cs="Times New Roman"/>
                <w:noProof/>
                <w:sz w:val="24"/>
                <w:szCs w:val="24"/>
              </w:rPr>
            </w:pPr>
          </w:p>
        </w:tc>
      </w:tr>
      <w:tr>
        <w:tc>
          <w:tcPr>
            <w:tcW w:w="2263" w:type="dxa"/>
            <w:vMerge w:val="restart"/>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lastRenderedPageBreak/>
              <w:t>Acțiuni specifice sectorului</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Metodologie de evaluare a potențialului de flexibilitate industrială</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Spațiu de testare în materie de reglementare pentru V2G</w:t>
            </w:r>
          </w:p>
        </w:tc>
        <w:tc>
          <w:tcPr>
            <w:tcW w:w="4017"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9. Mecanism pentru piața căldurii curate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Sistem comun al Uniunii de acordare de calificative centrelor de date</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Încărcarea inteligentă prevăzută implicit în contracte</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9. Accelerarea instalării pompelor de căldură în clădirile publice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4. Instrumentul GeoDep pentru industriile mari consumatoare de energie</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Cerințe privind V2G pentru vehiculele electrice noi</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9. Facilitarea introducerii unor instrumente de comparare a costurilor pentru pompele de căldură</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7. Revizuirea Directivei ETS pentru a stimula electrificarea</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8. Revizuirea Directivei privind vehiculele nepoluante</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9. Implementarea parteneriatelor pentru locuințe mai bune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7. Fonduri ETS: Banca de Decarbonizare Industrială și sprijin pentru stimularea investițiilor</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8. Recomandare privind stimulentele legate de cerere pentru vehiculele cu emisii zero</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9. Reducerea riscurilor și finanțarea investițiilor în pompe de căldură prin intermediul acceleratoarelor</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7. A doua licitație pentru căldură industrială</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10. Revizuirea RICA în ceea ce privește stațiile de reîncărcare, încărcarea în autobaze și alimentarea cu energie electrică de la mal</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9. Adoptarea unui plan de acțiune pentru răcire și încălzire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7. Examinarea oportunității unui mecanism la nivelul UE privind cererea industrială de energie electrică</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10. Actualizarea specificațiilor tehnice de interoperabilitate și V2G</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11. Mecanismul pentru orașe europene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7. Foi de parcurs sectoriale privind electrificarea</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10. Concentrarea creditelor la începutul perioadei în cadrul mecanismului de creditare prevăzut în DESR</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13. Act legislativ privind competențele necesare serviciilor de construcții</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7. Parteneriate bazate pe clustere</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10. Extinderea infrastructurii de încărcare a e-HDV și a coridoarelor de transport curat și </w:t>
            </w:r>
          </w:p>
          <w:p>
            <w:pPr>
              <w:spacing w:after="160" w:line="259" w:lineRule="auto"/>
              <w:jc w:val="both"/>
              <w:rPr>
                <w:rFonts w:ascii="Times New Roman" w:hAnsi="Times New Roman" w:cs="Times New Roman"/>
                <w:noProof/>
                <w:sz w:val="24"/>
                <w:szCs w:val="24"/>
              </w:rPr>
            </w:pPr>
            <w:r>
              <w:rPr>
                <w:rFonts w:ascii="Times New Roman" w:hAnsi="Times New Roman"/>
                <w:noProof/>
                <w:sz w:val="24"/>
              </w:rPr>
              <w:t>a cadrului favorabil pentru e-HDV</w:t>
            </w: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10. Identificarea condițiilor rămase de îndeplinit pentru introducerea vehiculelor grele cu emisii zero și planuri de acțiune comune</w:t>
            </w:r>
          </w:p>
        </w:tc>
        <w:tc>
          <w:tcPr>
            <w:tcW w:w="4017"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4017"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4017"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10. Eliminarea barierelor din calea electrificării feriboturilor și a navelor de navigație interioară</w:t>
            </w:r>
          </w:p>
        </w:tc>
        <w:tc>
          <w:tcPr>
            <w:tcW w:w="4017" w:type="dxa"/>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7. Potențialul și barierele din calea implementării tehnologiilor de încălzire din surse regenerabile direct utilizabile</w:t>
            </w:r>
          </w:p>
        </w:tc>
        <w:tc>
          <w:tcPr>
            <w:tcW w:w="8033" w:type="dxa"/>
            <w:gridSpan w:val="2"/>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ANEXA II. Orientări privind leasingul social</w:t>
            </w:r>
          </w:p>
        </w:tc>
      </w:tr>
      <w:tr>
        <w:tc>
          <w:tcPr>
            <w:tcW w:w="2263" w:type="dxa"/>
            <w:vMerge w:val="restart"/>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noProof/>
                <w:sz w:val="24"/>
                <w:highlight w:val="yellow"/>
              </w:rPr>
            </w:pPr>
            <w:r>
              <w:rPr>
                <w:rFonts w:ascii="Times New Roman" w:hAnsi="Times New Roman"/>
                <w:noProof/>
                <w:sz w:val="24"/>
              </w:rPr>
              <w:t>Acțiuni transsectoriale</w:t>
            </w: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12. Actualizarea Strategiei pentru hidrogen</w:t>
            </w: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11. Reducerea riscurilor și finanțarea investițiilor în încălzirea și răcirea centralizată </w:t>
            </w:r>
          </w:p>
        </w:tc>
      </w:tr>
      <w:tr>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9. Reducerea riscurilor și finanțarea investițiilor în încălzirea și răcirea centralizată</w:t>
            </w: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11. Inițiativa UE privind căldura reziduală </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4016" w:type="dxa"/>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11. Inițiativa UE privind căldura reziduală</w:t>
            </w:r>
          </w:p>
        </w:tc>
        <w:tc>
          <w:tcPr>
            <w:tcW w:w="4016"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p>
        </w:tc>
        <w:tc>
          <w:tcPr>
            <w:tcW w:w="4017" w:type="dxa"/>
            <w:tcBorders>
              <w:top w:val="single" w:sz="4" w:space="0" w:color="auto"/>
              <w:left w:val="single" w:sz="4" w:space="0" w:color="auto"/>
              <w:bottom w:val="single" w:sz="4" w:space="0" w:color="auto"/>
              <w:right w:val="single" w:sz="4" w:space="0" w:color="auto"/>
            </w:tcBorders>
            <w:vAlign w:val="center"/>
          </w:tcPr>
          <w:p>
            <w:pPr>
              <w:spacing w:after="160" w:line="259" w:lineRule="auto"/>
              <w:jc w:val="both"/>
              <w:rPr>
                <w:rFonts w:ascii="Times New Roman" w:hAnsi="Times New Roman" w:cs="Times New Roman"/>
                <w:noProof/>
                <w:sz w:val="24"/>
                <w:szCs w:val="24"/>
              </w:rPr>
            </w:pPr>
          </w:p>
        </w:tc>
      </w:tr>
      <w:tr>
        <w:tc>
          <w:tcPr>
            <w:tcW w:w="2263" w:type="dxa"/>
            <w:vMerge w:val="restart"/>
            <w:tcBorders>
              <w:top w:val="single" w:sz="4" w:space="0" w:color="auto"/>
              <w:left w:val="single" w:sz="4" w:space="0" w:color="auto"/>
              <w:bottom w:val="single" w:sz="4" w:space="0" w:color="auto"/>
              <w:right w:val="single" w:sz="4" w:space="0" w:color="auto"/>
            </w:tcBorders>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Acțiuni orizontale și acțiuni legate de ofertă</w:t>
            </w: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 Obiectiv privind electrificarea</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12. Alianță pentru planul de acțiune privind electrificarea</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2. Propunere legislativă privind </w:t>
            </w:r>
            <w:bookmarkStart w:id="16" w:name="_Hlk234768584"/>
            <w:r>
              <w:rPr>
                <w:rFonts w:ascii="Times New Roman" w:hAnsi="Times New Roman"/>
                <w:noProof/>
                <w:sz w:val="24"/>
              </w:rPr>
              <w:t>facturile de energie electrică adaptate exigențelor viitorului</w:t>
            </w:r>
            <w:bookmarkEnd w:id="16"/>
            <w:r>
              <w:rPr>
                <w:rFonts w:ascii="Times New Roman" w:hAnsi="Times New Roman"/>
                <w:noProof/>
                <w:sz w:val="24"/>
              </w:rPr>
              <w:t>, inclusiv dispoziții privind diferența de impozitare dintre energia electrică și gaze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iCs/>
                <w:noProof/>
                <w:sz w:val="24"/>
                <w:szCs w:val="24"/>
              </w:rPr>
            </w:pPr>
            <w:r>
              <w:rPr>
                <w:rFonts w:ascii="Times New Roman" w:hAnsi="Times New Roman"/>
                <w:noProof/>
                <w:sz w:val="24"/>
              </w:rPr>
              <w:t>3. Măsuri de eliminare treptată a subvențiilor pentru combustibilii fosili</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Propuneri privind adoptarea și revizuirea codurilor de rețea</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Punerea în aplicare a Acordului tripartit privind stocarea</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2. Conferință la nivel înalt pentru evaluarea barierelor din calea stocării și a soluțiilor de stocare</w:t>
            </w: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2. Evaluarea nevoilor de flexibilitate pe termen lung ale UE pentru 2030, 2040 și 2050</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4. Sprijin pentru statele membre în vederea punerii în aplicare a Directivei privind energia din surse regenerabile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4. Sprijin pentru cooperarea transfrontalieră în vederea acordării mai rapide a licențelor pentru reactoare nucleare</w:t>
            </w: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4. Revizuirea legislației UE în vederea încheierii de contracte transfrontaliere de energie electrică pe termen lung</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4. Bază de date pentru conceperea licitațiilor având drept obiect energia din surse regenerabile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4. Orientări NZIA privind criteriile nelegate de preț din cadrul licitațiilor pentru energie din surse regenerabile și 14. privind achizițiile publice</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5. Parteneriat al părților interesate din domeniul energiei geotermice</w:t>
            </w: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6. Utilizarea opțiunilor deja prevăzute în Directiva TVA</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12. Alianța industrială europeană pentru SMR – a doua cerere de proiecte </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12. Plan comun de investiții și punere în aplicare pentru tehnologii curate în cadrul Planului SET, inclusiv pentru inovare în procesele industriale</w:t>
            </w:r>
          </w:p>
        </w:tc>
      </w:tr>
      <w:tr>
        <w:tc>
          <w:tcPr>
            <w:tcW w:w="0" w:type="auto"/>
            <w:vMerge/>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pPr>
              <w:jc w:val="both"/>
              <w:rPr>
                <w:rFonts w:ascii="Times New Roman" w:hAnsi="Times New Roman" w:cs="Times New Roman"/>
                <w:noProof/>
                <w:sz w:val="24"/>
                <w:szCs w:val="24"/>
              </w:rPr>
            </w:pPr>
            <w:r>
              <w:rPr>
                <w:rFonts w:ascii="Times New Roman" w:hAnsi="Times New Roman"/>
                <w:noProof/>
                <w:sz w:val="24"/>
              </w:rPr>
              <w:t>13. În viitoarea Strategie europeană pentru educație și formare profesională (EFP), punerea unui accent mai puternic pe competențe de-a lungul lanțului valoric al electrificării</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13. Inițiativă privind portabilitatea competențelor</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pPr>
              <w:spacing w:after="160" w:line="259" w:lineRule="auto"/>
              <w:jc w:val="both"/>
              <w:rPr>
                <w:rFonts w:ascii="Times New Roman" w:hAnsi="Times New Roman" w:cs="Times New Roman"/>
                <w:noProof/>
                <w:sz w:val="24"/>
                <w:szCs w:val="24"/>
              </w:rPr>
            </w:pPr>
            <w:r>
              <w:rPr>
                <w:rFonts w:ascii="Times New Roman" w:hAnsi="Times New Roman"/>
                <w:noProof/>
                <w:sz w:val="24"/>
              </w:rPr>
              <w:t>15. Inițiativă globală Electrify Now</w:t>
            </w:r>
          </w:p>
        </w:tc>
      </w:tr>
    </w:tbl>
    <w:p>
      <w:pPr>
        <w:jc w:val="both"/>
        <w:rPr>
          <w:rFonts w:ascii="Times New Roman" w:hAnsi="Times New Roman" w:cs="Times New Roman"/>
          <w:noProof/>
          <w:sz w:val="24"/>
          <w:szCs w:val="24"/>
        </w:rPr>
      </w:pPr>
    </w:p>
    <w:p>
      <w:pPr>
        <w:rPr>
          <w:rFonts w:ascii="Times New Roman" w:hAnsi="Times New Roman" w:cs="Times New Roman"/>
          <w:noProof/>
          <w:sz w:val="24"/>
          <w:szCs w:val="24"/>
        </w:rPr>
      </w:pPr>
    </w:p>
    <w:p>
      <w:pPr>
        <w:rPr>
          <w:rFonts w:ascii="Times New Roman" w:hAnsi="Times New Roman" w:cs="Times New Roman"/>
          <w:noProof/>
          <w:sz w:val="24"/>
          <w:szCs w:val="24"/>
        </w:rPr>
      </w:pPr>
      <w:r>
        <w:rPr>
          <w:noProof/>
        </w:rPr>
        <w:br w:type="page"/>
      </w:r>
    </w:p>
    <w:p>
      <w:pPr>
        <w:rPr>
          <w:rFonts w:ascii="Times New Roman" w:hAnsi="Times New Roman" w:cs="Times New Roman"/>
          <w:noProof/>
          <w:sz w:val="24"/>
          <w:szCs w:val="24"/>
        </w:rPr>
        <w:sectPr>
          <w:headerReference w:type="default" r:id="rId26"/>
          <w:footerReference w:type="default" r:id="rId27"/>
          <w:pgSz w:w="16838" w:h="11906" w:orient="landscape"/>
          <w:pgMar w:top="1440" w:right="1440" w:bottom="1440" w:left="1440" w:header="708" w:footer="708" w:gutter="0"/>
          <w:cols w:space="720"/>
          <w:docGrid w:linePitch="299"/>
        </w:sectPr>
      </w:pPr>
    </w:p>
    <w:p>
      <w:pPr>
        <w:jc w:val="both"/>
        <w:rPr>
          <w:rFonts w:ascii="Times New Roman" w:hAnsi="Times New Roman" w:cs="Times New Roman"/>
          <w:noProof/>
          <w:sz w:val="24"/>
          <w:szCs w:val="24"/>
        </w:rPr>
      </w:pPr>
      <w:r>
        <w:rPr>
          <w:rFonts w:ascii="Times New Roman" w:hAnsi="Times New Roman"/>
          <w:b/>
          <w:noProof/>
          <w:sz w:val="24"/>
        </w:rPr>
        <w:lastRenderedPageBreak/>
        <w:t>Anexa II – Orientări privind leasingul social și schemele de sprijin pentru produse energetice, de răcire și de încălzire curate </w:t>
      </w:r>
    </w:p>
    <w:p>
      <w:pPr>
        <w:jc w:val="both"/>
        <w:rPr>
          <w:rFonts w:ascii="Times New Roman" w:hAnsi="Times New Roman" w:cs="Times New Roman"/>
          <w:b/>
          <w:bCs/>
          <w:noProof/>
          <w:sz w:val="24"/>
          <w:szCs w:val="24"/>
        </w:rPr>
      </w:pPr>
    </w:p>
    <w:p>
      <w:pPr>
        <w:numPr>
          <w:ilvl w:val="0"/>
          <w:numId w:val="16"/>
        </w:numPr>
        <w:jc w:val="both"/>
        <w:rPr>
          <w:rFonts w:ascii="Times New Roman" w:hAnsi="Times New Roman" w:cs="Times New Roman"/>
          <w:noProof/>
          <w:sz w:val="24"/>
          <w:szCs w:val="24"/>
        </w:rPr>
      </w:pPr>
      <w:r>
        <w:rPr>
          <w:rFonts w:ascii="Times New Roman" w:hAnsi="Times New Roman"/>
          <w:b/>
          <w:noProof/>
          <w:sz w:val="24"/>
        </w:rPr>
        <w:t>Introducere</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Leasingul social poate fi un sistem eficace pentru adoptarea pe scară mai largă a produselor energetice, de încălzire și de răcire curate. O schemă de leasing social este, de obicei, un program sprijinit de guvern care oferă gospodăriilor cu venituri mici și medii contracte de leasing pe termen lung, subvenționate și accesibile ca preț, pentru a le ajuta să acopere costurile inițiale ridicate ale produselor. Sistemul poate acoperi, de exemplu, vehiculele electrice cu baterie (BEV), pompele de căldură, instalațiile fotovoltaice (PV), instalațiile termice solare și bateriile. Spre deosebire de leasingul convențional, schemele de leasing social beneficiază de sprijin public pentru a îndeplini în același timp obiective mai ample ale politicilor sociale și de mediu. Datorită lor, mobilitatea cu emisii scăzute și soluțiile eficiente din punct de vedere energetic devin mai accesibile</w:t>
      </w:r>
      <w:r>
        <w:rPr>
          <w:rFonts w:ascii="Times New Roman" w:hAnsi="Times New Roman" w:cs="Times New Roman"/>
          <w:noProof/>
          <w:sz w:val="24"/>
          <w:szCs w:val="24"/>
          <w:vertAlign w:val="superscript"/>
        </w:rPr>
        <w:footnoteReference w:id="87"/>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Trecerea la tehnologii curate presupune o investiție inițială, iar costurile de exploatare sunt de obicei mici. Deși tehnologiile precum BEV și pompele de căldură se amortizează cel mai adesea în timp datorită facturilor mai mici la energie, gospodăriile care ar beneficia de pe urma lor cel mai adesea nu își pot permite investiția inițială, ceea ce le blochează într-un sistem de combustibili fosili ineficient și din ce în ce mai costisitor. Leasingul social dărâmă acest obstacol deoarece înlocuiește costurile inițiale ridicate cu plăți lunare accesibile, care pot fi parțial compensate de costurile de funcționare mai mici, făcând ca tehnologiile curate să devină mai accesibile. Schemele de leasing social pot construi un sprijin public durabil pentru tranziție.</w:t>
      </w:r>
    </w:p>
    <w:p>
      <w:pPr>
        <w:jc w:val="both"/>
        <w:rPr>
          <w:rFonts w:ascii="Times New Roman" w:hAnsi="Times New Roman" w:cs="Times New Roman"/>
          <w:noProof/>
          <w:sz w:val="24"/>
          <w:szCs w:val="24"/>
        </w:rPr>
      </w:pPr>
      <w:r>
        <w:rPr>
          <w:rFonts w:ascii="Times New Roman" w:hAnsi="Times New Roman"/>
          <w:noProof/>
          <w:sz w:val="24"/>
        </w:rPr>
        <w:t>Pentru a oferi stimulente adecvate în vederea adoptării produselor energetice, de încălzire sau de răcire curate și eficiente din punct de vedere energetic, cum ar fi pompele de căldură sau instalațiile fotovoltaice mai mari, schemele de leasing social ar trebui concepute în moduri adaptate fiecărui tip de produs, de exemplu ținând seama de mobilitatea sau imobilitatea produsului. Pentru a aborda particularitățile anumitor active energetice fixe, ar putea fi avute în vedere și alte scheme de sprijin adecvate pentru produsele imobile, cum ar fi subvenții, credite preferențiale sau cu dobândă zero, mecanisme standardizate de tarifare suplimentară în cazul chiriilor și finanțare rambursată prin facturi.</w:t>
      </w:r>
    </w:p>
    <w:p>
      <w:pPr>
        <w:numPr>
          <w:ilvl w:val="0"/>
          <w:numId w:val="17"/>
        </w:numPr>
        <w:jc w:val="both"/>
        <w:rPr>
          <w:rFonts w:ascii="Times New Roman" w:hAnsi="Times New Roman" w:cs="Times New Roman"/>
          <w:noProof/>
          <w:sz w:val="24"/>
          <w:szCs w:val="24"/>
        </w:rPr>
      </w:pPr>
      <w:r>
        <w:rPr>
          <w:rFonts w:ascii="Times New Roman" w:hAnsi="Times New Roman"/>
          <w:b/>
          <w:noProof/>
          <w:sz w:val="24"/>
        </w:rPr>
        <w:t>Beneficiile sociale, economice și de mediu ale leasingului social și ale schemelor de sprijin</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Pe baza experienței dobândite cu schemele deja existente în statele membre, schemele de leasing social pentru BEV pot aduce beneficii sociale și de mediu substanțiale. La nivelul întregii UE, o schemă de leasing social pentru BEV ar aduce beneficii pentru mai mult de 90 % dintre cele aproximativ cinci milioane de gospodării cu venituri mici și medii inferioare din zonele rurale, care se confruntă cu cheltuieli de transport ridicate</w:t>
      </w:r>
      <w:r>
        <w:rPr>
          <w:rFonts w:ascii="Times New Roman" w:hAnsi="Times New Roman" w:cs="Times New Roman"/>
          <w:noProof/>
          <w:sz w:val="24"/>
          <w:szCs w:val="24"/>
          <w:vertAlign w:val="superscript"/>
        </w:rPr>
        <w:footnoteReference w:id="88"/>
      </w:r>
      <w:r>
        <w:rPr>
          <w:rFonts w:ascii="Times New Roman" w:hAnsi="Times New Roman"/>
          <w:noProof/>
          <w:sz w:val="24"/>
        </w:rPr>
        <w:t xml:space="preserve">. Având de plătit o rată de leasing lunară de aproximativ 100 EUR pentru mobilitatea electrică, gospodăriile cu nevoi mari de transport ar putea economisi aproximativ 1 800 EUR în Spania și 1 300 EUR în </w:t>
      </w:r>
      <w:r>
        <w:rPr>
          <w:rFonts w:ascii="Times New Roman" w:hAnsi="Times New Roman"/>
          <w:noProof/>
          <w:sz w:val="24"/>
        </w:rPr>
        <w:lastRenderedPageBreak/>
        <w:t>Germania. În plus, fiecare BEV care înlocuiește un vehicul echivalent cu motor cu ardere internă ar putea reduce emisiile directe cu aproximativ două tone de CO</w:t>
      </w:r>
      <w:r>
        <w:rPr>
          <w:rFonts w:ascii="Times New Roman" w:hAnsi="Times New Roman"/>
          <w:noProof/>
          <w:sz w:val="24"/>
          <w:vertAlign w:val="subscript"/>
        </w:rPr>
        <w:t>2</w:t>
      </w:r>
      <w:r>
        <w:rPr>
          <w:rFonts w:ascii="Times New Roman" w:hAnsi="Times New Roman"/>
          <w:noProof/>
          <w:sz w:val="24"/>
        </w:rPr>
        <w:t xml:space="preserve"> în primul an și cu aproximativ zece tone pe parcursul întregii perioade de utilizare</w:t>
      </w:r>
      <w:r>
        <w:rPr>
          <w:rFonts w:ascii="Times New Roman" w:hAnsi="Times New Roman" w:cs="Times New Roman"/>
          <w:noProof/>
          <w:sz w:val="24"/>
          <w:szCs w:val="24"/>
          <w:vertAlign w:val="superscript"/>
        </w:rPr>
        <w:footnoteReference w:id="89"/>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Trecerea la o pompă de căldură poate aduce la rândul ei economii majore în condiții adecvate, precum și o mai mare reziliență la perioadele caniculare. O schemă de subvenționare</w:t>
      </w:r>
      <w:r>
        <w:rPr>
          <w:rFonts w:ascii="Times New Roman" w:hAnsi="Times New Roman"/>
          <w:noProof/>
          <w:sz w:val="24"/>
          <w:vertAlign w:val="superscript"/>
        </w:rPr>
        <w:t>5</w:t>
      </w:r>
      <w:r>
        <w:rPr>
          <w:rFonts w:ascii="Times New Roman" w:hAnsi="Times New Roman"/>
          <w:noProof/>
          <w:sz w:val="24"/>
        </w:rPr>
        <w:t xml:space="preserve"> care ar acoperi costul instalației cu pompă de căldură și care s-ar adresa gospodăriilor cu cheltuieli ridicate pentru energie în raport cu veniturile lor, aflate în jumătatea inferioară a distribuției veniturilor, ar genera economii pentru aproximativ două treimi dintre beneficiari (16 din 23 de milioane de gospodării). La nivelul acestor gospodării, economiile medii ar putea depăși 2 % din venitul disponibil, dar cu variații puternice de la o țară la alta. În Țările de Jos, economiile anuale pot ajunge la aproximativ 800 EUR. În Croația, ele ar fi mai apropiate de 100 EUR</w:t>
      </w:r>
      <w:r>
        <w:rPr>
          <w:rFonts w:ascii="Times New Roman" w:hAnsi="Times New Roman" w:cs="Times New Roman"/>
          <w:noProof/>
          <w:sz w:val="24"/>
          <w:szCs w:val="24"/>
          <w:vertAlign w:val="superscript"/>
        </w:rPr>
        <w:footnoteReference w:id="90"/>
      </w:r>
      <w:r>
        <w:rPr>
          <w:rFonts w:ascii="Times New Roman" w:hAnsi="Times New Roman"/>
          <w:noProof/>
          <w:sz w:val="24"/>
        </w:rPr>
        <w:t>. Beneficiile sunt mai mari în zonele în care raportul dintre prețul energiei electrice și prețul combustibililor fosili este scăzut, însă economiile depind și de eficiența sistemului cu pompă de căldură, care este influențată de factori precum temperatura necesară a apei în radiatoarele de căldură și gradul de izolare a clădirilor. Măsura ar aduce, de asemenea, beneficii clare pentru mediu: înlocuirea unui sistem de încălzire pe bază de combustibili fosili cu o pompă de căldură ar putea reduce emisiile directe cu aproximativ 4 tone de CO</w:t>
      </w:r>
      <w:r>
        <w:rPr>
          <w:rFonts w:ascii="Times New Roman" w:hAnsi="Times New Roman"/>
          <w:noProof/>
          <w:sz w:val="24"/>
          <w:vertAlign w:val="subscript"/>
        </w:rPr>
        <w:t>2</w:t>
      </w:r>
      <w:r>
        <w:rPr>
          <w:rFonts w:ascii="Times New Roman" w:hAnsi="Times New Roman"/>
          <w:noProof/>
          <w:sz w:val="24"/>
        </w:rPr>
        <w:t xml:space="preserve"> pe an per gospodărie din grupul-țintă. </w:t>
      </w:r>
    </w:p>
    <w:p>
      <w:pPr>
        <w:jc w:val="both"/>
        <w:rPr>
          <w:rFonts w:ascii="Times New Roman" w:hAnsi="Times New Roman" w:cs="Times New Roman"/>
          <w:noProof/>
          <w:sz w:val="24"/>
          <w:szCs w:val="24"/>
        </w:rPr>
      </w:pPr>
      <w:r>
        <w:rPr>
          <w:rFonts w:ascii="Times New Roman" w:hAnsi="Times New Roman"/>
          <w:noProof/>
          <w:sz w:val="24"/>
        </w:rPr>
        <mc:AlternateContent>
          <mc:Choice Requires="wps">
            <w:drawing>
              <wp:inline distT="0" distB="0" distL="0" distR="0">
                <wp:extent cx="5539740" cy="2989580"/>
                <wp:effectExtent l="9525" t="9525" r="13335" b="10795"/>
                <wp:docPr id="535667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9740" cy="2989580"/>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b/>
                                <w:bCs/>
                                <w:sz w:val="24"/>
                                <w:szCs w:val="24"/>
                                <w:u w:val="single"/>
                              </w:rPr>
                            </w:pPr>
                            <w:r>
                              <w:rPr>
                                <w:rFonts w:ascii="Times New Roman" w:hAnsi="Times New Roman"/>
                                <w:b/>
                                <w:sz w:val="24"/>
                                <w:u w:val="single"/>
                              </w:rPr>
                              <w:t>Schema de leasing social aplicată în Franța</w:t>
                            </w:r>
                          </w:p>
                          <w:p>
                            <w:pPr>
                              <w:jc w:val="both"/>
                              <w:rPr>
                                <w:rFonts w:ascii="Times New Roman" w:hAnsi="Times New Roman" w:cs="Times New Roman"/>
                                <w:sz w:val="24"/>
                                <w:szCs w:val="24"/>
                              </w:rPr>
                            </w:pPr>
                            <w:r>
                              <w:rPr>
                                <w:rFonts w:ascii="Times New Roman" w:hAnsi="Times New Roman"/>
                                <w:sz w:val="24"/>
                              </w:rPr>
                              <w:t>Datorită leasingului social aplicat în Franța, chiar și cele mai modeste gospodării își pot permite să aibă un BEV prin plata unei chirii lunare, fără a fi obligate să îl achiziționeze la sfârșitul contractului de leasing. Perioada de leasing trebuie să fie de cel puțin 3 ani. Acest mecanism a fost introdus pentru prima dată în 2024 și a fost reînnoit în iulie 2026, ajungând la a treia ediție.</w:t>
                            </w:r>
                          </w:p>
                          <w:p>
                            <w:pPr>
                              <w:rPr>
                                <w:rFonts w:ascii="Times New Roman" w:hAnsi="Times New Roman" w:cs="Times New Roman"/>
                                <w:sz w:val="24"/>
                                <w:szCs w:val="24"/>
                              </w:rPr>
                            </w:pPr>
                            <w:r>
                              <w:rPr>
                                <w:rFonts w:ascii="Times New Roman" w:hAnsi="Times New Roman"/>
                                <w:sz w:val="24"/>
                              </w:rPr>
                              <w:t>Valoarea chiriei care trebuie plătită depinde de modelul vehiculului și este mai mică de 200 EUR pe lună pentru un kilometraj de cel puțin 15 000 km/an, fără costuri suplimentare (nu sunt incluse costul asigurării, nici prețul opțiunilor sau al serviciilor suplimentare).</w:t>
                            </w:r>
                          </w:p>
                          <w:p>
                            <w:pPr>
                              <w:rPr>
                                <w:rFonts w:ascii="Times New Roman" w:hAnsi="Times New Roman" w:cs="Times New Roman"/>
                                <w:sz w:val="24"/>
                                <w:szCs w:val="24"/>
                              </w:rPr>
                            </w:pPr>
                            <w:r>
                              <w:rPr>
                                <w:rFonts w:ascii="Times New Roman" w:hAnsi="Times New Roman"/>
                                <w:sz w:val="24"/>
                              </w:rPr>
                              <w:t>Ajutorul acordat este egal cu 29 % din costul de achiziție al vehiculului, până la 6 500 EUR.</w:t>
                            </w:r>
                          </w:p>
                          <w:p>
                            <w:pPr>
                              <w:rPr>
                                <w:rFonts w:ascii="Times New Roman" w:hAnsi="Times New Roman" w:cs="Times New Roman"/>
                                <w:sz w:val="24"/>
                                <w:szCs w:val="24"/>
                              </w:rPr>
                            </w:pPr>
                            <w:r>
                              <w:rPr>
                                <w:rFonts w:ascii="Times New Roman" w:hAnsi="Times New Roman"/>
                                <w:sz w:val="24"/>
                              </w:rPr>
                              <w:t>Acest plafon poate ajunge la valoarea maximă de 9 000 EUR în cazul în care unitatea de producție a vehiculului și unitatea de producție a bateriei se află în Spațiul Economic European. În cazul în care motorul electric a fost fabricat în Spațiul Economic European, se poate acorda un comision forfetar de 500 EUR.</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36.2pt;height:23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">
                <v:textbox>
                  <w:txbxContent>
                    <w:p>
                      <w:pPr>
                        <w:rPr>
                          <w:rFonts w:ascii="Times New Roman" w:hAnsi="Times New Roman" w:cs="Times New Roman"/>
                          <w:b/>
                          <w:bCs/>
                          <w:sz w:val="24"/>
                          <w:szCs w:val="24"/>
                          <w:u w:val="single"/>
                        </w:rPr>
                      </w:pPr>
                      <w:r>
                        <w:rPr>
                          <w:rFonts w:ascii="Times New Roman" w:hAnsi="Times New Roman"/>
                          <w:b/>
                          <w:sz w:val="24"/>
                          <w:u w:val="single"/>
                        </w:rPr>
                        <w:t>Schema de leasing social aplicată în Franța</w:t>
                      </w:r>
                    </w:p>
                    <w:p>
                      <w:pPr>
                        <w:jc w:val="both"/>
                        <w:rPr>
                          <w:rFonts w:ascii="Times New Roman" w:hAnsi="Times New Roman" w:cs="Times New Roman"/>
                          <w:sz w:val="24"/>
                          <w:szCs w:val="24"/>
                        </w:rPr>
                      </w:pPr>
                      <w:r>
                        <w:rPr>
                          <w:rFonts w:ascii="Times New Roman" w:hAnsi="Times New Roman"/>
                          <w:sz w:val="24"/>
                        </w:rPr>
                        <w:t>Datorită leasingului social aplicat în Franța, chiar și cele mai modeste gospodării își pot permite să aibă un BEV prin plata unei chirii lunare, fără a fi obligate să îl achiziționeze la sfârșitul contractului de leasing. Perioada de leasing trebuie să fie de cel puțin 3 ani. Acest mecanism a fost introdus pentru prima dată în 2024 și a fost reînnoit în iulie 2026, ajungând la a treia ediție.</w:t>
                      </w:r>
                    </w:p>
                    <w:p>
                      <w:pPr>
                        <w:rPr>
                          <w:rFonts w:ascii="Times New Roman" w:hAnsi="Times New Roman" w:cs="Times New Roman"/>
                          <w:sz w:val="24"/>
                          <w:szCs w:val="24"/>
                        </w:rPr>
                      </w:pPr>
                      <w:r>
                        <w:rPr>
                          <w:rFonts w:ascii="Times New Roman" w:hAnsi="Times New Roman"/>
                          <w:sz w:val="24"/>
                        </w:rPr>
                        <w:t>Valoarea chiriei care trebuie plătită depinde de modelul vehiculului și este mai mică de 200 EUR pe lună pentru un kilometraj de cel puțin 15 000 km/an, fără costuri suplimentare (nu sunt incluse costul asigurării, nici prețul opțiunilor sau al serviciilor suplimentare).</w:t>
                      </w:r>
                    </w:p>
                    <w:p>
                      <w:pPr>
                        <w:rPr>
                          <w:rFonts w:ascii="Times New Roman" w:hAnsi="Times New Roman" w:cs="Times New Roman"/>
                          <w:sz w:val="24"/>
                          <w:szCs w:val="24"/>
                        </w:rPr>
                      </w:pPr>
                      <w:r>
                        <w:rPr>
                          <w:rFonts w:ascii="Times New Roman" w:hAnsi="Times New Roman"/>
                          <w:sz w:val="24"/>
                        </w:rPr>
                        <w:t>Ajutorul acordat este egal cu 29 % din costul de achiziție al vehiculului, până la 6 500 EUR.</w:t>
                      </w:r>
                    </w:p>
                    <w:p>
                      <w:pPr>
                        <w:rPr>
                          <w:rFonts w:ascii="Times New Roman" w:hAnsi="Times New Roman" w:cs="Times New Roman"/>
                          <w:sz w:val="24"/>
                          <w:szCs w:val="24"/>
                        </w:rPr>
                      </w:pPr>
                      <w:r>
                        <w:rPr>
                          <w:rFonts w:ascii="Times New Roman" w:hAnsi="Times New Roman"/>
                          <w:sz w:val="24"/>
                        </w:rPr>
                        <w:t>Acest plafon poate ajunge la valoarea maximă de 9 000 EUR în cazul în care unitatea de producție a vehiculului și unitatea de producție a bateriei se află în Spațiul Economic European. În cazul în care motorul electric a fost fabricat în Spațiul Economic European, se poate acorda un comision forfetar de 500 EUR.</w:t>
                      </w:r>
                    </w:p>
                  </w:txbxContent>
                </v:textbox>
                <w10:anchorlock/>
              </v:shape>
            </w:pict>
          </mc:Fallback>
        </mc:AlternateContent>
      </w:r>
    </w:p>
    <w:p>
      <w:pPr>
        <w:numPr>
          <w:ilvl w:val="0"/>
          <w:numId w:val="18"/>
        </w:numPr>
        <w:jc w:val="both"/>
        <w:rPr>
          <w:rFonts w:ascii="Times New Roman" w:hAnsi="Times New Roman" w:cs="Times New Roman"/>
          <w:noProof/>
          <w:sz w:val="24"/>
          <w:szCs w:val="24"/>
        </w:rPr>
      </w:pPr>
      <w:r>
        <w:rPr>
          <w:rFonts w:ascii="Times New Roman" w:hAnsi="Times New Roman"/>
          <w:b/>
          <w:noProof/>
          <w:sz w:val="24"/>
        </w:rPr>
        <w:t>Conceperea schemelor de sprijin și de leasing social și a opțiunilor de finanțare</w:t>
      </w:r>
    </w:p>
    <w:p>
      <w:pPr>
        <w:jc w:val="both"/>
        <w:rPr>
          <w:rFonts w:ascii="Times New Roman" w:hAnsi="Times New Roman" w:cs="Times New Roman"/>
          <w:noProof/>
          <w:sz w:val="24"/>
          <w:szCs w:val="24"/>
        </w:rPr>
      </w:pPr>
      <w:r>
        <w:rPr>
          <w:rFonts w:ascii="Times New Roman" w:hAnsi="Times New Roman"/>
          <w:b/>
          <w:i/>
          <w:noProof/>
          <w:sz w:val="24"/>
        </w:rPr>
        <w:t>Acțiunea Comisiei</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 xml:space="preserve">Comisia va monitoriza adoptarea și impactul leasingului social și al schemelor de sprijin pentru produse energetice, de încălzire și de răcire curate. Monitorizarea va avea loc prin intermediul Observatorului european al tranziției echitabile, o inițiativă emblematică din cadrul Pactului pentru o industrie curată, și poate include elemente diverse, de la gradul de adoptare și profilul </w:t>
      </w:r>
      <w:r>
        <w:rPr>
          <w:rFonts w:ascii="Times New Roman" w:hAnsi="Times New Roman"/>
          <w:noProof/>
          <w:sz w:val="24"/>
        </w:rPr>
        <w:lastRenderedPageBreak/>
        <w:t xml:space="preserve">socioeconomic al beneficiarilor la potențialul de economisire al gospodăriilor și la reducerile de emisii. </w:t>
      </w:r>
    </w:p>
    <w:p>
      <w:pPr>
        <w:jc w:val="both"/>
        <w:rPr>
          <w:rFonts w:ascii="Times New Roman" w:hAnsi="Times New Roman" w:cs="Times New Roman"/>
          <w:noProof/>
          <w:sz w:val="24"/>
          <w:szCs w:val="24"/>
        </w:rPr>
      </w:pPr>
      <w:r>
        <w:rPr>
          <w:rFonts w:ascii="Times New Roman" w:hAnsi="Times New Roman"/>
          <w:noProof/>
          <w:sz w:val="24"/>
        </w:rPr>
        <w:t xml:space="preserve">De asemenea, Comisia va ajuta statele membre să direcționeze veniturile din cadrul Fondului social pentru climă către schemele de leasing social. </w:t>
      </w:r>
    </w:p>
    <w:p>
      <w:pPr>
        <w:jc w:val="both"/>
        <w:rPr>
          <w:rFonts w:ascii="Times New Roman" w:hAnsi="Times New Roman" w:cs="Times New Roman"/>
          <w:noProof/>
          <w:sz w:val="24"/>
          <w:szCs w:val="24"/>
        </w:rPr>
      </w:pPr>
      <w:r>
        <w:rPr>
          <w:rFonts w:ascii="Times New Roman" w:hAnsi="Times New Roman"/>
          <w:b/>
          <w:i/>
          <w:noProof/>
          <w:sz w:val="24"/>
        </w:rPr>
        <w:t>Acțiunile statelor membre</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i/>
          <w:noProof/>
          <w:sz w:val="24"/>
          <w:u w:val="single"/>
        </w:rPr>
        <w:t>Conceperea schemei și a opțiunilor de finanțare</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i/>
          <w:noProof/>
          <w:sz w:val="24"/>
        </w:rPr>
        <w:t>Leasing social</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La conceperea schemelor de leasing social pentru BEV, instalații fotovoltaice, pompe de căldură, instalații termice solare și baterii, statele membre ar putea promova un model standardizat care să ofere: </w:t>
      </w:r>
    </w:p>
    <w:p>
      <w:pPr>
        <w:numPr>
          <w:ilvl w:val="0"/>
          <w:numId w:val="19"/>
        </w:numPr>
        <w:jc w:val="both"/>
        <w:rPr>
          <w:rFonts w:ascii="Times New Roman" w:hAnsi="Times New Roman" w:cs="Times New Roman"/>
          <w:noProof/>
          <w:sz w:val="24"/>
          <w:szCs w:val="24"/>
        </w:rPr>
      </w:pPr>
      <w:r>
        <w:rPr>
          <w:rFonts w:ascii="Times New Roman" w:hAnsi="Times New Roman"/>
          <w:noProof/>
          <w:sz w:val="24"/>
        </w:rPr>
        <w:t>o subvenție compusă din două părți: o sumă fixă pentru toate gospodăriile, plus o finanțare suplimentară bazată pe venit. În acest mod, se asigură faptul că gospodăriile cu venituri mai mici primesc mai mult sprijin și își pot permite plățile lunare rezultate. Plățile lunare ar putea fi calibrate la nivel de țară, astfel încât, pentru gospodăria care face în mod obișnuit obiectul schemei, plata chiriei combinată cu costurile de exploatare să fie mai mică decât cheltuielile curente pentru alternativa bazată pe combustibili fosili;</w:t>
      </w:r>
    </w:p>
    <w:p>
      <w:pPr>
        <w:numPr>
          <w:ilvl w:val="0"/>
          <w:numId w:val="20"/>
        </w:numPr>
        <w:jc w:val="both"/>
        <w:rPr>
          <w:rFonts w:ascii="Times New Roman" w:hAnsi="Times New Roman" w:cs="Times New Roman"/>
          <w:noProof/>
          <w:sz w:val="24"/>
          <w:szCs w:val="24"/>
        </w:rPr>
      </w:pPr>
      <w:r>
        <w:rPr>
          <w:rFonts w:ascii="Times New Roman" w:hAnsi="Times New Roman"/>
          <w:noProof/>
          <w:sz w:val="24"/>
        </w:rPr>
        <w:t>plăți lunare agregate (de exemplu pentru instalare, întreținere, asigurare, reparații).</w:t>
      </w:r>
    </w:p>
    <w:p>
      <w:pPr>
        <w:jc w:val="both"/>
        <w:rPr>
          <w:rFonts w:ascii="Times New Roman" w:hAnsi="Times New Roman" w:cs="Times New Roman"/>
          <w:i/>
          <w:iCs/>
          <w:noProof/>
          <w:sz w:val="24"/>
          <w:szCs w:val="24"/>
        </w:rPr>
      </w:pPr>
      <w:r>
        <w:rPr>
          <w:rFonts w:ascii="Times New Roman" w:hAnsi="Times New Roman"/>
          <w:i/>
          <w:noProof/>
          <w:sz w:val="24"/>
        </w:rPr>
        <w:t>Finanțare de tip leasing social pentru tehnologii imobile</w:t>
      </w:r>
    </w:p>
    <w:p>
      <w:pPr>
        <w:jc w:val="both"/>
        <w:rPr>
          <w:rFonts w:ascii="Times New Roman" w:hAnsi="Times New Roman" w:cs="Times New Roman"/>
          <w:noProof/>
          <w:sz w:val="24"/>
          <w:szCs w:val="24"/>
        </w:rPr>
      </w:pPr>
      <w:r>
        <w:rPr>
          <w:rFonts w:ascii="Times New Roman" w:hAnsi="Times New Roman"/>
          <w:noProof/>
          <w:sz w:val="24"/>
        </w:rPr>
        <w:t>Atunci când concep scheme de sprijin care nu constituie leasing social, statele membre ar putea lua în considerare următoarele opțiuni și combinații ale acestora: </w:t>
      </w:r>
    </w:p>
    <w:p>
      <w:pPr>
        <w:numPr>
          <w:ilvl w:val="0"/>
          <w:numId w:val="21"/>
        </w:numPr>
        <w:jc w:val="both"/>
        <w:rPr>
          <w:rFonts w:ascii="Times New Roman" w:hAnsi="Times New Roman" w:cs="Times New Roman"/>
          <w:noProof/>
          <w:sz w:val="24"/>
          <w:szCs w:val="24"/>
        </w:rPr>
      </w:pPr>
      <w:r>
        <w:rPr>
          <w:rFonts w:ascii="Times New Roman" w:hAnsi="Times New Roman"/>
          <w:noProof/>
          <w:sz w:val="24"/>
        </w:rPr>
        <w:t>subvenții pentru reducerea costurilor inițiale, cu un sprijin mai mare pentru gospodăriile cu venituri mai mici; </w:t>
      </w:r>
    </w:p>
    <w:p>
      <w:pPr>
        <w:numPr>
          <w:ilvl w:val="0"/>
          <w:numId w:val="22"/>
        </w:numPr>
        <w:jc w:val="both"/>
        <w:rPr>
          <w:rFonts w:ascii="Times New Roman" w:hAnsi="Times New Roman" w:cs="Times New Roman"/>
          <w:noProof/>
          <w:sz w:val="24"/>
          <w:szCs w:val="24"/>
        </w:rPr>
      </w:pPr>
      <w:r>
        <w:rPr>
          <w:rFonts w:ascii="Times New Roman" w:hAnsi="Times New Roman"/>
          <w:noProof/>
          <w:sz w:val="24"/>
        </w:rPr>
        <w:t>scheme de credite preferențiale sau cu dobândă zero, cu rambursări plafonate la o cotă accesibilă din veniturile gospodăriilor (de exemplu ≤ 5 % din veniturile lunare);</w:t>
      </w:r>
    </w:p>
    <w:p>
      <w:pPr>
        <w:numPr>
          <w:ilvl w:val="0"/>
          <w:numId w:val="23"/>
        </w:numPr>
        <w:jc w:val="both"/>
        <w:rPr>
          <w:rFonts w:ascii="Times New Roman" w:hAnsi="Times New Roman" w:cs="Times New Roman"/>
          <w:noProof/>
          <w:sz w:val="24"/>
          <w:szCs w:val="24"/>
        </w:rPr>
      </w:pPr>
      <w:r>
        <w:rPr>
          <w:rFonts w:ascii="Times New Roman" w:hAnsi="Times New Roman"/>
          <w:noProof/>
          <w:sz w:val="24"/>
        </w:rPr>
        <w:t>finanțare rambursată prin facturi, în cazul căreia costurile de instalare sunt acoperite în avans și rambursate în timp printr-o mică taxă pe factura (mai mică) la energie (bazată pe principiul „plătești pe măsură ce economisești”). Tranșele de rambursare ar putea fi stabilite astfel încât să fie mai mici decât economiile preconizate la factura la energie, pentru ca beneficiarii să observe o scădere netă a cheltuielilor lunare chiar de la începutul schemei. În cazul în care schemele se bazează pe economii de energie estimate în locul economiilor de energie reale, ar trebui introduse garanții care să prevină plata de către gospodării a unor sume mai mari din cauza economiilor nerealizate</w:t>
      </w:r>
      <w:r>
        <w:rPr>
          <w:rFonts w:ascii="Times New Roman" w:hAnsi="Times New Roman" w:cs="Times New Roman"/>
          <w:noProof/>
          <w:sz w:val="24"/>
          <w:szCs w:val="24"/>
          <w:vertAlign w:val="superscript"/>
        </w:rPr>
        <w:footnoteReference w:id="91"/>
      </w:r>
      <w:r>
        <w:rPr>
          <w:rFonts w:ascii="Times New Roman" w:hAnsi="Times New Roman"/>
          <w:noProof/>
          <w:sz w:val="24"/>
        </w:rPr>
        <w:t>. </w:t>
      </w:r>
    </w:p>
    <w:p>
      <w:pPr>
        <w:jc w:val="both"/>
        <w:rPr>
          <w:rFonts w:ascii="Times New Roman" w:hAnsi="Times New Roman" w:cs="Times New Roman"/>
          <w:noProof/>
          <w:sz w:val="24"/>
          <w:szCs w:val="24"/>
        </w:rPr>
      </w:pPr>
      <w:r>
        <w:rPr>
          <w:rFonts w:ascii="Times New Roman" w:hAnsi="Times New Roman"/>
          <w:i/>
          <w:noProof/>
          <w:sz w:val="24"/>
        </w:rPr>
        <w:t>Alte aspecte financiare</w:t>
      </w:r>
      <w:r>
        <w:rPr>
          <w:rFonts w:ascii="Times New Roman" w:hAnsi="Times New Roman"/>
          <w:noProof/>
          <w:sz w:val="24"/>
        </w:rPr>
        <w:t xml:space="preserve"> </w:t>
      </w:r>
    </w:p>
    <w:p>
      <w:pPr>
        <w:numPr>
          <w:ilvl w:val="0"/>
          <w:numId w:val="24"/>
        </w:numPr>
        <w:jc w:val="both"/>
        <w:rPr>
          <w:rFonts w:ascii="Times New Roman" w:hAnsi="Times New Roman" w:cs="Times New Roman"/>
          <w:noProof/>
          <w:sz w:val="24"/>
          <w:szCs w:val="24"/>
        </w:rPr>
      </w:pPr>
      <w:r>
        <w:rPr>
          <w:rFonts w:ascii="Times New Roman" w:hAnsi="Times New Roman"/>
          <w:noProof/>
          <w:sz w:val="24"/>
        </w:rPr>
        <w:lastRenderedPageBreak/>
        <w:t>Statele membre sunt încurajate să instituie măsuri și să realizeze investiții pentru a finanța leasingul social și alte scheme de sprijin, folosindu-se de finanțarea acordată de UE prin Fondul social pentru climă și utilizând veniturile proprii obținute din ETS2</w:t>
      </w:r>
      <w:r>
        <w:rPr>
          <w:rFonts w:ascii="Times New Roman" w:hAnsi="Times New Roman" w:cs="Times New Roman"/>
          <w:noProof/>
          <w:sz w:val="24"/>
          <w:szCs w:val="24"/>
          <w:vertAlign w:val="superscript"/>
        </w:rPr>
        <w:footnoteReference w:id="92"/>
      </w:r>
      <w:r>
        <w:rPr>
          <w:rFonts w:ascii="Times New Roman" w:hAnsi="Times New Roman"/>
          <w:noProof/>
          <w:sz w:val="24"/>
        </w:rPr>
        <w:t xml:space="preserve">. </w:t>
      </w:r>
    </w:p>
    <w:p>
      <w:pPr>
        <w:numPr>
          <w:ilvl w:val="0"/>
          <w:numId w:val="25"/>
        </w:numPr>
        <w:jc w:val="both"/>
        <w:rPr>
          <w:rFonts w:ascii="Times New Roman" w:hAnsi="Times New Roman" w:cs="Times New Roman"/>
          <w:noProof/>
          <w:sz w:val="24"/>
          <w:szCs w:val="24"/>
        </w:rPr>
      </w:pPr>
      <w:r>
        <w:rPr>
          <w:rFonts w:ascii="Times New Roman" w:hAnsi="Times New Roman"/>
          <w:noProof/>
          <w:sz w:val="24"/>
        </w:rPr>
        <w:t>Statele membre sunt încurajate să asigure stabilitatea pe termen lung a leasingului social și a altor scheme de sprijin prin asigurarea unor angajamente de finanțare multianuale și prin încheierea de parteneriate public-privat pentru o punere în aplicare scalabilă și previzibilă. </w:t>
      </w:r>
    </w:p>
    <w:p>
      <w:pPr>
        <w:numPr>
          <w:ilvl w:val="0"/>
          <w:numId w:val="26"/>
        </w:numPr>
        <w:jc w:val="both"/>
        <w:rPr>
          <w:rFonts w:ascii="Times New Roman" w:hAnsi="Times New Roman" w:cs="Times New Roman"/>
          <w:noProof/>
          <w:sz w:val="24"/>
          <w:szCs w:val="24"/>
        </w:rPr>
      </w:pPr>
      <w:r>
        <w:rPr>
          <w:rFonts w:ascii="Times New Roman" w:hAnsi="Times New Roman"/>
          <w:noProof/>
          <w:sz w:val="24"/>
        </w:rPr>
        <w:t>În cazul schemelor gestionate de furnizori privați, statele membre ar putea reduce riscul prin garanții publice și ar putea încuraja utilizarea garanțiilor pentru împrumuturi sprijinite de guvern, a creditelor preferențiale sau cu dobândă zero și a facilităților fiscale (de exemplu reducerea TVA) pentru a atrage furnizori și costuri mai mici. </w:t>
      </w:r>
    </w:p>
    <w:p>
      <w:pPr>
        <w:jc w:val="both"/>
        <w:rPr>
          <w:rFonts w:ascii="Times New Roman" w:hAnsi="Times New Roman" w:cs="Times New Roman"/>
          <w:noProof/>
          <w:sz w:val="24"/>
          <w:szCs w:val="24"/>
        </w:rPr>
      </w:pPr>
      <w:r>
        <w:rPr>
          <w:rFonts w:ascii="Times New Roman" w:hAnsi="Times New Roman"/>
          <w:i/>
          <w:noProof/>
          <w:sz w:val="24"/>
          <w:u w:val="single"/>
        </w:rPr>
        <w:t>Criterii de eligibilitate pentru beneficiari</w:t>
      </w:r>
      <w:r>
        <w:rPr>
          <w:rFonts w:ascii="Times New Roman" w:hAnsi="Times New Roman"/>
          <w:noProof/>
          <w:sz w:val="24"/>
        </w:rPr>
        <w:t xml:space="preserve"> </w:t>
      </w:r>
    </w:p>
    <w:p>
      <w:pPr>
        <w:numPr>
          <w:ilvl w:val="0"/>
          <w:numId w:val="27"/>
        </w:numPr>
        <w:jc w:val="both"/>
        <w:rPr>
          <w:rFonts w:ascii="Times New Roman" w:hAnsi="Times New Roman" w:cs="Times New Roman"/>
          <w:noProof/>
          <w:sz w:val="24"/>
          <w:szCs w:val="24"/>
        </w:rPr>
      </w:pPr>
      <w:r>
        <w:rPr>
          <w:rFonts w:ascii="Times New Roman" w:hAnsi="Times New Roman"/>
          <w:noProof/>
          <w:sz w:val="24"/>
        </w:rPr>
        <w:t>Statele membre sunt încurajate să direcționeze sprijinul în primul rând către gospodăriile cu venituri mici și medii care, în lipsa lui, probabil că nu ar reuși să realizeze tranziția către produse energetice, de încălzire și de răcire curate.</w:t>
      </w:r>
    </w:p>
    <w:p>
      <w:pPr>
        <w:numPr>
          <w:ilvl w:val="0"/>
          <w:numId w:val="28"/>
        </w:numPr>
        <w:jc w:val="both"/>
        <w:rPr>
          <w:rFonts w:ascii="Times New Roman" w:hAnsi="Times New Roman" w:cs="Times New Roman"/>
          <w:noProof/>
          <w:sz w:val="24"/>
          <w:szCs w:val="24"/>
        </w:rPr>
      </w:pPr>
      <w:r>
        <w:rPr>
          <w:rFonts w:ascii="Times New Roman" w:hAnsi="Times New Roman"/>
          <w:noProof/>
          <w:sz w:val="24"/>
        </w:rPr>
        <w:t>Direcționarea bazată pe venituri ar putea fi combinată cu criterii suplimentare: </w:t>
      </w:r>
    </w:p>
    <w:p>
      <w:pPr>
        <w:numPr>
          <w:ilvl w:val="0"/>
          <w:numId w:val="29"/>
        </w:numPr>
        <w:jc w:val="both"/>
        <w:rPr>
          <w:rFonts w:ascii="Times New Roman" w:hAnsi="Times New Roman" w:cs="Times New Roman"/>
          <w:noProof/>
          <w:sz w:val="24"/>
          <w:szCs w:val="24"/>
        </w:rPr>
      </w:pPr>
      <w:r>
        <w:rPr>
          <w:rFonts w:ascii="Times New Roman" w:hAnsi="Times New Roman"/>
          <w:noProof/>
          <w:sz w:val="24"/>
        </w:rPr>
        <w:t>schemele de leasing social pentru BEV ar putea acorda prioritate gospodăriilor care cheltuiesc mult pentru transportul privat, cum ar fi cele din zonele rurale sau îndepărtate în care transportul public este limitat, iar nevoile de mobilitate sunt mari; </w:t>
      </w:r>
    </w:p>
    <w:p>
      <w:pPr>
        <w:numPr>
          <w:ilvl w:val="0"/>
          <w:numId w:val="30"/>
        </w:numPr>
        <w:jc w:val="both"/>
        <w:rPr>
          <w:rFonts w:ascii="Times New Roman" w:hAnsi="Times New Roman" w:cs="Times New Roman"/>
          <w:noProof/>
          <w:sz w:val="24"/>
          <w:szCs w:val="24"/>
        </w:rPr>
      </w:pPr>
      <w:r>
        <w:rPr>
          <w:rFonts w:ascii="Times New Roman" w:hAnsi="Times New Roman"/>
          <w:noProof/>
          <w:sz w:val="24"/>
        </w:rPr>
        <w:t>leasingul social și schemele de sprijin pentru produsele energetice și de încălzire curate din sectorul construcțiilor s-ar putea adresa gospodăriilor care depind de soluții de încălzire cu emisii ridicate de dioxid de carbon (de exemplu păcură, cărbune, centrale vechi pe gaz) și care nu se află în raza unui sistem de încălzire centralizată existent sau planificat</w:t>
      </w:r>
      <w:r>
        <w:rPr>
          <w:rFonts w:ascii="Times New Roman" w:hAnsi="Times New Roman" w:cs="Times New Roman"/>
          <w:noProof/>
          <w:sz w:val="24"/>
          <w:szCs w:val="24"/>
          <w:vertAlign w:val="superscript"/>
        </w:rPr>
        <w:footnoteReference w:id="93"/>
      </w:r>
      <w:r>
        <w:rPr>
          <w:rFonts w:ascii="Times New Roman" w:hAnsi="Times New Roman"/>
          <w:noProof/>
          <w:sz w:val="24"/>
        </w:rPr>
        <w:t>. De asemenea, ar putea avea prioritate locuințele sociale și gospodăriile cu echipamente de încălzire învechite. </w:t>
      </w:r>
    </w:p>
    <w:p>
      <w:pPr>
        <w:numPr>
          <w:ilvl w:val="0"/>
          <w:numId w:val="31"/>
        </w:numPr>
        <w:jc w:val="both"/>
        <w:rPr>
          <w:rFonts w:ascii="Times New Roman" w:hAnsi="Times New Roman" w:cs="Times New Roman"/>
          <w:noProof/>
          <w:sz w:val="24"/>
          <w:szCs w:val="24"/>
        </w:rPr>
      </w:pPr>
      <w:r>
        <w:rPr>
          <w:rFonts w:ascii="Times New Roman" w:hAnsi="Times New Roman"/>
          <w:noProof/>
          <w:sz w:val="24"/>
        </w:rPr>
        <w:t>Statele membre ar putea să extindă sprijinul acordat microîntreprinderilor și actorilor din economia socială cu nevoi ridicate de energie sau de transport.</w:t>
      </w:r>
    </w:p>
    <w:p>
      <w:pPr>
        <w:jc w:val="both"/>
        <w:rPr>
          <w:rFonts w:ascii="Times New Roman" w:hAnsi="Times New Roman" w:cs="Times New Roman"/>
          <w:noProof/>
          <w:sz w:val="24"/>
          <w:szCs w:val="24"/>
        </w:rPr>
      </w:pPr>
      <w:r>
        <w:rPr>
          <w:rFonts w:ascii="Times New Roman" w:hAnsi="Times New Roman"/>
          <w:i/>
          <w:noProof/>
          <w:sz w:val="24"/>
          <w:u w:val="single"/>
        </w:rPr>
        <w:t>Cerințe tehnice, sociale și de mediu pentru produsele energetice, de încălzire și de răcire curate</w:t>
      </w:r>
      <w:r>
        <w:rPr>
          <w:rFonts w:ascii="Times New Roman" w:hAnsi="Times New Roman"/>
          <w:noProof/>
          <w:sz w:val="24"/>
        </w:rPr>
        <w:t xml:space="preserve"> </w:t>
      </w:r>
    </w:p>
    <w:p>
      <w:pPr>
        <w:numPr>
          <w:ilvl w:val="0"/>
          <w:numId w:val="32"/>
        </w:numPr>
        <w:jc w:val="both"/>
        <w:rPr>
          <w:rFonts w:ascii="Times New Roman" w:hAnsi="Times New Roman" w:cs="Times New Roman"/>
          <w:noProof/>
          <w:sz w:val="24"/>
          <w:szCs w:val="24"/>
        </w:rPr>
      </w:pPr>
      <w:r>
        <w:rPr>
          <w:rFonts w:ascii="Times New Roman" w:hAnsi="Times New Roman"/>
          <w:noProof/>
          <w:sz w:val="24"/>
        </w:rPr>
        <w:t>Statele membre sunt puternic încurajate să aplice cerințele privind fabricarea în UE, în conformitate cu propunerea de act legislativ privind accelerarea industrială, prin stabilirea unor norme privind conținutul local menite să stimuleze producția și crearea de locuri de muncă în UE. În acest mod, schemele de leasing social pot oferi totodată semnalul unei cereri stabile și previzibile pentru producătorii de BEV, pompe de căldură și componente fotovoltaice din UE.</w:t>
      </w:r>
    </w:p>
    <w:p>
      <w:pPr>
        <w:numPr>
          <w:ilvl w:val="0"/>
          <w:numId w:val="32"/>
        </w:numPr>
        <w:jc w:val="both"/>
        <w:rPr>
          <w:rFonts w:ascii="Times New Roman" w:hAnsi="Times New Roman" w:cs="Times New Roman"/>
          <w:noProof/>
          <w:sz w:val="24"/>
          <w:szCs w:val="24"/>
        </w:rPr>
      </w:pPr>
      <w:r>
        <w:rPr>
          <w:rFonts w:ascii="Times New Roman" w:hAnsi="Times New Roman"/>
          <w:noProof/>
          <w:sz w:val="24"/>
        </w:rPr>
        <w:lastRenderedPageBreak/>
        <w:t>Statele membre au obligația de a aplica cerințele de reziliență și durabilitate prevăzute la articolul 28 din Regulamentul privind industria „zero net” în cazul leasingului social și al schemelor de sprijin pentru tehnologiile „zero net”</w:t>
      </w:r>
      <w:r>
        <w:rPr>
          <w:rFonts w:ascii="Times New Roman" w:hAnsi="Times New Roman" w:cs="Times New Roman"/>
          <w:noProof/>
          <w:sz w:val="24"/>
          <w:szCs w:val="24"/>
          <w:vertAlign w:val="superscript"/>
        </w:rPr>
        <w:footnoteReference w:id="94"/>
      </w:r>
      <w:r>
        <w:rPr>
          <w:rFonts w:ascii="Times New Roman" w:hAnsi="Times New Roman"/>
          <w:noProof/>
          <w:sz w:val="24"/>
        </w:rPr>
        <w:t>.</w:t>
      </w:r>
    </w:p>
    <w:p>
      <w:pPr>
        <w:numPr>
          <w:ilvl w:val="0"/>
          <w:numId w:val="33"/>
        </w:numPr>
        <w:jc w:val="both"/>
        <w:rPr>
          <w:rFonts w:ascii="Times New Roman" w:hAnsi="Times New Roman" w:cs="Times New Roman"/>
          <w:noProof/>
          <w:sz w:val="24"/>
          <w:szCs w:val="24"/>
        </w:rPr>
      </w:pPr>
      <w:r>
        <w:rPr>
          <w:rFonts w:ascii="Times New Roman" w:hAnsi="Times New Roman"/>
          <w:noProof/>
          <w:sz w:val="24"/>
        </w:rPr>
        <w:t>În ceea ce privește BEV, statele membre sunt încurajate: </w:t>
      </w:r>
    </w:p>
    <w:p>
      <w:pPr>
        <w:numPr>
          <w:ilvl w:val="0"/>
          <w:numId w:val="34"/>
        </w:numPr>
        <w:jc w:val="both"/>
        <w:rPr>
          <w:rFonts w:ascii="Times New Roman" w:hAnsi="Times New Roman" w:cs="Times New Roman"/>
          <w:noProof/>
          <w:sz w:val="24"/>
          <w:szCs w:val="24"/>
        </w:rPr>
      </w:pPr>
      <w:r>
        <w:rPr>
          <w:rFonts w:ascii="Times New Roman" w:hAnsi="Times New Roman"/>
          <w:noProof/>
          <w:sz w:val="24"/>
        </w:rPr>
        <w:t>să acorde prioritate sprijinului pentru vehicule în cadrul inițiativei privind automobilele mici la prețuri accesibile, care vizează BEV cu o lungime de până la 4,2 metri</w:t>
      </w:r>
      <w:r>
        <w:rPr>
          <w:rFonts w:ascii="Times New Roman" w:hAnsi="Times New Roman" w:cs="Times New Roman"/>
          <w:noProof/>
          <w:sz w:val="24"/>
          <w:szCs w:val="24"/>
          <w:vertAlign w:val="superscript"/>
        </w:rPr>
        <w:footnoteReference w:id="95"/>
      </w:r>
      <w:r>
        <w:rPr>
          <w:rFonts w:ascii="Times New Roman" w:hAnsi="Times New Roman"/>
          <w:noProof/>
          <w:sz w:val="24"/>
        </w:rPr>
        <w:t>, și să acorde excepții familiilor mai numeroase și persoanelor cu dizabilități; </w:t>
      </w:r>
    </w:p>
    <w:p>
      <w:pPr>
        <w:numPr>
          <w:ilvl w:val="0"/>
          <w:numId w:val="34"/>
        </w:numPr>
        <w:jc w:val="both"/>
        <w:rPr>
          <w:rFonts w:ascii="Times New Roman" w:hAnsi="Times New Roman" w:cs="Times New Roman"/>
          <w:noProof/>
          <w:sz w:val="24"/>
          <w:szCs w:val="24"/>
        </w:rPr>
      </w:pPr>
      <w:r>
        <w:rPr>
          <w:rFonts w:ascii="Times New Roman" w:hAnsi="Times New Roman"/>
          <w:noProof/>
          <w:sz w:val="24"/>
        </w:rPr>
        <w:t>să evalueze includerea BEV de ocazie, cu scopul de a îmbunătăți accesibilitatea și eficiența din punctul de vedere al costurilor;</w:t>
      </w:r>
    </w:p>
    <w:p>
      <w:pPr>
        <w:numPr>
          <w:ilvl w:val="0"/>
          <w:numId w:val="34"/>
        </w:numPr>
        <w:jc w:val="both"/>
        <w:rPr>
          <w:rFonts w:ascii="Times New Roman" w:hAnsi="Times New Roman" w:cs="Times New Roman"/>
          <w:noProof/>
          <w:sz w:val="24"/>
          <w:szCs w:val="24"/>
        </w:rPr>
      </w:pPr>
      <w:r>
        <w:rPr>
          <w:rFonts w:ascii="Times New Roman" w:hAnsi="Times New Roman"/>
          <w:noProof/>
          <w:sz w:val="24"/>
        </w:rPr>
        <w:t>să evalueze oportunitatea asocierii sprijinului pentru BEV cu schemele de casare care impun scoaterea din uz a vehiculelor cu motor cu ardere internă. </w:t>
      </w:r>
    </w:p>
    <w:p>
      <w:pPr>
        <w:jc w:val="both"/>
        <w:rPr>
          <w:rFonts w:ascii="Times New Roman" w:hAnsi="Times New Roman" w:cs="Times New Roman"/>
          <w:noProof/>
          <w:sz w:val="24"/>
          <w:szCs w:val="24"/>
        </w:rPr>
      </w:pPr>
      <w:r>
        <w:rPr>
          <w:rFonts w:ascii="Times New Roman" w:hAnsi="Times New Roman"/>
          <w:i/>
          <w:noProof/>
          <w:sz w:val="24"/>
          <w:u w:val="single"/>
        </w:rPr>
        <w:t>Clauze și condiții privind leasingul social și alte scheme de sprijin</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Pentru a asigura un grad ridicat de utilizare a leasingului social și a altor scheme de sprijin, statele membre ar putea: </w:t>
      </w:r>
    </w:p>
    <w:p>
      <w:pPr>
        <w:numPr>
          <w:ilvl w:val="0"/>
          <w:numId w:val="35"/>
        </w:numPr>
        <w:jc w:val="both"/>
        <w:rPr>
          <w:rFonts w:ascii="Times New Roman" w:hAnsi="Times New Roman" w:cs="Times New Roman"/>
          <w:noProof/>
          <w:sz w:val="24"/>
          <w:szCs w:val="24"/>
        </w:rPr>
      </w:pPr>
      <w:r>
        <w:rPr>
          <w:rFonts w:ascii="Times New Roman" w:hAnsi="Times New Roman"/>
          <w:noProof/>
          <w:sz w:val="24"/>
        </w:rPr>
        <w:t>să meargă în întâmpinarea gospodăriilor vizate și să le ofere sprijin prin campanii de sensibilizare, îndrumare personalizată și informații clare despre modalitatea de combinare a schemelor cu alte granturi sau stimulente; </w:t>
      </w:r>
    </w:p>
    <w:p>
      <w:pPr>
        <w:numPr>
          <w:ilvl w:val="0"/>
          <w:numId w:val="36"/>
        </w:numPr>
        <w:jc w:val="both"/>
        <w:rPr>
          <w:rFonts w:ascii="Times New Roman" w:hAnsi="Times New Roman" w:cs="Times New Roman"/>
          <w:noProof/>
          <w:sz w:val="24"/>
          <w:szCs w:val="24"/>
        </w:rPr>
      </w:pPr>
      <w:r>
        <w:rPr>
          <w:rFonts w:ascii="Times New Roman" w:hAnsi="Times New Roman"/>
          <w:noProof/>
          <w:sz w:val="24"/>
        </w:rPr>
        <w:t>să asigure proceduri simple și cât mai puțin birocratice de depunere a cererilor, prin ghișee unice</w:t>
      </w:r>
      <w:r>
        <w:rPr>
          <w:rFonts w:ascii="Times New Roman" w:hAnsi="Times New Roman" w:cs="Times New Roman"/>
          <w:noProof/>
          <w:sz w:val="24"/>
          <w:szCs w:val="24"/>
          <w:vertAlign w:val="superscript"/>
        </w:rPr>
        <w:footnoteReference w:id="96"/>
      </w:r>
      <w:r>
        <w:rPr>
          <w:rFonts w:ascii="Times New Roman" w:hAnsi="Times New Roman"/>
          <w:noProof/>
          <w:sz w:val="24"/>
        </w:rPr>
        <w:t>, și să permită furnizorilor să gestioneze cererile în numele gospodăriilor pentru a accelera accesul. Atunci când este posibil, verificarea eligibilității ar trebui să se bazeze pe datele aflate deja la dispoziția administrațiilor publice (de exemplu, pe evidențele fiscale sau de securitate socială), pentru ca documentația necesară să nu cadă în sarcina solicitanților;</w:t>
      </w:r>
    </w:p>
    <w:p>
      <w:pPr>
        <w:numPr>
          <w:ilvl w:val="0"/>
          <w:numId w:val="37"/>
        </w:numPr>
        <w:jc w:val="both"/>
        <w:rPr>
          <w:rFonts w:ascii="Times New Roman" w:hAnsi="Times New Roman" w:cs="Times New Roman"/>
          <w:noProof/>
          <w:sz w:val="24"/>
          <w:szCs w:val="24"/>
        </w:rPr>
      </w:pPr>
      <w:r>
        <w:rPr>
          <w:rFonts w:ascii="Times New Roman" w:hAnsi="Times New Roman"/>
          <w:noProof/>
          <w:sz w:val="24"/>
        </w:rPr>
        <w:t>să elaboreze contracte ușor de înțeles de către utilizatori, care să includă în mod transparent toate costurile și procedurile de reziliere. În cazul leasingului social, ar putea fi inclusă o opțiune de achiziționare a activului la sfârșitul perioadei de leasing, la o valoare reziduală definită în prealabil; </w:t>
      </w:r>
    </w:p>
    <w:p>
      <w:pPr>
        <w:numPr>
          <w:ilvl w:val="0"/>
          <w:numId w:val="38"/>
        </w:numPr>
        <w:jc w:val="both"/>
        <w:rPr>
          <w:rFonts w:ascii="Times New Roman" w:hAnsi="Times New Roman" w:cs="Times New Roman"/>
          <w:noProof/>
          <w:sz w:val="24"/>
          <w:szCs w:val="24"/>
        </w:rPr>
      </w:pPr>
      <w:r>
        <w:rPr>
          <w:rFonts w:ascii="Times New Roman" w:hAnsi="Times New Roman"/>
          <w:noProof/>
          <w:sz w:val="24"/>
        </w:rPr>
        <w:t>să includă unor orientări de specialitate privind opțiunile tehnologice pentru clădiri (de exemplu o mai bună izolare, radiatoare mai mari, dimensionarea și alegerea corectă a pompelor de căldură), pentru a se asigura că soluțiile sunt potrivite pentru nevoile gospodăriilor și asigură eficiența clădirilor.</w:t>
      </w:r>
    </w:p>
    <w:p>
      <w:pPr>
        <w:jc w:val="both"/>
        <w:rPr>
          <w:rFonts w:ascii="Times New Roman" w:hAnsi="Times New Roman" w:cs="Times New Roman"/>
          <w:noProof/>
          <w:sz w:val="24"/>
          <w:szCs w:val="24"/>
        </w:rPr>
      </w:pPr>
      <w:r>
        <w:rPr>
          <w:rFonts w:ascii="Times New Roman" w:hAnsi="Times New Roman"/>
          <w:i/>
          <w:noProof/>
          <w:sz w:val="24"/>
          <w:u w:val="single"/>
        </w:rPr>
        <w:t>Măsuri complementare</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Statele membre ar putea să combine leasingul social și schemele de sprijin pentru produsele energetice, de încălzire și de răcire curate cu măsuri și investiții complementare menite să maximizeze gradul de adoptare și să asigure prețuri mai accesibile. De exemplu: </w:t>
      </w:r>
    </w:p>
    <w:p>
      <w:pPr>
        <w:numPr>
          <w:ilvl w:val="0"/>
          <w:numId w:val="39"/>
        </w:numPr>
        <w:jc w:val="both"/>
        <w:rPr>
          <w:rFonts w:ascii="Times New Roman" w:hAnsi="Times New Roman" w:cs="Times New Roman"/>
          <w:noProof/>
          <w:sz w:val="24"/>
          <w:szCs w:val="24"/>
        </w:rPr>
      </w:pPr>
      <w:r>
        <w:rPr>
          <w:rFonts w:ascii="Times New Roman" w:hAnsi="Times New Roman"/>
          <w:noProof/>
          <w:sz w:val="24"/>
        </w:rPr>
        <w:lastRenderedPageBreak/>
        <w:t>ar putea fi avute în vedere tarife preferențiale la energia electrică pentru a reduce costurile de exploatare, alături de eforturi mai ample de scădere a prețurilor energiei electrice (de exemplu prin reducerea impozitelor și a taxelor) și de remunerarea flexibilității; </w:t>
      </w:r>
    </w:p>
    <w:p>
      <w:pPr>
        <w:numPr>
          <w:ilvl w:val="0"/>
          <w:numId w:val="39"/>
        </w:numPr>
        <w:jc w:val="both"/>
        <w:rPr>
          <w:rFonts w:ascii="Times New Roman" w:hAnsi="Times New Roman" w:cs="Times New Roman"/>
          <w:noProof/>
          <w:sz w:val="24"/>
          <w:szCs w:val="24"/>
        </w:rPr>
      </w:pPr>
      <w:r>
        <w:rPr>
          <w:rFonts w:ascii="Times New Roman" w:hAnsi="Times New Roman"/>
          <w:noProof/>
          <w:sz w:val="24"/>
        </w:rPr>
        <w:t>ar putea fi avută în vedere sprijinirea instalațiilor fotovoltaice comune și a echipamentelor de energie termică solară, a bateriilor și a pompelor de căldură comune în cazul gospodăriilor din clădiri cu mai multe apartamente și al comunităților mici;</w:t>
      </w:r>
    </w:p>
    <w:p>
      <w:pPr>
        <w:numPr>
          <w:ilvl w:val="0"/>
          <w:numId w:val="40"/>
        </w:numPr>
        <w:jc w:val="both"/>
        <w:rPr>
          <w:rFonts w:ascii="Times New Roman" w:hAnsi="Times New Roman" w:cs="Times New Roman"/>
          <w:noProof/>
          <w:sz w:val="24"/>
          <w:szCs w:val="24"/>
        </w:rPr>
      </w:pPr>
      <w:r>
        <w:rPr>
          <w:rFonts w:ascii="Times New Roman" w:hAnsi="Times New Roman"/>
          <w:noProof/>
          <w:sz w:val="24"/>
        </w:rPr>
        <w:t>s-ar putea asigura posibilitatea chiriașilor de a beneficia produse energetice, de încălzire și de răcire curate prin eliminarea motivațiilor divergente dintre proprietari și chiriași (de exemplu prin reglementări sau stimulente specifice pentru proprietari), protejând în același timp chiriașii împotriva creșterilor nejustificate ale chiriilor sau a evacuării sub pretextul modernizărilor; </w:t>
      </w:r>
    </w:p>
    <w:p>
      <w:pPr>
        <w:numPr>
          <w:ilvl w:val="0"/>
          <w:numId w:val="41"/>
        </w:numPr>
        <w:jc w:val="both"/>
        <w:rPr>
          <w:rFonts w:ascii="Times New Roman" w:hAnsi="Times New Roman" w:cs="Times New Roman"/>
          <w:noProof/>
          <w:sz w:val="24"/>
          <w:szCs w:val="24"/>
        </w:rPr>
      </w:pPr>
      <w:r>
        <w:rPr>
          <w:rFonts w:ascii="Times New Roman" w:hAnsi="Times New Roman"/>
          <w:noProof/>
          <w:sz w:val="24"/>
        </w:rPr>
        <w:t>ar putea fi avută în vedere corelarea leasingului social pentru BEV cu subvenționarea încărcătoarelor pentru locuințe și cu accesul la rețele publice de încărcare la prețuri accesibile, pentru a reduce costurile totale de funcționare; </w:t>
      </w:r>
    </w:p>
    <w:p>
      <w:pPr>
        <w:numPr>
          <w:ilvl w:val="0"/>
          <w:numId w:val="42"/>
        </w:numPr>
        <w:jc w:val="both"/>
        <w:rPr>
          <w:rFonts w:ascii="Times New Roman" w:hAnsi="Times New Roman" w:cs="Times New Roman"/>
          <w:noProof/>
          <w:sz w:val="24"/>
          <w:szCs w:val="24"/>
        </w:rPr>
      </w:pPr>
      <w:r>
        <w:rPr>
          <w:rFonts w:ascii="Times New Roman" w:hAnsi="Times New Roman"/>
          <w:noProof/>
          <w:sz w:val="24"/>
        </w:rPr>
        <w:t>după caz, sprijinul pentru pompele de căldură ar putea fi combinat cu renovarea pentru creșterea eficienței energetice și cu instalații fotovoltaice; </w:t>
      </w:r>
    </w:p>
    <w:p>
      <w:pPr>
        <w:numPr>
          <w:ilvl w:val="0"/>
          <w:numId w:val="43"/>
        </w:numPr>
        <w:jc w:val="both"/>
        <w:rPr>
          <w:rFonts w:ascii="Times New Roman" w:hAnsi="Times New Roman" w:cs="Times New Roman"/>
          <w:noProof/>
          <w:sz w:val="24"/>
          <w:szCs w:val="24"/>
        </w:rPr>
      </w:pPr>
      <w:r>
        <w:rPr>
          <w:rFonts w:ascii="Times New Roman" w:hAnsi="Times New Roman"/>
          <w:noProof/>
          <w:sz w:val="24"/>
        </w:rPr>
        <w:t>după caz, sprijinul pentru instalațiile fotovoltaice ar putea fi combinat cu baterii pentru a maximiza autoconsumul, a reduce dependența de energia electrică din rețea și a scădea facturile de energie, în special în timpul orelor de vârf.</w:t>
      </w:r>
    </w:p>
    <w:p>
      <w:pPr>
        <w:jc w:val="both"/>
        <w:rPr>
          <w:rFonts w:ascii="Times New Roman" w:hAnsi="Times New Roman" w:cs="Times New Roman"/>
          <w:noProof/>
          <w:sz w:val="24"/>
          <w:szCs w:val="24"/>
        </w:rPr>
      </w:pPr>
      <w:r>
        <w:rPr>
          <w:rFonts w:ascii="Times New Roman" w:hAnsi="Times New Roman"/>
          <w:noProof/>
          <w:sz w:val="24"/>
        </w:rPr>
        <w:t>În ceea ce privește pompele de căldură, statele membre sunt încurajate să ia în considerare posibilitatea unor scheme de leasing social în planurile lor de adaptare la schimbările climatice, întrucât pompele de căldură reversibile pot asigura răcirea gospodăriilor vulnerabile la prețuri accesibile în perioadele caniculare.</w:t>
      </w:r>
    </w:p>
    <w:p>
      <w:pPr>
        <w:jc w:val="both"/>
        <w:rPr>
          <w:rFonts w:ascii="Times New Roman" w:hAnsi="Times New Roman" w:cs="Times New Roman"/>
          <w:noProof/>
          <w:sz w:val="24"/>
          <w:szCs w:val="24"/>
        </w:rPr>
      </w:pPr>
      <w:r>
        <w:rPr>
          <w:rFonts w:ascii="Times New Roman" w:hAnsi="Times New Roman"/>
          <w:i/>
          <w:noProof/>
          <w:sz w:val="24"/>
          <w:u w:val="single"/>
        </w:rPr>
        <w:t>Punere generală în aplicare</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 xml:space="preserve">În ceea ce privește punerea în aplicare, statele membre sunt încurajate să monitorizeze și să evalueze impactul și implicațiile setului cuprinzător de măsuri de sprijin și de leasing social. Acesta este un demers important pentru a asigura coerența generală a diferitelor măsuri, în sensul de a evita duplicarea și suprapunerile, precum și pentru a asigura politici eficiente din punctul de vedere al costurilor. </w:t>
      </w:r>
    </w:p>
    <w:p>
      <w:pPr>
        <w:jc w:val="both"/>
        <w:rPr>
          <w:rFonts w:ascii="Times New Roman" w:hAnsi="Times New Roman" w:cs="Times New Roman"/>
          <w:noProof/>
          <w:sz w:val="24"/>
          <w:szCs w:val="24"/>
        </w:rPr>
      </w:pPr>
    </w:p>
    <w:p>
      <w:pPr>
        <w:rPr>
          <w:rFonts w:ascii="Times New Roman" w:hAnsi="Times New Roman" w:cs="Times New Roman"/>
          <w:noProof/>
          <w:sz w:val="24"/>
          <w:szCs w:val="24"/>
        </w:rPr>
      </w:pPr>
    </w:p>
    <w:sectPr>
      <w:headerReference w:type="default" r:id="rId28"/>
      <w:footerReference w:type="default" r:id="rId2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1325920"/>
      <w:docPartObj>
        <w:docPartGallery w:val="Page Numbers (Bottom of Page)"/>
        <w:docPartUnique/>
      </w:docPartObj>
    </w:sdtPr>
    <w:sdtEndPr>
      <w:rPr>
        <w:rFonts w:ascii="Times New Roman" w:hAnsi="Times New Roman"/>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176517"/>
      <w:docPartObj>
        <w:docPartGallery w:val="Page Numbers (Bottom of Page)"/>
        <w:docPartUnique/>
      </w:docPartObj>
    </w:sdtPr>
    <w:sdtEndPr>
      <w:rPr>
        <w:rFonts w:ascii="Times New Roman" w:hAnsi="Times New Roman"/>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sdtContent>
  </w:sdt>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116983"/>
      <w:docPartObj>
        <w:docPartGallery w:val="Page Numbers (Bottom of Page)"/>
        <w:docPartUnique/>
      </w:docPartObj>
    </w:sdtPr>
    <w:sdtEndPr>
      <w:rPr>
        <w:rFonts w:ascii="Times New Roman" w:hAnsi="Times New Roman"/>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Style w:val="FootnoteReference"/>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 Cifrele se referă la energia primară.</w:t>
      </w:r>
      <w:r>
        <w:rPr>
          <w:rStyle w:val="FootnoteReference"/>
          <w:rFonts w:ascii="Times New Roman" w:hAnsi="Times New Roman"/>
          <w:sz w:val="16"/>
        </w:rPr>
        <w:t xml:space="preserve"> </w:t>
      </w:r>
    </w:p>
  </w:footnote>
  <w:footnote w:id="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Agenția Internațională a Energiei (AIE) a estimat că, în 2023, energia curată a reprezentat 10 % din creșterea PIB-ului mondial din anul respectiv, iar în Uniunea Europeană a reprezentat aproape o treime din creșterea PIB-ului, cea mai mare pondere dintre regiunile evaluate de AIE. De asemenea, AIE a remarcat că, la nivel mondial, investițiile și vânzările din 2023 în domeniul energiei curate au reprezentat între 1 % și 4 % din PIB-ul total în cele patru regiuni majore evaluate, precum și că în cadrul lanțurilor de aprovizionare cu energie curată erau angajați </w:t>
      </w:r>
      <w:hyperlink r:id="rId1" w:history="1">
        <w:r>
          <w:rPr>
            <w:rStyle w:val="Hyperlink"/>
            <w:rFonts w:ascii="Times New Roman" w:hAnsi="Times New Roman"/>
            <w:sz w:val="16"/>
          </w:rPr>
          <w:t>36 de milioane de lucrători</w:t>
        </w:r>
      </w:hyperlink>
      <w:r>
        <w:rPr>
          <w:rFonts w:ascii="Times New Roman" w:hAnsi="Times New Roman"/>
          <w:sz w:val="16"/>
        </w:rPr>
        <w:t>. Sursa: https://www.iea.org/commentaries/clean-energy-is-boosting-economic-growth.</w:t>
      </w:r>
    </w:p>
  </w:footnote>
  <w:footnote w:id="4">
    <w:p>
      <w:pPr>
        <w:pStyle w:val="FootnoteText"/>
      </w:pPr>
      <w:r>
        <w:rPr>
          <w:rStyle w:val="FootnoteReference"/>
          <w:rFonts w:ascii="Times New Roman" w:hAnsi="Times New Roman" w:cs="Times New Roman"/>
          <w:sz w:val="16"/>
          <w:szCs w:val="16"/>
        </w:rPr>
        <w:footnoteRef/>
      </w:r>
      <w:r>
        <w:rPr>
          <w:rFonts w:ascii="Times New Roman" w:hAnsi="Times New Roman"/>
          <w:sz w:val="16"/>
        </w:rPr>
        <w:t xml:space="preserve"> Aproximativ 20-30 % din emisiile actuale de CO₂.</w:t>
      </w:r>
    </w:p>
  </w:footnote>
  <w:footnote w:id="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„5 things you should know about heat pumps” (Cinci lucruri pe care ar trebui să le știți despre pompele de căldură), DG ENER.</w:t>
      </w:r>
    </w:p>
  </w:footnote>
  <w:footnote w:id="6">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Ayvens – Car cost index (Indicele costurilor automobilelor) 2025. </w:t>
      </w:r>
    </w:p>
  </w:footnote>
  <w:footnote w:id="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 w:history="1">
        <w:r>
          <w:rPr>
            <w:rStyle w:val="Hyperlink"/>
            <w:rFonts w:ascii="Times New Roman" w:hAnsi="Times New Roman"/>
            <w:sz w:val="16"/>
          </w:rPr>
          <w:t>AIE – impetus for EU electrification</w:t>
        </w:r>
      </w:hyperlink>
      <w:r>
        <w:rPr>
          <w:rFonts w:ascii="Times New Roman" w:hAnsi="Times New Roman"/>
          <w:sz w:val="16"/>
        </w:rPr>
        <w:t xml:space="preserve"> (imbold pentru electrificarea UE). Rata de electrificare corespunde ponderii energiei electrice în consumul final de energie.</w:t>
      </w:r>
    </w:p>
  </w:footnote>
  <w:footnote w:id="8">
    <w:p>
      <w:pPr>
        <w:pStyle w:val="FootnoteText"/>
      </w:pPr>
      <w:r>
        <w:rPr>
          <w:rStyle w:val="FootnoteReference"/>
        </w:rPr>
        <w:footnoteRef/>
      </w:r>
      <w:r>
        <w:rPr>
          <w:rFonts w:ascii="Times New Roman" w:hAnsi="Times New Roman"/>
          <w:sz w:val="16"/>
        </w:rPr>
        <w:t xml:space="preserve"> BEV se referă la vehiculele care funcționează numai cu un motor electric, în timp ce vehiculele electrice (EV) cuprind atât BEV, cât și vehiculele hibride reîncărcabile care utilizează în plus un motor cu ardere.</w:t>
      </w:r>
    </w:p>
  </w:footnote>
  <w:footnote w:id="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Observatorul european privind combustibilii alternativi; Asociația europeană a pompelor de căldură.</w:t>
      </w:r>
    </w:p>
  </w:footnote>
  <w:footnote w:id="10">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IRENA, Renewable energy and jobs: Annual review 2025 (Energia din surse regenerabile și locurile de muncă: Raport anual 2025); AIE, World Energy Employment (Ocuparea forței de muncă în sectorul energetic la nivel mondial) 2025; GIFEN, Programme Match (Programul Match), aprilie 2023; Programul pentru cercetare și formare al Euratom (Proiectul ENEN2plus).</w:t>
      </w:r>
    </w:p>
  </w:footnote>
  <w:footnote w:id="1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Comentariu AIE – „Clean energy is boosting economic growth” (Energia curată stimulează creșterea economică), aprilie 2024.</w:t>
      </w:r>
    </w:p>
  </w:footnote>
  <w:footnote w:id="1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funcție de statul membru. Site-ul https://evroutes.com utilizează prețurile locuințelor pentru a calcula economiile rezultate din utilizarea energiei electrice în comparație cu petrolul.</w:t>
      </w:r>
    </w:p>
  </w:footnote>
  <w:footnote w:id="1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Comisia Europeană – „Five things you should know about heat pumps” (Cinci lucruri pe care ar trebui să le știți despre pompele de căldură): https://energy.ec.europa.eu/news/5-things-you-should-know-about-heat-pumps-2025-12-05_en.</w:t>
      </w:r>
    </w:p>
  </w:footnote>
  <w:footnote w:id="1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AIE – „Renewables for industry – electrification of low-temperature heat and steam” (Surse regenerabile de energie pentru industrie – electrificarea căldurii la temperatură joasă și a producerii aburului), 2026.</w:t>
      </w:r>
    </w:p>
  </w:footnote>
  <w:footnote w:id="1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 exemplu, Directiva privind energia din surse regenerabile (DESR), Directiva privind eficiența energetică (DEE) și organizarea pieței energiei electrice. DESR impune integrarea energiei electrice din surse regenerabile în încălzire, răcire și transporturi, stimulând în mod direct electrificarea. Organizarea pieței energiei electrice permite comunităților de energie să genereze, să stocheze și să partajeze energie electrică din surse regenerabile. DEE prevede obligația ca politicile naționale să pună în aplicare principiul „eficiența energetică înainte de toate”, care acordă prioritate soluțiilor electrice eficiente din punctul de vedere al costurilor și cu randament mare față de arderea combustibililor fosili tradiționali.</w:t>
      </w:r>
    </w:p>
  </w:footnote>
  <w:footnote w:id="1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 w:history="1">
        <w:r>
          <w:rPr>
            <w:rFonts w:ascii="Times New Roman" w:hAnsi="Times New Roman"/>
            <w:color w:val="0000FF"/>
            <w:sz w:val="16"/>
            <w:u w:val="single"/>
          </w:rPr>
          <w:t>Electrify Now – Energie – Comisia Europeană</w:t>
        </w:r>
      </w:hyperlink>
      <w:r>
        <w:rPr>
          <w:sz w:val="16"/>
          <w:szCs w:val="16"/>
        </w:rPr>
        <w:t>.</w:t>
      </w:r>
    </w:p>
  </w:footnote>
  <w:footnote w:id="1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Evaluarea completă din 2025 a progreselor înregistrate în ceea ce privește punerea în aplicare a Recomandării Consiliului privind asigurarea unei tranziții echitabile către neutralitatea climatică, document de lucru al Comisiei Europene, iulie 2026 (încă nepublicat).</w:t>
      </w:r>
    </w:p>
  </w:footnote>
  <w:footnote w:id="1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w:t>
      </w:r>
    </w:p>
  </w:footnote>
  <w:footnote w:id="1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COM(2026) 370 final.</w:t>
      </w:r>
    </w:p>
  </w:footnote>
  <w:footnote w:id="2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Indicatorul-cheie de performanță pentru rata de electrificare este de 32 % până în 2030.</w:t>
      </w:r>
    </w:p>
  </w:footnote>
  <w:footnote w:id="2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Numai în Finlanda și Suedia raportul dintre prețul energiei electrice și cel al gazelor este mai mic de 2 pentru aceeași cantitate de energie – calcule proprii bazate pe datele Eurostat pentru a doua jumătate a anului 2024. </w:t>
      </w:r>
    </w:p>
  </w:footnote>
  <w:footnote w:id="2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Sursa: Eurostat, toate taxele, inclusiv accizele și TVA-ul.</w:t>
      </w:r>
    </w:p>
  </w:footnote>
  <w:footnote w:id="2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Franța, Germania, Italia, Portugalia și Grecia. </w:t>
      </w:r>
    </w:p>
  </w:footnote>
  <w:footnote w:id="24">
    <w:p>
      <w:pPr>
        <w:pStyle w:val="FootnoteText"/>
        <w:rPr>
          <w:rStyle w:val="FootnoteReference"/>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Sursa: VaasaETT, date pentru mai 2026: 48 % energie electrică, 26 % taxe și impozite, 26 % tarife de rețea.</w:t>
      </w:r>
    </w:p>
  </w:footnote>
  <w:footnote w:id="2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EHPA - Taxation policy for heat pumps (Politica fiscală pentru pompele de căldură), 2025.</w:t>
      </w:r>
    </w:p>
  </w:footnote>
  <w:footnote w:id="26">
    <w:p>
      <w:pPr>
        <w:spacing w:after="0"/>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Malta, Cipru și Finlanda (la nivelul gospodăriilor) nu sunt prezente în seturile de date relevante ale Eurostat.</w:t>
      </w:r>
    </w:p>
  </w:footnote>
  <w:footnote w:id="2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Calculul Comisiei pe baza datelor EUROSTAT.</w:t>
      </w:r>
    </w:p>
  </w:footnote>
  <w:footnote w:id="2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 exemplu, vehiculele electrice pot fi implicate în încărcarea inteligentă și bidirecțională prin intermediul serviciilor de la vehicul la rețea (V2G). Previziunile existente arată că, până în 2030, întreprinderile cu peste 100 de angajați (cu excepția parcurilor de vehicule pentru închiriat, a taxiurilor și a serviciilor de transport cu autoturisme private) ar putea încărca inteligent o cotă de 50 % din parcul lor auto, iar 15 % dintre autovehiculele lor ar putea reinjecta energie electrică în rețea (cotele sunt bazate pe diferite studii/publicații – ipotezele ENTSO pentru energie electrică privind planul de dezvoltare a rețelei pe zece ani, T&amp;E). Analiza Comisiei arată că, până în 2040, încărcarea inteligentă a BEV și V2G ar putea genera economii anuale de peste 44 de miliarde EUR pentru proprietarii de BEV și beneficii suplimentare pentru sistemul energetic prin reducerea nevoilor de investiții. </w:t>
      </w:r>
    </w:p>
  </w:footnote>
  <w:footnote w:id="2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 exemplu, prin intermediul unui nou grup de experți care să contribuie la activarea flexibilității oferite de clădirile și produsele noi și existente.</w:t>
      </w:r>
    </w:p>
  </w:footnote>
  <w:footnote w:id="30">
    <w:p>
      <w:pPr>
        <w:pStyle w:val="FootnoteText"/>
      </w:pPr>
      <w:r>
        <w:rPr>
          <w:rFonts w:ascii="Times New Roman" w:hAnsi="Times New Roman" w:cs="Times New Roman"/>
          <w:sz w:val="16"/>
          <w:szCs w:val="16"/>
          <w:vertAlign w:val="superscript"/>
          <w:lang w:val="en-GB"/>
        </w:rPr>
        <w:footnoteRef/>
      </w:r>
      <w:r>
        <w:rPr>
          <w:rFonts w:ascii="Times New Roman" w:hAnsi="Times New Roman"/>
          <w:sz w:val="16"/>
        </w:rPr>
        <w:t xml:space="preserve"> COM(2026) 502 final.</w:t>
      </w:r>
    </w:p>
  </w:footnote>
  <w:footnote w:id="3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https://ec.europa.eu/commission/presscorner/detail/en/ip_26_1426</w:t>
      </w:r>
      <w:r>
        <w:rPr>
          <w:sz w:val="16"/>
          <w:szCs w:val="16"/>
        </w:rPr>
        <w:t>.</w:t>
      </w:r>
    </w:p>
  </w:footnote>
  <w:footnote w:id="3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Sursa: Estimările Comisiei.</w:t>
      </w:r>
    </w:p>
  </w:footnote>
  <w:footnote w:id="3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 această evoluție pot contribui și garanțiile de origine cu granularitate mai mare. A se vedea Recomandarea Comisiei referitoare la eliminarea barierelor din calea dezvoltării contractelor de achiziție de energie electrică și a altor contracte de achiziție de energie (C/2026/2676).</w:t>
      </w:r>
    </w:p>
  </w:footnote>
  <w:footnote w:id="3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C/2026/2676.</w:t>
      </w:r>
    </w:p>
  </w:footnote>
  <w:footnote w:id="3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Pe baza atribuirii competențelor necesare Comisiei pentru a lua măsuri în acest domeniu, propusă prin Omnibus IX (Omnibus privind autovehiculele).</w:t>
      </w:r>
    </w:p>
  </w:footnote>
  <w:footnote w:id="3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Raport către Parlamentul European și Consiliu privind subvențiile pentru energie în UE (încă nepublicat).</w:t>
      </w:r>
    </w:p>
  </w:footnote>
  <w:footnote w:id="37">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Planurile de eliminare treptată a subvențiilor pentru combustibili fosili începând din 2024.</w:t>
      </w:r>
    </w:p>
  </w:footnote>
  <w:footnote w:id="3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Baza de calcul a nivelului ICP este coeficientul de performanță al pompelor de căldură de uz rezidențial și, respectiv, industrial, în comparație cu centralele pe gaz. În plus, indicatorul-cheie de performanță ține seama de necesitatea de a recupera investiția de capital inițială. </w:t>
      </w:r>
    </w:p>
  </w:footnote>
  <w:footnote w:id="3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2024, ponderea producției de energie nucleară a depășit media UE de 23 % în 9 state membre: Belgia, Bulgaria, Cehia, Finlanda, Franța, Ungaria, Slovacia, Slovenia și Suedia.</w:t>
      </w:r>
    </w:p>
  </w:footnote>
  <w:footnote w:id="4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Această înlocuire a combustibililor fosili determină totodată scăderea factorului de energie primară (FEP), ceea ce reflectă eficiența mai mare a energiei electrice în utilizările finale. FEP este definit prin Directiva privind eficiența energetică și urmează să fie revizuit până la sfârșitul anului 2026.</w:t>
      </w:r>
    </w:p>
  </w:footnote>
  <w:footnote w:id="4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Planul de acțiune pentru energie la prețuri accesibile, AccelerateEU, Directiva privind energia din surse regenerabile și organizarea pieței energiei electrice, alături de extinderea contractelor de achiziție de energie electrică și a contractelor bidirecționale pentru diferență, precum și accelerarea procesului de autorizare prin intermediul Pachetului privind rețeaua europeană.</w:t>
      </w:r>
    </w:p>
  </w:footnote>
  <w:footnote w:id="4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Cu excepția câtorva dispoziții referitoare la autorizare, al căror termen a expirat mai devreme, în iulie 2024.</w:t>
      </w:r>
    </w:p>
  </w:footnote>
  <w:footnote w:id="4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Acest instrument ar putea oferi inclusiv sprijin pentru instituirea unor zone de accelerare a producției industriale în contextul propunerii legislative de act privind accelerarea industrială.</w:t>
      </w:r>
    </w:p>
  </w:footnote>
  <w:footnote w:id="44">
    <w:p>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
        <w:r>
          <w:rPr>
            <w:rStyle w:val="Hyperlink"/>
            <w:rFonts w:ascii="Times New Roman" w:hAnsi="Times New Roman"/>
            <w:sz w:val="16"/>
          </w:rPr>
          <w:t>https://union-renewables-development-platform.ec.europa.eu/auctions/auctions-table-overview</w:t>
        </w:r>
      </w:hyperlink>
      <w:r>
        <w:t>.</w:t>
      </w:r>
      <w:r>
        <w:rPr>
          <w:rFonts w:ascii="Times New Roman" w:hAnsi="Times New Roman"/>
          <w:sz w:val="16"/>
        </w:rPr>
        <w:t xml:space="preserve"> </w:t>
      </w:r>
    </w:p>
  </w:footnote>
  <w:footnote w:id="45">
    <w:p>
      <w:pPr>
        <w:spacing w:after="0" w:line="276" w:lineRule="auto"/>
        <w:jc w:val="both"/>
        <w:rPr>
          <w:rFonts w:ascii="Times New Roman" w:eastAsia="Times New Roman" w:hAnsi="Times New Roman" w:cs="Times New Roman"/>
          <w:strike/>
          <w:color w:val="FF0000"/>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w:t>
      </w:r>
      <w:hyperlink r:id="rId5" w:history="1">
        <w:r>
          <w:rPr>
            <w:rStyle w:val="Hyperlink"/>
            <w:rFonts w:ascii="Times New Roman" w:hAnsi="Times New Roman"/>
            <w:color w:val="467886"/>
            <w:sz w:val="16"/>
          </w:rPr>
          <w:t>Ember</w:t>
        </w:r>
      </w:hyperlink>
      <w:r>
        <w:rPr>
          <w:rFonts w:ascii="Times New Roman" w:hAnsi="Times New Roman"/>
          <w:sz w:val="16"/>
        </w:rPr>
        <w:t xml:space="preserve"> estimează că </w:t>
      </w:r>
      <w:r>
        <w:rPr>
          <w:rFonts w:ascii="Times New Roman" w:hAnsi="Times New Roman"/>
          <w:color w:val="008080"/>
          <w:sz w:val="16"/>
          <w:u w:val="single"/>
        </w:rPr>
        <w:t>în UE</w:t>
      </w:r>
      <w:r>
        <w:rPr>
          <w:rFonts w:ascii="Times New Roman" w:hAnsi="Times New Roman"/>
          <w:sz w:val="16"/>
        </w:rPr>
        <w:t xml:space="preserve"> ar putea fi dezvoltată o capacitate de </w:t>
      </w:r>
      <w:r>
        <w:rPr>
          <w:rFonts w:ascii="Times New Roman" w:hAnsi="Times New Roman"/>
          <w:color w:val="008080"/>
          <w:sz w:val="16"/>
          <w:u w:val="single"/>
        </w:rPr>
        <w:t>43 GW</w:t>
      </w:r>
      <w:r>
        <w:rPr>
          <w:rFonts w:ascii="Times New Roman" w:hAnsi="Times New Roman"/>
          <w:sz w:val="16"/>
        </w:rPr>
        <w:t xml:space="preserve"> de energie geotermică îmbunătățită, la costuri mai mici de 100/MWh EUR. Ember, februarie 2026.</w:t>
      </w:r>
    </w:p>
  </w:footnote>
  <w:footnote w:id="4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Directiva 2003/87/CE a Parlamentului European și a Consiliului din 13 octombrie 2003 de stabilire a unei scheme de comercializare a certificatelor de emisii de gaze cu efect de seră în cadrul Uniunii și de modificare a Directivei 96/61/CE a Consiliului.</w:t>
      </w:r>
    </w:p>
  </w:footnote>
  <w:footnote w:id="4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Directiva (UE) 2023/959 a Parlamentului European și a Consiliului din 10 mai 2023 de modificare a Directivei 2003/87/CE de stabilire a unui sistem de comercializare a cotelor de emisie de gaze cu efect de seră în cadrul Uniunii și a Deciziei (UE) 2015/1814 privind înființarea și funcționarea unei rezerve pentru stabilitatea pieței aferentă schemei UE de comercializare a certificatelor de emisii de gaze cu efect de seră.</w:t>
      </w:r>
    </w:p>
  </w:footnote>
  <w:footnote w:id="4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Asociația europeană a pompelor de căldură EHPA – „European countries failing to make heat pumps affordable” (Țările europene nu reușesc să facă pompele de căldură accesibile).</w:t>
      </w:r>
    </w:p>
  </w:footnote>
  <w:footnote w:id="4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Comisia a recomandat astfel de stimulente fiscale în Pactul pentru o industrie curată și a stabilit principii de proiectare pentru ele.</w:t>
      </w:r>
    </w:p>
  </w:footnote>
  <w:footnote w:id="5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Semestrul european 2026 – Pachetul de primăvară – COM(2026) 200 final.</w:t>
      </w:r>
    </w:p>
  </w:footnote>
  <w:footnote w:id="51">
    <w:p>
      <w:pPr>
        <w:pStyle w:val="FootnoteText"/>
      </w:pPr>
      <w:r>
        <w:rPr>
          <w:rStyle w:val="FootnoteReference"/>
          <w:rFonts w:ascii="Times New Roman" w:hAnsi="Times New Roman" w:cs="Times New Roman"/>
          <w:sz w:val="16"/>
          <w:szCs w:val="16"/>
        </w:rPr>
        <w:footnoteRef/>
      </w:r>
      <w:r>
        <w:rPr>
          <w:rFonts w:ascii="Times New Roman" w:hAnsi="Times New Roman"/>
          <w:sz w:val="16"/>
        </w:rPr>
        <w:t xml:space="preserve"> Directiva 2006/112/CE a Consiliului din 28 noiembrie 2006 privind sistemul comun al taxei pe valoarea adăugată.</w:t>
      </w:r>
    </w:p>
  </w:footnote>
  <w:footnote w:id="5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Echivalentul necesarului de încălzire al unui număr de 15-20 de milioane de gospodării. RE-WITCH, 2025, Understanding the regulations governing waste heat &amp; cooling technologies (Înțelegerea reglementărilor privind tehnologiile pentru căldură reziduală și răcoare reziduală); Danfoss Impact, 2023, The world’s largest untapped energy source – Excess heat (Cea mai mare sursă neexploatată de energie din lume – surplusul de căldură).</w:t>
      </w:r>
    </w:p>
  </w:footnote>
  <w:footnote w:id="5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Fraunhofer ISI/Agora, „Direct electrification of industrial process heat” (Electrificarea directă a căldurii utilizate în procese industriale).</w:t>
      </w:r>
    </w:p>
  </w:footnote>
  <w:footnote w:id="54">
    <w:p>
      <w:pPr>
        <w:pStyle w:val="FootnoteText"/>
        <w:rPr>
          <w:rFonts w:ascii="Times New Roman" w:hAnsi="Times New Roman"/>
          <w:sz w:val="16"/>
        </w:rPr>
      </w:pPr>
      <w:r>
        <w:rPr>
          <w:rStyle w:val="FootnoteReference"/>
          <w:rFonts w:ascii="Times New Roman" w:hAnsi="Times New Roman" w:cs="Times New Roman"/>
          <w:sz w:val="16"/>
          <w:szCs w:val="16"/>
        </w:rPr>
        <w:footnoteRef/>
      </w:r>
      <w:r>
        <w:rPr>
          <w:rFonts w:ascii="Times New Roman" w:hAnsi="Times New Roman"/>
          <w:sz w:val="16"/>
        </w:rPr>
        <w:t xml:space="preserve"> Eurofer (2026), Position Paper EU Electrification Action Plan (Document de poziție privind Planul de acțiune al UE privind electrificarea).</w:t>
      </w:r>
    </w:p>
  </w:footnote>
  <w:footnote w:id="5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Future Cleantech Architects – Case Study: Electrification and Thermal Energy Storage in the Dairy Industry (Studiu de caz: electrificarea și stocarea energiei termice în sectorul produselor lactate), 2025.</w:t>
      </w:r>
    </w:p>
  </w:footnote>
  <w:footnote w:id="5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Pentru multe dintre aceste procese, utilizarea directă a energiei termice din surse regenerabile poate fi de asemenea o soluție eficientă din punctul de vedere al costurilor, dacă este disponibilă.</w:t>
      </w:r>
    </w:p>
  </w:footnote>
  <w:footnote w:id="5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 fel și alte sectoare, cum ar fi cel al ceramicii, cel al materialelor de construcții sau cel al fabricării sticlei.</w:t>
      </w:r>
    </w:p>
  </w:footnote>
  <w:footnote w:id="5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Comisia a lansat procedura de ofertare „European medium temperature heat for industrial processes: needs, barriers, and opportunities for direct use renewable heat technologies” (Căldură europeană la temperatură medie pentru procesele industriale: nevoi, bariere și oportunități legate de utilizarea directă a tehnologiilor de încălzire din surse regenerabile) cu scopul de a evalua cererea de căldură industrială la temperatură medie a Europei, de a identifica potențialul și barierele din calea implementării tehnologiilor de încălzire din surse regenerabile direct utilizabile (inclusiv a stocării energiei termice) și de a produce exemple de bune practici care să sprijine decarbonizarea căldurii utilizate în procese industriale în toate statele membre ale UE.</w:t>
      </w:r>
    </w:p>
  </w:footnote>
  <w:footnote w:id="5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Pe baza unor inițiative noi, cum ar fi planul Eurelectric privind „cuplurile electrice”.</w:t>
      </w:r>
    </w:p>
  </w:footnote>
  <w:footnote w:id="6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Câteva posibile priorități ale acestor parteneriate ar putea fi agregarea cererii pentru contractele de achiziție de energie electrică sau serviciile de stocare a energiei termice sau colaborarea cu operatorii rețelelor de energie electrică pentru a facilita accesul la rețea.</w:t>
      </w:r>
    </w:p>
  </w:footnote>
  <w:footnote w:id="61">
    <w:p>
      <w:pPr>
        <w:pStyle w:val="FootnoteText"/>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Eurostat.</w:t>
      </w:r>
    </w:p>
  </w:footnote>
  <w:footnote w:id="6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EMBER - A clean break: leaving fossil volatility for clean tech security (O despărțire curată: părăsirea volatilității fosile pentru securitatea tehnologiilor curate).</w:t>
      </w:r>
    </w:p>
  </w:footnote>
  <w:footnote w:id="63">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Observatorul european privind combustibilii alternativi. </w:t>
      </w:r>
    </w:p>
  </w:footnote>
  <w:footnote w:id="64">
    <w:p>
      <w:pPr>
        <w:spacing w:after="0"/>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w:t>
      </w:r>
      <w:hyperlink r:id="rId6" w:history="1">
        <w:r>
          <w:rPr>
            <w:rStyle w:val="Hyperlink"/>
            <w:rFonts w:ascii="Times New Roman" w:hAnsi="Times New Roman"/>
            <w:sz w:val="16"/>
          </w:rPr>
          <w:t>Directiva - 1999/62 - EN - EUR-Lex</w:t>
        </w:r>
      </w:hyperlink>
      <w:r>
        <w:rPr>
          <w:sz w:val="18"/>
          <w:szCs w:val="18"/>
        </w:rPr>
        <w:t xml:space="preserve">. </w:t>
      </w:r>
      <w:r>
        <w:rPr>
          <w:rFonts w:ascii="Times New Roman" w:hAnsi="Times New Roman"/>
          <w:sz w:val="16"/>
        </w:rPr>
        <w:t>Statele membre pot să prevadă tarife reduse pentru taxele de trecere sau de utilizare ori scutiri de la plata acestora pentru: vehiculele cu emisii zero cu o masă maximă tehnic admisibilă a vehiculului încărcat de până la 4,25 tone, orice vehicul care intră sub incidența condițiilor prevăzute la articolul 6 alineatul (2) literele (a) și (b) (în special vehiculele utilizate în scopuri de apărare națională sau civilă sau vehiculele care circulă doar ocazional pe drumurile publice) sau orice vehicul utilizat sau deținut de persoane cu handicap.</w:t>
      </w:r>
    </w:p>
  </w:footnote>
  <w:footnote w:id="6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60 % dintre autoturismele noi din Europa sunt achiziționate de entități corporative. Propunerea de regulament privind vehiculele nepoluante ale întreprinderilor, COM(2025) 994.</w:t>
      </w:r>
    </w:p>
  </w:footnote>
  <w:footnote w:id="6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Transport and Environment – Weak corporate car taxes risk intensifying the EU’s oil dependency (Taxele reduse aplicate pentru vehiculele întreprinderilor riscă să intensifice dependența de petrol a UE), 31 mai 2026.</w:t>
      </w:r>
    </w:p>
  </w:footnote>
  <w:footnote w:id="6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„5 things you should know about heat pumps” (Cinci lucruri pe care ar trebui să le știți despre pompele de căldură), DG ENER, articol din 5 decembrie 2025.</w:t>
      </w:r>
    </w:p>
  </w:footnote>
  <w:footnote w:id="68">
    <w:p>
      <w:pPr>
        <w:spacing w:after="0"/>
        <w:rPr>
          <w:rFonts w:ascii="Times New Roman" w:eastAsia="Aptos"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vertAlign w:val="superscript"/>
        </w:rPr>
        <w:t xml:space="preserve"> </w:t>
      </w:r>
      <w:hyperlink r:id="rId7" w:history="1">
        <w:r>
          <w:rPr>
            <w:rStyle w:val="Hyperlink"/>
            <w:rFonts w:ascii="Times New Roman" w:hAnsi="Times New Roman"/>
            <w:sz w:val="16"/>
          </w:rPr>
          <w:t>Inforegio – Rezultatele evaluării la jumătatea perioadei a politicii de coeziune</w:t>
        </w:r>
      </w:hyperlink>
      <w:r>
        <w:rPr>
          <w:sz w:val="18"/>
          <w:szCs w:val="18"/>
        </w:rPr>
        <w:t>.</w:t>
      </w:r>
    </w:p>
  </w:footnote>
  <w:footnote w:id="6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Strategia de investiții în energia curată (COM/2026/116), martie 2026.</w:t>
      </w:r>
    </w:p>
  </w:footnote>
  <w:footnote w:id="70">
    <w:p>
      <w:pPr>
        <w:spacing w:after="0"/>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Observatorul european privind combustibilii alternativi.</w:t>
      </w:r>
    </w:p>
  </w:footnote>
  <w:footnote w:id="7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Până la această dată din 2026, pe drumurile din UE circulă 29 000 de camioane electrice cu baterie, față de 2 500 în 2020, ceea ce înseamnă că numărul lor a crescut de unsprezece ori între 2020 și 2025. În 2025: 28 726, iar în 2024: 15 758. Sursa: Observatorul european privind combustibilii alternativi.</w:t>
      </w:r>
    </w:p>
  </w:footnote>
  <w:footnote w:id="7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special Regulamentul privind infrastructura pentru combustibili alternativi, inițiativa FuelEU în domeniul maritim și Strategia portuară a UE din martie 2026.</w:t>
      </w:r>
    </w:p>
  </w:footnote>
  <w:footnote w:id="7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Asigurând, în același timp, anularea creditelor care au fost alimentate anticipat în cazul în care energia electrică din surse regenerabile corespunzătoare nu este furnizată în cele din urmă.</w:t>
      </w:r>
    </w:p>
  </w:footnote>
  <w:footnote w:id="74">
    <w:p>
      <w:pPr>
        <w:spacing w:after="0"/>
        <w:rPr>
          <w:rFonts w:ascii="Times New Roman" w:eastAsia="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Comisia a stabilit drept obiectiv asigurarea a 11 % din cererea de căldură a UE din recuperarea căldurii reziduale până în 2050.</w:t>
      </w:r>
    </w:p>
  </w:footnote>
  <w:footnote w:id="7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COM/2026/117.</w:t>
      </w:r>
    </w:p>
  </w:footnote>
  <w:footnote w:id="7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Uniunea competențelor, COM(2025) 90 final.</w:t>
      </w:r>
    </w:p>
  </w:footnote>
  <w:footnote w:id="77">
    <w:p>
      <w:pPr>
        <w:spacing w:after="0"/>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rPr>
        <w:t xml:space="preserve"> </w:t>
      </w:r>
      <w:r>
        <w:rPr>
          <w:rFonts w:ascii="Times New Roman" w:hAnsi="Times New Roman"/>
          <w:sz w:val="16"/>
        </w:rPr>
        <w:t>Fulvimari, A. et al. (2025), Estimating labour market transitions and skills investment needs of the green transition (Estimări privind tranzițiile de pe piața forței de muncă și nevoile de investiții în competențe ale tranziției verzi).</w:t>
      </w:r>
    </w:p>
  </w:footnote>
  <w:footnote w:id="78">
    <w:p>
      <w:pPr>
        <w:spacing w:after="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Eurelectric/E.DSO, Connecting the dots: Distribution grid investment to power the energy transition (Conexiuni: Investiții în rețeaua de distribuție pentru a impulsiona tranziția energetică) (analiză Monitor Deloitte), ianuarie 2021 – cifrele se referă la UE-27 și la Regatul Unit.</w:t>
      </w:r>
    </w:p>
  </w:footnote>
  <w:footnote w:id="79">
    <w:p>
      <w:pPr>
        <w:spacing w:after="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AIE, World Energy Employment (Ocuparea forței de muncă în sectorul energetic la nivel mondial) 2025.</w:t>
      </w:r>
    </w:p>
  </w:footnote>
  <w:footnote w:id="80">
    <w:p>
      <w:pPr>
        <w:spacing w:after="0"/>
        <w:rPr>
          <w:rFonts w:ascii="Times New Roman" w:eastAsia="Aptos"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CE Delft (2026), Labour demand in the energy transition (Cererea de forță de muncă în tranziția energetică).</w:t>
      </w:r>
    </w:p>
  </w:footnote>
  <w:footnote w:id="81">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Sursa: Cedefop, modelare de scenarii (Previziuni privind competențele 2026).</w:t>
      </w:r>
    </w:p>
  </w:footnote>
  <w:footnote w:id="8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Fondul social european Plus și Erasmus+ (inclusiv Platforma pentru competențe în domeniul electrificării), parteneriatele la scară largă pentru competențe în domeniul energiei din surse regenerabile și pentru digitalizarea sistemului energetic, academiile de competențe în domeniul bateriilor și al industriei „zero net” și rezerva de talente la nivelul UE.</w:t>
      </w:r>
    </w:p>
  </w:footnote>
  <w:footnote w:id="83">
    <w:p>
      <w:pPr>
        <w:spacing w:after="0"/>
        <w:rPr>
          <w:rFonts w:ascii="Aptos" w:eastAsia="Aptos" w:hAnsi="Aptos" w:cs="Aptos"/>
        </w:rPr>
      </w:pPr>
      <w:r>
        <w:rPr>
          <w:rFonts w:ascii="Times New Roman" w:hAnsi="Times New Roman" w:cs="Times New Roman"/>
          <w:sz w:val="16"/>
          <w:szCs w:val="16"/>
          <w:vertAlign w:val="superscript"/>
        </w:rPr>
        <w:footnoteRef/>
      </w:r>
      <w:r>
        <w:rPr>
          <w:rFonts w:ascii="Times New Roman" w:hAnsi="Times New Roman"/>
          <w:sz w:val="16"/>
        </w:rPr>
        <w:t xml:space="preserve"> </w:t>
      </w:r>
      <w:hyperlink r:id="rId8" w:history="1">
        <w:r>
          <w:rPr>
            <w:rStyle w:val="Hyperlink"/>
            <w:rFonts w:ascii="Times New Roman" w:hAnsi="Times New Roman"/>
            <w:color w:val="467886"/>
            <w:sz w:val="16"/>
          </w:rPr>
          <w:t>Recomandarea Consiliului referitoare la capitalul uman în Uniunea Europeană, ST 6081/1/26 REV 1</w:t>
        </w:r>
      </w:hyperlink>
      <w:r>
        <w:rPr>
          <w:sz w:val="18"/>
          <w:szCs w:val="18"/>
        </w:rPr>
        <w:t>.</w:t>
      </w:r>
    </w:p>
  </w:footnote>
  <w:footnote w:id="84">
    <w:p>
      <w:pPr>
        <w:spacing w:after="0"/>
        <w:rPr>
          <w:rFonts w:ascii="Times New Roman" w:eastAsia="Aptos"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w:t>
      </w:r>
      <w:hyperlink r:id="rId9" w:history="1">
        <w:r>
          <w:rPr>
            <w:rStyle w:val="Hyperlink"/>
            <w:rFonts w:ascii="Times New Roman" w:hAnsi="Times New Roman"/>
            <w:sz w:val="16"/>
          </w:rPr>
          <w:t>Inforegio – Rezultatele evaluării la jumătatea perioadei a politicii de coeziune</w:t>
        </w:r>
      </w:hyperlink>
      <w:r>
        <w:rPr>
          <w:sz w:val="18"/>
          <w:szCs w:val="18"/>
        </w:rPr>
        <w:t>.</w:t>
      </w:r>
    </w:p>
  </w:footnote>
  <w:footnote w:id="85">
    <w:p>
      <w:pPr>
        <w:pStyle w:val="FootnoteText"/>
      </w:pPr>
      <w:r>
        <w:rPr>
          <w:rStyle w:val="FootnoteReference"/>
          <w:rFonts w:ascii="Times New Roman" w:hAnsi="Times New Roman" w:cs="Times New Roman"/>
          <w:sz w:val="16"/>
          <w:szCs w:val="16"/>
        </w:rPr>
        <w:footnoteRef/>
      </w:r>
      <w:r>
        <w:rPr>
          <w:rFonts w:ascii="Times New Roman" w:hAnsi="Times New Roman"/>
          <w:sz w:val="16"/>
        </w:rPr>
        <w:t xml:space="preserve"> COM/2026/111 final.</w:t>
      </w:r>
    </w:p>
  </w:footnote>
  <w:footnote w:id="8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JOIN/2025/25 final.</w:t>
      </w:r>
    </w:p>
  </w:footnote>
  <w:footnote w:id="87">
    <w:p>
      <w:pPr>
        <w:pStyle w:val="FootnoteText"/>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Pactul pentru o industrie curată a anunțat orientări privind leasingul social pentru vehiculele electrice, pompele de căldură și alte produse energetice și de încălzire curate, </w:t>
      </w:r>
      <w:hyperlink r:id="rId10" w:history="1">
        <w:r>
          <w:rPr>
            <w:rStyle w:val="Hyperlink"/>
            <w:rFonts w:ascii="Times New Roman" w:hAnsi="Times New Roman"/>
            <w:sz w:val="16"/>
          </w:rPr>
          <w:t>COM(2025) 85 final</w:t>
        </w:r>
      </w:hyperlink>
      <w:r>
        <w:rPr>
          <w:rFonts w:ascii="Times New Roman" w:hAnsi="Times New Roman"/>
          <w:sz w:val="16"/>
        </w:rPr>
        <w:t>. Alte inițiative, printre care Planul de acțiune industrială pentru sectorul european al autovehiculelor [</w:t>
      </w:r>
      <w:hyperlink r:id="rId11" w:history="1">
        <w:r>
          <w:rPr>
            <w:rStyle w:val="Hyperlink"/>
            <w:rFonts w:ascii="Times New Roman" w:hAnsi="Times New Roman"/>
            <w:sz w:val="16"/>
          </w:rPr>
          <w:t>COM(2025) 95 final</w:t>
        </w:r>
      </w:hyperlink>
      <w:r>
        <w:rPr>
          <w:rFonts w:ascii="Times New Roman" w:hAnsi="Times New Roman"/>
          <w:sz w:val="16"/>
        </w:rPr>
        <w:t>], Pachetul de măsuri privind energia pentru cetățeni [</w:t>
      </w:r>
      <w:hyperlink r:id="rId12" w:history="1">
        <w:r>
          <w:rPr>
            <w:rStyle w:val="Hyperlink"/>
            <w:rFonts w:ascii="Times New Roman" w:hAnsi="Times New Roman"/>
            <w:sz w:val="16"/>
          </w:rPr>
          <w:t>COM/2026/115 final</w:t>
        </w:r>
      </w:hyperlink>
      <w:r>
        <w:rPr>
          <w:rFonts w:ascii="Times New Roman" w:hAnsi="Times New Roman"/>
          <w:sz w:val="16"/>
        </w:rPr>
        <w:t>] și AccelerateEU [</w:t>
      </w:r>
      <w:hyperlink r:id="rId13" w:history="1">
        <w:r>
          <w:rPr>
            <w:rStyle w:val="Hyperlink"/>
            <w:rFonts w:ascii="Times New Roman" w:hAnsi="Times New Roman"/>
            <w:sz w:val="16"/>
          </w:rPr>
          <w:t>COM(2026) 370 final</w:t>
        </w:r>
      </w:hyperlink>
      <w:r>
        <w:rPr>
          <w:rFonts w:ascii="Times New Roman" w:hAnsi="Times New Roman"/>
          <w:sz w:val="16"/>
        </w:rPr>
        <w:t>], fac referire la leasingul social și la scheme de sprijin financiar similare.</w:t>
      </w:r>
    </w:p>
  </w:footnote>
  <w:footnote w:id="88">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Estimări ale Comisiei bazate pe </w:t>
      </w:r>
      <w:hyperlink r:id="rId14" w:history="1">
        <w:r>
          <w:rPr>
            <w:rStyle w:val="Hyperlink"/>
            <w:rFonts w:ascii="Times New Roman" w:hAnsi="Times New Roman"/>
            <w:sz w:val="16"/>
          </w:rPr>
          <w:t>Green EUROMOD</w:t>
        </w:r>
      </w:hyperlink>
      <w:r>
        <w:rPr>
          <w:rFonts w:ascii="Times New Roman" w:hAnsi="Times New Roman"/>
          <w:sz w:val="16"/>
        </w:rPr>
        <w:t>.</w:t>
      </w:r>
    </w:p>
  </w:footnote>
  <w:footnote w:id="89">
    <w:p>
      <w:pPr>
        <w:pStyle w:val="FootnoteText"/>
      </w:pPr>
      <w:r>
        <w:rPr>
          <w:rFonts w:ascii="Times New Roman" w:hAnsi="Times New Roman" w:cs="Times New Roman"/>
          <w:sz w:val="16"/>
          <w:szCs w:val="16"/>
          <w:vertAlign w:val="superscript"/>
        </w:rPr>
        <w:footnoteRef/>
      </w:r>
      <w:r>
        <w:rPr>
          <w:rFonts w:ascii="Times New Roman" w:hAnsi="Times New Roman"/>
          <w:sz w:val="16"/>
        </w:rPr>
        <w:t xml:space="preserve"> Estimări ale Comisiei care nu țin seama de emisiile legate de fabricarea vehiculelor electrice. Estimările reflectă tendința generală de electrificare a transportului rutier și cuantifică potențialul suplimentar al unei scheme de leasing social.</w:t>
      </w:r>
    </w:p>
  </w:footnote>
  <w:footnote w:id="90">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Valori corespunzătoare procentului de 4 % din venituri în Țările de Jos și 1 % din venituri în Croația.</w:t>
      </w:r>
    </w:p>
  </w:footnote>
  <w:footnote w:id="91">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În Letonia, schema LABEEF aplică o logică similară pentru renovarea clădirilor, în care costurile sunt rambursate în timp prin plățile pentru energie, fiind legate de economiile realizate și fără ca gospodăriile să suporte investiția inițială. Finanțarea rambursată prin facturi a fost recomandată și în </w:t>
      </w:r>
      <w:hyperlink r:id="rId15" w:history="1">
        <w:r>
          <w:rPr>
            <w:rStyle w:val="Hyperlink"/>
            <w:rFonts w:ascii="Times New Roman" w:hAnsi="Times New Roman"/>
            <w:sz w:val="16"/>
          </w:rPr>
          <w:t>Recomandarea (UE) 2026/537 a Comisiei</w:t>
        </w:r>
      </w:hyperlink>
      <w:r>
        <w:rPr>
          <w:rFonts w:ascii="Times New Roman" w:hAnsi="Times New Roman"/>
          <w:sz w:val="16"/>
        </w:rPr>
        <w:t xml:space="preserve"> privind deblocarea investițiilor private în eficiența energetică, precum și în Directiva privind eficiența energetică [</w:t>
      </w:r>
      <w:hyperlink r:id="rId16" w:history="1">
        <w:r>
          <w:rPr>
            <w:rStyle w:val="Hyperlink"/>
            <w:rFonts w:ascii="Times New Roman" w:hAnsi="Times New Roman"/>
            <w:sz w:val="16"/>
          </w:rPr>
          <w:t>Directiva (UE) 2023/1791</w:t>
        </w:r>
      </w:hyperlink>
      <w:r>
        <w:rPr>
          <w:rFonts w:ascii="Times New Roman" w:hAnsi="Times New Roman"/>
          <w:sz w:val="16"/>
        </w:rPr>
        <w:t>].</w:t>
      </w:r>
    </w:p>
  </w:footnote>
  <w:footnote w:id="92">
    <w:p>
      <w:pPr>
        <w:pStyle w:val="FootnoteText"/>
      </w:pPr>
      <w:r>
        <w:rPr>
          <w:rFonts w:ascii="Times New Roman" w:hAnsi="Times New Roman" w:cs="Times New Roman"/>
          <w:sz w:val="16"/>
          <w:szCs w:val="16"/>
          <w:vertAlign w:val="superscript"/>
        </w:rPr>
        <w:footnoteRef/>
      </w:r>
      <w:r>
        <w:rPr>
          <w:rFonts w:ascii="Times New Roman" w:hAnsi="Times New Roman"/>
          <w:sz w:val="16"/>
        </w:rPr>
        <w:t xml:space="preserve"> A se vedea </w:t>
      </w:r>
      <w:hyperlink r:id="rId17" w:history="1">
        <w:r>
          <w:rPr>
            <w:rStyle w:val="Hyperlink"/>
            <w:rFonts w:ascii="Times New Roman" w:hAnsi="Times New Roman"/>
            <w:sz w:val="16"/>
          </w:rPr>
          <w:t>Regulamentul (UE) 2023/955 de instituire a Fondului social pentru climă</w:t>
        </w:r>
      </w:hyperlink>
      <w:r>
        <w:rPr>
          <w:rFonts w:ascii="Times New Roman" w:hAnsi="Times New Roman"/>
          <w:sz w:val="16"/>
        </w:rPr>
        <w:t>, precum și AccelerateEU [</w:t>
      </w:r>
      <w:hyperlink r:id="rId18" w:history="1">
        <w:r>
          <w:rPr>
            <w:rStyle w:val="Hyperlink"/>
            <w:rFonts w:ascii="Times New Roman" w:hAnsi="Times New Roman"/>
            <w:sz w:val="16"/>
          </w:rPr>
          <w:t>COM(2026) 370 final</w:t>
        </w:r>
      </w:hyperlink>
      <w:r>
        <w:rPr>
          <w:rFonts w:ascii="Times New Roman" w:hAnsi="Times New Roman"/>
          <w:sz w:val="16"/>
        </w:rPr>
        <w:t>].</w:t>
      </w:r>
    </w:p>
  </w:footnote>
  <w:footnote w:id="93">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Planurile locale privind încălzirea și răcirea vor oferi o referință în acest sens pentru municipiile cu peste 45 000 de locuitori.</w:t>
      </w:r>
    </w:p>
  </w:footnote>
  <w:footnote w:id="94">
    <w:p>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https://eur-lex.europa.eu/eli/C/2026/123/oj</w:t>
      </w:r>
      <w:r>
        <w:t>.</w:t>
      </w:r>
    </w:p>
  </w:footnote>
  <w:footnote w:id="95">
    <w:p>
      <w:pPr>
        <w:pStyle w:val="FootnoteText"/>
      </w:pPr>
      <w:r>
        <w:rPr>
          <w:rFonts w:ascii="Times New Roman" w:hAnsi="Times New Roman" w:cs="Times New Roman"/>
          <w:sz w:val="16"/>
          <w:szCs w:val="16"/>
          <w:vertAlign w:val="superscript"/>
        </w:rPr>
        <w:footnoteRef/>
      </w:r>
      <w:r>
        <w:rPr>
          <w:rFonts w:ascii="Times New Roman" w:hAnsi="Times New Roman"/>
          <w:sz w:val="16"/>
        </w:rPr>
        <w:t xml:space="preserve"> </w:t>
      </w:r>
      <w:hyperlink r:id="rId19" w:history="1">
        <w:r>
          <w:rPr>
            <w:rStyle w:val="Hyperlink"/>
            <w:rFonts w:ascii="Times New Roman" w:hAnsi="Times New Roman"/>
            <w:sz w:val="16"/>
          </w:rPr>
          <w:t>Comisia Europeană</w:t>
        </w:r>
      </w:hyperlink>
      <w:r>
        <w:rPr>
          <w:rFonts w:ascii="Times New Roman" w:hAnsi="Times New Roman"/>
          <w:sz w:val="16"/>
        </w:rPr>
        <w:t xml:space="preserve"> (decembrie 2025) – </w:t>
      </w:r>
      <w:hyperlink r:id="rId20" w:history="1">
        <w:r>
          <w:rPr>
            <w:rStyle w:val="Hyperlink"/>
            <w:rFonts w:ascii="Times New Roman" w:hAnsi="Times New Roman"/>
            <w:sz w:val="16"/>
          </w:rPr>
          <w:t>Comisia ia măsuri pentru un sector al autovehiculelor curat și competitiv</w:t>
        </w:r>
      </w:hyperlink>
      <w:r>
        <w:rPr>
          <w:rFonts w:ascii="Times New Roman" w:hAnsi="Times New Roman"/>
          <w:sz w:val="16"/>
        </w:rPr>
        <w:t>.</w:t>
      </w:r>
    </w:p>
  </w:footnote>
  <w:footnote w:id="96">
    <w:p>
      <w:pPr>
        <w:pStyle w:val="FootnoteText"/>
      </w:pPr>
      <w:r>
        <w:rPr>
          <w:rFonts w:ascii="Times New Roman" w:hAnsi="Times New Roman" w:cs="Times New Roman"/>
          <w:sz w:val="16"/>
          <w:szCs w:val="16"/>
          <w:vertAlign w:val="superscript"/>
        </w:rPr>
        <w:footnoteRef/>
      </w:r>
      <w:r>
        <w:rPr>
          <w:rFonts w:ascii="Times New Roman" w:hAnsi="Times New Roman"/>
          <w:sz w:val="16"/>
        </w:rPr>
        <w:t xml:space="preserve"> Comisia Europeană – </w:t>
      </w:r>
      <w:hyperlink r:id="rId21" w:history="1">
        <w:r>
          <w:rPr>
            <w:rStyle w:val="Hyperlink"/>
            <w:rFonts w:ascii="Times New Roman" w:hAnsi="Times New Roman"/>
            <w:color w:val="auto"/>
            <w:sz w:val="16"/>
          </w:rPr>
          <w:t>One-stop shops – renovation and energy efficiency – Energy</w:t>
        </w:r>
      </w:hyperlink>
      <w:r>
        <w:rPr>
          <w:rFonts w:ascii="Times New Roman" w:hAnsi="Times New Roman"/>
          <w:sz w:val="16"/>
        </w:rPr>
        <w:t xml:space="preserve"> (Ghișee unice – renovare și eficiență energetică – Energie).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jc w:val="cente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04C2"/>
    <w:multiLevelType w:val="multilevel"/>
    <w:tmpl w:val="7FFE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51F6E"/>
    <w:multiLevelType w:val="multilevel"/>
    <w:tmpl w:val="F974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CF1596"/>
    <w:multiLevelType w:val="multilevel"/>
    <w:tmpl w:val="1DC8DB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817D8B"/>
    <w:multiLevelType w:val="hybridMultilevel"/>
    <w:tmpl w:val="FFFFFFFF"/>
    <w:lvl w:ilvl="0" w:tplc="A1C6AAC4">
      <w:start w:val="1"/>
      <w:numFmt w:val="bullet"/>
      <w:lvlText w:val=""/>
      <w:lvlJc w:val="left"/>
      <w:pPr>
        <w:ind w:left="720" w:hanging="360"/>
      </w:pPr>
      <w:rPr>
        <w:rFonts w:ascii="Symbol" w:hAnsi="Symbol" w:hint="default"/>
      </w:rPr>
    </w:lvl>
    <w:lvl w:ilvl="1" w:tplc="9BE65E2C">
      <w:start w:val="1"/>
      <w:numFmt w:val="bullet"/>
      <w:lvlText w:val="o"/>
      <w:lvlJc w:val="left"/>
      <w:pPr>
        <w:ind w:left="1440" w:hanging="360"/>
      </w:pPr>
      <w:rPr>
        <w:rFonts w:ascii="Courier New" w:hAnsi="Courier New" w:hint="default"/>
      </w:rPr>
    </w:lvl>
    <w:lvl w:ilvl="2" w:tplc="31DC4F62">
      <w:start w:val="1"/>
      <w:numFmt w:val="bullet"/>
      <w:lvlText w:val=""/>
      <w:lvlJc w:val="left"/>
      <w:pPr>
        <w:ind w:left="2160" w:hanging="360"/>
      </w:pPr>
      <w:rPr>
        <w:rFonts w:ascii="Wingdings" w:hAnsi="Wingdings" w:hint="default"/>
      </w:rPr>
    </w:lvl>
    <w:lvl w:ilvl="3" w:tplc="CA304C20">
      <w:start w:val="1"/>
      <w:numFmt w:val="bullet"/>
      <w:lvlText w:val=""/>
      <w:lvlJc w:val="left"/>
      <w:pPr>
        <w:ind w:left="2880" w:hanging="360"/>
      </w:pPr>
      <w:rPr>
        <w:rFonts w:ascii="Symbol" w:hAnsi="Symbol" w:hint="default"/>
      </w:rPr>
    </w:lvl>
    <w:lvl w:ilvl="4" w:tplc="B842524C">
      <w:start w:val="1"/>
      <w:numFmt w:val="bullet"/>
      <w:lvlText w:val="o"/>
      <w:lvlJc w:val="left"/>
      <w:pPr>
        <w:ind w:left="3600" w:hanging="360"/>
      </w:pPr>
      <w:rPr>
        <w:rFonts w:ascii="Courier New" w:hAnsi="Courier New" w:hint="default"/>
      </w:rPr>
    </w:lvl>
    <w:lvl w:ilvl="5" w:tplc="A466507A">
      <w:start w:val="1"/>
      <w:numFmt w:val="bullet"/>
      <w:lvlText w:val=""/>
      <w:lvlJc w:val="left"/>
      <w:pPr>
        <w:ind w:left="4320" w:hanging="360"/>
      </w:pPr>
      <w:rPr>
        <w:rFonts w:ascii="Wingdings" w:hAnsi="Wingdings" w:hint="default"/>
      </w:rPr>
    </w:lvl>
    <w:lvl w:ilvl="6" w:tplc="BDC487FE">
      <w:start w:val="1"/>
      <w:numFmt w:val="bullet"/>
      <w:lvlText w:val=""/>
      <w:lvlJc w:val="left"/>
      <w:pPr>
        <w:ind w:left="5040" w:hanging="360"/>
      </w:pPr>
      <w:rPr>
        <w:rFonts w:ascii="Symbol" w:hAnsi="Symbol" w:hint="default"/>
      </w:rPr>
    </w:lvl>
    <w:lvl w:ilvl="7" w:tplc="8EA26AF0">
      <w:start w:val="1"/>
      <w:numFmt w:val="bullet"/>
      <w:lvlText w:val="o"/>
      <w:lvlJc w:val="left"/>
      <w:pPr>
        <w:ind w:left="5760" w:hanging="360"/>
      </w:pPr>
      <w:rPr>
        <w:rFonts w:ascii="Courier New" w:hAnsi="Courier New" w:hint="default"/>
      </w:rPr>
    </w:lvl>
    <w:lvl w:ilvl="8" w:tplc="0D98E2FA">
      <w:start w:val="1"/>
      <w:numFmt w:val="bullet"/>
      <w:lvlText w:val=""/>
      <w:lvlJc w:val="left"/>
      <w:pPr>
        <w:ind w:left="6480" w:hanging="360"/>
      </w:pPr>
      <w:rPr>
        <w:rFonts w:ascii="Wingdings" w:hAnsi="Wingdings" w:hint="default"/>
      </w:rPr>
    </w:lvl>
  </w:abstractNum>
  <w:abstractNum w:abstractNumId="4" w15:restartNumberingAfterBreak="0">
    <w:nsid w:val="0A535057"/>
    <w:multiLevelType w:val="hybridMultilevel"/>
    <w:tmpl w:val="B7FCB8F0"/>
    <w:lvl w:ilvl="0" w:tplc="18090001">
      <w:start w:val="1"/>
      <w:numFmt w:val="bullet"/>
      <w:lvlText w:val=""/>
      <w:lvlJc w:val="left"/>
      <w:pPr>
        <w:ind w:left="8156" w:hanging="360"/>
      </w:pPr>
      <w:rPr>
        <w:rFonts w:ascii="Symbol" w:hAnsi="Symbol" w:hint="default"/>
      </w:rPr>
    </w:lvl>
    <w:lvl w:ilvl="1" w:tplc="18090003">
      <w:start w:val="1"/>
      <w:numFmt w:val="bullet"/>
      <w:lvlText w:val="o"/>
      <w:lvlJc w:val="left"/>
      <w:pPr>
        <w:ind w:left="8876" w:hanging="360"/>
      </w:pPr>
      <w:rPr>
        <w:rFonts w:ascii="Courier New" w:hAnsi="Courier New" w:cs="Courier New" w:hint="default"/>
      </w:rPr>
    </w:lvl>
    <w:lvl w:ilvl="2" w:tplc="18090005" w:tentative="1">
      <w:start w:val="1"/>
      <w:numFmt w:val="bullet"/>
      <w:lvlText w:val=""/>
      <w:lvlJc w:val="left"/>
      <w:pPr>
        <w:ind w:left="9596" w:hanging="360"/>
      </w:pPr>
      <w:rPr>
        <w:rFonts w:ascii="Wingdings" w:hAnsi="Wingdings" w:hint="default"/>
      </w:rPr>
    </w:lvl>
    <w:lvl w:ilvl="3" w:tplc="18090001" w:tentative="1">
      <w:start w:val="1"/>
      <w:numFmt w:val="bullet"/>
      <w:lvlText w:val=""/>
      <w:lvlJc w:val="left"/>
      <w:pPr>
        <w:ind w:left="10316" w:hanging="360"/>
      </w:pPr>
      <w:rPr>
        <w:rFonts w:ascii="Symbol" w:hAnsi="Symbol" w:hint="default"/>
      </w:rPr>
    </w:lvl>
    <w:lvl w:ilvl="4" w:tplc="18090003" w:tentative="1">
      <w:start w:val="1"/>
      <w:numFmt w:val="bullet"/>
      <w:lvlText w:val="o"/>
      <w:lvlJc w:val="left"/>
      <w:pPr>
        <w:ind w:left="11036" w:hanging="360"/>
      </w:pPr>
      <w:rPr>
        <w:rFonts w:ascii="Courier New" w:hAnsi="Courier New" w:cs="Courier New" w:hint="default"/>
      </w:rPr>
    </w:lvl>
    <w:lvl w:ilvl="5" w:tplc="18090005" w:tentative="1">
      <w:start w:val="1"/>
      <w:numFmt w:val="bullet"/>
      <w:lvlText w:val=""/>
      <w:lvlJc w:val="left"/>
      <w:pPr>
        <w:ind w:left="11756" w:hanging="360"/>
      </w:pPr>
      <w:rPr>
        <w:rFonts w:ascii="Wingdings" w:hAnsi="Wingdings" w:hint="default"/>
      </w:rPr>
    </w:lvl>
    <w:lvl w:ilvl="6" w:tplc="18090001" w:tentative="1">
      <w:start w:val="1"/>
      <w:numFmt w:val="bullet"/>
      <w:lvlText w:val=""/>
      <w:lvlJc w:val="left"/>
      <w:pPr>
        <w:ind w:left="12476" w:hanging="360"/>
      </w:pPr>
      <w:rPr>
        <w:rFonts w:ascii="Symbol" w:hAnsi="Symbol" w:hint="default"/>
      </w:rPr>
    </w:lvl>
    <w:lvl w:ilvl="7" w:tplc="18090003" w:tentative="1">
      <w:start w:val="1"/>
      <w:numFmt w:val="bullet"/>
      <w:lvlText w:val="o"/>
      <w:lvlJc w:val="left"/>
      <w:pPr>
        <w:ind w:left="13196" w:hanging="360"/>
      </w:pPr>
      <w:rPr>
        <w:rFonts w:ascii="Courier New" w:hAnsi="Courier New" w:cs="Courier New" w:hint="default"/>
      </w:rPr>
    </w:lvl>
    <w:lvl w:ilvl="8" w:tplc="18090005" w:tentative="1">
      <w:start w:val="1"/>
      <w:numFmt w:val="bullet"/>
      <w:lvlText w:val=""/>
      <w:lvlJc w:val="left"/>
      <w:pPr>
        <w:ind w:left="13916" w:hanging="360"/>
      </w:pPr>
      <w:rPr>
        <w:rFonts w:ascii="Wingdings" w:hAnsi="Wingdings" w:hint="default"/>
      </w:rPr>
    </w:lvl>
  </w:abstractNum>
  <w:abstractNum w:abstractNumId="5" w15:restartNumberingAfterBreak="0">
    <w:nsid w:val="0B836425"/>
    <w:multiLevelType w:val="multilevel"/>
    <w:tmpl w:val="4A44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7CC602"/>
    <w:multiLevelType w:val="hybridMultilevel"/>
    <w:tmpl w:val="94DAFDB0"/>
    <w:lvl w:ilvl="0" w:tplc="9CB2DFE2">
      <w:start w:val="1"/>
      <w:numFmt w:val="bullet"/>
      <w:lvlText w:val=""/>
      <w:lvlJc w:val="left"/>
      <w:pPr>
        <w:ind w:left="360" w:hanging="360"/>
      </w:pPr>
      <w:rPr>
        <w:rFonts w:ascii="Symbol" w:hAnsi="Symbol" w:hint="default"/>
      </w:rPr>
    </w:lvl>
    <w:lvl w:ilvl="1" w:tplc="9FCE3A2C">
      <w:start w:val="1"/>
      <w:numFmt w:val="bullet"/>
      <w:lvlText w:val="o"/>
      <w:lvlJc w:val="left"/>
      <w:pPr>
        <w:ind w:left="1080" w:hanging="360"/>
      </w:pPr>
      <w:rPr>
        <w:rFonts w:ascii="Courier New" w:hAnsi="Courier New" w:hint="default"/>
      </w:rPr>
    </w:lvl>
    <w:lvl w:ilvl="2" w:tplc="199E0448">
      <w:start w:val="1"/>
      <w:numFmt w:val="bullet"/>
      <w:lvlText w:val=""/>
      <w:lvlJc w:val="left"/>
      <w:pPr>
        <w:ind w:left="1800" w:hanging="360"/>
      </w:pPr>
      <w:rPr>
        <w:rFonts w:ascii="Wingdings" w:hAnsi="Wingdings" w:hint="default"/>
      </w:rPr>
    </w:lvl>
    <w:lvl w:ilvl="3" w:tplc="86EC7316">
      <w:start w:val="1"/>
      <w:numFmt w:val="bullet"/>
      <w:lvlText w:val=""/>
      <w:lvlJc w:val="left"/>
      <w:pPr>
        <w:ind w:left="2520" w:hanging="360"/>
      </w:pPr>
      <w:rPr>
        <w:rFonts w:ascii="Symbol" w:hAnsi="Symbol" w:hint="default"/>
      </w:rPr>
    </w:lvl>
    <w:lvl w:ilvl="4" w:tplc="940C2D6C">
      <w:start w:val="1"/>
      <w:numFmt w:val="bullet"/>
      <w:lvlText w:val="o"/>
      <w:lvlJc w:val="left"/>
      <w:pPr>
        <w:ind w:left="3240" w:hanging="360"/>
      </w:pPr>
      <w:rPr>
        <w:rFonts w:ascii="Courier New" w:hAnsi="Courier New" w:hint="default"/>
      </w:rPr>
    </w:lvl>
    <w:lvl w:ilvl="5" w:tplc="D900577C">
      <w:start w:val="1"/>
      <w:numFmt w:val="bullet"/>
      <w:lvlText w:val=""/>
      <w:lvlJc w:val="left"/>
      <w:pPr>
        <w:ind w:left="3960" w:hanging="360"/>
      </w:pPr>
      <w:rPr>
        <w:rFonts w:ascii="Wingdings" w:hAnsi="Wingdings" w:hint="default"/>
      </w:rPr>
    </w:lvl>
    <w:lvl w:ilvl="6" w:tplc="B86CA378">
      <w:start w:val="1"/>
      <w:numFmt w:val="bullet"/>
      <w:lvlText w:val=""/>
      <w:lvlJc w:val="left"/>
      <w:pPr>
        <w:ind w:left="4680" w:hanging="360"/>
      </w:pPr>
      <w:rPr>
        <w:rFonts w:ascii="Symbol" w:hAnsi="Symbol" w:hint="default"/>
      </w:rPr>
    </w:lvl>
    <w:lvl w:ilvl="7" w:tplc="D0EA46DA">
      <w:start w:val="1"/>
      <w:numFmt w:val="bullet"/>
      <w:lvlText w:val="o"/>
      <w:lvlJc w:val="left"/>
      <w:pPr>
        <w:ind w:left="5400" w:hanging="360"/>
      </w:pPr>
      <w:rPr>
        <w:rFonts w:ascii="Courier New" w:hAnsi="Courier New" w:hint="default"/>
      </w:rPr>
    </w:lvl>
    <w:lvl w:ilvl="8" w:tplc="7B26C430">
      <w:start w:val="1"/>
      <w:numFmt w:val="bullet"/>
      <w:lvlText w:val=""/>
      <w:lvlJc w:val="left"/>
      <w:pPr>
        <w:ind w:left="6120" w:hanging="360"/>
      </w:pPr>
      <w:rPr>
        <w:rFonts w:ascii="Wingdings" w:hAnsi="Wingdings" w:hint="default"/>
      </w:rPr>
    </w:lvl>
  </w:abstractNum>
  <w:abstractNum w:abstractNumId="7" w15:restartNumberingAfterBreak="0">
    <w:nsid w:val="16DE72C0"/>
    <w:multiLevelType w:val="multilevel"/>
    <w:tmpl w:val="DC9CE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A340EF"/>
    <w:multiLevelType w:val="multilevel"/>
    <w:tmpl w:val="8790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6D185F"/>
    <w:multiLevelType w:val="hybridMultilevel"/>
    <w:tmpl w:val="E2E87E0A"/>
    <w:lvl w:ilvl="0" w:tplc="3D02F6B4">
      <w:start w:val="1"/>
      <w:numFmt w:val="decimal"/>
      <w:lvlText w:val="%1."/>
      <w:lvlJc w:val="left"/>
      <w:pPr>
        <w:ind w:left="1440" w:hanging="360"/>
      </w:pPr>
      <w:rPr>
        <w:sz w:val="24"/>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0" w15:restartNumberingAfterBreak="0">
    <w:nsid w:val="219F0202"/>
    <w:multiLevelType w:val="multilevel"/>
    <w:tmpl w:val="81EC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51A4D"/>
    <w:multiLevelType w:val="multilevel"/>
    <w:tmpl w:val="434A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5E2D68"/>
    <w:multiLevelType w:val="hybridMultilevel"/>
    <w:tmpl w:val="60226FC8"/>
    <w:lvl w:ilvl="0" w:tplc="9CB2DFE2">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9C3532C"/>
    <w:multiLevelType w:val="multilevel"/>
    <w:tmpl w:val="E7D0B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7A5E29"/>
    <w:multiLevelType w:val="hybridMultilevel"/>
    <w:tmpl w:val="0F4642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9945E3"/>
    <w:multiLevelType w:val="multilevel"/>
    <w:tmpl w:val="CF9C42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44D3E07"/>
    <w:multiLevelType w:val="multilevel"/>
    <w:tmpl w:val="9A34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5818DD"/>
    <w:multiLevelType w:val="multilevel"/>
    <w:tmpl w:val="358C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AD4866"/>
    <w:multiLevelType w:val="multilevel"/>
    <w:tmpl w:val="7772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CE7B6A"/>
    <w:multiLevelType w:val="hybridMultilevel"/>
    <w:tmpl w:val="EA569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38471C2"/>
    <w:multiLevelType w:val="multilevel"/>
    <w:tmpl w:val="0566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4D7138"/>
    <w:multiLevelType w:val="multilevel"/>
    <w:tmpl w:val="6A826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B23434"/>
    <w:multiLevelType w:val="multilevel"/>
    <w:tmpl w:val="EF2A9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9E225B"/>
    <w:multiLevelType w:val="multilevel"/>
    <w:tmpl w:val="7E9828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AF43C3"/>
    <w:multiLevelType w:val="hybridMultilevel"/>
    <w:tmpl w:val="AD24E3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C017E5A"/>
    <w:multiLevelType w:val="multilevel"/>
    <w:tmpl w:val="3BD23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4F3971"/>
    <w:multiLevelType w:val="multilevel"/>
    <w:tmpl w:val="A6BE44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6E839F1"/>
    <w:multiLevelType w:val="multilevel"/>
    <w:tmpl w:val="07B4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49ADC9"/>
    <w:multiLevelType w:val="hybridMultilevel"/>
    <w:tmpl w:val="FFFFFFFF"/>
    <w:lvl w:ilvl="0" w:tplc="C0CA8736">
      <w:start w:val="1"/>
      <w:numFmt w:val="bullet"/>
      <w:lvlText w:val=""/>
      <w:lvlJc w:val="left"/>
      <w:pPr>
        <w:ind w:left="720" w:hanging="360"/>
      </w:pPr>
      <w:rPr>
        <w:rFonts w:ascii="Symbol" w:hAnsi="Symbol" w:hint="default"/>
      </w:rPr>
    </w:lvl>
    <w:lvl w:ilvl="1" w:tplc="A1BAFDE6">
      <w:start w:val="1"/>
      <w:numFmt w:val="bullet"/>
      <w:lvlText w:val="o"/>
      <w:lvlJc w:val="left"/>
      <w:pPr>
        <w:ind w:left="1440" w:hanging="360"/>
      </w:pPr>
      <w:rPr>
        <w:rFonts w:ascii="Courier New" w:hAnsi="Courier New" w:hint="default"/>
      </w:rPr>
    </w:lvl>
    <w:lvl w:ilvl="2" w:tplc="286037EC">
      <w:start w:val="1"/>
      <w:numFmt w:val="bullet"/>
      <w:lvlText w:val=""/>
      <w:lvlJc w:val="left"/>
      <w:pPr>
        <w:ind w:left="2160" w:hanging="360"/>
      </w:pPr>
      <w:rPr>
        <w:rFonts w:ascii="Wingdings" w:hAnsi="Wingdings" w:hint="default"/>
      </w:rPr>
    </w:lvl>
    <w:lvl w:ilvl="3" w:tplc="C512D170">
      <w:start w:val="1"/>
      <w:numFmt w:val="bullet"/>
      <w:lvlText w:val=""/>
      <w:lvlJc w:val="left"/>
      <w:pPr>
        <w:ind w:left="2880" w:hanging="360"/>
      </w:pPr>
      <w:rPr>
        <w:rFonts w:ascii="Symbol" w:hAnsi="Symbol" w:hint="default"/>
      </w:rPr>
    </w:lvl>
    <w:lvl w:ilvl="4" w:tplc="5770F64A">
      <w:start w:val="1"/>
      <w:numFmt w:val="bullet"/>
      <w:lvlText w:val="o"/>
      <w:lvlJc w:val="left"/>
      <w:pPr>
        <w:ind w:left="3600" w:hanging="360"/>
      </w:pPr>
      <w:rPr>
        <w:rFonts w:ascii="Courier New" w:hAnsi="Courier New" w:hint="default"/>
      </w:rPr>
    </w:lvl>
    <w:lvl w:ilvl="5" w:tplc="17BAB456">
      <w:start w:val="1"/>
      <w:numFmt w:val="bullet"/>
      <w:lvlText w:val=""/>
      <w:lvlJc w:val="left"/>
      <w:pPr>
        <w:ind w:left="4320" w:hanging="360"/>
      </w:pPr>
      <w:rPr>
        <w:rFonts w:ascii="Wingdings" w:hAnsi="Wingdings" w:hint="default"/>
      </w:rPr>
    </w:lvl>
    <w:lvl w:ilvl="6" w:tplc="D0C469A4">
      <w:start w:val="1"/>
      <w:numFmt w:val="bullet"/>
      <w:lvlText w:val=""/>
      <w:lvlJc w:val="left"/>
      <w:pPr>
        <w:ind w:left="5040" w:hanging="360"/>
      </w:pPr>
      <w:rPr>
        <w:rFonts w:ascii="Symbol" w:hAnsi="Symbol" w:hint="default"/>
      </w:rPr>
    </w:lvl>
    <w:lvl w:ilvl="7" w:tplc="16C6EDD2">
      <w:start w:val="1"/>
      <w:numFmt w:val="bullet"/>
      <w:lvlText w:val="o"/>
      <w:lvlJc w:val="left"/>
      <w:pPr>
        <w:ind w:left="5760" w:hanging="360"/>
      </w:pPr>
      <w:rPr>
        <w:rFonts w:ascii="Courier New" w:hAnsi="Courier New" w:hint="default"/>
      </w:rPr>
    </w:lvl>
    <w:lvl w:ilvl="8" w:tplc="56D2131A">
      <w:start w:val="1"/>
      <w:numFmt w:val="bullet"/>
      <w:lvlText w:val=""/>
      <w:lvlJc w:val="left"/>
      <w:pPr>
        <w:ind w:left="6480" w:hanging="360"/>
      </w:pPr>
      <w:rPr>
        <w:rFonts w:ascii="Wingdings" w:hAnsi="Wingdings" w:hint="default"/>
      </w:rPr>
    </w:lvl>
  </w:abstractNum>
  <w:abstractNum w:abstractNumId="29" w15:restartNumberingAfterBreak="0">
    <w:nsid w:val="5B97042A"/>
    <w:multiLevelType w:val="multilevel"/>
    <w:tmpl w:val="F3B4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F80C69"/>
    <w:multiLevelType w:val="multilevel"/>
    <w:tmpl w:val="9C16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057BB6"/>
    <w:multiLevelType w:val="hybridMultilevel"/>
    <w:tmpl w:val="FFFFFFFF"/>
    <w:lvl w:ilvl="0" w:tplc="1A4C29E6">
      <w:start w:val="1"/>
      <w:numFmt w:val="bullet"/>
      <w:lvlText w:val=""/>
      <w:lvlJc w:val="left"/>
      <w:pPr>
        <w:ind w:left="720" w:hanging="360"/>
      </w:pPr>
      <w:rPr>
        <w:rFonts w:ascii="Symbol" w:hAnsi="Symbol" w:hint="default"/>
      </w:rPr>
    </w:lvl>
    <w:lvl w:ilvl="1" w:tplc="ADE2609C">
      <w:start w:val="1"/>
      <w:numFmt w:val="bullet"/>
      <w:lvlText w:val="o"/>
      <w:lvlJc w:val="left"/>
      <w:pPr>
        <w:ind w:left="1440" w:hanging="360"/>
      </w:pPr>
      <w:rPr>
        <w:rFonts w:ascii="Courier New" w:hAnsi="Courier New" w:hint="default"/>
      </w:rPr>
    </w:lvl>
    <w:lvl w:ilvl="2" w:tplc="DA5808DA">
      <w:start w:val="1"/>
      <w:numFmt w:val="bullet"/>
      <w:lvlText w:val=""/>
      <w:lvlJc w:val="left"/>
      <w:pPr>
        <w:ind w:left="2160" w:hanging="360"/>
      </w:pPr>
      <w:rPr>
        <w:rFonts w:ascii="Wingdings" w:hAnsi="Wingdings" w:hint="default"/>
      </w:rPr>
    </w:lvl>
    <w:lvl w:ilvl="3" w:tplc="E73EEFA6">
      <w:start w:val="1"/>
      <w:numFmt w:val="bullet"/>
      <w:lvlText w:val=""/>
      <w:lvlJc w:val="left"/>
      <w:pPr>
        <w:ind w:left="2880" w:hanging="360"/>
      </w:pPr>
      <w:rPr>
        <w:rFonts w:ascii="Symbol" w:hAnsi="Symbol" w:hint="default"/>
      </w:rPr>
    </w:lvl>
    <w:lvl w:ilvl="4" w:tplc="6834F276">
      <w:start w:val="1"/>
      <w:numFmt w:val="bullet"/>
      <w:lvlText w:val="o"/>
      <w:lvlJc w:val="left"/>
      <w:pPr>
        <w:ind w:left="3600" w:hanging="360"/>
      </w:pPr>
      <w:rPr>
        <w:rFonts w:ascii="Courier New" w:hAnsi="Courier New" w:hint="default"/>
      </w:rPr>
    </w:lvl>
    <w:lvl w:ilvl="5" w:tplc="30E076F0">
      <w:start w:val="1"/>
      <w:numFmt w:val="bullet"/>
      <w:lvlText w:val=""/>
      <w:lvlJc w:val="left"/>
      <w:pPr>
        <w:ind w:left="4320" w:hanging="360"/>
      </w:pPr>
      <w:rPr>
        <w:rFonts w:ascii="Wingdings" w:hAnsi="Wingdings" w:hint="default"/>
      </w:rPr>
    </w:lvl>
    <w:lvl w:ilvl="6" w:tplc="3C32BA00">
      <w:start w:val="1"/>
      <w:numFmt w:val="bullet"/>
      <w:lvlText w:val=""/>
      <w:lvlJc w:val="left"/>
      <w:pPr>
        <w:ind w:left="5040" w:hanging="360"/>
      </w:pPr>
      <w:rPr>
        <w:rFonts w:ascii="Symbol" w:hAnsi="Symbol" w:hint="default"/>
      </w:rPr>
    </w:lvl>
    <w:lvl w:ilvl="7" w:tplc="4B28B1B6">
      <w:start w:val="1"/>
      <w:numFmt w:val="bullet"/>
      <w:lvlText w:val="o"/>
      <w:lvlJc w:val="left"/>
      <w:pPr>
        <w:ind w:left="5760" w:hanging="360"/>
      </w:pPr>
      <w:rPr>
        <w:rFonts w:ascii="Courier New" w:hAnsi="Courier New" w:hint="default"/>
      </w:rPr>
    </w:lvl>
    <w:lvl w:ilvl="8" w:tplc="3DD0E91C">
      <w:start w:val="1"/>
      <w:numFmt w:val="bullet"/>
      <w:lvlText w:val=""/>
      <w:lvlJc w:val="left"/>
      <w:pPr>
        <w:ind w:left="6480" w:hanging="360"/>
      </w:pPr>
      <w:rPr>
        <w:rFonts w:ascii="Wingdings" w:hAnsi="Wingdings" w:hint="default"/>
      </w:rPr>
    </w:lvl>
  </w:abstractNum>
  <w:abstractNum w:abstractNumId="32" w15:restartNumberingAfterBreak="0">
    <w:nsid w:val="6E7C58E7"/>
    <w:multiLevelType w:val="multilevel"/>
    <w:tmpl w:val="C25E4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0B91A52"/>
    <w:multiLevelType w:val="hybridMultilevel"/>
    <w:tmpl w:val="FFFFFFFF"/>
    <w:lvl w:ilvl="0" w:tplc="3C80827A">
      <w:start w:val="1"/>
      <w:numFmt w:val="bullet"/>
      <w:lvlText w:val=""/>
      <w:lvlJc w:val="left"/>
      <w:pPr>
        <w:ind w:left="720" w:hanging="360"/>
      </w:pPr>
      <w:rPr>
        <w:rFonts w:ascii="Symbol" w:hAnsi="Symbol" w:hint="default"/>
      </w:rPr>
    </w:lvl>
    <w:lvl w:ilvl="1" w:tplc="E4C4C428">
      <w:start w:val="1"/>
      <w:numFmt w:val="bullet"/>
      <w:lvlText w:val="o"/>
      <w:lvlJc w:val="left"/>
      <w:pPr>
        <w:ind w:left="1440" w:hanging="360"/>
      </w:pPr>
      <w:rPr>
        <w:rFonts w:ascii="Courier New" w:hAnsi="Courier New" w:hint="default"/>
      </w:rPr>
    </w:lvl>
    <w:lvl w:ilvl="2" w:tplc="D77414B8">
      <w:start w:val="1"/>
      <w:numFmt w:val="bullet"/>
      <w:lvlText w:val=""/>
      <w:lvlJc w:val="left"/>
      <w:pPr>
        <w:ind w:left="2160" w:hanging="360"/>
      </w:pPr>
      <w:rPr>
        <w:rFonts w:ascii="Wingdings" w:hAnsi="Wingdings" w:hint="default"/>
      </w:rPr>
    </w:lvl>
    <w:lvl w:ilvl="3" w:tplc="2DAA2FDA">
      <w:start w:val="1"/>
      <w:numFmt w:val="bullet"/>
      <w:lvlText w:val=""/>
      <w:lvlJc w:val="left"/>
      <w:pPr>
        <w:ind w:left="2880" w:hanging="360"/>
      </w:pPr>
      <w:rPr>
        <w:rFonts w:ascii="Symbol" w:hAnsi="Symbol" w:hint="default"/>
      </w:rPr>
    </w:lvl>
    <w:lvl w:ilvl="4" w:tplc="08CE168C">
      <w:start w:val="1"/>
      <w:numFmt w:val="bullet"/>
      <w:lvlText w:val="o"/>
      <w:lvlJc w:val="left"/>
      <w:pPr>
        <w:ind w:left="3600" w:hanging="360"/>
      </w:pPr>
      <w:rPr>
        <w:rFonts w:ascii="Courier New" w:hAnsi="Courier New" w:hint="default"/>
      </w:rPr>
    </w:lvl>
    <w:lvl w:ilvl="5" w:tplc="7F6E3DC6">
      <w:start w:val="1"/>
      <w:numFmt w:val="bullet"/>
      <w:lvlText w:val=""/>
      <w:lvlJc w:val="left"/>
      <w:pPr>
        <w:ind w:left="4320" w:hanging="360"/>
      </w:pPr>
      <w:rPr>
        <w:rFonts w:ascii="Wingdings" w:hAnsi="Wingdings" w:hint="default"/>
      </w:rPr>
    </w:lvl>
    <w:lvl w:ilvl="6" w:tplc="582CEB76">
      <w:start w:val="1"/>
      <w:numFmt w:val="bullet"/>
      <w:lvlText w:val=""/>
      <w:lvlJc w:val="left"/>
      <w:pPr>
        <w:ind w:left="5040" w:hanging="360"/>
      </w:pPr>
      <w:rPr>
        <w:rFonts w:ascii="Symbol" w:hAnsi="Symbol" w:hint="default"/>
      </w:rPr>
    </w:lvl>
    <w:lvl w:ilvl="7" w:tplc="BA6EC382">
      <w:start w:val="1"/>
      <w:numFmt w:val="bullet"/>
      <w:lvlText w:val="o"/>
      <w:lvlJc w:val="left"/>
      <w:pPr>
        <w:ind w:left="5760" w:hanging="360"/>
      </w:pPr>
      <w:rPr>
        <w:rFonts w:ascii="Courier New" w:hAnsi="Courier New" w:hint="default"/>
      </w:rPr>
    </w:lvl>
    <w:lvl w:ilvl="8" w:tplc="F9CCA882">
      <w:start w:val="1"/>
      <w:numFmt w:val="bullet"/>
      <w:lvlText w:val=""/>
      <w:lvlJc w:val="left"/>
      <w:pPr>
        <w:ind w:left="6480" w:hanging="360"/>
      </w:pPr>
      <w:rPr>
        <w:rFonts w:ascii="Wingdings" w:hAnsi="Wingdings" w:hint="default"/>
      </w:rPr>
    </w:lvl>
  </w:abstractNum>
  <w:abstractNum w:abstractNumId="34" w15:restartNumberingAfterBreak="0">
    <w:nsid w:val="71853F48"/>
    <w:multiLevelType w:val="multilevel"/>
    <w:tmpl w:val="B956A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6031F2"/>
    <w:multiLevelType w:val="multilevel"/>
    <w:tmpl w:val="7E90C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D96A24"/>
    <w:multiLevelType w:val="hybridMultilevel"/>
    <w:tmpl w:val="C14283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77C2F05"/>
    <w:multiLevelType w:val="multilevel"/>
    <w:tmpl w:val="187837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CF7848"/>
    <w:multiLevelType w:val="multilevel"/>
    <w:tmpl w:val="86B0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D121EA"/>
    <w:multiLevelType w:val="multilevel"/>
    <w:tmpl w:val="768A0B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C273503"/>
    <w:multiLevelType w:val="multilevel"/>
    <w:tmpl w:val="D312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7D19C4"/>
    <w:multiLevelType w:val="multilevel"/>
    <w:tmpl w:val="501C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E91A470"/>
    <w:multiLevelType w:val="hybridMultilevel"/>
    <w:tmpl w:val="FFFFFFFF"/>
    <w:lvl w:ilvl="0" w:tplc="B76A1516">
      <w:start w:val="1"/>
      <w:numFmt w:val="bullet"/>
      <w:lvlText w:val=""/>
      <w:lvlJc w:val="left"/>
      <w:pPr>
        <w:ind w:left="720" w:hanging="360"/>
      </w:pPr>
      <w:rPr>
        <w:rFonts w:ascii="Symbol" w:hAnsi="Symbol" w:hint="default"/>
      </w:rPr>
    </w:lvl>
    <w:lvl w:ilvl="1" w:tplc="3AE0F8BA">
      <w:start w:val="1"/>
      <w:numFmt w:val="bullet"/>
      <w:lvlText w:val="o"/>
      <w:lvlJc w:val="left"/>
      <w:pPr>
        <w:ind w:left="1440" w:hanging="360"/>
      </w:pPr>
      <w:rPr>
        <w:rFonts w:ascii="Courier New" w:hAnsi="Courier New" w:hint="default"/>
      </w:rPr>
    </w:lvl>
    <w:lvl w:ilvl="2" w:tplc="BBFA09A6">
      <w:start w:val="1"/>
      <w:numFmt w:val="bullet"/>
      <w:lvlText w:val=""/>
      <w:lvlJc w:val="left"/>
      <w:pPr>
        <w:ind w:left="2160" w:hanging="360"/>
      </w:pPr>
      <w:rPr>
        <w:rFonts w:ascii="Wingdings" w:hAnsi="Wingdings" w:hint="default"/>
      </w:rPr>
    </w:lvl>
    <w:lvl w:ilvl="3" w:tplc="961E8E20">
      <w:start w:val="1"/>
      <w:numFmt w:val="bullet"/>
      <w:lvlText w:val=""/>
      <w:lvlJc w:val="left"/>
      <w:pPr>
        <w:ind w:left="2880" w:hanging="360"/>
      </w:pPr>
      <w:rPr>
        <w:rFonts w:ascii="Symbol" w:hAnsi="Symbol" w:hint="default"/>
      </w:rPr>
    </w:lvl>
    <w:lvl w:ilvl="4" w:tplc="D7A20492">
      <w:start w:val="1"/>
      <w:numFmt w:val="bullet"/>
      <w:lvlText w:val="o"/>
      <w:lvlJc w:val="left"/>
      <w:pPr>
        <w:ind w:left="3600" w:hanging="360"/>
      </w:pPr>
      <w:rPr>
        <w:rFonts w:ascii="Courier New" w:hAnsi="Courier New" w:hint="default"/>
      </w:rPr>
    </w:lvl>
    <w:lvl w:ilvl="5" w:tplc="AA0896D0">
      <w:start w:val="1"/>
      <w:numFmt w:val="bullet"/>
      <w:lvlText w:val=""/>
      <w:lvlJc w:val="left"/>
      <w:pPr>
        <w:ind w:left="4320" w:hanging="360"/>
      </w:pPr>
      <w:rPr>
        <w:rFonts w:ascii="Wingdings" w:hAnsi="Wingdings" w:hint="default"/>
      </w:rPr>
    </w:lvl>
    <w:lvl w:ilvl="6" w:tplc="3438C4BA">
      <w:start w:val="1"/>
      <w:numFmt w:val="bullet"/>
      <w:lvlText w:val=""/>
      <w:lvlJc w:val="left"/>
      <w:pPr>
        <w:ind w:left="5040" w:hanging="360"/>
      </w:pPr>
      <w:rPr>
        <w:rFonts w:ascii="Symbol" w:hAnsi="Symbol" w:hint="default"/>
      </w:rPr>
    </w:lvl>
    <w:lvl w:ilvl="7" w:tplc="B9A201C4">
      <w:start w:val="1"/>
      <w:numFmt w:val="bullet"/>
      <w:lvlText w:val="o"/>
      <w:lvlJc w:val="left"/>
      <w:pPr>
        <w:ind w:left="5760" w:hanging="360"/>
      </w:pPr>
      <w:rPr>
        <w:rFonts w:ascii="Courier New" w:hAnsi="Courier New" w:hint="default"/>
      </w:rPr>
    </w:lvl>
    <w:lvl w:ilvl="8" w:tplc="01EC0382">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2"/>
  </w:num>
  <w:num w:numId="4">
    <w:abstractNumId w:val="6"/>
  </w:num>
  <w:num w:numId="5">
    <w:abstractNumId w:val="36"/>
  </w:num>
  <w:num w:numId="6">
    <w:abstractNumId w:val="39"/>
  </w:num>
  <w:num w:numId="7">
    <w:abstractNumId w:val="28"/>
  </w:num>
  <w:num w:numId="8">
    <w:abstractNumId w:val="14"/>
  </w:num>
  <w:num w:numId="9">
    <w:abstractNumId w:val="19"/>
  </w:num>
  <w:num w:numId="10">
    <w:abstractNumId w:val="33"/>
  </w:num>
  <w:num w:numId="11">
    <w:abstractNumId w:val="31"/>
  </w:num>
  <w:num w:numId="12">
    <w:abstractNumId w:val="42"/>
  </w:num>
  <w:num w:numId="13">
    <w:abstractNumId w:val="3"/>
  </w:num>
  <w:num w:numId="14">
    <w:abstractNumId w:val="24"/>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6"/>
  </w:num>
  <w:num w:numId="21">
    <w:abstractNumId w:val="30"/>
  </w:num>
  <w:num w:numId="22">
    <w:abstractNumId w:val="11"/>
  </w:num>
  <w:num w:numId="23">
    <w:abstractNumId w:val="1"/>
  </w:num>
  <w:num w:numId="24">
    <w:abstractNumId w:val="40"/>
  </w:num>
  <w:num w:numId="25">
    <w:abstractNumId w:val="8"/>
  </w:num>
  <w:num w:numId="26">
    <w:abstractNumId w:val="7"/>
  </w:num>
  <w:num w:numId="27">
    <w:abstractNumId w:val="29"/>
  </w:num>
  <w:num w:numId="28">
    <w:abstractNumId w:val="5"/>
  </w:num>
  <w:num w:numId="29">
    <w:abstractNumId w:val="15"/>
  </w:num>
  <w:num w:numId="30">
    <w:abstractNumId w:val="26"/>
  </w:num>
  <w:num w:numId="31">
    <w:abstractNumId w:val="10"/>
  </w:num>
  <w:num w:numId="32">
    <w:abstractNumId w:val="20"/>
  </w:num>
  <w:num w:numId="33">
    <w:abstractNumId w:val="38"/>
  </w:num>
  <w:num w:numId="34">
    <w:abstractNumId w:val="22"/>
  </w:num>
  <w:num w:numId="35">
    <w:abstractNumId w:val="41"/>
  </w:num>
  <w:num w:numId="36">
    <w:abstractNumId w:val="27"/>
  </w:num>
  <w:num w:numId="37">
    <w:abstractNumId w:val="0"/>
  </w:num>
  <w:num w:numId="38">
    <w:abstractNumId w:val="32"/>
  </w:num>
  <w:num w:numId="39">
    <w:abstractNumId w:val="13"/>
  </w:num>
  <w:num w:numId="40">
    <w:abstractNumId w:val="34"/>
  </w:num>
  <w:num w:numId="41">
    <w:abstractNumId w:val="18"/>
  </w:num>
  <w:num w:numId="42">
    <w:abstractNumId w:val="35"/>
  </w:num>
  <w:num w:numId="43">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4F47206F-19B2-408F-92D5-FE2167A8DD9A"/>
    <w:docVar w:name="LW_COVERPAGE_TYPE" w:val="1"/>
    <w:docVar w:name="LW_CROSSREFERENCE" w:val="{SWD(2026) 595 final} - {SWD(2026) 596 final}"/>
    <w:docVar w:name="LW_DocType" w:val="NORMAL"/>
    <w:docVar w:name="LW_EMISSION" w:val="17.7.2026"/>
    <w:docVar w:name="LW_EMISSION_ISODATE" w:val="2026-07-1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UL DE AC\u538?IUNE PRIVIND ELECTRIFICAREA"/>
    <w:docVar w:name="LW_TYPE.DOC.CP" w:val="COMUNICARE A COMISIEI C\u258?TRE PARLAMENTUL EUROPEAN, CONSILIU, COMITETUL ECONOMIC \u536?I SOCIAL EUROPEAN \u536?I COMITETUL REGIUNILOR"/>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F3AE208D-24EF-43B6-8B07-41870D3E6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PBM ART,WinDForce-Letter,Annexure,List Paragraph1,Heading 91,Report Para,Medium Grid 1 - Accent 21,Colorful List - Accent 11,Heading 911,Bullet 05,Bullets,bullets,List Paragraph2,Heading 9111,Fiche List Paragraph,Normal bullet 2,Dot pt,EC"/>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aliases w:val=" Footnote,-E Fußnotentext,Footnote text,~FootnoteText,Fußnotentext Char,Fußnotentext Char2 Char,Fußnotentext Char1 Char Char,Fußnotentext Char Char Char Char,Fußnotentext Char Char1 Char,Fußnotentext Char2,Fußnotentext Char1 Char,Char,fn,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 Footnote Char,-E Fußnotentext Char,Footnote text Char,~FootnoteText Char,Fußnotentext Char Char,Fußnotentext Char2 Char Char,Fußnotentext Char1 Char Char Char,Fußnotentext Char Char Char Char Char,Fußnotentext Char Char1 Char Char"/>
    <w:basedOn w:val="DefaultParagraphFont"/>
    <w:link w:val="FootnoteText"/>
    <w:uiPriority w:val="99"/>
    <w:qFormat/>
    <w:rPr>
      <w:sz w:val="20"/>
      <w:szCs w:val="20"/>
    </w:rPr>
  </w:style>
  <w:style w:type="character" w:styleId="FootnoteReference">
    <w:name w:val="footnote reference"/>
    <w:aliases w:val="-E Fuﬂnotenzeichen,-E Fuûnotenzeichen,-E Fußnotenzeichen,number,SUPERS,Footnote,Footnote symbol,EN Footnote Reference, BVI fnr,Footnote number,Footnote Reference Number,Footnote reference number,Times 10 Point,Exposant 3 Point,BVI fnr"/>
    <w:basedOn w:val="DefaultParagraphFont"/>
    <w:link w:val="SUPERSCharCharCharCharCharCharCharChar"/>
    <w:uiPriority w:val="99"/>
    <w:unhideWhenUsed/>
    <w:qFormat/>
    <w:rPr>
      <w:vertAlign w:val="superscript"/>
    </w:rPr>
  </w:style>
  <w:style w:type="character" w:styleId="Hyperlink">
    <w:name w:val="Hyperlink"/>
    <w:basedOn w:val="DefaultParagraphFont"/>
    <w:uiPriority w:val="99"/>
    <w:unhideWhenUsed/>
    <w:rPr>
      <w:color w:val="467886" w:themeColor="hyperlink"/>
      <w:u w:val="single"/>
    </w:rPr>
  </w:style>
  <w:style w:type="character" w:customStyle="1" w:styleId="ListParagraphChar">
    <w:name w:val="List Paragraph Char"/>
    <w:aliases w:val="PBM ART Char,WinDForce-Letter Char,Annexure Char,List Paragraph1 Char,Heading 91 Char,Report Para Char,Medium Grid 1 - Accent 21 Char,Colorful List - Accent 11 Char,Heading 911 Char,Bullet 05 Char,Bullets Char,bullets Char,EC Char"/>
    <w:basedOn w:val="DefaultParagraphFont"/>
    <w:link w:val="ListParagraph"/>
    <w:uiPriority w:val="34"/>
    <w:qFormat/>
    <w:locked/>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Pr>
      <w:rFonts w:ascii="Calibri" w:hAnsi="Calibri" w:cs="Calibri"/>
      <w:sz w:val="20"/>
      <w:szCs w:val="20"/>
    </w:rPr>
  </w:style>
  <w:style w:type="table" w:styleId="TableGrid">
    <w:name w:val="Table Grid"/>
    <w:basedOn w:val="TableNormal"/>
    <w:uiPriority w:val="5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r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tion1">
    <w:name w:val="Mention1"/>
    <w:basedOn w:val="DefaultParagraphFont"/>
    <w:uiPriority w:val="99"/>
    <w:unhideWhenUsed/>
    <w:rPr>
      <w:color w:val="2B579A"/>
      <w:shd w:val="clear" w:color="auto" w:fill="E1DFDD"/>
    </w:rPr>
  </w:style>
  <w:style w:type="paragraph" w:customStyle="1" w:styleId="Briefingtext">
    <w:name w:val="Briefing text"/>
    <w:basedOn w:val="Normal"/>
    <w:link w:val="BriefingtextChar"/>
    <w:pPr>
      <w:spacing w:after="12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lang w:val="ro-RO"/>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SUPERSCharCharCharCharCharCharCharChar">
    <w:name w:val="SUPERS Char Char Char Char Char Char Char Char"/>
    <w:basedOn w:val="Normal"/>
    <w:link w:val="FootnoteReference"/>
    <w:uiPriority w:val="99"/>
    <w:pPr>
      <w:spacing w:line="240" w:lineRule="exact"/>
    </w:pPr>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table" w:customStyle="1" w:styleId="TableGrid1">
    <w:name w:val="Table Grid1"/>
    <w:basedOn w:val="TableNormal"/>
    <w:next w:val="TableGrid"/>
    <w:uiPriority w:val="59"/>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6397">
      <w:bodyDiv w:val="1"/>
      <w:marLeft w:val="0"/>
      <w:marRight w:val="0"/>
      <w:marTop w:val="0"/>
      <w:marBottom w:val="0"/>
      <w:divBdr>
        <w:top w:val="none" w:sz="0" w:space="0" w:color="auto"/>
        <w:left w:val="none" w:sz="0" w:space="0" w:color="auto"/>
        <w:bottom w:val="none" w:sz="0" w:space="0" w:color="auto"/>
        <w:right w:val="none" w:sz="0" w:space="0" w:color="auto"/>
      </w:divBdr>
    </w:div>
    <w:div w:id="21395552">
      <w:bodyDiv w:val="1"/>
      <w:marLeft w:val="0"/>
      <w:marRight w:val="0"/>
      <w:marTop w:val="0"/>
      <w:marBottom w:val="0"/>
      <w:divBdr>
        <w:top w:val="none" w:sz="0" w:space="0" w:color="auto"/>
        <w:left w:val="none" w:sz="0" w:space="0" w:color="auto"/>
        <w:bottom w:val="none" w:sz="0" w:space="0" w:color="auto"/>
        <w:right w:val="none" w:sz="0" w:space="0" w:color="auto"/>
      </w:divBdr>
    </w:div>
    <w:div w:id="27683908">
      <w:bodyDiv w:val="1"/>
      <w:marLeft w:val="0"/>
      <w:marRight w:val="0"/>
      <w:marTop w:val="0"/>
      <w:marBottom w:val="0"/>
      <w:divBdr>
        <w:top w:val="none" w:sz="0" w:space="0" w:color="auto"/>
        <w:left w:val="none" w:sz="0" w:space="0" w:color="auto"/>
        <w:bottom w:val="none" w:sz="0" w:space="0" w:color="auto"/>
        <w:right w:val="none" w:sz="0" w:space="0" w:color="auto"/>
      </w:divBdr>
      <w:divsChild>
        <w:div w:id="624191083">
          <w:marLeft w:val="0"/>
          <w:marRight w:val="0"/>
          <w:marTop w:val="0"/>
          <w:marBottom w:val="0"/>
          <w:divBdr>
            <w:top w:val="none" w:sz="0" w:space="0" w:color="auto"/>
            <w:left w:val="none" w:sz="0" w:space="0" w:color="auto"/>
            <w:bottom w:val="none" w:sz="0" w:space="0" w:color="auto"/>
            <w:right w:val="none" w:sz="0" w:space="0" w:color="auto"/>
          </w:divBdr>
          <w:divsChild>
            <w:div w:id="168838837">
              <w:marLeft w:val="0"/>
              <w:marRight w:val="0"/>
              <w:marTop w:val="0"/>
              <w:marBottom w:val="0"/>
              <w:divBdr>
                <w:top w:val="none" w:sz="0" w:space="0" w:color="auto"/>
                <w:left w:val="none" w:sz="0" w:space="0" w:color="auto"/>
                <w:bottom w:val="none" w:sz="0" w:space="0" w:color="auto"/>
                <w:right w:val="none" w:sz="0" w:space="0" w:color="auto"/>
              </w:divBdr>
              <w:divsChild>
                <w:div w:id="744256817">
                  <w:marLeft w:val="0"/>
                  <w:marRight w:val="0"/>
                  <w:marTop w:val="0"/>
                  <w:marBottom w:val="0"/>
                  <w:divBdr>
                    <w:top w:val="none" w:sz="0" w:space="0" w:color="auto"/>
                    <w:left w:val="none" w:sz="0" w:space="0" w:color="auto"/>
                    <w:bottom w:val="none" w:sz="0" w:space="0" w:color="auto"/>
                    <w:right w:val="none" w:sz="0" w:space="0" w:color="auto"/>
                  </w:divBdr>
                  <w:divsChild>
                    <w:div w:id="1518425849">
                      <w:marLeft w:val="0"/>
                      <w:marRight w:val="0"/>
                      <w:marTop w:val="0"/>
                      <w:marBottom w:val="0"/>
                      <w:divBdr>
                        <w:top w:val="none" w:sz="0" w:space="0" w:color="auto"/>
                        <w:left w:val="none" w:sz="0" w:space="0" w:color="auto"/>
                        <w:bottom w:val="none" w:sz="0" w:space="0" w:color="auto"/>
                        <w:right w:val="none" w:sz="0" w:space="0" w:color="auto"/>
                      </w:divBdr>
                      <w:divsChild>
                        <w:div w:id="7335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264269">
              <w:marLeft w:val="0"/>
              <w:marRight w:val="0"/>
              <w:marTop w:val="0"/>
              <w:marBottom w:val="0"/>
              <w:divBdr>
                <w:top w:val="none" w:sz="0" w:space="0" w:color="auto"/>
                <w:left w:val="none" w:sz="0" w:space="0" w:color="auto"/>
                <w:bottom w:val="none" w:sz="0" w:space="0" w:color="auto"/>
                <w:right w:val="none" w:sz="0" w:space="0" w:color="auto"/>
              </w:divBdr>
            </w:div>
            <w:div w:id="475731608">
              <w:marLeft w:val="0"/>
              <w:marRight w:val="0"/>
              <w:marTop w:val="0"/>
              <w:marBottom w:val="0"/>
              <w:divBdr>
                <w:top w:val="none" w:sz="0" w:space="0" w:color="auto"/>
                <w:left w:val="none" w:sz="0" w:space="0" w:color="auto"/>
                <w:bottom w:val="none" w:sz="0" w:space="0" w:color="auto"/>
                <w:right w:val="none" w:sz="0" w:space="0" w:color="auto"/>
              </w:divBdr>
              <w:divsChild>
                <w:div w:id="2016224493">
                  <w:marLeft w:val="0"/>
                  <w:marRight w:val="0"/>
                  <w:marTop w:val="0"/>
                  <w:marBottom w:val="0"/>
                  <w:divBdr>
                    <w:top w:val="none" w:sz="0" w:space="0" w:color="auto"/>
                    <w:left w:val="none" w:sz="0" w:space="0" w:color="auto"/>
                    <w:bottom w:val="none" w:sz="0" w:space="0" w:color="auto"/>
                    <w:right w:val="none" w:sz="0" w:space="0" w:color="auto"/>
                  </w:divBdr>
                  <w:divsChild>
                    <w:div w:id="666976203">
                      <w:marLeft w:val="0"/>
                      <w:marRight w:val="0"/>
                      <w:marTop w:val="0"/>
                      <w:marBottom w:val="0"/>
                      <w:divBdr>
                        <w:top w:val="none" w:sz="0" w:space="0" w:color="auto"/>
                        <w:left w:val="none" w:sz="0" w:space="0" w:color="auto"/>
                        <w:bottom w:val="none" w:sz="0" w:space="0" w:color="auto"/>
                        <w:right w:val="none" w:sz="0" w:space="0" w:color="auto"/>
                      </w:divBdr>
                      <w:divsChild>
                        <w:div w:id="4628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083466">
              <w:marLeft w:val="0"/>
              <w:marRight w:val="0"/>
              <w:marTop w:val="0"/>
              <w:marBottom w:val="0"/>
              <w:divBdr>
                <w:top w:val="none" w:sz="0" w:space="0" w:color="auto"/>
                <w:left w:val="none" w:sz="0" w:space="0" w:color="auto"/>
                <w:bottom w:val="none" w:sz="0" w:space="0" w:color="auto"/>
                <w:right w:val="none" w:sz="0" w:space="0" w:color="auto"/>
              </w:divBdr>
              <w:divsChild>
                <w:div w:id="1007489036">
                  <w:marLeft w:val="0"/>
                  <w:marRight w:val="0"/>
                  <w:marTop w:val="0"/>
                  <w:marBottom w:val="0"/>
                  <w:divBdr>
                    <w:top w:val="none" w:sz="0" w:space="0" w:color="auto"/>
                    <w:left w:val="none" w:sz="0" w:space="0" w:color="auto"/>
                    <w:bottom w:val="none" w:sz="0" w:space="0" w:color="auto"/>
                    <w:right w:val="none" w:sz="0" w:space="0" w:color="auto"/>
                  </w:divBdr>
                  <w:divsChild>
                    <w:div w:id="1199126090">
                      <w:marLeft w:val="0"/>
                      <w:marRight w:val="0"/>
                      <w:marTop w:val="0"/>
                      <w:marBottom w:val="0"/>
                      <w:divBdr>
                        <w:top w:val="none" w:sz="0" w:space="0" w:color="auto"/>
                        <w:left w:val="none" w:sz="0" w:space="0" w:color="auto"/>
                        <w:bottom w:val="none" w:sz="0" w:space="0" w:color="auto"/>
                        <w:right w:val="none" w:sz="0" w:space="0" w:color="auto"/>
                      </w:divBdr>
                      <w:divsChild>
                        <w:div w:id="171620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93740">
              <w:marLeft w:val="0"/>
              <w:marRight w:val="0"/>
              <w:marTop w:val="0"/>
              <w:marBottom w:val="0"/>
              <w:divBdr>
                <w:top w:val="none" w:sz="0" w:space="0" w:color="auto"/>
                <w:left w:val="none" w:sz="0" w:space="0" w:color="auto"/>
                <w:bottom w:val="none" w:sz="0" w:space="0" w:color="auto"/>
                <w:right w:val="none" w:sz="0" w:space="0" w:color="auto"/>
              </w:divBdr>
              <w:divsChild>
                <w:div w:id="1657610618">
                  <w:marLeft w:val="0"/>
                  <w:marRight w:val="0"/>
                  <w:marTop w:val="0"/>
                  <w:marBottom w:val="0"/>
                  <w:divBdr>
                    <w:top w:val="none" w:sz="0" w:space="0" w:color="auto"/>
                    <w:left w:val="none" w:sz="0" w:space="0" w:color="auto"/>
                    <w:bottom w:val="none" w:sz="0" w:space="0" w:color="auto"/>
                    <w:right w:val="none" w:sz="0" w:space="0" w:color="auto"/>
                  </w:divBdr>
                  <w:divsChild>
                    <w:div w:id="276833572">
                      <w:marLeft w:val="0"/>
                      <w:marRight w:val="0"/>
                      <w:marTop w:val="0"/>
                      <w:marBottom w:val="0"/>
                      <w:divBdr>
                        <w:top w:val="none" w:sz="0" w:space="0" w:color="auto"/>
                        <w:left w:val="none" w:sz="0" w:space="0" w:color="auto"/>
                        <w:bottom w:val="none" w:sz="0" w:space="0" w:color="auto"/>
                        <w:right w:val="none" w:sz="0" w:space="0" w:color="auto"/>
                      </w:divBdr>
                      <w:divsChild>
                        <w:div w:id="186745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160641">
              <w:marLeft w:val="0"/>
              <w:marRight w:val="0"/>
              <w:marTop w:val="0"/>
              <w:marBottom w:val="0"/>
              <w:divBdr>
                <w:top w:val="none" w:sz="0" w:space="0" w:color="auto"/>
                <w:left w:val="none" w:sz="0" w:space="0" w:color="auto"/>
                <w:bottom w:val="none" w:sz="0" w:space="0" w:color="auto"/>
                <w:right w:val="none" w:sz="0" w:space="0" w:color="auto"/>
              </w:divBdr>
              <w:divsChild>
                <w:div w:id="1579099308">
                  <w:marLeft w:val="0"/>
                  <w:marRight w:val="0"/>
                  <w:marTop w:val="0"/>
                  <w:marBottom w:val="0"/>
                  <w:divBdr>
                    <w:top w:val="none" w:sz="0" w:space="0" w:color="auto"/>
                    <w:left w:val="none" w:sz="0" w:space="0" w:color="auto"/>
                    <w:bottom w:val="none" w:sz="0" w:space="0" w:color="auto"/>
                    <w:right w:val="none" w:sz="0" w:space="0" w:color="auto"/>
                  </w:divBdr>
                  <w:divsChild>
                    <w:div w:id="1027564928">
                      <w:marLeft w:val="0"/>
                      <w:marRight w:val="0"/>
                      <w:marTop w:val="0"/>
                      <w:marBottom w:val="0"/>
                      <w:divBdr>
                        <w:top w:val="none" w:sz="0" w:space="0" w:color="auto"/>
                        <w:left w:val="none" w:sz="0" w:space="0" w:color="auto"/>
                        <w:bottom w:val="none" w:sz="0" w:space="0" w:color="auto"/>
                        <w:right w:val="none" w:sz="0" w:space="0" w:color="auto"/>
                      </w:divBdr>
                      <w:divsChild>
                        <w:div w:id="1065253508">
                          <w:marLeft w:val="0"/>
                          <w:marRight w:val="0"/>
                          <w:marTop w:val="0"/>
                          <w:marBottom w:val="0"/>
                          <w:divBdr>
                            <w:top w:val="single" w:sz="12" w:space="3" w:color="FFFFFF"/>
                            <w:left w:val="single" w:sz="12" w:space="3" w:color="FFFFFF"/>
                            <w:bottom w:val="single" w:sz="12" w:space="3" w:color="FFFFFF"/>
                            <w:right w:val="single" w:sz="12" w:space="3" w:color="FFFFFF"/>
                          </w:divBdr>
                          <w:divsChild>
                            <w:div w:id="163781959">
                              <w:marLeft w:val="0"/>
                              <w:marRight w:val="0"/>
                              <w:marTop w:val="0"/>
                              <w:marBottom w:val="0"/>
                              <w:divBdr>
                                <w:top w:val="none" w:sz="0" w:space="0" w:color="auto"/>
                                <w:left w:val="none" w:sz="0" w:space="0" w:color="auto"/>
                                <w:bottom w:val="none" w:sz="0" w:space="0" w:color="auto"/>
                                <w:right w:val="none" w:sz="0" w:space="0" w:color="auto"/>
                              </w:divBdr>
                            </w:div>
                          </w:divsChild>
                        </w:div>
                        <w:div w:id="2038656888">
                          <w:marLeft w:val="0"/>
                          <w:marRight w:val="0"/>
                          <w:marTop w:val="0"/>
                          <w:marBottom w:val="0"/>
                          <w:divBdr>
                            <w:top w:val="single" w:sz="12" w:space="3" w:color="FFFFFF"/>
                            <w:left w:val="single" w:sz="12" w:space="3" w:color="FFFFFF"/>
                            <w:bottom w:val="single" w:sz="12" w:space="3" w:color="FFFFFF"/>
                            <w:right w:val="single" w:sz="12" w:space="3" w:color="FFFFFF"/>
                          </w:divBdr>
                          <w:divsChild>
                            <w:div w:id="43772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16441">
                      <w:marLeft w:val="0"/>
                      <w:marRight w:val="0"/>
                      <w:marTop w:val="0"/>
                      <w:marBottom w:val="0"/>
                      <w:divBdr>
                        <w:top w:val="single" w:sz="12" w:space="2" w:color="FFFFFF"/>
                        <w:left w:val="single" w:sz="12" w:space="3" w:color="FFFFFF"/>
                        <w:bottom w:val="single" w:sz="12" w:space="2" w:color="FFFFFF"/>
                        <w:right w:val="single" w:sz="12" w:space="6" w:color="FFFFFF"/>
                      </w:divBdr>
                      <w:divsChild>
                        <w:div w:id="202566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68028">
              <w:marLeft w:val="0"/>
              <w:marRight w:val="0"/>
              <w:marTop w:val="0"/>
              <w:marBottom w:val="0"/>
              <w:divBdr>
                <w:top w:val="none" w:sz="0" w:space="0" w:color="auto"/>
                <w:left w:val="none" w:sz="0" w:space="0" w:color="auto"/>
                <w:bottom w:val="none" w:sz="0" w:space="0" w:color="auto"/>
                <w:right w:val="none" w:sz="0" w:space="0" w:color="auto"/>
              </w:divBdr>
              <w:divsChild>
                <w:div w:id="1799256045">
                  <w:marLeft w:val="0"/>
                  <w:marRight w:val="0"/>
                  <w:marTop w:val="0"/>
                  <w:marBottom w:val="0"/>
                  <w:divBdr>
                    <w:top w:val="none" w:sz="0" w:space="0" w:color="auto"/>
                    <w:left w:val="none" w:sz="0" w:space="0" w:color="auto"/>
                    <w:bottom w:val="none" w:sz="0" w:space="0" w:color="auto"/>
                    <w:right w:val="none" w:sz="0" w:space="0" w:color="auto"/>
                  </w:divBdr>
                  <w:divsChild>
                    <w:div w:id="422534303">
                      <w:marLeft w:val="0"/>
                      <w:marRight w:val="0"/>
                      <w:marTop w:val="0"/>
                      <w:marBottom w:val="0"/>
                      <w:divBdr>
                        <w:top w:val="none" w:sz="0" w:space="0" w:color="auto"/>
                        <w:left w:val="none" w:sz="0" w:space="0" w:color="auto"/>
                        <w:bottom w:val="none" w:sz="0" w:space="0" w:color="auto"/>
                        <w:right w:val="none" w:sz="0" w:space="0" w:color="auto"/>
                      </w:divBdr>
                      <w:divsChild>
                        <w:div w:id="36675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419236">
      <w:bodyDiv w:val="1"/>
      <w:marLeft w:val="0"/>
      <w:marRight w:val="0"/>
      <w:marTop w:val="0"/>
      <w:marBottom w:val="0"/>
      <w:divBdr>
        <w:top w:val="none" w:sz="0" w:space="0" w:color="auto"/>
        <w:left w:val="none" w:sz="0" w:space="0" w:color="auto"/>
        <w:bottom w:val="none" w:sz="0" w:space="0" w:color="auto"/>
        <w:right w:val="none" w:sz="0" w:space="0" w:color="auto"/>
      </w:divBdr>
    </w:div>
    <w:div w:id="49378607">
      <w:bodyDiv w:val="1"/>
      <w:marLeft w:val="0"/>
      <w:marRight w:val="0"/>
      <w:marTop w:val="0"/>
      <w:marBottom w:val="0"/>
      <w:divBdr>
        <w:top w:val="none" w:sz="0" w:space="0" w:color="auto"/>
        <w:left w:val="none" w:sz="0" w:space="0" w:color="auto"/>
        <w:bottom w:val="none" w:sz="0" w:space="0" w:color="auto"/>
        <w:right w:val="none" w:sz="0" w:space="0" w:color="auto"/>
      </w:divBdr>
    </w:div>
    <w:div w:id="53286719">
      <w:bodyDiv w:val="1"/>
      <w:marLeft w:val="0"/>
      <w:marRight w:val="0"/>
      <w:marTop w:val="0"/>
      <w:marBottom w:val="0"/>
      <w:divBdr>
        <w:top w:val="none" w:sz="0" w:space="0" w:color="auto"/>
        <w:left w:val="none" w:sz="0" w:space="0" w:color="auto"/>
        <w:bottom w:val="none" w:sz="0" w:space="0" w:color="auto"/>
        <w:right w:val="none" w:sz="0" w:space="0" w:color="auto"/>
      </w:divBdr>
    </w:div>
    <w:div w:id="105659390">
      <w:bodyDiv w:val="1"/>
      <w:marLeft w:val="0"/>
      <w:marRight w:val="0"/>
      <w:marTop w:val="0"/>
      <w:marBottom w:val="0"/>
      <w:divBdr>
        <w:top w:val="none" w:sz="0" w:space="0" w:color="auto"/>
        <w:left w:val="none" w:sz="0" w:space="0" w:color="auto"/>
        <w:bottom w:val="none" w:sz="0" w:space="0" w:color="auto"/>
        <w:right w:val="none" w:sz="0" w:space="0" w:color="auto"/>
      </w:divBdr>
    </w:div>
    <w:div w:id="128207290">
      <w:bodyDiv w:val="1"/>
      <w:marLeft w:val="0"/>
      <w:marRight w:val="0"/>
      <w:marTop w:val="0"/>
      <w:marBottom w:val="0"/>
      <w:divBdr>
        <w:top w:val="none" w:sz="0" w:space="0" w:color="auto"/>
        <w:left w:val="none" w:sz="0" w:space="0" w:color="auto"/>
        <w:bottom w:val="none" w:sz="0" w:space="0" w:color="auto"/>
        <w:right w:val="none" w:sz="0" w:space="0" w:color="auto"/>
      </w:divBdr>
    </w:div>
    <w:div w:id="146291709">
      <w:bodyDiv w:val="1"/>
      <w:marLeft w:val="0"/>
      <w:marRight w:val="0"/>
      <w:marTop w:val="0"/>
      <w:marBottom w:val="0"/>
      <w:divBdr>
        <w:top w:val="none" w:sz="0" w:space="0" w:color="auto"/>
        <w:left w:val="none" w:sz="0" w:space="0" w:color="auto"/>
        <w:bottom w:val="none" w:sz="0" w:space="0" w:color="auto"/>
        <w:right w:val="none" w:sz="0" w:space="0" w:color="auto"/>
      </w:divBdr>
      <w:divsChild>
        <w:div w:id="220360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74556">
      <w:bodyDiv w:val="1"/>
      <w:marLeft w:val="0"/>
      <w:marRight w:val="0"/>
      <w:marTop w:val="0"/>
      <w:marBottom w:val="0"/>
      <w:divBdr>
        <w:top w:val="none" w:sz="0" w:space="0" w:color="auto"/>
        <w:left w:val="none" w:sz="0" w:space="0" w:color="auto"/>
        <w:bottom w:val="none" w:sz="0" w:space="0" w:color="auto"/>
        <w:right w:val="none" w:sz="0" w:space="0" w:color="auto"/>
      </w:divBdr>
    </w:div>
    <w:div w:id="161556458">
      <w:bodyDiv w:val="1"/>
      <w:marLeft w:val="0"/>
      <w:marRight w:val="0"/>
      <w:marTop w:val="0"/>
      <w:marBottom w:val="0"/>
      <w:divBdr>
        <w:top w:val="none" w:sz="0" w:space="0" w:color="auto"/>
        <w:left w:val="none" w:sz="0" w:space="0" w:color="auto"/>
        <w:bottom w:val="none" w:sz="0" w:space="0" w:color="auto"/>
        <w:right w:val="none" w:sz="0" w:space="0" w:color="auto"/>
      </w:divBdr>
    </w:div>
    <w:div w:id="169101913">
      <w:bodyDiv w:val="1"/>
      <w:marLeft w:val="0"/>
      <w:marRight w:val="0"/>
      <w:marTop w:val="0"/>
      <w:marBottom w:val="0"/>
      <w:divBdr>
        <w:top w:val="none" w:sz="0" w:space="0" w:color="auto"/>
        <w:left w:val="none" w:sz="0" w:space="0" w:color="auto"/>
        <w:bottom w:val="none" w:sz="0" w:space="0" w:color="auto"/>
        <w:right w:val="none" w:sz="0" w:space="0" w:color="auto"/>
      </w:divBdr>
    </w:div>
    <w:div w:id="169569750">
      <w:bodyDiv w:val="1"/>
      <w:marLeft w:val="0"/>
      <w:marRight w:val="0"/>
      <w:marTop w:val="0"/>
      <w:marBottom w:val="0"/>
      <w:divBdr>
        <w:top w:val="none" w:sz="0" w:space="0" w:color="auto"/>
        <w:left w:val="none" w:sz="0" w:space="0" w:color="auto"/>
        <w:bottom w:val="none" w:sz="0" w:space="0" w:color="auto"/>
        <w:right w:val="none" w:sz="0" w:space="0" w:color="auto"/>
      </w:divBdr>
    </w:div>
    <w:div w:id="228855977">
      <w:bodyDiv w:val="1"/>
      <w:marLeft w:val="0"/>
      <w:marRight w:val="0"/>
      <w:marTop w:val="0"/>
      <w:marBottom w:val="0"/>
      <w:divBdr>
        <w:top w:val="none" w:sz="0" w:space="0" w:color="auto"/>
        <w:left w:val="none" w:sz="0" w:space="0" w:color="auto"/>
        <w:bottom w:val="none" w:sz="0" w:space="0" w:color="auto"/>
        <w:right w:val="none" w:sz="0" w:space="0" w:color="auto"/>
      </w:divBdr>
    </w:div>
    <w:div w:id="292442817">
      <w:bodyDiv w:val="1"/>
      <w:marLeft w:val="0"/>
      <w:marRight w:val="0"/>
      <w:marTop w:val="0"/>
      <w:marBottom w:val="0"/>
      <w:divBdr>
        <w:top w:val="none" w:sz="0" w:space="0" w:color="auto"/>
        <w:left w:val="none" w:sz="0" w:space="0" w:color="auto"/>
        <w:bottom w:val="none" w:sz="0" w:space="0" w:color="auto"/>
        <w:right w:val="none" w:sz="0" w:space="0" w:color="auto"/>
      </w:divBdr>
    </w:div>
    <w:div w:id="303194980">
      <w:bodyDiv w:val="1"/>
      <w:marLeft w:val="0"/>
      <w:marRight w:val="0"/>
      <w:marTop w:val="0"/>
      <w:marBottom w:val="0"/>
      <w:divBdr>
        <w:top w:val="none" w:sz="0" w:space="0" w:color="auto"/>
        <w:left w:val="none" w:sz="0" w:space="0" w:color="auto"/>
        <w:bottom w:val="none" w:sz="0" w:space="0" w:color="auto"/>
        <w:right w:val="none" w:sz="0" w:space="0" w:color="auto"/>
      </w:divBdr>
    </w:div>
    <w:div w:id="303585708">
      <w:bodyDiv w:val="1"/>
      <w:marLeft w:val="0"/>
      <w:marRight w:val="0"/>
      <w:marTop w:val="0"/>
      <w:marBottom w:val="0"/>
      <w:divBdr>
        <w:top w:val="none" w:sz="0" w:space="0" w:color="auto"/>
        <w:left w:val="none" w:sz="0" w:space="0" w:color="auto"/>
        <w:bottom w:val="none" w:sz="0" w:space="0" w:color="auto"/>
        <w:right w:val="none" w:sz="0" w:space="0" w:color="auto"/>
      </w:divBdr>
    </w:div>
    <w:div w:id="305207283">
      <w:bodyDiv w:val="1"/>
      <w:marLeft w:val="0"/>
      <w:marRight w:val="0"/>
      <w:marTop w:val="0"/>
      <w:marBottom w:val="0"/>
      <w:divBdr>
        <w:top w:val="none" w:sz="0" w:space="0" w:color="auto"/>
        <w:left w:val="none" w:sz="0" w:space="0" w:color="auto"/>
        <w:bottom w:val="none" w:sz="0" w:space="0" w:color="auto"/>
        <w:right w:val="none" w:sz="0" w:space="0" w:color="auto"/>
      </w:divBdr>
    </w:div>
    <w:div w:id="320351271">
      <w:bodyDiv w:val="1"/>
      <w:marLeft w:val="0"/>
      <w:marRight w:val="0"/>
      <w:marTop w:val="0"/>
      <w:marBottom w:val="0"/>
      <w:divBdr>
        <w:top w:val="none" w:sz="0" w:space="0" w:color="auto"/>
        <w:left w:val="none" w:sz="0" w:space="0" w:color="auto"/>
        <w:bottom w:val="none" w:sz="0" w:space="0" w:color="auto"/>
        <w:right w:val="none" w:sz="0" w:space="0" w:color="auto"/>
      </w:divBdr>
    </w:div>
    <w:div w:id="323314121">
      <w:bodyDiv w:val="1"/>
      <w:marLeft w:val="0"/>
      <w:marRight w:val="0"/>
      <w:marTop w:val="0"/>
      <w:marBottom w:val="0"/>
      <w:divBdr>
        <w:top w:val="none" w:sz="0" w:space="0" w:color="auto"/>
        <w:left w:val="none" w:sz="0" w:space="0" w:color="auto"/>
        <w:bottom w:val="none" w:sz="0" w:space="0" w:color="auto"/>
        <w:right w:val="none" w:sz="0" w:space="0" w:color="auto"/>
      </w:divBdr>
    </w:div>
    <w:div w:id="326130939">
      <w:bodyDiv w:val="1"/>
      <w:marLeft w:val="0"/>
      <w:marRight w:val="0"/>
      <w:marTop w:val="0"/>
      <w:marBottom w:val="0"/>
      <w:divBdr>
        <w:top w:val="none" w:sz="0" w:space="0" w:color="auto"/>
        <w:left w:val="none" w:sz="0" w:space="0" w:color="auto"/>
        <w:bottom w:val="none" w:sz="0" w:space="0" w:color="auto"/>
        <w:right w:val="none" w:sz="0" w:space="0" w:color="auto"/>
      </w:divBdr>
    </w:div>
    <w:div w:id="356851552">
      <w:bodyDiv w:val="1"/>
      <w:marLeft w:val="0"/>
      <w:marRight w:val="0"/>
      <w:marTop w:val="0"/>
      <w:marBottom w:val="0"/>
      <w:divBdr>
        <w:top w:val="none" w:sz="0" w:space="0" w:color="auto"/>
        <w:left w:val="none" w:sz="0" w:space="0" w:color="auto"/>
        <w:bottom w:val="none" w:sz="0" w:space="0" w:color="auto"/>
        <w:right w:val="none" w:sz="0" w:space="0" w:color="auto"/>
      </w:divBdr>
    </w:div>
    <w:div w:id="382943330">
      <w:bodyDiv w:val="1"/>
      <w:marLeft w:val="0"/>
      <w:marRight w:val="0"/>
      <w:marTop w:val="0"/>
      <w:marBottom w:val="0"/>
      <w:divBdr>
        <w:top w:val="none" w:sz="0" w:space="0" w:color="auto"/>
        <w:left w:val="none" w:sz="0" w:space="0" w:color="auto"/>
        <w:bottom w:val="none" w:sz="0" w:space="0" w:color="auto"/>
        <w:right w:val="none" w:sz="0" w:space="0" w:color="auto"/>
      </w:divBdr>
    </w:div>
    <w:div w:id="414327729">
      <w:bodyDiv w:val="1"/>
      <w:marLeft w:val="0"/>
      <w:marRight w:val="0"/>
      <w:marTop w:val="0"/>
      <w:marBottom w:val="0"/>
      <w:divBdr>
        <w:top w:val="none" w:sz="0" w:space="0" w:color="auto"/>
        <w:left w:val="none" w:sz="0" w:space="0" w:color="auto"/>
        <w:bottom w:val="none" w:sz="0" w:space="0" w:color="auto"/>
        <w:right w:val="none" w:sz="0" w:space="0" w:color="auto"/>
      </w:divBdr>
    </w:div>
    <w:div w:id="419563379">
      <w:bodyDiv w:val="1"/>
      <w:marLeft w:val="0"/>
      <w:marRight w:val="0"/>
      <w:marTop w:val="0"/>
      <w:marBottom w:val="0"/>
      <w:divBdr>
        <w:top w:val="none" w:sz="0" w:space="0" w:color="auto"/>
        <w:left w:val="none" w:sz="0" w:space="0" w:color="auto"/>
        <w:bottom w:val="none" w:sz="0" w:space="0" w:color="auto"/>
        <w:right w:val="none" w:sz="0" w:space="0" w:color="auto"/>
      </w:divBdr>
    </w:div>
    <w:div w:id="444156147">
      <w:bodyDiv w:val="1"/>
      <w:marLeft w:val="0"/>
      <w:marRight w:val="0"/>
      <w:marTop w:val="0"/>
      <w:marBottom w:val="0"/>
      <w:divBdr>
        <w:top w:val="none" w:sz="0" w:space="0" w:color="auto"/>
        <w:left w:val="none" w:sz="0" w:space="0" w:color="auto"/>
        <w:bottom w:val="none" w:sz="0" w:space="0" w:color="auto"/>
        <w:right w:val="none" w:sz="0" w:space="0" w:color="auto"/>
      </w:divBdr>
    </w:div>
    <w:div w:id="485242425">
      <w:bodyDiv w:val="1"/>
      <w:marLeft w:val="0"/>
      <w:marRight w:val="0"/>
      <w:marTop w:val="0"/>
      <w:marBottom w:val="0"/>
      <w:divBdr>
        <w:top w:val="none" w:sz="0" w:space="0" w:color="auto"/>
        <w:left w:val="none" w:sz="0" w:space="0" w:color="auto"/>
        <w:bottom w:val="none" w:sz="0" w:space="0" w:color="auto"/>
        <w:right w:val="none" w:sz="0" w:space="0" w:color="auto"/>
      </w:divBdr>
    </w:div>
    <w:div w:id="494998631">
      <w:bodyDiv w:val="1"/>
      <w:marLeft w:val="0"/>
      <w:marRight w:val="0"/>
      <w:marTop w:val="0"/>
      <w:marBottom w:val="0"/>
      <w:divBdr>
        <w:top w:val="none" w:sz="0" w:space="0" w:color="auto"/>
        <w:left w:val="none" w:sz="0" w:space="0" w:color="auto"/>
        <w:bottom w:val="none" w:sz="0" w:space="0" w:color="auto"/>
        <w:right w:val="none" w:sz="0" w:space="0" w:color="auto"/>
      </w:divBdr>
    </w:div>
    <w:div w:id="516238793">
      <w:bodyDiv w:val="1"/>
      <w:marLeft w:val="0"/>
      <w:marRight w:val="0"/>
      <w:marTop w:val="0"/>
      <w:marBottom w:val="0"/>
      <w:divBdr>
        <w:top w:val="none" w:sz="0" w:space="0" w:color="auto"/>
        <w:left w:val="none" w:sz="0" w:space="0" w:color="auto"/>
        <w:bottom w:val="none" w:sz="0" w:space="0" w:color="auto"/>
        <w:right w:val="none" w:sz="0" w:space="0" w:color="auto"/>
      </w:divBdr>
    </w:div>
    <w:div w:id="517162515">
      <w:bodyDiv w:val="1"/>
      <w:marLeft w:val="0"/>
      <w:marRight w:val="0"/>
      <w:marTop w:val="0"/>
      <w:marBottom w:val="0"/>
      <w:divBdr>
        <w:top w:val="none" w:sz="0" w:space="0" w:color="auto"/>
        <w:left w:val="none" w:sz="0" w:space="0" w:color="auto"/>
        <w:bottom w:val="none" w:sz="0" w:space="0" w:color="auto"/>
        <w:right w:val="none" w:sz="0" w:space="0" w:color="auto"/>
      </w:divBdr>
    </w:div>
    <w:div w:id="522135723">
      <w:bodyDiv w:val="1"/>
      <w:marLeft w:val="0"/>
      <w:marRight w:val="0"/>
      <w:marTop w:val="0"/>
      <w:marBottom w:val="0"/>
      <w:divBdr>
        <w:top w:val="none" w:sz="0" w:space="0" w:color="auto"/>
        <w:left w:val="none" w:sz="0" w:space="0" w:color="auto"/>
        <w:bottom w:val="none" w:sz="0" w:space="0" w:color="auto"/>
        <w:right w:val="none" w:sz="0" w:space="0" w:color="auto"/>
      </w:divBdr>
    </w:div>
    <w:div w:id="543103158">
      <w:bodyDiv w:val="1"/>
      <w:marLeft w:val="0"/>
      <w:marRight w:val="0"/>
      <w:marTop w:val="0"/>
      <w:marBottom w:val="0"/>
      <w:divBdr>
        <w:top w:val="none" w:sz="0" w:space="0" w:color="auto"/>
        <w:left w:val="none" w:sz="0" w:space="0" w:color="auto"/>
        <w:bottom w:val="none" w:sz="0" w:space="0" w:color="auto"/>
        <w:right w:val="none" w:sz="0" w:space="0" w:color="auto"/>
      </w:divBdr>
    </w:div>
    <w:div w:id="554899739">
      <w:bodyDiv w:val="1"/>
      <w:marLeft w:val="0"/>
      <w:marRight w:val="0"/>
      <w:marTop w:val="0"/>
      <w:marBottom w:val="0"/>
      <w:divBdr>
        <w:top w:val="none" w:sz="0" w:space="0" w:color="auto"/>
        <w:left w:val="none" w:sz="0" w:space="0" w:color="auto"/>
        <w:bottom w:val="none" w:sz="0" w:space="0" w:color="auto"/>
        <w:right w:val="none" w:sz="0" w:space="0" w:color="auto"/>
      </w:divBdr>
    </w:div>
    <w:div w:id="583803194">
      <w:bodyDiv w:val="1"/>
      <w:marLeft w:val="0"/>
      <w:marRight w:val="0"/>
      <w:marTop w:val="0"/>
      <w:marBottom w:val="0"/>
      <w:divBdr>
        <w:top w:val="none" w:sz="0" w:space="0" w:color="auto"/>
        <w:left w:val="none" w:sz="0" w:space="0" w:color="auto"/>
        <w:bottom w:val="none" w:sz="0" w:space="0" w:color="auto"/>
        <w:right w:val="none" w:sz="0" w:space="0" w:color="auto"/>
      </w:divBdr>
    </w:div>
    <w:div w:id="612246678">
      <w:bodyDiv w:val="1"/>
      <w:marLeft w:val="0"/>
      <w:marRight w:val="0"/>
      <w:marTop w:val="0"/>
      <w:marBottom w:val="0"/>
      <w:divBdr>
        <w:top w:val="none" w:sz="0" w:space="0" w:color="auto"/>
        <w:left w:val="none" w:sz="0" w:space="0" w:color="auto"/>
        <w:bottom w:val="none" w:sz="0" w:space="0" w:color="auto"/>
        <w:right w:val="none" w:sz="0" w:space="0" w:color="auto"/>
      </w:divBdr>
    </w:div>
    <w:div w:id="629433851">
      <w:bodyDiv w:val="1"/>
      <w:marLeft w:val="0"/>
      <w:marRight w:val="0"/>
      <w:marTop w:val="0"/>
      <w:marBottom w:val="0"/>
      <w:divBdr>
        <w:top w:val="none" w:sz="0" w:space="0" w:color="auto"/>
        <w:left w:val="none" w:sz="0" w:space="0" w:color="auto"/>
        <w:bottom w:val="none" w:sz="0" w:space="0" w:color="auto"/>
        <w:right w:val="none" w:sz="0" w:space="0" w:color="auto"/>
      </w:divBdr>
    </w:div>
    <w:div w:id="648679133">
      <w:bodyDiv w:val="1"/>
      <w:marLeft w:val="0"/>
      <w:marRight w:val="0"/>
      <w:marTop w:val="0"/>
      <w:marBottom w:val="0"/>
      <w:divBdr>
        <w:top w:val="none" w:sz="0" w:space="0" w:color="auto"/>
        <w:left w:val="none" w:sz="0" w:space="0" w:color="auto"/>
        <w:bottom w:val="none" w:sz="0" w:space="0" w:color="auto"/>
        <w:right w:val="none" w:sz="0" w:space="0" w:color="auto"/>
      </w:divBdr>
    </w:div>
    <w:div w:id="658120044">
      <w:bodyDiv w:val="1"/>
      <w:marLeft w:val="0"/>
      <w:marRight w:val="0"/>
      <w:marTop w:val="0"/>
      <w:marBottom w:val="0"/>
      <w:divBdr>
        <w:top w:val="none" w:sz="0" w:space="0" w:color="auto"/>
        <w:left w:val="none" w:sz="0" w:space="0" w:color="auto"/>
        <w:bottom w:val="none" w:sz="0" w:space="0" w:color="auto"/>
        <w:right w:val="none" w:sz="0" w:space="0" w:color="auto"/>
      </w:divBdr>
    </w:div>
    <w:div w:id="732779751">
      <w:bodyDiv w:val="1"/>
      <w:marLeft w:val="0"/>
      <w:marRight w:val="0"/>
      <w:marTop w:val="0"/>
      <w:marBottom w:val="0"/>
      <w:divBdr>
        <w:top w:val="none" w:sz="0" w:space="0" w:color="auto"/>
        <w:left w:val="none" w:sz="0" w:space="0" w:color="auto"/>
        <w:bottom w:val="none" w:sz="0" w:space="0" w:color="auto"/>
        <w:right w:val="none" w:sz="0" w:space="0" w:color="auto"/>
      </w:divBdr>
    </w:div>
    <w:div w:id="743795245">
      <w:bodyDiv w:val="1"/>
      <w:marLeft w:val="0"/>
      <w:marRight w:val="0"/>
      <w:marTop w:val="0"/>
      <w:marBottom w:val="0"/>
      <w:divBdr>
        <w:top w:val="none" w:sz="0" w:space="0" w:color="auto"/>
        <w:left w:val="none" w:sz="0" w:space="0" w:color="auto"/>
        <w:bottom w:val="none" w:sz="0" w:space="0" w:color="auto"/>
        <w:right w:val="none" w:sz="0" w:space="0" w:color="auto"/>
      </w:divBdr>
    </w:div>
    <w:div w:id="748120588">
      <w:bodyDiv w:val="1"/>
      <w:marLeft w:val="0"/>
      <w:marRight w:val="0"/>
      <w:marTop w:val="0"/>
      <w:marBottom w:val="0"/>
      <w:divBdr>
        <w:top w:val="none" w:sz="0" w:space="0" w:color="auto"/>
        <w:left w:val="none" w:sz="0" w:space="0" w:color="auto"/>
        <w:bottom w:val="none" w:sz="0" w:space="0" w:color="auto"/>
        <w:right w:val="none" w:sz="0" w:space="0" w:color="auto"/>
      </w:divBdr>
    </w:div>
    <w:div w:id="749623770">
      <w:bodyDiv w:val="1"/>
      <w:marLeft w:val="0"/>
      <w:marRight w:val="0"/>
      <w:marTop w:val="0"/>
      <w:marBottom w:val="0"/>
      <w:divBdr>
        <w:top w:val="none" w:sz="0" w:space="0" w:color="auto"/>
        <w:left w:val="none" w:sz="0" w:space="0" w:color="auto"/>
        <w:bottom w:val="none" w:sz="0" w:space="0" w:color="auto"/>
        <w:right w:val="none" w:sz="0" w:space="0" w:color="auto"/>
      </w:divBdr>
    </w:div>
    <w:div w:id="795179453">
      <w:bodyDiv w:val="1"/>
      <w:marLeft w:val="0"/>
      <w:marRight w:val="0"/>
      <w:marTop w:val="0"/>
      <w:marBottom w:val="0"/>
      <w:divBdr>
        <w:top w:val="none" w:sz="0" w:space="0" w:color="auto"/>
        <w:left w:val="none" w:sz="0" w:space="0" w:color="auto"/>
        <w:bottom w:val="none" w:sz="0" w:space="0" w:color="auto"/>
        <w:right w:val="none" w:sz="0" w:space="0" w:color="auto"/>
      </w:divBdr>
    </w:div>
    <w:div w:id="803428311">
      <w:bodyDiv w:val="1"/>
      <w:marLeft w:val="0"/>
      <w:marRight w:val="0"/>
      <w:marTop w:val="0"/>
      <w:marBottom w:val="0"/>
      <w:divBdr>
        <w:top w:val="none" w:sz="0" w:space="0" w:color="auto"/>
        <w:left w:val="none" w:sz="0" w:space="0" w:color="auto"/>
        <w:bottom w:val="none" w:sz="0" w:space="0" w:color="auto"/>
        <w:right w:val="none" w:sz="0" w:space="0" w:color="auto"/>
      </w:divBdr>
    </w:div>
    <w:div w:id="817189823">
      <w:bodyDiv w:val="1"/>
      <w:marLeft w:val="0"/>
      <w:marRight w:val="0"/>
      <w:marTop w:val="0"/>
      <w:marBottom w:val="0"/>
      <w:divBdr>
        <w:top w:val="none" w:sz="0" w:space="0" w:color="auto"/>
        <w:left w:val="none" w:sz="0" w:space="0" w:color="auto"/>
        <w:bottom w:val="none" w:sz="0" w:space="0" w:color="auto"/>
        <w:right w:val="none" w:sz="0" w:space="0" w:color="auto"/>
      </w:divBdr>
    </w:div>
    <w:div w:id="866020084">
      <w:bodyDiv w:val="1"/>
      <w:marLeft w:val="0"/>
      <w:marRight w:val="0"/>
      <w:marTop w:val="0"/>
      <w:marBottom w:val="0"/>
      <w:divBdr>
        <w:top w:val="none" w:sz="0" w:space="0" w:color="auto"/>
        <w:left w:val="none" w:sz="0" w:space="0" w:color="auto"/>
        <w:bottom w:val="none" w:sz="0" w:space="0" w:color="auto"/>
        <w:right w:val="none" w:sz="0" w:space="0" w:color="auto"/>
      </w:divBdr>
    </w:div>
    <w:div w:id="905460871">
      <w:bodyDiv w:val="1"/>
      <w:marLeft w:val="0"/>
      <w:marRight w:val="0"/>
      <w:marTop w:val="0"/>
      <w:marBottom w:val="0"/>
      <w:divBdr>
        <w:top w:val="none" w:sz="0" w:space="0" w:color="auto"/>
        <w:left w:val="none" w:sz="0" w:space="0" w:color="auto"/>
        <w:bottom w:val="none" w:sz="0" w:space="0" w:color="auto"/>
        <w:right w:val="none" w:sz="0" w:space="0" w:color="auto"/>
      </w:divBdr>
    </w:div>
    <w:div w:id="932318900">
      <w:bodyDiv w:val="1"/>
      <w:marLeft w:val="0"/>
      <w:marRight w:val="0"/>
      <w:marTop w:val="0"/>
      <w:marBottom w:val="0"/>
      <w:divBdr>
        <w:top w:val="none" w:sz="0" w:space="0" w:color="auto"/>
        <w:left w:val="none" w:sz="0" w:space="0" w:color="auto"/>
        <w:bottom w:val="none" w:sz="0" w:space="0" w:color="auto"/>
        <w:right w:val="none" w:sz="0" w:space="0" w:color="auto"/>
      </w:divBdr>
    </w:div>
    <w:div w:id="945964693">
      <w:bodyDiv w:val="1"/>
      <w:marLeft w:val="0"/>
      <w:marRight w:val="0"/>
      <w:marTop w:val="0"/>
      <w:marBottom w:val="0"/>
      <w:divBdr>
        <w:top w:val="none" w:sz="0" w:space="0" w:color="auto"/>
        <w:left w:val="none" w:sz="0" w:space="0" w:color="auto"/>
        <w:bottom w:val="none" w:sz="0" w:space="0" w:color="auto"/>
        <w:right w:val="none" w:sz="0" w:space="0" w:color="auto"/>
      </w:divBdr>
    </w:div>
    <w:div w:id="947203780">
      <w:bodyDiv w:val="1"/>
      <w:marLeft w:val="0"/>
      <w:marRight w:val="0"/>
      <w:marTop w:val="0"/>
      <w:marBottom w:val="0"/>
      <w:divBdr>
        <w:top w:val="none" w:sz="0" w:space="0" w:color="auto"/>
        <w:left w:val="none" w:sz="0" w:space="0" w:color="auto"/>
        <w:bottom w:val="none" w:sz="0" w:space="0" w:color="auto"/>
        <w:right w:val="none" w:sz="0" w:space="0" w:color="auto"/>
      </w:divBdr>
    </w:div>
    <w:div w:id="969359180">
      <w:bodyDiv w:val="1"/>
      <w:marLeft w:val="0"/>
      <w:marRight w:val="0"/>
      <w:marTop w:val="0"/>
      <w:marBottom w:val="0"/>
      <w:divBdr>
        <w:top w:val="none" w:sz="0" w:space="0" w:color="auto"/>
        <w:left w:val="none" w:sz="0" w:space="0" w:color="auto"/>
        <w:bottom w:val="none" w:sz="0" w:space="0" w:color="auto"/>
        <w:right w:val="none" w:sz="0" w:space="0" w:color="auto"/>
      </w:divBdr>
    </w:div>
    <w:div w:id="979922252">
      <w:bodyDiv w:val="1"/>
      <w:marLeft w:val="0"/>
      <w:marRight w:val="0"/>
      <w:marTop w:val="0"/>
      <w:marBottom w:val="0"/>
      <w:divBdr>
        <w:top w:val="none" w:sz="0" w:space="0" w:color="auto"/>
        <w:left w:val="none" w:sz="0" w:space="0" w:color="auto"/>
        <w:bottom w:val="none" w:sz="0" w:space="0" w:color="auto"/>
        <w:right w:val="none" w:sz="0" w:space="0" w:color="auto"/>
      </w:divBdr>
    </w:div>
    <w:div w:id="985823080">
      <w:bodyDiv w:val="1"/>
      <w:marLeft w:val="0"/>
      <w:marRight w:val="0"/>
      <w:marTop w:val="0"/>
      <w:marBottom w:val="0"/>
      <w:divBdr>
        <w:top w:val="none" w:sz="0" w:space="0" w:color="auto"/>
        <w:left w:val="none" w:sz="0" w:space="0" w:color="auto"/>
        <w:bottom w:val="none" w:sz="0" w:space="0" w:color="auto"/>
        <w:right w:val="none" w:sz="0" w:space="0" w:color="auto"/>
      </w:divBdr>
    </w:div>
    <w:div w:id="1039624604">
      <w:bodyDiv w:val="1"/>
      <w:marLeft w:val="0"/>
      <w:marRight w:val="0"/>
      <w:marTop w:val="0"/>
      <w:marBottom w:val="0"/>
      <w:divBdr>
        <w:top w:val="none" w:sz="0" w:space="0" w:color="auto"/>
        <w:left w:val="none" w:sz="0" w:space="0" w:color="auto"/>
        <w:bottom w:val="none" w:sz="0" w:space="0" w:color="auto"/>
        <w:right w:val="none" w:sz="0" w:space="0" w:color="auto"/>
      </w:divBdr>
    </w:div>
    <w:div w:id="1057049616">
      <w:bodyDiv w:val="1"/>
      <w:marLeft w:val="0"/>
      <w:marRight w:val="0"/>
      <w:marTop w:val="0"/>
      <w:marBottom w:val="0"/>
      <w:divBdr>
        <w:top w:val="none" w:sz="0" w:space="0" w:color="auto"/>
        <w:left w:val="none" w:sz="0" w:space="0" w:color="auto"/>
        <w:bottom w:val="none" w:sz="0" w:space="0" w:color="auto"/>
        <w:right w:val="none" w:sz="0" w:space="0" w:color="auto"/>
      </w:divBdr>
    </w:div>
    <w:div w:id="1061173823">
      <w:bodyDiv w:val="1"/>
      <w:marLeft w:val="0"/>
      <w:marRight w:val="0"/>
      <w:marTop w:val="0"/>
      <w:marBottom w:val="0"/>
      <w:divBdr>
        <w:top w:val="none" w:sz="0" w:space="0" w:color="auto"/>
        <w:left w:val="none" w:sz="0" w:space="0" w:color="auto"/>
        <w:bottom w:val="none" w:sz="0" w:space="0" w:color="auto"/>
        <w:right w:val="none" w:sz="0" w:space="0" w:color="auto"/>
      </w:divBdr>
    </w:div>
    <w:div w:id="1062095357">
      <w:bodyDiv w:val="1"/>
      <w:marLeft w:val="0"/>
      <w:marRight w:val="0"/>
      <w:marTop w:val="0"/>
      <w:marBottom w:val="0"/>
      <w:divBdr>
        <w:top w:val="none" w:sz="0" w:space="0" w:color="auto"/>
        <w:left w:val="none" w:sz="0" w:space="0" w:color="auto"/>
        <w:bottom w:val="none" w:sz="0" w:space="0" w:color="auto"/>
        <w:right w:val="none" w:sz="0" w:space="0" w:color="auto"/>
      </w:divBdr>
    </w:div>
    <w:div w:id="1070466833">
      <w:bodyDiv w:val="1"/>
      <w:marLeft w:val="0"/>
      <w:marRight w:val="0"/>
      <w:marTop w:val="0"/>
      <w:marBottom w:val="0"/>
      <w:divBdr>
        <w:top w:val="none" w:sz="0" w:space="0" w:color="auto"/>
        <w:left w:val="none" w:sz="0" w:space="0" w:color="auto"/>
        <w:bottom w:val="none" w:sz="0" w:space="0" w:color="auto"/>
        <w:right w:val="none" w:sz="0" w:space="0" w:color="auto"/>
      </w:divBdr>
    </w:div>
    <w:div w:id="1093669016">
      <w:bodyDiv w:val="1"/>
      <w:marLeft w:val="0"/>
      <w:marRight w:val="0"/>
      <w:marTop w:val="0"/>
      <w:marBottom w:val="0"/>
      <w:divBdr>
        <w:top w:val="none" w:sz="0" w:space="0" w:color="auto"/>
        <w:left w:val="none" w:sz="0" w:space="0" w:color="auto"/>
        <w:bottom w:val="none" w:sz="0" w:space="0" w:color="auto"/>
        <w:right w:val="none" w:sz="0" w:space="0" w:color="auto"/>
      </w:divBdr>
    </w:div>
    <w:div w:id="1165440616">
      <w:bodyDiv w:val="1"/>
      <w:marLeft w:val="0"/>
      <w:marRight w:val="0"/>
      <w:marTop w:val="0"/>
      <w:marBottom w:val="0"/>
      <w:divBdr>
        <w:top w:val="none" w:sz="0" w:space="0" w:color="auto"/>
        <w:left w:val="none" w:sz="0" w:space="0" w:color="auto"/>
        <w:bottom w:val="none" w:sz="0" w:space="0" w:color="auto"/>
        <w:right w:val="none" w:sz="0" w:space="0" w:color="auto"/>
      </w:divBdr>
    </w:div>
    <w:div w:id="1193684635">
      <w:bodyDiv w:val="1"/>
      <w:marLeft w:val="0"/>
      <w:marRight w:val="0"/>
      <w:marTop w:val="0"/>
      <w:marBottom w:val="0"/>
      <w:divBdr>
        <w:top w:val="none" w:sz="0" w:space="0" w:color="auto"/>
        <w:left w:val="none" w:sz="0" w:space="0" w:color="auto"/>
        <w:bottom w:val="none" w:sz="0" w:space="0" w:color="auto"/>
        <w:right w:val="none" w:sz="0" w:space="0" w:color="auto"/>
      </w:divBdr>
    </w:div>
    <w:div w:id="1219393832">
      <w:bodyDiv w:val="1"/>
      <w:marLeft w:val="0"/>
      <w:marRight w:val="0"/>
      <w:marTop w:val="0"/>
      <w:marBottom w:val="0"/>
      <w:divBdr>
        <w:top w:val="none" w:sz="0" w:space="0" w:color="auto"/>
        <w:left w:val="none" w:sz="0" w:space="0" w:color="auto"/>
        <w:bottom w:val="none" w:sz="0" w:space="0" w:color="auto"/>
        <w:right w:val="none" w:sz="0" w:space="0" w:color="auto"/>
      </w:divBdr>
    </w:div>
    <w:div w:id="1220822290">
      <w:bodyDiv w:val="1"/>
      <w:marLeft w:val="0"/>
      <w:marRight w:val="0"/>
      <w:marTop w:val="0"/>
      <w:marBottom w:val="0"/>
      <w:divBdr>
        <w:top w:val="none" w:sz="0" w:space="0" w:color="auto"/>
        <w:left w:val="none" w:sz="0" w:space="0" w:color="auto"/>
        <w:bottom w:val="none" w:sz="0" w:space="0" w:color="auto"/>
        <w:right w:val="none" w:sz="0" w:space="0" w:color="auto"/>
      </w:divBdr>
    </w:div>
    <w:div w:id="1234705507">
      <w:bodyDiv w:val="1"/>
      <w:marLeft w:val="0"/>
      <w:marRight w:val="0"/>
      <w:marTop w:val="0"/>
      <w:marBottom w:val="0"/>
      <w:divBdr>
        <w:top w:val="none" w:sz="0" w:space="0" w:color="auto"/>
        <w:left w:val="none" w:sz="0" w:space="0" w:color="auto"/>
        <w:bottom w:val="none" w:sz="0" w:space="0" w:color="auto"/>
        <w:right w:val="none" w:sz="0" w:space="0" w:color="auto"/>
      </w:divBdr>
    </w:div>
    <w:div w:id="1245801399">
      <w:bodyDiv w:val="1"/>
      <w:marLeft w:val="0"/>
      <w:marRight w:val="0"/>
      <w:marTop w:val="0"/>
      <w:marBottom w:val="0"/>
      <w:divBdr>
        <w:top w:val="none" w:sz="0" w:space="0" w:color="auto"/>
        <w:left w:val="none" w:sz="0" w:space="0" w:color="auto"/>
        <w:bottom w:val="none" w:sz="0" w:space="0" w:color="auto"/>
        <w:right w:val="none" w:sz="0" w:space="0" w:color="auto"/>
      </w:divBdr>
    </w:div>
    <w:div w:id="1259943137">
      <w:bodyDiv w:val="1"/>
      <w:marLeft w:val="0"/>
      <w:marRight w:val="0"/>
      <w:marTop w:val="0"/>
      <w:marBottom w:val="0"/>
      <w:divBdr>
        <w:top w:val="none" w:sz="0" w:space="0" w:color="auto"/>
        <w:left w:val="none" w:sz="0" w:space="0" w:color="auto"/>
        <w:bottom w:val="none" w:sz="0" w:space="0" w:color="auto"/>
        <w:right w:val="none" w:sz="0" w:space="0" w:color="auto"/>
      </w:divBdr>
    </w:div>
    <w:div w:id="1267157538">
      <w:bodyDiv w:val="1"/>
      <w:marLeft w:val="0"/>
      <w:marRight w:val="0"/>
      <w:marTop w:val="0"/>
      <w:marBottom w:val="0"/>
      <w:divBdr>
        <w:top w:val="none" w:sz="0" w:space="0" w:color="auto"/>
        <w:left w:val="none" w:sz="0" w:space="0" w:color="auto"/>
        <w:bottom w:val="none" w:sz="0" w:space="0" w:color="auto"/>
        <w:right w:val="none" w:sz="0" w:space="0" w:color="auto"/>
      </w:divBdr>
    </w:div>
    <w:div w:id="1274093174">
      <w:bodyDiv w:val="1"/>
      <w:marLeft w:val="0"/>
      <w:marRight w:val="0"/>
      <w:marTop w:val="0"/>
      <w:marBottom w:val="0"/>
      <w:divBdr>
        <w:top w:val="none" w:sz="0" w:space="0" w:color="auto"/>
        <w:left w:val="none" w:sz="0" w:space="0" w:color="auto"/>
        <w:bottom w:val="none" w:sz="0" w:space="0" w:color="auto"/>
        <w:right w:val="none" w:sz="0" w:space="0" w:color="auto"/>
      </w:divBdr>
    </w:div>
    <w:div w:id="1299334460">
      <w:bodyDiv w:val="1"/>
      <w:marLeft w:val="0"/>
      <w:marRight w:val="0"/>
      <w:marTop w:val="0"/>
      <w:marBottom w:val="0"/>
      <w:divBdr>
        <w:top w:val="none" w:sz="0" w:space="0" w:color="auto"/>
        <w:left w:val="none" w:sz="0" w:space="0" w:color="auto"/>
        <w:bottom w:val="none" w:sz="0" w:space="0" w:color="auto"/>
        <w:right w:val="none" w:sz="0" w:space="0" w:color="auto"/>
      </w:divBdr>
    </w:div>
    <w:div w:id="1313439111">
      <w:bodyDiv w:val="1"/>
      <w:marLeft w:val="0"/>
      <w:marRight w:val="0"/>
      <w:marTop w:val="0"/>
      <w:marBottom w:val="0"/>
      <w:divBdr>
        <w:top w:val="none" w:sz="0" w:space="0" w:color="auto"/>
        <w:left w:val="none" w:sz="0" w:space="0" w:color="auto"/>
        <w:bottom w:val="none" w:sz="0" w:space="0" w:color="auto"/>
        <w:right w:val="none" w:sz="0" w:space="0" w:color="auto"/>
      </w:divBdr>
    </w:div>
    <w:div w:id="1314405243">
      <w:bodyDiv w:val="1"/>
      <w:marLeft w:val="0"/>
      <w:marRight w:val="0"/>
      <w:marTop w:val="0"/>
      <w:marBottom w:val="0"/>
      <w:divBdr>
        <w:top w:val="none" w:sz="0" w:space="0" w:color="auto"/>
        <w:left w:val="none" w:sz="0" w:space="0" w:color="auto"/>
        <w:bottom w:val="none" w:sz="0" w:space="0" w:color="auto"/>
        <w:right w:val="none" w:sz="0" w:space="0" w:color="auto"/>
      </w:divBdr>
    </w:div>
    <w:div w:id="1314724476">
      <w:bodyDiv w:val="1"/>
      <w:marLeft w:val="0"/>
      <w:marRight w:val="0"/>
      <w:marTop w:val="0"/>
      <w:marBottom w:val="0"/>
      <w:divBdr>
        <w:top w:val="none" w:sz="0" w:space="0" w:color="auto"/>
        <w:left w:val="none" w:sz="0" w:space="0" w:color="auto"/>
        <w:bottom w:val="none" w:sz="0" w:space="0" w:color="auto"/>
        <w:right w:val="none" w:sz="0" w:space="0" w:color="auto"/>
      </w:divBdr>
    </w:div>
    <w:div w:id="1320841734">
      <w:bodyDiv w:val="1"/>
      <w:marLeft w:val="0"/>
      <w:marRight w:val="0"/>
      <w:marTop w:val="0"/>
      <w:marBottom w:val="0"/>
      <w:divBdr>
        <w:top w:val="none" w:sz="0" w:space="0" w:color="auto"/>
        <w:left w:val="none" w:sz="0" w:space="0" w:color="auto"/>
        <w:bottom w:val="none" w:sz="0" w:space="0" w:color="auto"/>
        <w:right w:val="none" w:sz="0" w:space="0" w:color="auto"/>
      </w:divBdr>
      <w:divsChild>
        <w:div w:id="1300259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1904424">
      <w:bodyDiv w:val="1"/>
      <w:marLeft w:val="0"/>
      <w:marRight w:val="0"/>
      <w:marTop w:val="0"/>
      <w:marBottom w:val="0"/>
      <w:divBdr>
        <w:top w:val="none" w:sz="0" w:space="0" w:color="auto"/>
        <w:left w:val="none" w:sz="0" w:space="0" w:color="auto"/>
        <w:bottom w:val="none" w:sz="0" w:space="0" w:color="auto"/>
        <w:right w:val="none" w:sz="0" w:space="0" w:color="auto"/>
      </w:divBdr>
    </w:div>
    <w:div w:id="1363286182">
      <w:bodyDiv w:val="1"/>
      <w:marLeft w:val="0"/>
      <w:marRight w:val="0"/>
      <w:marTop w:val="0"/>
      <w:marBottom w:val="0"/>
      <w:divBdr>
        <w:top w:val="none" w:sz="0" w:space="0" w:color="auto"/>
        <w:left w:val="none" w:sz="0" w:space="0" w:color="auto"/>
        <w:bottom w:val="none" w:sz="0" w:space="0" w:color="auto"/>
        <w:right w:val="none" w:sz="0" w:space="0" w:color="auto"/>
      </w:divBdr>
    </w:div>
    <w:div w:id="1369406185">
      <w:bodyDiv w:val="1"/>
      <w:marLeft w:val="0"/>
      <w:marRight w:val="0"/>
      <w:marTop w:val="0"/>
      <w:marBottom w:val="0"/>
      <w:divBdr>
        <w:top w:val="none" w:sz="0" w:space="0" w:color="auto"/>
        <w:left w:val="none" w:sz="0" w:space="0" w:color="auto"/>
        <w:bottom w:val="none" w:sz="0" w:space="0" w:color="auto"/>
        <w:right w:val="none" w:sz="0" w:space="0" w:color="auto"/>
      </w:divBdr>
    </w:div>
    <w:div w:id="1384131838">
      <w:bodyDiv w:val="1"/>
      <w:marLeft w:val="0"/>
      <w:marRight w:val="0"/>
      <w:marTop w:val="0"/>
      <w:marBottom w:val="0"/>
      <w:divBdr>
        <w:top w:val="none" w:sz="0" w:space="0" w:color="auto"/>
        <w:left w:val="none" w:sz="0" w:space="0" w:color="auto"/>
        <w:bottom w:val="none" w:sz="0" w:space="0" w:color="auto"/>
        <w:right w:val="none" w:sz="0" w:space="0" w:color="auto"/>
      </w:divBdr>
    </w:div>
    <w:div w:id="1401750958">
      <w:bodyDiv w:val="1"/>
      <w:marLeft w:val="0"/>
      <w:marRight w:val="0"/>
      <w:marTop w:val="0"/>
      <w:marBottom w:val="0"/>
      <w:divBdr>
        <w:top w:val="none" w:sz="0" w:space="0" w:color="auto"/>
        <w:left w:val="none" w:sz="0" w:space="0" w:color="auto"/>
        <w:bottom w:val="none" w:sz="0" w:space="0" w:color="auto"/>
        <w:right w:val="none" w:sz="0" w:space="0" w:color="auto"/>
      </w:divBdr>
    </w:div>
    <w:div w:id="1465345158">
      <w:bodyDiv w:val="1"/>
      <w:marLeft w:val="0"/>
      <w:marRight w:val="0"/>
      <w:marTop w:val="0"/>
      <w:marBottom w:val="0"/>
      <w:divBdr>
        <w:top w:val="none" w:sz="0" w:space="0" w:color="auto"/>
        <w:left w:val="none" w:sz="0" w:space="0" w:color="auto"/>
        <w:bottom w:val="none" w:sz="0" w:space="0" w:color="auto"/>
        <w:right w:val="none" w:sz="0" w:space="0" w:color="auto"/>
      </w:divBdr>
    </w:div>
    <w:div w:id="1466898611">
      <w:bodyDiv w:val="1"/>
      <w:marLeft w:val="0"/>
      <w:marRight w:val="0"/>
      <w:marTop w:val="0"/>
      <w:marBottom w:val="0"/>
      <w:divBdr>
        <w:top w:val="none" w:sz="0" w:space="0" w:color="auto"/>
        <w:left w:val="none" w:sz="0" w:space="0" w:color="auto"/>
        <w:bottom w:val="none" w:sz="0" w:space="0" w:color="auto"/>
        <w:right w:val="none" w:sz="0" w:space="0" w:color="auto"/>
      </w:divBdr>
    </w:div>
    <w:div w:id="1474373368">
      <w:bodyDiv w:val="1"/>
      <w:marLeft w:val="0"/>
      <w:marRight w:val="0"/>
      <w:marTop w:val="0"/>
      <w:marBottom w:val="0"/>
      <w:divBdr>
        <w:top w:val="none" w:sz="0" w:space="0" w:color="auto"/>
        <w:left w:val="none" w:sz="0" w:space="0" w:color="auto"/>
        <w:bottom w:val="none" w:sz="0" w:space="0" w:color="auto"/>
        <w:right w:val="none" w:sz="0" w:space="0" w:color="auto"/>
      </w:divBdr>
    </w:div>
    <w:div w:id="1497379444">
      <w:bodyDiv w:val="1"/>
      <w:marLeft w:val="0"/>
      <w:marRight w:val="0"/>
      <w:marTop w:val="0"/>
      <w:marBottom w:val="0"/>
      <w:divBdr>
        <w:top w:val="none" w:sz="0" w:space="0" w:color="auto"/>
        <w:left w:val="none" w:sz="0" w:space="0" w:color="auto"/>
        <w:bottom w:val="none" w:sz="0" w:space="0" w:color="auto"/>
        <w:right w:val="none" w:sz="0" w:space="0" w:color="auto"/>
      </w:divBdr>
    </w:div>
    <w:div w:id="1509516070">
      <w:bodyDiv w:val="1"/>
      <w:marLeft w:val="0"/>
      <w:marRight w:val="0"/>
      <w:marTop w:val="0"/>
      <w:marBottom w:val="0"/>
      <w:divBdr>
        <w:top w:val="none" w:sz="0" w:space="0" w:color="auto"/>
        <w:left w:val="none" w:sz="0" w:space="0" w:color="auto"/>
        <w:bottom w:val="none" w:sz="0" w:space="0" w:color="auto"/>
        <w:right w:val="none" w:sz="0" w:space="0" w:color="auto"/>
      </w:divBdr>
    </w:div>
    <w:div w:id="1533961524">
      <w:bodyDiv w:val="1"/>
      <w:marLeft w:val="0"/>
      <w:marRight w:val="0"/>
      <w:marTop w:val="0"/>
      <w:marBottom w:val="0"/>
      <w:divBdr>
        <w:top w:val="none" w:sz="0" w:space="0" w:color="auto"/>
        <w:left w:val="none" w:sz="0" w:space="0" w:color="auto"/>
        <w:bottom w:val="none" w:sz="0" w:space="0" w:color="auto"/>
        <w:right w:val="none" w:sz="0" w:space="0" w:color="auto"/>
      </w:divBdr>
    </w:div>
    <w:div w:id="1541627239">
      <w:bodyDiv w:val="1"/>
      <w:marLeft w:val="0"/>
      <w:marRight w:val="0"/>
      <w:marTop w:val="0"/>
      <w:marBottom w:val="0"/>
      <w:divBdr>
        <w:top w:val="none" w:sz="0" w:space="0" w:color="auto"/>
        <w:left w:val="none" w:sz="0" w:space="0" w:color="auto"/>
        <w:bottom w:val="none" w:sz="0" w:space="0" w:color="auto"/>
        <w:right w:val="none" w:sz="0" w:space="0" w:color="auto"/>
      </w:divBdr>
    </w:div>
    <w:div w:id="1544096822">
      <w:bodyDiv w:val="1"/>
      <w:marLeft w:val="0"/>
      <w:marRight w:val="0"/>
      <w:marTop w:val="0"/>
      <w:marBottom w:val="0"/>
      <w:divBdr>
        <w:top w:val="none" w:sz="0" w:space="0" w:color="auto"/>
        <w:left w:val="none" w:sz="0" w:space="0" w:color="auto"/>
        <w:bottom w:val="none" w:sz="0" w:space="0" w:color="auto"/>
        <w:right w:val="none" w:sz="0" w:space="0" w:color="auto"/>
      </w:divBdr>
    </w:div>
    <w:div w:id="1551578859">
      <w:bodyDiv w:val="1"/>
      <w:marLeft w:val="0"/>
      <w:marRight w:val="0"/>
      <w:marTop w:val="0"/>
      <w:marBottom w:val="0"/>
      <w:divBdr>
        <w:top w:val="none" w:sz="0" w:space="0" w:color="auto"/>
        <w:left w:val="none" w:sz="0" w:space="0" w:color="auto"/>
        <w:bottom w:val="none" w:sz="0" w:space="0" w:color="auto"/>
        <w:right w:val="none" w:sz="0" w:space="0" w:color="auto"/>
      </w:divBdr>
    </w:div>
    <w:div w:id="1567642071">
      <w:bodyDiv w:val="1"/>
      <w:marLeft w:val="0"/>
      <w:marRight w:val="0"/>
      <w:marTop w:val="0"/>
      <w:marBottom w:val="0"/>
      <w:divBdr>
        <w:top w:val="none" w:sz="0" w:space="0" w:color="auto"/>
        <w:left w:val="none" w:sz="0" w:space="0" w:color="auto"/>
        <w:bottom w:val="none" w:sz="0" w:space="0" w:color="auto"/>
        <w:right w:val="none" w:sz="0" w:space="0" w:color="auto"/>
      </w:divBdr>
    </w:div>
    <w:div w:id="1583756422">
      <w:bodyDiv w:val="1"/>
      <w:marLeft w:val="0"/>
      <w:marRight w:val="0"/>
      <w:marTop w:val="0"/>
      <w:marBottom w:val="0"/>
      <w:divBdr>
        <w:top w:val="none" w:sz="0" w:space="0" w:color="auto"/>
        <w:left w:val="none" w:sz="0" w:space="0" w:color="auto"/>
        <w:bottom w:val="none" w:sz="0" w:space="0" w:color="auto"/>
        <w:right w:val="none" w:sz="0" w:space="0" w:color="auto"/>
      </w:divBdr>
    </w:div>
    <w:div w:id="1588730771">
      <w:bodyDiv w:val="1"/>
      <w:marLeft w:val="0"/>
      <w:marRight w:val="0"/>
      <w:marTop w:val="0"/>
      <w:marBottom w:val="0"/>
      <w:divBdr>
        <w:top w:val="none" w:sz="0" w:space="0" w:color="auto"/>
        <w:left w:val="none" w:sz="0" w:space="0" w:color="auto"/>
        <w:bottom w:val="none" w:sz="0" w:space="0" w:color="auto"/>
        <w:right w:val="none" w:sz="0" w:space="0" w:color="auto"/>
      </w:divBdr>
    </w:div>
    <w:div w:id="1612862787">
      <w:bodyDiv w:val="1"/>
      <w:marLeft w:val="0"/>
      <w:marRight w:val="0"/>
      <w:marTop w:val="0"/>
      <w:marBottom w:val="0"/>
      <w:divBdr>
        <w:top w:val="none" w:sz="0" w:space="0" w:color="auto"/>
        <w:left w:val="none" w:sz="0" w:space="0" w:color="auto"/>
        <w:bottom w:val="none" w:sz="0" w:space="0" w:color="auto"/>
        <w:right w:val="none" w:sz="0" w:space="0" w:color="auto"/>
      </w:divBdr>
    </w:div>
    <w:div w:id="1657296820">
      <w:bodyDiv w:val="1"/>
      <w:marLeft w:val="0"/>
      <w:marRight w:val="0"/>
      <w:marTop w:val="0"/>
      <w:marBottom w:val="0"/>
      <w:divBdr>
        <w:top w:val="none" w:sz="0" w:space="0" w:color="auto"/>
        <w:left w:val="none" w:sz="0" w:space="0" w:color="auto"/>
        <w:bottom w:val="none" w:sz="0" w:space="0" w:color="auto"/>
        <w:right w:val="none" w:sz="0" w:space="0" w:color="auto"/>
      </w:divBdr>
    </w:div>
    <w:div w:id="1674529981">
      <w:bodyDiv w:val="1"/>
      <w:marLeft w:val="0"/>
      <w:marRight w:val="0"/>
      <w:marTop w:val="0"/>
      <w:marBottom w:val="0"/>
      <w:divBdr>
        <w:top w:val="none" w:sz="0" w:space="0" w:color="auto"/>
        <w:left w:val="none" w:sz="0" w:space="0" w:color="auto"/>
        <w:bottom w:val="none" w:sz="0" w:space="0" w:color="auto"/>
        <w:right w:val="none" w:sz="0" w:space="0" w:color="auto"/>
      </w:divBdr>
    </w:div>
    <w:div w:id="1712803824">
      <w:bodyDiv w:val="1"/>
      <w:marLeft w:val="0"/>
      <w:marRight w:val="0"/>
      <w:marTop w:val="0"/>
      <w:marBottom w:val="0"/>
      <w:divBdr>
        <w:top w:val="none" w:sz="0" w:space="0" w:color="auto"/>
        <w:left w:val="none" w:sz="0" w:space="0" w:color="auto"/>
        <w:bottom w:val="none" w:sz="0" w:space="0" w:color="auto"/>
        <w:right w:val="none" w:sz="0" w:space="0" w:color="auto"/>
      </w:divBdr>
    </w:div>
    <w:div w:id="1715079633">
      <w:bodyDiv w:val="1"/>
      <w:marLeft w:val="0"/>
      <w:marRight w:val="0"/>
      <w:marTop w:val="0"/>
      <w:marBottom w:val="0"/>
      <w:divBdr>
        <w:top w:val="none" w:sz="0" w:space="0" w:color="auto"/>
        <w:left w:val="none" w:sz="0" w:space="0" w:color="auto"/>
        <w:bottom w:val="none" w:sz="0" w:space="0" w:color="auto"/>
        <w:right w:val="none" w:sz="0" w:space="0" w:color="auto"/>
      </w:divBdr>
    </w:div>
    <w:div w:id="1721125395">
      <w:bodyDiv w:val="1"/>
      <w:marLeft w:val="0"/>
      <w:marRight w:val="0"/>
      <w:marTop w:val="0"/>
      <w:marBottom w:val="0"/>
      <w:divBdr>
        <w:top w:val="none" w:sz="0" w:space="0" w:color="auto"/>
        <w:left w:val="none" w:sz="0" w:space="0" w:color="auto"/>
        <w:bottom w:val="none" w:sz="0" w:space="0" w:color="auto"/>
        <w:right w:val="none" w:sz="0" w:space="0" w:color="auto"/>
      </w:divBdr>
    </w:div>
    <w:div w:id="1780829797">
      <w:bodyDiv w:val="1"/>
      <w:marLeft w:val="0"/>
      <w:marRight w:val="0"/>
      <w:marTop w:val="0"/>
      <w:marBottom w:val="0"/>
      <w:divBdr>
        <w:top w:val="none" w:sz="0" w:space="0" w:color="auto"/>
        <w:left w:val="none" w:sz="0" w:space="0" w:color="auto"/>
        <w:bottom w:val="none" w:sz="0" w:space="0" w:color="auto"/>
        <w:right w:val="none" w:sz="0" w:space="0" w:color="auto"/>
      </w:divBdr>
      <w:divsChild>
        <w:div w:id="1757901004">
          <w:marLeft w:val="0"/>
          <w:marRight w:val="0"/>
          <w:marTop w:val="0"/>
          <w:marBottom w:val="0"/>
          <w:divBdr>
            <w:top w:val="none" w:sz="0" w:space="0" w:color="auto"/>
            <w:left w:val="none" w:sz="0" w:space="0" w:color="auto"/>
            <w:bottom w:val="none" w:sz="0" w:space="0" w:color="auto"/>
            <w:right w:val="none" w:sz="0" w:space="0" w:color="auto"/>
          </w:divBdr>
          <w:divsChild>
            <w:div w:id="45300069">
              <w:marLeft w:val="0"/>
              <w:marRight w:val="0"/>
              <w:marTop w:val="0"/>
              <w:marBottom w:val="0"/>
              <w:divBdr>
                <w:top w:val="none" w:sz="0" w:space="0" w:color="auto"/>
                <w:left w:val="none" w:sz="0" w:space="0" w:color="auto"/>
                <w:bottom w:val="none" w:sz="0" w:space="0" w:color="auto"/>
                <w:right w:val="none" w:sz="0" w:space="0" w:color="auto"/>
              </w:divBdr>
              <w:divsChild>
                <w:div w:id="984554064">
                  <w:marLeft w:val="0"/>
                  <w:marRight w:val="0"/>
                  <w:marTop w:val="0"/>
                  <w:marBottom w:val="0"/>
                  <w:divBdr>
                    <w:top w:val="none" w:sz="0" w:space="0" w:color="auto"/>
                    <w:left w:val="none" w:sz="0" w:space="0" w:color="auto"/>
                    <w:bottom w:val="none" w:sz="0" w:space="0" w:color="auto"/>
                    <w:right w:val="none" w:sz="0" w:space="0" w:color="auto"/>
                  </w:divBdr>
                  <w:divsChild>
                    <w:div w:id="1038353493">
                      <w:marLeft w:val="0"/>
                      <w:marRight w:val="0"/>
                      <w:marTop w:val="0"/>
                      <w:marBottom w:val="0"/>
                      <w:divBdr>
                        <w:top w:val="none" w:sz="0" w:space="0" w:color="auto"/>
                        <w:left w:val="none" w:sz="0" w:space="0" w:color="auto"/>
                        <w:bottom w:val="none" w:sz="0" w:space="0" w:color="auto"/>
                        <w:right w:val="none" w:sz="0" w:space="0" w:color="auto"/>
                      </w:divBdr>
                      <w:divsChild>
                        <w:div w:id="2234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832749">
              <w:marLeft w:val="0"/>
              <w:marRight w:val="0"/>
              <w:marTop w:val="0"/>
              <w:marBottom w:val="0"/>
              <w:divBdr>
                <w:top w:val="none" w:sz="0" w:space="0" w:color="auto"/>
                <w:left w:val="none" w:sz="0" w:space="0" w:color="auto"/>
                <w:bottom w:val="none" w:sz="0" w:space="0" w:color="auto"/>
                <w:right w:val="none" w:sz="0" w:space="0" w:color="auto"/>
              </w:divBdr>
              <w:divsChild>
                <w:div w:id="697463667">
                  <w:marLeft w:val="0"/>
                  <w:marRight w:val="0"/>
                  <w:marTop w:val="0"/>
                  <w:marBottom w:val="0"/>
                  <w:divBdr>
                    <w:top w:val="none" w:sz="0" w:space="0" w:color="auto"/>
                    <w:left w:val="none" w:sz="0" w:space="0" w:color="auto"/>
                    <w:bottom w:val="none" w:sz="0" w:space="0" w:color="auto"/>
                    <w:right w:val="none" w:sz="0" w:space="0" w:color="auto"/>
                  </w:divBdr>
                  <w:divsChild>
                    <w:div w:id="389229989">
                      <w:marLeft w:val="0"/>
                      <w:marRight w:val="0"/>
                      <w:marTop w:val="0"/>
                      <w:marBottom w:val="0"/>
                      <w:divBdr>
                        <w:top w:val="none" w:sz="0" w:space="0" w:color="auto"/>
                        <w:left w:val="none" w:sz="0" w:space="0" w:color="auto"/>
                        <w:bottom w:val="none" w:sz="0" w:space="0" w:color="auto"/>
                        <w:right w:val="none" w:sz="0" w:space="0" w:color="auto"/>
                      </w:divBdr>
                      <w:divsChild>
                        <w:div w:id="63249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64116">
              <w:marLeft w:val="0"/>
              <w:marRight w:val="0"/>
              <w:marTop w:val="0"/>
              <w:marBottom w:val="0"/>
              <w:divBdr>
                <w:top w:val="none" w:sz="0" w:space="0" w:color="auto"/>
                <w:left w:val="none" w:sz="0" w:space="0" w:color="auto"/>
                <w:bottom w:val="none" w:sz="0" w:space="0" w:color="auto"/>
                <w:right w:val="none" w:sz="0" w:space="0" w:color="auto"/>
              </w:divBdr>
              <w:divsChild>
                <w:div w:id="1734035613">
                  <w:marLeft w:val="0"/>
                  <w:marRight w:val="0"/>
                  <w:marTop w:val="0"/>
                  <w:marBottom w:val="0"/>
                  <w:divBdr>
                    <w:top w:val="none" w:sz="0" w:space="0" w:color="auto"/>
                    <w:left w:val="none" w:sz="0" w:space="0" w:color="auto"/>
                    <w:bottom w:val="none" w:sz="0" w:space="0" w:color="auto"/>
                    <w:right w:val="none" w:sz="0" w:space="0" w:color="auto"/>
                  </w:divBdr>
                  <w:divsChild>
                    <w:div w:id="204341364">
                      <w:marLeft w:val="0"/>
                      <w:marRight w:val="0"/>
                      <w:marTop w:val="0"/>
                      <w:marBottom w:val="0"/>
                      <w:divBdr>
                        <w:top w:val="single" w:sz="12" w:space="2" w:color="FFFFFF"/>
                        <w:left w:val="single" w:sz="12" w:space="3" w:color="FFFFFF"/>
                        <w:bottom w:val="single" w:sz="12" w:space="2" w:color="FFFFFF"/>
                        <w:right w:val="single" w:sz="12" w:space="6" w:color="FFFFFF"/>
                      </w:divBdr>
                      <w:divsChild>
                        <w:div w:id="1227495983">
                          <w:marLeft w:val="0"/>
                          <w:marRight w:val="0"/>
                          <w:marTop w:val="0"/>
                          <w:marBottom w:val="0"/>
                          <w:divBdr>
                            <w:top w:val="none" w:sz="0" w:space="0" w:color="auto"/>
                            <w:left w:val="none" w:sz="0" w:space="0" w:color="auto"/>
                            <w:bottom w:val="none" w:sz="0" w:space="0" w:color="auto"/>
                            <w:right w:val="none" w:sz="0" w:space="0" w:color="auto"/>
                          </w:divBdr>
                        </w:div>
                      </w:divsChild>
                    </w:div>
                    <w:div w:id="584072014">
                      <w:marLeft w:val="0"/>
                      <w:marRight w:val="0"/>
                      <w:marTop w:val="0"/>
                      <w:marBottom w:val="0"/>
                      <w:divBdr>
                        <w:top w:val="none" w:sz="0" w:space="0" w:color="auto"/>
                        <w:left w:val="none" w:sz="0" w:space="0" w:color="auto"/>
                        <w:bottom w:val="none" w:sz="0" w:space="0" w:color="auto"/>
                        <w:right w:val="none" w:sz="0" w:space="0" w:color="auto"/>
                      </w:divBdr>
                      <w:divsChild>
                        <w:div w:id="98067994">
                          <w:marLeft w:val="0"/>
                          <w:marRight w:val="0"/>
                          <w:marTop w:val="0"/>
                          <w:marBottom w:val="0"/>
                          <w:divBdr>
                            <w:top w:val="single" w:sz="12" w:space="3" w:color="FFFFFF"/>
                            <w:left w:val="single" w:sz="12" w:space="3" w:color="FFFFFF"/>
                            <w:bottom w:val="single" w:sz="12" w:space="3" w:color="FFFFFF"/>
                            <w:right w:val="single" w:sz="12" w:space="3" w:color="FFFFFF"/>
                          </w:divBdr>
                          <w:divsChild>
                            <w:div w:id="1441410732">
                              <w:marLeft w:val="0"/>
                              <w:marRight w:val="0"/>
                              <w:marTop w:val="0"/>
                              <w:marBottom w:val="0"/>
                              <w:divBdr>
                                <w:top w:val="none" w:sz="0" w:space="0" w:color="auto"/>
                                <w:left w:val="none" w:sz="0" w:space="0" w:color="auto"/>
                                <w:bottom w:val="none" w:sz="0" w:space="0" w:color="auto"/>
                                <w:right w:val="none" w:sz="0" w:space="0" w:color="auto"/>
                              </w:divBdr>
                            </w:div>
                          </w:divsChild>
                        </w:div>
                        <w:div w:id="194469927">
                          <w:marLeft w:val="0"/>
                          <w:marRight w:val="0"/>
                          <w:marTop w:val="0"/>
                          <w:marBottom w:val="0"/>
                          <w:divBdr>
                            <w:top w:val="single" w:sz="12" w:space="3" w:color="FFFFFF"/>
                            <w:left w:val="single" w:sz="12" w:space="3" w:color="FFFFFF"/>
                            <w:bottom w:val="single" w:sz="12" w:space="3" w:color="FFFFFF"/>
                            <w:right w:val="single" w:sz="12" w:space="3" w:color="FFFFFF"/>
                          </w:divBdr>
                          <w:divsChild>
                            <w:div w:id="177886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714852">
              <w:marLeft w:val="0"/>
              <w:marRight w:val="0"/>
              <w:marTop w:val="0"/>
              <w:marBottom w:val="0"/>
              <w:divBdr>
                <w:top w:val="none" w:sz="0" w:space="0" w:color="auto"/>
                <w:left w:val="none" w:sz="0" w:space="0" w:color="auto"/>
                <w:bottom w:val="none" w:sz="0" w:space="0" w:color="auto"/>
                <w:right w:val="none" w:sz="0" w:space="0" w:color="auto"/>
              </w:divBdr>
              <w:divsChild>
                <w:div w:id="212349520">
                  <w:marLeft w:val="0"/>
                  <w:marRight w:val="0"/>
                  <w:marTop w:val="0"/>
                  <w:marBottom w:val="0"/>
                  <w:divBdr>
                    <w:top w:val="none" w:sz="0" w:space="0" w:color="auto"/>
                    <w:left w:val="none" w:sz="0" w:space="0" w:color="auto"/>
                    <w:bottom w:val="none" w:sz="0" w:space="0" w:color="auto"/>
                    <w:right w:val="none" w:sz="0" w:space="0" w:color="auto"/>
                  </w:divBdr>
                  <w:divsChild>
                    <w:div w:id="1532571615">
                      <w:marLeft w:val="0"/>
                      <w:marRight w:val="0"/>
                      <w:marTop w:val="0"/>
                      <w:marBottom w:val="0"/>
                      <w:divBdr>
                        <w:top w:val="none" w:sz="0" w:space="0" w:color="auto"/>
                        <w:left w:val="none" w:sz="0" w:space="0" w:color="auto"/>
                        <w:bottom w:val="none" w:sz="0" w:space="0" w:color="auto"/>
                        <w:right w:val="none" w:sz="0" w:space="0" w:color="auto"/>
                      </w:divBdr>
                      <w:divsChild>
                        <w:div w:id="1878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0278">
              <w:marLeft w:val="0"/>
              <w:marRight w:val="0"/>
              <w:marTop w:val="0"/>
              <w:marBottom w:val="0"/>
              <w:divBdr>
                <w:top w:val="none" w:sz="0" w:space="0" w:color="auto"/>
                <w:left w:val="none" w:sz="0" w:space="0" w:color="auto"/>
                <w:bottom w:val="none" w:sz="0" w:space="0" w:color="auto"/>
                <w:right w:val="none" w:sz="0" w:space="0" w:color="auto"/>
              </w:divBdr>
            </w:div>
            <w:div w:id="2060204245">
              <w:marLeft w:val="0"/>
              <w:marRight w:val="0"/>
              <w:marTop w:val="0"/>
              <w:marBottom w:val="0"/>
              <w:divBdr>
                <w:top w:val="none" w:sz="0" w:space="0" w:color="auto"/>
                <w:left w:val="none" w:sz="0" w:space="0" w:color="auto"/>
                <w:bottom w:val="none" w:sz="0" w:space="0" w:color="auto"/>
                <w:right w:val="none" w:sz="0" w:space="0" w:color="auto"/>
              </w:divBdr>
              <w:divsChild>
                <w:div w:id="512187431">
                  <w:marLeft w:val="0"/>
                  <w:marRight w:val="0"/>
                  <w:marTop w:val="0"/>
                  <w:marBottom w:val="0"/>
                  <w:divBdr>
                    <w:top w:val="none" w:sz="0" w:space="0" w:color="auto"/>
                    <w:left w:val="none" w:sz="0" w:space="0" w:color="auto"/>
                    <w:bottom w:val="none" w:sz="0" w:space="0" w:color="auto"/>
                    <w:right w:val="none" w:sz="0" w:space="0" w:color="auto"/>
                  </w:divBdr>
                  <w:divsChild>
                    <w:div w:id="867328578">
                      <w:marLeft w:val="0"/>
                      <w:marRight w:val="0"/>
                      <w:marTop w:val="0"/>
                      <w:marBottom w:val="0"/>
                      <w:divBdr>
                        <w:top w:val="none" w:sz="0" w:space="0" w:color="auto"/>
                        <w:left w:val="none" w:sz="0" w:space="0" w:color="auto"/>
                        <w:bottom w:val="none" w:sz="0" w:space="0" w:color="auto"/>
                        <w:right w:val="none" w:sz="0" w:space="0" w:color="auto"/>
                      </w:divBdr>
                      <w:divsChild>
                        <w:div w:id="186682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7059">
              <w:marLeft w:val="0"/>
              <w:marRight w:val="0"/>
              <w:marTop w:val="0"/>
              <w:marBottom w:val="0"/>
              <w:divBdr>
                <w:top w:val="none" w:sz="0" w:space="0" w:color="auto"/>
                <w:left w:val="none" w:sz="0" w:space="0" w:color="auto"/>
                <w:bottom w:val="none" w:sz="0" w:space="0" w:color="auto"/>
                <w:right w:val="none" w:sz="0" w:space="0" w:color="auto"/>
              </w:divBdr>
              <w:divsChild>
                <w:div w:id="715467232">
                  <w:marLeft w:val="0"/>
                  <w:marRight w:val="0"/>
                  <w:marTop w:val="0"/>
                  <w:marBottom w:val="0"/>
                  <w:divBdr>
                    <w:top w:val="none" w:sz="0" w:space="0" w:color="auto"/>
                    <w:left w:val="none" w:sz="0" w:space="0" w:color="auto"/>
                    <w:bottom w:val="none" w:sz="0" w:space="0" w:color="auto"/>
                    <w:right w:val="none" w:sz="0" w:space="0" w:color="auto"/>
                  </w:divBdr>
                  <w:divsChild>
                    <w:div w:id="592131010">
                      <w:marLeft w:val="0"/>
                      <w:marRight w:val="0"/>
                      <w:marTop w:val="0"/>
                      <w:marBottom w:val="0"/>
                      <w:divBdr>
                        <w:top w:val="none" w:sz="0" w:space="0" w:color="auto"/>
                        <w:left w:val="none" w:sz="0" w:space="0" w:color="auto"/>
                        <w:bottom w:val="none" w:sz="0" w:space="0" w:color="auto"/>
                        <w:right w:val="none" w:sz="0" w:space="0" w:color="auto"/>
                      </w:divBdr>
                      <w:divsChild>
                        <w:div w:id="30443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143700">
      <w:bodyDiv w:val="1"/>
      <w:marLeft w:val="0"/>
      <w:marRight w:val="0"/>
      <w:marTop w:val="0"/>
      <w:marBottom w:val="0"/>
      <w:divBdr>
        <w:top w:val="none" w:sz="0" w:space="0" w:color="auto"/>
        <w:left w:val="none" w:sz="0" w:space="0" w:color="auto"/>
        <w:bottom w:val="none" w:sz="0" w:space="0" w:color="auto"/>
        <w:right w:val="none" w:sz="0" w:space="0" w:color="auto"/>
      </w:divBdr>
    </w:div>
    <w:div w:id="1837570185">
      <w:bodyDiv w:val="1"/>
      <w:marLeft w:val="0"/>
      <w:marRight w:val="0"/>
      <w:marTop w:val="0"/>
      <w:marBottom w:val="0"/>
      <w:divBdr>
        <w:top w:val="none" w:sz="0" w:space="0" w:color="auto"/>
        <w:left w:val="none" w:sz="0" w:space="0" w:color="auto"/>
        <w:bottom w:val="none" w:sz="0" w:space="0" w:color="auto"/>
        <w:right w:val="none" w:sz="0" w:space="0" w:color="auto"/>
      </w:divBdr>
    </w:div>
    <w:div w:id="1851601523">
      <w:bodyDiv w:val="1"/>
      <w:marLeft w:val="0"/>
      <w:marRight w:val="0"/>
      <w:marTop w:val="0"/>
      <w:marBottom w:val="0"/>
      <w:divBdr>
        <w:top w:val="none" w:sz="0" w:space="0" w:color="auto"/>
        <w:left w:val="none" w:sz="0" w:space="0" w:color="auto"/>
        <w:bottom w:val="none" w:sz="0" w:space="0" w:color="auto"/>
        <w:right w:val="none" w:sz="0" w:space="0" w:color="auto"/>
      </w:divBdr>
    </w:div>
    <w:div w:id="1879854441">
      <w:bodyDiv w:val="1"/>
      <w:marLeft w:val="0"/>
      <w:marRight w:val="0"/>
      <w:marTop w:val="0"/>
      <w:marBottom w:val="0"/>
      <w:divBdr>
        <w:top w:val="none" w:sz="0" w:space="0" w:color="auto"/>
        <w:left w:val="none" w:sz="0" w:space="0" w:color="auto"/>
        <w:bottom w:val="none" w:sz="0" w:space="0" w:color="auto"/>
        <w:right w:val="none" w:sz="0" w:space="0" w:color="auto"/>
      </w:divBdr>
    </w:div>
    <w:div w:id="1883977085">
      <w:bodyDiv w:val="1"/>
      <w:marLeft w:val="0"/>
      <w:marRight w:val="0"/>
      <w:marTop w:val="0"/>
      <w:marBottom w:val="0"/>
      <w:divBdr>
        <w:top w:val="none" w:sz="0" w:space="0" w:color="auto"/>
        <w:left w:val="none" w:sz="0" w:space="0" w:color="auto"/>
        <w:bottom w:val="none" w:sz="0" w:space="0" w:color="auto"/>
        <w:right w:val="none" w:sz="0" w:space="0" w:color="auto"/>
      </w:divBdr>
    </w:div>
    <w:div w:id="1889805287">
      <w:bodyDiv w:val="1"/>
      <w:marLeft w:val="0"/>
      <w:marRight w:val="0"/>
      <w:marTop w:val="0"/>
      <w:marBottom w:val="0"/>
      <w:divBdr>
        <w:top w:val="none" w:sz="0" w:space="0" w:color="auto"/>
        <w:left w:val="none" w:sz="0" w:space="0" w:color="auto"/>
        <w:bottom w:val="none" w:sz="0" w:space="0" w:color="auto"/>
        <w:right w:val="none" w:sz="0" w:space="0" w:color="auto"/>
      </w:divBdr>
    </w:div>
    <w:div w:id="1891649022">
      <w:bodyDiv w:val="1"/>
      <w:marLeft w:val="0"/>
      <w:marRight w:val="0"/>
      <w:marTop w:val="0"/>
      <w:marBottom w:val="0"/>
      <w:divBdr>
        <w:top w:val="none" w:sz="0" w:space="0" w:color="auto"/>
        <w:left w:val="none" w:sz="0" w:space="0" w:color="auto"/>
        <w:bottom w:val="none" w:sz="0" w:space="0" w:color="auto"/>
        <w:right w:val="none" w:sz="0" w:space="0" w:color="auto"/>
      </w:divBdr>
    </w:div>
    <w:div w:id="1905143426">
      <w:bodyDiv w:val="1"/>
      <w:marLeft w:val="0"/>
      <w:marRight w:val="0"/>
      <w:marTop w:val="0"/>
      <w:marBottom w:val="0"/>
      <w:divBdr>
        <w:top w:val="none" w:sz="0" w:space="0" w:color="auto"/>
        <w:left w:val="none" w:sz="0" w:space="0" w:color="auto"/>
        <w:bottom w:val="none" w:sz="0" w:space="0" w:color="auto"/>
        <w:right w:val="none" w:sz="0" w:space="0" w:color="auto"/>
      </w:divBdr>
    </w:div>
    <w:div w:id="1928268547">
      <w:bodyDiv w:val="1"/>
      <w:marLeft w:val="0"/>
      <w:marRight w:val="0"/>
      <w:marTop w:val="0"/>
      <w:marBottom w:val="0"/>
      <w:divBdr>
        <w:top w:val="none" w:sz="0" w:space="0" w:color="auto"/>
        <w:left w:val="none" w:sz="0" w:space="0" w:color="auto"/>
        <w:bottom w:val="none" w:sz="0" w:space="0" w:color="auto"/>
        <w:right w:val="none" w:sz="0" w:space="0" w:color="auto"/>
      </w:divBdr>
    </w:div>
    <w:div w:id="1947812665">
      <w:bodyDiv w:val="1"/>
      <w:marLeft w:val="0"/>
      <w:marRight w:val="0"/>
      <w:marTop w:val="0"/>
      <w:marBottom w:val="0"/>
      <w:divBdr>
        <w:top w:val="none" w:sz="0" w:space="0" w:color="auto"/>
        <w:left w:val="none" w:sz="0" w:space="0" w:color="auto"/>
        <w:bottom w:val="none" w:sz="0" w:space="0" w:color="auto"/>
        <w:right w:val="none" w:sz="0" w:space="0" w:color="auto"/>
      </w:divBdr>
    </w:div>
    <w:div w:id="1949193817">
      <w:bodyDiv w:val="1"/>
      <w:marLeft w:val="0"/>
      <w:marRight w:val="0"/>
      <w:marTop w:val="0"/>
      <w:marBottom w:val="0"/>
      <w:divBdr>
        <w:top w:val="none" w:sz="0" w:space="0" w:color="auto"/>
        <w:left w:val="none" w:sz="0" w:space="0" w:color="auto"/>
        <w:bottom w:val="none" w:sz="0" w:space="0" w:color="auto"/>
        <w:right w:val="none" w:sz="0" w:space="0" w:color="auto"/>
      </w:divBdr>
    </w:div>
    <w:div w:id="1951162179">
      <w:bodyDiv w:val="1"/>
      <w:marLeft w:val="0"/>
      <w:marRight w:val="0"/>
      <w:marTop w:val="0"/>
      <w:marBottom w:val="0"/>
      <w:divBdr>
        <w:top w:val="none" w:sz="0" w:space="0" w:color="auto"/>
        <w:left w:val="none" w:sz="0" w:space="0" w:color="auto"/>
        <w:bottom w:val="none" w:sz="0" w:space="0" w:color="auto"/>
        <w:right w:val="none" w:sz="0" w:space="0" w:color="auto"/>
      </w:divBdr>
    </w:div>
    <w:div w:id="1982494673">
      <w:bodyDiv w:val="1"/>
      <w:marLeft w:val="0"/>
      <w:marRight w:val="0"/>
      <w:marTop w:val="0"/>
      <w:marBottom w:val="0"/>
      <w:divBdr>
        <w:top w:val="none" w:sz="0" w:space="0" w:color="auto"/>
        <w:left w:val="none" w:sz="0" w:space="0" w:color="auto"/>
        <w:bottom w:val="none" w:sz="0" w:space="0" w:color="auto"/>
        <w:right w:val="none" w:sz="0" w:space="0" w:color="auto"/>
      </w:divBdr>
    </w:div>
    <w:div w:id="1986397770">
      <w:bodyDiv w:val="1"/>
      <w:marLeft w:val="0"/>
      <w:marRight w:val="0"/>
      <w:marTop w:val="0"/>
      <w:marBottom w:val="0"/>
      <w:divBdr>
        <w:top w:val="none" w:sz="0" w:space="0" w:color="auto"/>
        <w:left w:val="none" w:sz="0" w:space="0" w:color="auto"/>
        <w:bottom w:val="none" w:sz="0" w:space="0" w:color="auto"/>
        <w:right w:val="none" w:sz="0" w:space="0" w:color="auto"/>
      </w:divBdr>
    </w:div>
    <w:div w:id="1993097663">
      <w:bodyDiv w:val="1"/>
      <w:marLeft w:val="0"/>
      <w:marRight w:val="0"/>
      <w:marTop w:val="0"/>
      <w:marBottom w:val="0"/>
      <w:divBdr>
        <w:top w:val="none" w:sz="0" w:space="0" w:color="auto"/>
        <w:left w:val="none" w:sz="0" w:space="0" w:color="auto"/>
        <w:bottom w:val="none" w:sz="0" w:space="0" w:color="auto"/>
        <w:right w:val="none" w:sz="0" w:space="0" w:color="auto"/>
      </w:divBdr>
    </w:div>
    <w:div w:id="2004432676">
      <w:bodyDiv w:val="1"/>
      <w:marLeft w:val="0"/>
      <w:marRight w:val="0"/>
      <w:marTop w:val="0"/>
      <w:marBottom w:val="0"/>
      <w:divBdr>
        <w:top w:val="none" w:sz="0" w:space="0" w:color="auto"/>
        <w:left w:val="none" w:sz="0" w:space="0" w:color="auto"/>
        <w:bottom w:val="none" w:sz="0" w:space="0" w:color="auto"/>
        <w:right w:val="none" w:sz="0" w:space="0" w:color="auto"/>
      </w:divBdr>
      <w:divsChild>
        <w:div w:id="869032887">
          <w:marLeft w:val="0"/>
          <w:marRight w:val="0"/>
          <w:marTop w:val="0"/>
          <w:marBottom w:val="0"/>
          <w:divBdr>
            <w:top w:val="none" w:sz="0" w:space="0" w:color="auto"/>
            <w:left w:val="none" w:sz="0" w:space="0" w:color="auto"/>
            <w:bottom w:val="none" w:sz="0" w:space="0" w:color="auto"/>
            <w:right w:val="none" w:sz="0" w:space="0" w:color="auto"/>
          </w:divBdr>
          <w:divsChild>
            <w:div w:id="272784699">
              <w:marLeft w:val="0"/>
              <w:marRight w:val="0"/>
              <w:marTop w:val="0"/>
              <w:marBottom w:val="0"/>
              <w:divBdr>
                <w:top w:val="none" w:sz="0" w:space="0" w:color="auto"/>
                <w:left w:val="none" w:sz="0" w:space="0" w:color="auto"/>
                <w:bottom w:val="none" w:sz="0" w:space="0" w:color="auto"/>
                <w:right w:val="none" w:sz="0" w:space="0" w:color="auto"/>
              </w:divBdr>
              <w:divsChild>
                <w:div w:id="639966204">
                  <w:marLeft w:val="0"/>
                  <w:marRight w:val="0"/>
                  <w:marTop w:val="0"/>
                  <w:marBottom w:val="0"/>
                  <w:divBdr>
                    <w:top w:val="none" w:sz="0" w:space="0" w:color="auto"/>
                    <w:left w:val="none" w:sz="0" w:space="0" w:color="auto"/>
                    <w:bottom w:val="none" w:sz="0" w:space="0" w:color="auto"/>
                    <w:right w:val="none" w:sz="0" w:space="0" w:color="auto"/>
                  </w:divBdr>
                  <w:divsChild>
                    <w:div w:id="1187527348">
                      <w:marLeft w:val="0"/>
                      <w:marRight w:val="0"/>
                      <w:marTop w:val="0"/>
                      <w:marBottom w:val="0"/>
                      <w:divBdr>
                        <w:top w:val="none" w:sz="0" w:space="0" w:color="auto"/>
                        <w:left w:val="none" w:sz="0" w:space="0" w:color="auto"/>
                        <w:bottom w:val="none" w:sz="0" w:space="0" w:color="auto"/>
                        <w:right w:val="none" w:sz="0" w:space="0" w:color="auto"/>
                      </w:divBdr>
                      <w:divsChild>
                        <w:div w:id="26488076">
                          <w:marLeft w:val="0"/>
                          <w:marRight w:val="0"/>
                          <w:marTop w:val="0"/>
                          <w:marBottom w:val="0"/>
                          <w:divBdr>
                            <w:top w:val="single" w:sz="12" w:space="3" w:color="FFFFFF"/>
                            <w:left w:val="single" w:sz="12" w:space="3" w:color="FFFFFF"/>
                            <w:bottom w:val="single" w:sz="12" w:space="3" w:color="FFFFFF"/>
                            <w:right w:val="single" w:sz="12" w:space="3" w:color="FFFFFF"/>
                          </w:divBdr>
                          <w:divsChild>
                            <w:div w:id="2072192636">
                              <w:marLeft w:val="0"/>
                              <w:marRight w:val="0"/>
                              <w:marTop w:val="0"/>
                              <w:marBottom w:val="0"/>
                              <w:divBdr>
                                <w:top w:val="none" w:sz="0" w:space="0" w:color="auto"/>
                                <w:left w:val="none" w:sz="0" w:space="0" w:color="auto"/>
                                <w:bottom w:val="none" w:sz="0" w:space="0" w:color="auto"/>
                                <w:right w:val="none" w:sz="0" w:space="0" w:color="auto"/>
                              </w:divBdr>
                            </w:div>
                          </w:divsChild>
                        </w:div>
                        <w:div w:id="640616697">
                          <w:marLeft w:val="0"/>
                          <w:marRight w:val="0"/>
                          <w:marTop w:val="0"/>
                          <w:marBottom w:val="0"/>
                          <w:divBdr>
                            <w:top w:val="single" w:sz="12" w:space="3" w:color="FFFFFF"/>
                            <w:left w:val="single" w:sz="12" w:space="3" w:color="FFFFFF"/>
                            <w:bottom w:val="single" w:sz="12" w:space="3" w:color="FFFFFF"/>
                            <w:right w:val="single" w:sz="12" w:space="3" w:color="FFFFFF"/>
                          </w:divBdr>
                          <w:divsChild>
                            <w:div w:id="71107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2143">
                      <w:marLeft w:val="0"/>
                      <w:marRight w:val="0"/>
                      <w:marTop w:val="0"/>
                      <w:marBottom w:val="0"/>
                      <w:divBdr>
                        <w:top w:val="single" w:sz="12" w:space="2" w:color="FFFFFF"/>
                        <w:left w:val="single" w:sz="12" w:space="3" w:color="FFFFFF"/>
                        <w:bottom w:val="single" w:sz="12" w:space="2" w:color="FFFFFF"/>
                        <w:right w:val="single" w:sz="12" w:space="6" w:color="FFFFFF"/>
                      </w:divBdr>
                      <w:divsChild>
                        <w:div w:id="74391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655279">
              <w:marLeft w:val="0"/>
              <w:marRight w:val="0"/>
              <w:marTop w:val="0"/>
              <w:marBottom w:val="0"/>
              <w:divBdr>
                <w:top w:val="none" w:sz="0" w:space="0" w:color="auto"/>
                <w:left w:val="none" w:sz="0" w:space="0" w:color="auto"/>
                <w:bottom w:val="none" w:sz="0" w:space="0" w:color="auto"/>
                <w:right w:val="none" w:sz="0" w:space="0" w:color="auto"/>
              </w:divBdr>
              <w:divsChild>
                <w:div w:id="1871214280">
                  <w:marLeft w:val="0"/>
                  <w:marRight w:val="0"/>
                  <w:marTop w:val="0"/>
                  <w:marBottom w:val="0"/>
                  <w:divBdr>
                    <w:top w:val="none" w:sz="0" w:space="0" w:color="auto"/>
                    <w:left w:val="none" w:sz="0" w:space="0" w:color="auto"/>
                    <w:bottom w:val="none" w:sz="0" w:space="0" w:color="auto"/>
                    <w:right w:val="none" w:sz="0" w:space="0" w:color="auto"/>
                  </w:divBdr>
                  <w:divsChild>
                    <w:div w:id="1877963066">
                      <w:marLeft w:val="0"/>
                      <w:marRight w:val="0"/>
                      <w:marTop w:val="0"/>
                      <w:marBottom w:val="0"/>
                      <w:divBdr>
                        <w:top w:val="none" w:sz="0" w:space="0" w:color="auto"/>
                        <w:left w:val="none" w:sz="0" w:space="0" w:color="auto"/>
                        <w:bottom w:val="none" w:sz="0" w:space="0" w:color="auto"/>
                        <w:right w:val="none" w:sz="0" w:space="0" w:color="auto"/>
                      </w:divBdr>
                      <w:divsChild>
                        <w:div w:id="1070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611840">
              <w:marLeft w:val="0"/>
              <w:marRight w:val="0"/>
              <w:marTop w:val="0"/>
              <w:marBottom w:val="0"/>
              <w:divBdr>
                <w:top w:val="none" w:sz="0" w:space="0" w:color="auto"/>
                <w:left w:val="none" w:sz="0" w:space="0" w:color="auto"/>
                <w:bottom w:val="none" w:sz="0" w:space="0" w:color="auto"/>
                <w:right w:val="none" w:sz="0" w:space="0" w:color="auto"/>
              </w:divBdr>
              <w:divsChild>
                <w:div w:id="2077391738">
                  <w:marLeft w:val="0"/>
                  <w:marRight w:val="0"/>
                  <w:marTop w:val="0"/>
                  <w:marBottom w:val="0"/>
                  <w:divBdr>
                    <w:top w:val="none" w:sz="0" w:space="0" w:color="auto"/>
                    <w:left w:val="none" w:sz="0" w:space="0" w:color="auto"/>
                    <w:bottom w:val="none" w:sz="0" w:space="0" w:color="auto"/>
                    <w:right w:val="none" w:sz="0" w:space="0" w:color="auto"/>
                  </w:divBdr>
                  <w:divsChild>
                    <w:div w:id="38477889">
                      <w:marLeft w:val="0"/>
                      <w:marRight w:val="0"/>
                      <w:marTop w:val="0"/>
                      <w:marBottom w:val="0"/>
                      <w:divBdr>
                        <w:top w:val="none" w:sz="0" w:space="0" w:color="auto"/>
                        <w:left w:val="none" w:sz="0" w:space="0" w:color="auto"/>
                        <w:bottom w:val="none" w:sz="0" w:space="0" w:color="auto"/>
                        <w:right w:val="none" w:sz="0" w:space="0" w:color="auto"/>
                      </w:divBdr>
                      <w:divsChild>
                        <w:div w:id="39887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71369">
              <w:marLeft w:val="0"/>
              <w:marRight w:val="0"/>
              <w:marTop w:val="0"/>
              <w:marBottom w:val="0"/>
              <w:divBdr>
                <w:top w:val="none" w:sz="0" w:space="0" w:color="auto"/>
                <w:left w:val="none" w:sz="0" w:space="0" w:color="auto"/>
                <w:bottom w:val="none" w:sz="0" w:space="0" w:color="auto"/>
                <w:right w:val="none" w:sz="0" w:space="0" w:color="auto"/>
              </w:divBdr>
              <w:divsChild>
                <w:div w:id="626158060">
                  <w:marLeft w:val="0"/>
                  <w:marRight w:val="0"/>
                  <w:marTop w:val="0"/>
                  <w:marBottom w:val="0"/>
                  <w:divBdr>
                    <w:top w:val="none" w:sz="0" w:space="0" w:color="auto"/>
                    <w:left w:val="none" w:sz="0" w:space="0" w:color="auto"/>
                    <w:bottom w:val="none" w:sz="0" w:space="0" w:color="auto"/>
                    <w:right w:val="none" w:sz="0" w:space="0" w:color="auto"/>
                  </w:divBdr>
                  <w:divsChild>
                    <w:div w:id="1098601462">
                      <w:marLeft w:val="0"/>
                      <w:marRight w:val="0"/>
                      <w:marTop w:val="0"/>
                      <w:marBottom w:val="0"/>
                      <w:divBdr>
                        <w:top w:val="none" w:sz="0" w:space="0" w:color="auto"/>
                        <w:left w:val="none" w:sz="0" w:space="0" w:color="auto"/>
                        <w:bottom w:val="none" w:sz="0" w:space="0" w:color="auto"/>
                        <w:right w:val="none" w:sz="0" w:space="0" w:color="auto"/>
                      </w:divBdr>
                      <w:divsChild>
                        <w:div w:id="70143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85040">
              <w:marLeft w:val="0"/>
              <w:marRight w:val="0"/>
              <w:marTop w:val="0"/>
              <w:marBottom w:val="0"/>
              <w:divBdr>
                <w:top w:val="none" w:sz="0" w:space="0" w:color="auto"/>
                <w:left w:val="none" w:sz="0" w:space="0" w:color="auto"/>
                <w:bottom w:val="none" w:sz="0" w:space="0" w:color="auto"/>
                <w:right w:val="none" w:sz="0" w:space="0" w:color="auto"/>
              </w:divBdr>
              <w:divsChild>
                <w:div w:id="861431246">
                  <w:marLeft w:val="0"/>
                  <w:marRight w:val="0"/>
                  <w:marTop w:val="0"/>
                  <w:marBottom w:val="0"/>
                  <w:divBdr>
                    <w:top w:val="none" w:sz="0" w:space="0" w:color="auto"/>
                    <w:left w:val="none" w:sz="0" w:space="0" w:color="auto"/>
                    <w:bottom w:val="none" w:sz="0" w:space="0" w:color="auto"/>
                    <w:right w:val="none" w:sz="0" w:space="0" w:color="auto"/>
                  </w:divBdr>
                  <w:divsChild>
                    <w:div w:id="406464549">
                      <w:marLeft w:val="0"/>
                      <w:marRight w:val="0"/>
                      <w:marTop w:val="0"/>
                      <w:marBottom w:val="0"/>
                      <w:divBdr>
                        <w:top w:val="none" w:sz="0" w:space="0" w:color="auto"/>
                        <w:left w:val="none" w:sz="0" w:space="0" w:color="auto"/>
                        <w:bottom w:val="none" w:sz="0" w:space="0" w:color="auto"/>
                        <w:right w:val="none" w:sz="0" w:space="0" w:color="auto"/>
                      </w:divBdr>
                      <w:divsChild>
                        <w:div w:id="4349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004626">
              <w:marLeft w:val="0"/>
              <w:marRight w:val="0"/>
              <w:marTop w:val="0"/>
              <w:marBottom w:val="0"/>
              <w:divBdr>
                <w:top w:val="none" w:sz="0" w:space="0" w:color="auto"/>
                <w:left w:val="none" w:sz="0" w:space="0" w:color="auto"/>
                <w:bottom w:val="none" w:sz="0" w:space="0" w:color="auto"/>
                <w:right w:val="none" w:sz="0" w:space="0" w:color="auto"/>
              </w:divBdr>
            </w:div>
            <w:div w:id="1823353635">
              <w:marLeft w:val="0"/>
              <w:marRight w:val="0"/>
              <w:marTop w:val="0"/>
              <w:marBottom w:val="0"/>
              <w:divBdr>
                <w:top w:val="none" w:sz="0" w:space="0" w:color="auto"/>
                <w:left w:val="none" w:sz="0" w:space="0" w:color="auto"/>
                <w:bottom w:val="none" w:sz="0" w:space="0" w:color="auto"/>
                <w:right w:val="none" w:sz="0" w:space="0" w:color="auto"/>
              </w:divBdr>
              <w:divsChild>
                <w:div w:id="2064983672">
                  <w:marLeft w:val="0"/>
                  <w:marRight w:val="0"/>
                  <w:marTop w:val="0"/>
                  <w:marBottom w:val="0"/>
                  <w:divBdr>
                    <w:top w:val="none" w:sz="0" w:space="0" w:color="auto"/>
                    <w:left w:val="none" w:sz="0" w:space="0" w:color="auto"/>
                    <w:bottom w:val="none" w:sz="0" w:space="0" w:color="auto"/>
                    <w:right w:val="none" w:sz="0" w:space="0" w:color="auto"/>
                  </w:divBdr>
                  <w:divsChild>
                    <w:div w:id="1612469851">
                      <w:marLeft w:val="0"/>
                      <w:marRight w:val="0"/>
                      <w:marTop w:val="0"/>
                      <w:marBottom w:val="0"/>
                      <w:divBdr>
                        <w:top w:val="none" w:sz="0" w:space="0" w:color="auto"/>
                        <w:left w:val="none" w:sz="0" w:space="0" w:color="auto"/>
                        <w:bottom w:val="none" w:sz="0" w:space="0" w:color="auto"/>
                        <w:right w:val="none" w:sz="0" w:space="0" w:color="auto"/>
                      </w:divBdr>
                      <w:divsChild>
                        <w:div w:id="8576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7752186">
      <w:bodyDiv w:val="1"/>
      <w:marLeft w:val="0"/>
      <w:marRight w:val="0"/>
      <w:marTop w:val="0"/>
      <w:marBottom w:val="0"/>
      <w:divBdr>
        <w:top w:val="none" w:sz="0" w:space="0" w:color="auto"/>
        <w:left w:val="none" w:sz="0" w:space="0" w:color="auto"/>
        <w:bottom w:val="none" w:sz="0" w:space="0" w:color="auto"/>
        <w:right w:val="none" w:sz="0" w:space="0" w:color="auto"/>
      </w:divBdr>
    </w:div>
    <w:div w:id="2038770571">
      <w:bodyDiv w:val="1"/>
      <w:marLeft w:val="0"/>
      <w:marRight w:val="0"/>
      <w:marTop w:val="0"/>
      <w:marBottom w:val="0"/>
      <w:divBdr>
        <w:top w:val="none" w:sz="0" w:space="0" w:color="auto"/>
        <w:left w:val="none" w:sz="0" w:space="0" w:color="auto"/>
        <w:bottom w:val="none" w:sz="0" w:space="0" w:color="auto"/>
        <w:right w:val="none" w:sz="0" w:space="0" w:color="auto"/>
      </w:divBdr>
    </w:div>
    <w:div w:id="2052222684">
      <w:bodyDiv w:val="1"/>
      <w:marLeft w:val="0"/>
      <w:marRight w:val="0"/>
      <w:marTop w:val="0"/>
      <w:marBottom w:val="0"/>
      <w:divBdr>
        <w:top w:val="none" w:sz="0" w:space="0" w:color="auto"/>
        <w:left w:val="none" w:sz="0" w:space="0" w:color="auto"/>
        <w:bottom w:val="none" w:sz="0" w:space="0" w:color="auto"/>
        <w:right w:val="none" w:sz="0" w:space="0" w:color="auto"/>
      </w:divBdr>
    </w:div>
    <w:div w:id="2087333748">
      <w:bodyDiv w:val="1"/>
      <w:marLeft w:val="0"/>
      <w:marRight w:val="0"/>
      <w:marTop w:val="0"/>
      <w:marBottom w:val="0"/>
      <w:divBdr>
        <w:top w:val="none" w:sz="0" w:space="0" w:color="auto"/>
        <w:left w:val="none" w:sz="0" w:space="0" w:color="auto"/>
        <w:bottom w:val="none" w:sz="0" w:space="0" w:color="auto"/>
        <w:right w:val="none" w:sz="0" w:space="0" w:color="auto"/>
      </w:divBdr>
    </w:div>
    <w:div w:id="2089839303">
      <w:bodyDiv w:val="1"/>
      <w:marLeft w:val="0"/>
      <w:marRight w:val="0"/>
      <w:marTop w:val="0"/>
      <w:marBottom w:val="0"/>
      <w:divBdr>
        <w:top w:val="none" w:sz="0" w:space="0" w:color="auto"/>
        <w:left w:val="none" w:sz="0" w:space="0" w:color="auto"/>
        <w:bottom w:val="none" w:sz="0" w:space="0" w:color="auto"/>
        <w:right w:val="none" w:sz="0" w:space="0" w:color="auto"/>
      </w:divBdr>
    </w:div>
    <w:div w:id="210752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6081-2026-REV-1/ro/pdf" TargetMode="External"/><Relationship Id="rId13" Type="http://schemas.openxmlformats.org/officeDocument/2006/relationships/hyperlink" Target="https://eur-lex.europa.eu/resource.html?uri=cellar:f20ddba1-3e56-11f1-814f-01aa75ed71a1.0020.02/DOC_1&amp;format=PDF" TargetMode="External"/><Relationship Id="rId18" Type="http://schemas.openxmlformats.org/officeDocument/2006/relationships/hyperlink" Target="https://eur-lex.europa.eu/resource.html?uri=cellar:f20ddba1-3e56-11f1-814f-01aa75ed71a1.0020.02/DOC_1&amp;format=PDF" TargetMode="External"/><Relationship Id="rId3" Type="http://schemas.openxmlformats.org/officeDocument/2006/relationships/hyperlink" Target="https://energy.ec.europa.eu/topics/eus-energy-system/electrification/electrify-now_en" TargetMode="External"/><Relationship Id="rId21" Type="http://schemas.openxmlformats.org/officeDocument/2006/relationships/hyperlink" Target="https://energy.ec.europa.eu/topics/energy-efficiency/energy-performance-buildings/energy-performance-buildings-directive/one-stop-shops-renovation-and-energy-efficiency_en" TargetMode="External"/><Relationship Id="rId7" Type="http://schemas.openxmlformats.org/officeDocument/2006/relationships/hyperlink" Target="https://ec.europa.eu/regional_policy/policy/how/programming-and-implementation/mid-term-review_en" TargetMode="External"/><Relationship Id="rId12" Type="http://schemas.openxmlformats.org/officeDocument/2006/relationships/hyperlink" Target="https://eur-lex.europa.eu/legal-content/RO/TXT/?uri=CELEX%3A52026DC0115&amp;qid=1773310492603" TargetMode="External"/><Relationship Id="rId17" Type="http://schemas.openxmlformats.org/officeDocument/2006/relationships/hyperlink" Target="http://data.europa.eu/eli/reg/2023/955/oj" TargetMode="External"/><Relationship Id="rId2" Type="http://schemas.openxmlformats.org/officeDocument/2006/relationships/hyperlink" Target="https://www.iea.org/commentaries/the-energy-crisis-creates-even-stronger-impetus-for-eu-electrification" TargetMode="External"/><Relationship Id="rId16" Type="http://schemas.openxmlformats.org/officeDocument/2006/relationships/hyperlink" Target="http://data.europa.eu/eli/dir/2023/1791/oj" TargetMode="External"/><Relationship Id="rId20" Type="http://schemas.openxmlformats.org/officeDocument/2006/relationships/hyperlink" Target="https://ec.europa.eu/commission/presscorner/detail/ro/ip_25_3051" TargetMode="External"/><Relationship Id="rId1" Type="http://schemas.openxmlformats.org/officeDocument/2006/relationships/hyperlink" Target="file:///\\net1.cec.eu.int\offline\067\tognoma\Desktop\36%20million%20workers" TargetMode="External"/><Relationship Id="rId6" Type="http://schemas.openxmlformats.org/officeDocument/2006/relationships/hyperlink" Target="http://data.europa.eu/eli/dir/1999/62/oj" TargetMode="External"/><Relationship Id="rId11" Type="http://schemas.openxmlformats.org/officeDocument/2006/relationships/hyperlink" Target="https://eur-lex.europa.eu/legal-content/RO/TXT/PDF/?uri=CELEX:52025DC0095" TargetMode="External"/><Relationship Id="rId5" Type="http://schemas.openxmlformats.org/officeDocument/2006/relationships/hyperlink" Target="https://ember-energy.org/latest-updates/the-heat-beneath-our-feet-ember-analysis-reveals-geothermal-could-replace-42-of-eu-coal-and-gas-power/" TargetMode="External"/><Relationship Id="rId15" Type="http://schemas.openxmlformats.org/officeDocument/2006/relationships/hyperlink" Target="http://data.europa.eu/eli/reco/2026/537/oj" TargetMode="External"/><Relationship Id="rId10" Type="http://schemas.openxmlformats.org/officeDocument/2006/relationships/hyperlink" Target="https://eur-lex.europa.eu/legal-content/RO/TXT/?uri=CELEX:52025DC0085" TargetMode="External"/><Relationship Id="rId19" Type="http://schemas.openxmlformats.org/officeDocument/2006/relationships/hyperlink" Target="https://ec.europa.eu/commission/presscorner/detail/ro/ip_25_3051" TargetMode="External"/><Relationship Id="rId4" Type="http://schemas.openxmlformats.org/officeDocument/2006/relationships/hyperlink" Target="https://union-renewables-development-platform.ec.europa.eu/auctions/auctions-table-overview" TargetMode="External"/><Relationship Id="rId9" Type="http://schemas.openxmlformats.org/officeDocument/2006/relationships/hyperlink" Target="https://ec.europa.eu/regional_policy/policy/how/programming-and-implementation/mid-term-review_en" TargetMode="External"/><Relationship Id="rId14" Type="http://schemas.openxmlformats.org/officeDocument/2006/relationships/hyperlink" Target="https://joint-research-centre.ec.europa.eu/projects-and-activities/fiscal-policy-analysis/taxation-and-social-policy-households/taxation-consumption-including-green-taxation/green-euromo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14" ma:contentTypeDescription="Create a new document." ma:contentTypeScope="" ma:versionID="83d61502cb7af307d23fd7e25862361e">
  <xsd:schema xmlns:xsd="http://www.w3.org/2001/XMLSchema" xmlns:xs="http://www.w3.org/2001/XMLSchema" xmlns:p="http://schemas.microsoft.com/office/2006/metadata/properties" xmlns:ns2="2a565401-6124-4834-af4c-bc1a772a6083" xmlns:ns3="ed350a78-f7eb-44a2-bb43-fd61cd942e28" targetNamespace="http://schemas.microsoft.com/office/2006/metadata/properties" ma:root="true" ma:fieldsID="199b1e814303c914b54bb4749ec46733" ns2:_="" ns3:_="">
    <xsd:import namespace="2a565401-6124-4834-af4c-bc1a772a6083"/>
    <xsd:import namespace="ed350a78-f7eb-44a2-bb43-fd61cd942e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Erdenl_x00e6_s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Erdenl_x00e6_st_x003f_" ma:index="21" nillable="true" ma:displayName="Er den læst?" ma:default="1" ma:format="Dropdown" ma:internalName="Erdenl_x00e6_st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98c7e1-a285-462b-825c-14f984010e94}" ma:internalName="TaxCatchAll" ma:showField="CatchAllData" ma:web="ed350a78-f7eb-44a2-bb43-fd61cd942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565401-6124-4834-af4c-bc1a772a6083">
      <Terms xmlns="http://schemas.microsoft.com/office/infopath/2007/PartnerControls"/>
    </lcf76f155ced4ddcb4097134ff3c332f>
    <TaxCatchAll xmlns="ed350a78-f7eb-44a2-bb43-fd61cd942e28" xsi:nil="true"/>
    <Erdenl_x00e6_st_x003f_ xmlns="2a565401-6124-4834-af4c-bc1a772a6083">true</Erdenl_x00e6_st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B7EC5-288F-48A7-BB16-F7D17545A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ed350a78-f7eb-44a2-bb43-fd61cd942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18648F-1A82-4B38-BA25-70E2DA2D8D3F}">
  <ds:schemaRefs>
    <ds:schemaRef ds:uri="http://schemas.microsoft.com/office/2006/metadata/properties"/>
    <ds:schemaRef ds:uri="http://schemas.microsoft.com/office/infopath/2007/PartnerControls"/>
    <ds:schemaRef ds:uri="2a565401-6124-4834-af4c-bc1a772a6083"/>
    <ds:schemaRef ds:uri="ed350a78-f7eb-44a2-bb43-fd61cd942e28"/>
  </ds:schemaRefs>
</ds:datastoreItem>
</file>

<file path=customXml/itemProps3.xml><?xml version="1.0" encoding="utf-8"?>
<ds:datastoreItem xmlns:ds="http://schemas.openxmlformats.org/officeDocument/2006/customXml" ds:itemID="{EE3B0782-672B-467A-8290-B80AED1F1FBE}">
  <ds:schemaRefs>
    <ds:schemaRef ds:uri="http://schemas.microsoft.com/sharepoint/v3/contenttype/forms"/>
  </ds:schemaRefs>
</ds:datastoreItem>
</file>

<file path=customXml/itemProps4.xml><?xml version="1.0" encoding="utf-8"?>
<ds:datastoreItem xmlns:ds="http://schemas.openxmlformats.org/officeDocument/2006/customXml" ds:itemID="{B1E7B8E6-4134-4DFE-82B5-A2C6D9BEDF41}">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72</TotalTime>
  <Pages>3</Pages>
  <Words>14149</Words>
  <Characters>80650</Characters>
  <Application>Microsoft Office Word</Application>
  <DocSecurity>0</DocSecurity>
  <Lines>672</Lines>
  <Paragraphs>189</Paragraphs>
  <ScaleCrop>false</ScaleCrop>
  <Manager/>
  <Company/>
  <LinksUpToDate>false</LinksUpToDate>
  <CharactersWithSpaces>94610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8</cp:revision>
  <dcterms:created xsi:type="dcterms:W3CDTF">2026-07-17T09:29:00Z</dcterms:created>
  <dcterms:modified xsi:type="dcterms:W3CDTF">2026-08-31T05:50:00Z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2026-07-16T08:19:48Z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6abba917-1dc4-47db-87c7-b30b66ebc21e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ContentTypeId">
    <vt:lpwstr>0x01010078D2C354A9B80F4897019BC7E2880A88</vt:lpwstr>
  </property>
  <property fmtid="{D5CDD505-2E9C-101B-9397-08002B2CF9AE}" pid="17" name="MediaServiceImageTags">
    <vt:lpwstr/>
  </property>
</Properties>
</file>