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A06C541-5678-474F-99B5-BDE04237FC9D" style="width:455.25pt;height:381.75pt">
            <v:imagedata r:id="rId7" o:title=""/>
          </v:shape>
        </w:pict>
      </w:r>
    </w:p>
    <w:p>
      <w:pPr>
        <w:rPr>
          <w:noProof/>
        </w:rPr>
        <w:sectPr>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 xml:space="preserve">ANNEXE </w:t>
      </w:r>
    </w:p>
    <w:p>
      <w:pPr>
        <w:jc w:val="center"/>
        <w:rPr>
          <w:b/>
          <w:bCs/>
          <w:noProof/>
        </w:rPr>
      </w:pPr>
      <w:r>
        <w:rPr>
          <w:b/>
          <w:noProof/>
        </w:rPr>
        <w:t>Calcul du ratio prix/revenus à partir de l’ensemble de données de la Commission</w:t>
      </w:r>
    </w:p>
    <w:p>
      <w:pPr>
        <w:rPr>
          <w:noProof/>
        </w:rPr>
      </w:pPr>
      <w:r>
        <w:rPr>
          <w:noProof/>
        </w:rPr>
        <w:t>1.</w:t>
      </w:r>
      <w:r>
        <w:rPr>
          <w:noProof/>
        </w:rPr>
        <w:tab/>
        <w:t>Les prix représentatifs des logements sont calculés en utilisant le prix de transaction moyen d’un logement, exprimé en euros, dans la zone concernée, au niveau NUTS 3 conformément au règlement (CE) nº 1059/2003 du Parlement européen et du Conseil</w:t>
      </w:r>
      <w:r>
        <w:rPr>
          <w:rStyle w:val="FootnoteReference"/>
          <w:noProof/>
        </w:rPr>
        <w:footnoteReference w:id="1"/>
      </w:r>
      <w:r>
        <w:rPr>
          <w:noProof/>
        </w:rPr>
        <w:t xml:space="preserve">.  </w:t>
      </w:r>
    </w:p>
    <w:p>
      <w:pPr>
        <w:rPr>
          <w:noProof/>
        </w:rPr>
      </w:pPr>
      <w:r>
        <w:rPr>
          <w:noProof/>
        </w:rPr>
        <w:t>2.</w:t>
      </w:r>
      <w:r>
        <w:rPr>
          <w:noProof/>
        </w:rPr>
        <w:tab/>
        <w:t xml:space="preserve">En ce qui concerne le revenu représentatif par habitant, la Commission fournit des séries chronologiques annuelles du revenu disponible net des ménages privés par habitant, exprimé en euros, sur la base des données d’Eurostat au niveau NUTS 2 ou sur la base de projections équivalentes. </w:t>
      </w:r>
    </w:p>
    <w:p>
      <w:pPr>
        <w:rPr>
          <w:noProof/>
        </w:rPr>
      </w:pPr>
      <w:r>
        <w:rPr>
          <w:noProof/>
        </w:rPr>
        <w:t>3.</w:t>
      </w:r>
      <w:r>
        <w:rPr>
          <w:noProof/>
        </w:rPr>
        <w:tab/>
        <w:t>Les deux seuils de ratio prix/revenus aux fins de l’article 6 sont calculés en se fondant sur les observations annuelles disponibles les plus récentes. Sur la base de cette analyse statistique, les seuils sont fixés respectivement à 8 et 10 ans de revenu par habitant nécessaires pour l’acquisition d’un logement existant de taille moyenne dans le parc immobilier résidentiel de la zone concernée.</w:t>
      </w:r>
    </w:p>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Règlement (CE) nº 1059/2003 du Parlement européen et du Conseil du 26 mai 2003 relatif à l’établissement d’une nomenclature commune des unités territoriales statistiques (NUTS) (JO L 154 du 21.6.2003, p. 1, ELI: http://data.europa.eu/eli/reg/2003/1059/oj).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4D16B84E"/>
    <w:lvl w:ilvl="0">
      <w:start w:val="1"/>
      <w:numFmt w:val="decimal"/>
      <w:pStyle w:val="ListNumber4"/>
      <w:lvlText w:val="%1."/>
      <w:lvlJc w:val="left"/>
      <w:pPr>
        <w:tabs>
          <w:tab w:val="num" w:pos="1440"/>
        </w:tabs>
        <w:ind w:left="1440" w:hanging="360"/>
      </w:pPr>
    </w:lvl>
  </w:abstractNum>
  <w:abstractNum w:abstractNumId="1" w15:restartNumberingAfterBreak="0">
    <w:nsid w:val="FFFFFF7E"/>
    <w:multiLevelType w:val="singleLevel"/>
    <w:tmpl w:val="D4B602D4"/>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singleLevel"/>
    <w:tmpl w:val="32B253A0"/>
    <w:lvl w:ilvl="0">
      <w:start w:val="1"/>
      <w:numFmt w:val="decimal"/>
      <w:pStyle w:val="ListNumber2"/>
      <w:lvlText w:val="%1."/>
      <w:lvlJc w:val="left"/>
      <w:pPr>
        <w:tabs>
          <w:tab w:val="num" w:pos="720"/>
        </w:tabs>
        <w:ind w:left="720" w:hanging="360"/>
      </w:pPr>
    </w:lvl>
  </w:abstractNum>
  <w:abstractNum w:abstractNumId="3" w15:restartNumberingAfterBreak="0">
    <w:nsid w:val="FFFFFF81"/>
    <w:multiLevelType w:val="singleLevel"/>
    <w:tmpl w:val="A3BCE0E6"/>
    <w:lvl w:ilvl="0">
      <w:start w:val="1"/>
      <w:numFmt w:val="bullet"/>
      <w:pStyle w:val="ListBullet4"/>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F8FA2156"/>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FFFFFF83"/>
    <w:multiLevelType w:val="singleLevel"/>
    <w:tmpl w:val="B5527F72"/>
    <w:lvl w:ilvl="0">
      <w:start w:val="1"/>
      <w:numFmt w:val="bullet"/>
      <w:pStyle w:val="ListBullet2"/>
      <w:lvlText w:val=""/>
      <w:lvlJc w:val="left"/>
      <w:pPr>
        <w:tabs>
          <w:tab w:val="num" w:pos="720"/>
        </w:tabs>
        <w:ind w:left="720" w:hanging="360"/>
      </w:pPr>
      <w:rPr>
        <w:rFonts w:ascii="Symbol" w:hAnsi="Symbol" w:hint="default"/>
      </w:rPr>
    </w:lvl>
  </w:abstractNum>
  <w:abstractNum w:abstractNumId="6" w15:restartNumberingAfterBreak="0">
    <w:nsid w:val="FFFFFF88"/>
    <w:multiLevelType w:val="singleLevel"/>
    <w:tmpl w:val="BDFE68EC"/>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22546544"/>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 w:numId="24">
    <w:abstractNumId w:val="19"/>
  </w:num>
  <w:num w:numId="25">
    <w:abstractNumId w:val="12"/>
  </w:num>
  <w:num w:numId="26">
    <w:abstractNumId w:val="21"/>
  </w:num>
  <w:num w:numId="27">
    <w:abstractNumId w:val="11"/>
  </w:num>
  <w:num w:numId="28">
    <w:abstractNumId w:val="13"/>
  </w:num>
  <w:num w:numId="29">
    <w:abstractNumId w:val="14"/>
  </w:num>
  <w:num w:numId="30">
    <w:abstractNumId w:val="9"/>
  </w:num>
  <w:num w:numId="31">
    <w:abstractNumId w:val="20"/>
  </w:num>
  <w:num w:numId="32">
    <w:abstractNumId w:val="8"/>
  </w:num>
  <w:num w:numId="33">
    <w:abstractNumId w:val="15"/>
  </w:num>
  <w:num w:numId="34">
    <w:abstractNumId w:val="17"/>
  </w:num>
  <w:num w:numId="35">
    <w:abstractNumId w:val="18"/>
  </w:num>
  <w:num w:numId="36">
    <w:abstractNumId w:val="10"/>
  </w:num>
  <w:num w:numId="37">
    <w:abstractNumId w:val="16"/>
  </w:num>
  <w:num w:numId="38">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21 12:29:0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proposition de"/>
    <w:docVar w:name="LW_ACCOMPAGNANT.CP" w:val="de la proposition de"/>
    <w:docVar w:name="LW_ANNEX_NBR_FIRST" w:val="1"/>
    <w:docVar w:name="LW_ANNEX_NBR_LAST" w:val="1"/>
    <w:docVar w:name="LW_ANNEX_UNIQUE" w:val="1"/>
    <w:docVar w:name="LW_CORRIGENDUM" w:val="&lt;UNUSED&gt;"/>
    <w:docVar w:name="LW_COVERPAGE_EXISTS" w:val="True"/>
    <w:docVar w:name="LW_COVERPAGE_GUID" w:val="0A06C541-5678-474F-99B5-BDE04237FC9D"/>
    <w:docVar w:name="LW_COVERPAGE_TYPE" w:val="1"/>
    <w:docVar w:name="LW_CreatedUtc" w:val="2026-09-06T12:16:34.8192336Z"/>
    <w:docVar w:name="LW_CROSSREFERENCE" w:val="{SEC(2026) 599 final} - {SWD(2026) 605 final} - {SWD(2026) 606 final} - {SWD(2026) 607 final}"/>
    <w:docVar w:name="LW_DocType" w:val="ANNEX"/>
    <w:docVar w:name="LW_EMISSION" w:val="9.9.2026"/>
    <w:docVar w:name="LW_EMISSION_ISODATE" w:val="2026-09-09"/>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établissant un cadre de mesures dans les États membres afin de préserver l\u8217?accessibilité financière et la disponibilité du logement (règlement sur le logement abordable)"/>
    <w:docVar w:name="LW_OBJETACTEPRINCIPAL.CP" w:val="établissant un cadre de mesures dans les États membres afin de préserver l\u8217?accessibilité financière et la disponibilité du logement (règlement sur le logement abordable)"/>
    <w:docVar w:name="LW_PART_NBR" w:val="1"/>
    <w:docVar w:name="LW_PART_NBR_TOTAL" w:val="1"/>
    <w:docVar w:name="LW_REF.INST.NEW" w:val="COM"/>
    <w:docVar w:name="LW_REF.INST.NEW_ADOPTED" w:val="final"/>
    <w:docVar w:name="LW_REF.INST.NEW_TEXT" w:val="(2026) 59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RÈGLEMENT DU PARLEMENT EUROPÉEN ET DU DU CONSEIL"/>
    <w:docVar w:name="LW_TYPEACTEPRINCIPAL.CP" w:val="RÈGLEMENT DU PARLEMENT EUROPÉEN ET DU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bidi="kok-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CADA19BB-A8CC-43D2-B28D-94D63EABF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Hyperlink">
    <w:name w:val="Hyperlink"/>
    <w:uiPriority w:val="99"/>
    <w:rPr>
      <w:color w:val="0000FF"/>
      <w:u w:val="single"/>
    </w:rPr>
  </w:style>
  <w:style w:type="paragraph" w:customStyle="1" w:styleId="CharCharChar1">
    <w:name w:val="Char Char Char1"/>
    <w:basedOn w:val="Normal"/>
    <w:link w:val="FootnoteReference"/>
    <w:uiPriority w:val="99"/>
    <w:pPr>
      <w:spacing w:before="0" w:after="160" w:line="240" w:lineRule="exact"/>
    </w:pPr>
    <w:rPr>
      <w:rFonts w:asciiTheme="minorHAnsi" w:hAnsiTheme="minorHAnsi" w:cstheme="minorBidi"/>
      <w:sz w:val="22"/>
      <w:vertAlign w:val="superscript"/>
    </w:rPr>
  </w:style>
  <w:style w:type="character" w:styleId="UnresolvedMention">
    <w:name w:val="Unresolved Mention"/>
    <w:basedOn w:val="DefaultParagraphFont"/>
    <w:uiPriority w:val="99"/>
    <w:semiHidden/>
    <w:unhideWhenUsed/>
    <w:rPr>
      <w:color w:val="605E5C"/>
      <w:shd w:val="clear" w:color="auto" w:fill="E1DFDD"/>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8</TotalTime>
  <Pages>2</Pages>
  <Words>154</Words>
  <Characters>884</Characters>
  <Application>Microsoft Office Word</Application>
  <DocSecurity>0</DocSecurity>
  <Lines>7</Lines>
  <Paragraphs>2</Paragraphs>
  <ScaleCrop>false</ScaleCrop>
  <Manager/>
  <Company/>
  <LinksUpToDate>false</LinksUpToDate>
  <CharactersWithSpaces>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11</cp:revision>
  <dcterms:created xsi:type="dcterms:W3CDTF">2026-09-06T21:24:00Z</dcterms:created>
  <dcterms:modified xsi:type="dcterms:W3CDTF">2026-09-21T10:29:00Z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2026-09-06T15:42:08Z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520c6101-3f98-4180-a3cf-4428f6f9efeb</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Category">
    <vt:lpwstr>COM/ANNEX</vt:lpwstr>
  </property>
  <property fmtid="{D5CDD505-2E9C-101B-9397-08002B2CF9AE}" pid="12" name="Last edited using">
    <vt:lpwstr>LW 9.2, Build 20250828</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LWTemplateID">
    <vt:lpwstr>SG-017</vt:lpwstr>
  </property>
  <property fmtid="{D5CDD505-2E9C-101B-9397-08002B2CF9AE}" pid="19" name="DQCStatus">
    <vt:lpwstr>Green (DQC version 03)</vt:lpwstr>
  </property>
</Properties>
</file>